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32" w:rsidRPr="005E0232" w:rsidRDefault="005E0232" w:rsidP="005E0232">
      <w:pPr>
        <w:pStyle w:val="NoSpacing"/>
        <w:jc w:val="both"/>
        <w:rPr>
          <w:rFonts w:ascii="Calibri" w:hAnsi="Calibri"/>
        </w:rPr>
      </w:pPr>
      <w:r w:rsidRPr="005E0232">
        <w:rPr>
          <w:rFonts w:ascii="Calibri" w:hAnsi="Calibri"/>
          <w:noProof/>
          <w:lang w:val="en-GB" w:eastAsia="en-GB"/>
        </w:rPr>
        <w:drawing>
          <wp:anchor distT="0" distB="0" distL="114300" distR="114300" simplePos="0" relativeHeight="251659264" behindDoc="0" locked="0" layoutInCell="1" allowOverlap="1">
            <wp:simplePos x="0" y="0"/>
            <wp:positionH relativeFrom="column">
              <wp:posOffset>-46355</wp:posOffset>
            </wp:positionH>
            <wp:positionV relativeFrom="paragraph">
              <wp:posOffset>-276225</wp:posOffset>
            </wp:positionV>
            <wp:extent cx="1239520" cy="103314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39520" cy="1033145"/>
                    </a:xfrm>
                    <a:prstGeom prst="rect">
                      <a:avLst/>
                    </a:prstGeom>
                    <a:noFill/>
                    <a:ln w="9525">
                      <a:noFill/>
                      <a:miter lim="800000"/>
                      <a:headEnd/>
                      <a:tailEnd/>
                    </a:ln>
                  </pic:spPr>
                </pic:pic>
              </a:graphicData>
            </a:graphic>
          </wp:anchor>
        </w:drawing>
      </w:r>
      <w:r w:rsidRPr="005E0232">
        <w:rPr>
          <w:rFonts w:ascii="Calibri" w:hAnsi="Calibri"/>
        </w:rPr>
        <w:t xml:space="preserve">UK Cross Government Prosperity Fund </w:t>
      </w:r>
    </w:p>
    <w:p w:rsidR="005E0232" w:rsidRPr="005E0232" w:rsidRDefault="005E0232" w:rsidP="005E0232">
      <w:pPr>
        <w:pStyle w:val="NoSpacing"/>
        <w:jc w:val="both"/>
        <w:rPr>
          <w:rFonts w:ascii="Calibri" w:hAnsi="Calibri"/>
          <w:b/>
        </w:rPr>
      </w:pPr>
      <w:r w:rsidRPr="005E0232">
        <w:rPr>
          <w:rFonts w:ascii="Calibri" w:hAnsi="Calibri"/>
          <w:b/>
        </w:rPr>
        <w:t xml:space="preserve">South East Asia Economic Reform Programme </w:t>
      </w:r>
    </w:p>
    <w:p w:rsidR="005E0232" w:rsidRPr="005E0232" w:rsidRDefault="005E0232" w:rsidP="005E0232">
      <w:pPr>
        <w:pStyle w:val="NoSpacing"/>
        <w:jc w:val="both"/>
        <w:rPr>
          <w:rFonts w:ascii="Calibri" w:hAnsi="Calibri"/>
          <w:sz w:val="36"/>
          <w:u w:val="single"/>
        </w:rPr>
      </w:pPr>
      <w:r w:rsidRPr="005E0232">
        <w:rPr>
          <w:rFonts w:ascii="Calibri" w:hAnsi="Calibri"/>
          <w:sz w:val="36"/>
          <w:u w:val="single"/>
        </w:rPr>
        <w:t>OVERVIEW</w:t>
      </w:r>
    </w:p>
    <w:p w:rsidR="005E0232" w:rsidRDefault="005E0232" w:rsidP="005E0232">
      <w:pPr>
        <w:pStyle w:val="NoSpacing"/>
        <w:jc w:val="both"/>
        <w:rPr>
          <w:rFonts w:asciiTheme="majorHAnsi" w:hAnsiTheme="majorHAnsi" w:cs="Arial"/>
        </w:rPr>
      </w:pPr>
    </w:p>
    <w:p w:rsidR="005E0232" w:rsidRDefault="005E0232" w:rsidP="005E0232">
      <w:pPr>
        <w:pStyle w:val="NoSpacing"/>
        <w:jc w:val="both"/>
        <w:rPr>
          <w:rFonts w:ascii="Arial" w:hAnsi="Arial" w:cs="Arial"/>
          <w:sz w:val="22"/>
        </w:rPr>
      </w:pPr>
    </w:p>
    <w:p w:rsidR="005E0232" w:rsidRPr="005E0232" w:rsidRDefault="005E0232" w:rsidP="005E0232">
      <w:pPr>
        <w:pStyle w:val="NoSpacing"/>
        <w:jc w:val="both"/>
        <w:rPr>
          <w:rFonts w:ascii="Arial" w:hAnsi="Arial" w:cs="Arial"/>
          <w:sz w:val="22"/>
        </w:rPr>
      </w:pPr>
      <w:r w:rsidRPr="005E0232">
        <w:rPr>
          <w:rFonts w:ascii="Arial" w:hAnsi="Arial" w:cs="Arial"/>
          <w:sz w:val="22"/>
        </w:rPr>
        <w:t xml:space="preserve">The SEA Economic Reform Programme is being developed under the Prosperity Fund ODA allocation and is designed to improve the business environment and the provision of financial services in South East Asia (SEA). </w:t>
      </w:r>
    </w:p>
    <w:p w:rsidR="005E0232" w:rsidRPr="005E0232" w:rsidRDefault="005E0232" w:rsidP="005E0232">
      <w:pPr>
        <w:pStyle w:val="NoSpacing"/>
        <w:jc w:val="both"/>
        <w:rPr>
          <w:rFonts w:ascii="Arial" w:hAnsi="Arial" w:cs="Arial"/>
          <w:sz w:val="22"/>
        </w:rPr>
      </w:pPr>
    </w:p>
    <w:p w:rsidR="005E0232" w:rsidRDefault="005E0232" w:rsidP="005E0232">
      <w:pPr>
        <w:pStyle w:val="NoSpacing"/>
        <w:jc w:val="both"/>
        <w:rPr>
          <w:rFonts w:ascii="Arial" w:hAnsi="Arial" w:cs="Arial"/>
          <w:sz w:val="22"/>
        </w:rPr>
      </w:pPr>
      <w:r w:rsidRPr="005E0232">
        <w:rPr>
          <w:rFonts w:ascii="Arial" w:hAnsi="Arial" w:cs="Arial"/>
          <w:sz w:val="22"/>
        </w:rPr>
        <w:t>There are two main parts of the Programme that will be procured – Intellectual Property (IP) and Financial Services. The indicative areas on each are:</w:t>
      </w:r>
    </w:p>
    <w:p w:rsidR="005E0232" w:rsidRPr="005E0232" w:rsidRDefault="005E0232" w:rsidP="005E0232">
      <w:pPr>
        <w:pStyle w:val="NoSpacing"/>
        <w:jc w:val="both"/>
        <w:rPr>
          <w:rFonts w:ascii="Arial" w:hAnsi="Arial" w:cs="Arial"/>
          <w:sz w:val="10"/>
          <w:szCs w:val="10"/>
        </w:rPr>
      </w:pPr>
    </w:p>
    <w:tbl>
      <w:tblPr>
        <w:tblStyle w:val="TableGrid"/>
        <w:tblW w:w="0" w:type="auto"/>
        <w:jc w:val="center"/>
        <w:tblInd w:w="-436" w:type="dxa"/>
        <w:tblLook w:val="04A0"/>
      </w:tblPr>
      <w:tblGrid>
        <w:gridCol w:w="5015"/>
        <w:gridCol w:w="5015"/>
      </w:tblGrid>
      <w:tr w:rsidR="005E0232" w:rsidRPr="005E0232" w:rsidTr="005E0232">
        <w:trPr>
          <w:trHeight w:val="342"/>
          <w:jc w:val="center"/>
        </w:trPr>
        <w:tc>
          <w:tcPr>
            <w:tcW w:w="5015" w:type="dxa"/>
            <w:vAlign w:val="center"/>
          </w:tcPr>
          <w:p w:rsidR="005E0232" w:rsidRPr="005E0232" w:rsidRDefault="005E0232" w:rsidP="005E0232">
            <w:pPr>
              <w:pStyle w:val="NoSpacing"/>
              <w:jc w:val="center"/>
              <w:rPr>
                <w:rFonts w:ascii="Arial" w:hAnsi="Arial" w:cs="Arial"/>
                <w:b/>
                <w:sz w:val="22"/>
              </w:rPr>
            </w:pPr>
            <w:r w:rsidRPr="005E0232">
              <w:rPr>
                <w:rFonts w:ascii="Arial" w:hAnsi="Arial" w:cs="Arial"/>
                <w:b/>
                <w:sz w:val="22"/>
              </w:rPr>
              <w:t>Intellectual Property</w:t>
            </w:r>
          </w:p>
        </w:tc>
        <w:tc>
          <w:tcPr>
            <w:tcW w:w="5015" w:type="dxa"/>
            <w:vAlign w:val="center"/>
          </w:tcPr>
          <w:p w:rsidR="005E0232" w:rsidRPr="005E0232" w:rsidRDefault="005E0232" w:rsidP="005E0232">
            <w:pPr>
              <w:pStyle w:val="NoSpacing"/>
              <w:jc w:val="center"/>
              <w:rPr>
                <w:rFonts w:ascii="Arial" w:hAnsi="Arial" w:cs="Arial"/>
                <w:b/>
                <w:sz w:val="22"/>
              </w:rPr>
            </w:pPr>
            <w:r w:rsidRPr="005E0232">
              <w:rPr>
                <w:rFonts w:ascii="Arial" w:hAnsi="Arial" w:cs="Arial"/>
                <w:b/>
                <w:sz w:val="22"/>
              </w:rPr>
              <w:t>Financial Services</w:t>
            </w:r>
          </w:p>
        </w:tc>
      </w:tr>
      <w:tr w:rsidR="005E0232" w:rsidRPr="005E0232" w:rsidTr="005E0232">
        <w:trPr>
          <w:jc w:val="center"/>
        </w:trPr>
        <w:tc>
          <w:tcPr>
            <w:tcW w:w="5015" w:type="dxa"/>
          </w:tcPr>
          <w:p w:rsidR="005E0232" w:rsidRPr="005E0232" w:rsidRDefault="005E0232" w:rsidP="005E0232">
            <w:pPr>
              <w:pStyle w:val="NoSpacing"/>
              <w:numPr>
                <w:ilvl w:val="0"/>
                <w:numId w:val="1"/>
              </w:numPr>
              <w:ind w:left="383"/>
              <w:jc w:val="both"/>
              <w:rPr>
                <w:rFonts w:ascii="Arial" w:hAnsi="Arial" w:cs="Arial"/>
                <w:i/>
                <w:sz w:val="22"/>
              </w:rPr>
            </w:pPr>
            <w:r w:rsidRPr="005E0232">
              <w:rPr>
                <w:rFonts w:ascii="Arial" w:hAnsi="Arial" w:cs="Arial"/>
                <w:i/>
                <w:sz w:val="22"/>
              </w:rPr>
              <w:t xml:space="preserve">Enforcement </w:t>
            </w:r>
          </w:p>
          <w:p w:rsidR="005E0232" w:rsidRPr="005E0232" w:rsidRDefault="005E0232" w:rsidP="005E0232">
            <w:pPr>
              <w:pStyle w:val="NoSpacing"/>
              <w:numPr>
                <w:ilvl w:val="0"/>
                <w:numId w:val="2"/>
              </w:numPr>
              <w:jc w:val="both"/>
              <w:rPr>
                <w:rFonts w:ascii="Arial" w:hAnsi="Arial" w:cs="Arial"/>
                <w:i/>
                <w:sz w:val="22"/>
              </w:rPr>
            </w:pPr>
            <w:r w:rsidRPr="005E0232">
              <w:rPr>
                <w:rFonts w:ascii="Arial" w:hAnsi="Arial" w:cs="Arial"/>
                <w:sz w:val="22"/>
              </w:rPr>
              <w:t>Enhancing institutional linkages between UK and four SEA countries namely Burma, Indonesia, the Philippines and Vietnam</w:t>
            </w:r>
          </w:p>
          <w:p w:rsidR="005E0232" w:rsidRPr="005E0232" w:rsidRDefault="005E0232" w:rsidP="005E0232">
            <w:pPr>
              <w:pStyle w:val="NoSpacing"/>
              <w:numPr>
                <w:ilvl w:val="0"/>
                <w:numId w:val="1"/>
              </w:numPr>
              <w:ind w:left="383"/>
              <w:jc w:val="both"/>
              <w:rPr>
                <w:rFonts w:ascii="Arial" w:hAnsi="Arial" w:cs="Arial"/>
                <w:i/>
                <w:sz w:val="22"/>
              </w:rPr>
            </w:pPr>
            <w:r w:rsidRPr="005E0232">
              <w:rPr>
                <w:rFonts w:ascii="Arial" w:hAnsi="Arial" w:cs="Arial"/>
                <w:i/>
                <w:sz w:val="22"/>
              </w:rPr>
              <w:t>Non-enforcement</w:t>
            </w:r>
            <w:r w:rsidRPr="005E0232">
              <w:rPr>
                <w:rFonts w:ascii="Arial" w:hAnsi="Arial" w:cs="Arial"/>
                <w:sz w:val="22"/>
              </w:rPr>
              <w:t xml:space="preserve"> </w:t>
            </w:r>
          </w:p>
          <w:p w:rsidR="005E0232" w:rsidRPr="005E0232" w:rsidRDefault="005E0232" w:rsidP="005E0232">
            <w:pPr>
              <w:pStyle w:val="NoSpacing"/>
              <w:numPr>
                <w:ilvl w:val="0"/>
                <w:numId w:val="2"/>
              </w:numPr>
              <w:jc w:val="both"/>
              <w:rPr>
                <w:rFonts w:ascii="Arial" w:hAnsi="Arial" w:cs="Arial"/>
                <w:i/>
                <w:sz w:val="22"/>
              </w:rPr>
            </w:pPr>
            <w:r w:rsidRPr="005E0232">
              <w:rPr>
                <w:rFonts w:ascii="Arial" w:hAnsi="Arial" w:cs="Arial"/>
                <w:sz w:val="22"/>
              </w:rPr>
              <w:t>Educating and enabling stakeholders to understand, manage and protect IP regional innovation by providing access to tools and resources.</w:t>
            </w:r>
          </w:p>
        </w:tc>
        <w:tc>
          <w:tcPr>
            <w:tcW w:w="5015" w:type="dxa"/>
          </w:tcPr>
          <w:p w:rsidR="005E0232" w:rsidRPr="005E0232" w:rsidRDefault="005E0232" w:rsidP="005E0232">
            <w:pPr>
              <w:pStyle w:val="NoSpacing"/>
              <w:numPr>
                <w:ilvl w:val="0"/>
                <w:numId w:val="1"/>
              </w:numPr>
              <w:ind w:left="383"/>
              <w:jc w:val="both"/>
              <w:rPr>
                <w:rFonts w:ascii="Arial" w:hAnsi="Arial" w:cs="Arial"/>
                <w:sz w:val="22"/>
              </w:rPr>
            </w:pPr>
            <w:r w:rsidRPr="005E0232">
              <w:rPr>
                <w:rFonts w:ascii="Arial" w:hAnsi="Arial" w:cs="Arial"/>
                <w:i/>
                <w:sz w:val="22"/>
              </w:rPr>
              <w:t>Capital Market Development</w:t>
            </w:r>
          </w:p>
          <w:p w:rsidR="005E0232" w:rsidRPr="005E0232" w:rsidRDefault="005E0232" w:rsidP="005E0232">
            <w:pPr>
              <w:pStyle w:val="NoSpacing"/>
              <w:numPr>
                <w:ilvl w:val="0"/>
                <w:numId w:val="2"/>
              </w:numPr>
              <w:jc w:val="both"/>
              <w:rPr>
                <w:rFonts w:ascii="Arial" w:hAnsi="Arial" w:cs="Arial"/>
                <w:sz w:val="22"/>
              </w:rPr>
            </w:pPr>
            <w:r w:rsidRPr="005E0232">
              <w:rPr>
                <w:rFonts w:ascii="Arial" w:hAnsi="Arial" w:cs="Arial"/>
                <w:sz w:val="22"/>
              </w:rPr>
              <w:t>Supporting</w:t>
            </w:r>
            <w:r w:rsidRPr="005E0232">
              <w:rPr>
                <w:rFonts w:ascii="Arial" w:hAnsi="Arial" w:cs="Arial"/>
                <w:sz w:val="22"/>
                <w:lang w:val="en-GB"/>
              </w:rPr>
              <w:t xml:space="preserve"> development of a well-functioning corporate bond market in Vietnam;</w:t>
            </w:r>
          </w:p>
          <w:p w:rsidR="005E0232" w:rsidRPr="005E0232" w:rsidRDefault="005E0232" w:rsidP="005E0232">
            <w:pPr>
              <w:pStyle w:val="NoSpacing"/>
              <w:numPr>
                <w:ilvl w:val="0"/>
                <w:numId w:val="2"/>
              </w:numPr>
              <w:jc w:val="both"/>
              <w:rPr>
                <w:rFonts w:ascii="Arial" w:hAnsi="Arial" w:cs="Arial"/>
                <w:sz w:val="22"/>
              </w:rPr>
            </w:pPr>
            <w:r w:rsidRPr="005E0232">
              <w:rPr>
                <w:rFonts w:ascii="Arial" w:hAnsi="Arial" w:cs="Arial"/>
                <w:sz w:val="22"/>
                <w:lang w:val="en-GB"/>
              </w:rPr>
              <w:t>Supporting capital market development, diversifying sources of funding for government and business in Burma</w:t>
            </w:r>
            <w:r w:rsidRPr="005E0232">
              <w:rPr>
                <w:rFonts w:ascii="Arial" w:hAnsi="Arial" w:cs="Arial"/>
                <w:sz w:val="22"/>
              </w:rPr>
              <w:t>;</w:t>
            </w:r>
          </w:p>
          <w:p w:rsidR="005E0232" w:rsidRPr="005E0232" w:rsidRDefault="005E0232" w:rsidP="005E0232">
            <w:pPr>
              <w:pStyle w:val="NoSpacing"/>
              <w:numPr>
                <w:ilvl w:val="0"/>
                <w:numId w:val="2"/>
              </w:numPr>
              <w:jc w:val="both"/>
              <w:rPr>
                <w:rFonts w:ascii="Arial" w:hAnsi="Arial" w:cs="Arial"/>
                <w:sz w:val="22"/>
              </w:rPr>
            </w:pPr>
            <w:r w:rsidRPr="005E0232">
              <w:rPr>
                <w:rFonts w:ascii="Arial" w:hAnsi="Arial" w:cs="Arial"/>
                <w:sz w:val="22"/>
              </w:rPr>
              <w:t>Promoting the deepening and broadening of Islamic capital markets through the simplification of processes and standardisation of frameworks in Malaysia and Indonesia (TBC).</w:t>
            </w:r>
          </w:p>
          <w:p w:rsidR="005E0232" w:rsidRPr="005E0232" w:rsidRDefault="005E0232" w:rsidP="005E0232">
            <w:pPr>
              <w:pStyle w:val="NoSpacing"/>
              <w:numPr>
                <w:ilvl w:val="0"/>
                <w:numId w:val="1"/>
              </w:numPr>
              <w:ind w:left="383"/>
              <w:jc w:val="both"/>
              <w:rPr>
                <w:rFonts w:ascii="Arial" w:hAnsi="Arial" w:cs="Arial"/>
                <w:sz w:val="22"/>
              </w:rPr>
            </w:pPr>
            <w:r w:rsidRPr="005E0232">
              <w:rPr>
                <w:rFonts w:ascii="Arial" w:hAnsi="Arial" w:cs="Arial"/>
                <w:i/>
                <w:sz w:val="22"/>
              </w:rPr>
              <w:t>FinTech Regulatory Development</w:t>
            </w:r>
          </w:p>
          <w:p w:rsidR="005E0232" w:rsidRPr="005E0232" w:rsidRDefault="005E0232" w:rsidP="005E0232">
            <w:pPr>
              <w:pStyle w:val="NoSpacing"/>
              <w:numPr>
                <w:ilvl w:val="0"/>
                <w:numId w:val="5"/>
              </w:numPr>
              <w:jc w:val="both"/>
              <w:rPr>
                <w:rFonts w:ascii="Arial" w:hAnsi="Arial" w:cs="Arial"/>
                <w:sz w:val="22"/>
              </w:rPr>
            </w:pPr>
            <w:r w:rsidRPr="005E0232">
              <w:rPr>
                <w:rFonts w:ascii="Arial" w:hAnsi="Arial" w:cs="Arial"/>
                <w:sz w:val="22"/>
              </w:rPr>
              <w:t>Supporting SE Asian governments develop the regulatory environment for FinTech and further encourage industry development in priority countries namely Burma, Malaysia, Thailand, the Philippines, Vietnam and possibly Indonesia.</w:t>
            </w:r>
          </w:p>
          <w:p w:rsidR="005E0232" w:rsidRPr="005E0232" w:rsidRDefault="005E0232" w:rsidP="005E0232">
            <w:pPr>
              <w:pStyle w:val="NoSpacing"/>
              <w:numPr>
                <w:ilvl w:val="0"/>
                <w:numId w:val="1"/>
              </w:numPr>
              <w:ind w:left="383"/>
              <w:jc w:val="both"/>
              <w:rPr>
                <w:rFonts w:ascii="Arial" w:hAnsi="Arial" w:cs="Arial"/>
                <w:sz w:val="22"/>
              </w:rPr>
            </w:pPr>
            <w:r w:rsidRPr="005E0232">
              <w:rPr>
                <w:rFonts w:ascii="Arial" w:hAnsi="Arial" w:cs="Arial"/>
                <w:i/>
                <w:sz w:val="22"/>
              </w:rPr>
              <w:t xml:space="preserve">Accounting Standards Development </w:t>
            </w:r>
          </w:p>
          <w:p w:rsidR="005E0232" w:rsidRPr="005E0232" w:rsidRDefault="005E0232" w:rsidP="005E0232">
            <w:pPr>
              <w:pStyle w:val="NoSpacing"/>
              <w:numPr>
                <w:ilvl w:val="0"/>
                <w:numId w:val="4"/>
              </w:numPr>
              <w:jc w:val="both"/>
              <w:rPr>
                <w:rFonts w:ascii="Arial" w:hAnsi="Arial" w:cs="Arial"/>
                <w:sz w:val="22"/>
              </w:rPr>
            </w:pPr>
            <w:r w:rsidRPr="005E0232">
              <w:rPr>
                <w:rFonts w:ascii="Arial" w:hAnsi="Arial" w:cs="Arial"/>
                <w:sz w:val="22"/>
              </w:rPr>
              <w:t>Assisting Indonesia, Malaysia, the Philippines, Thailand, and Vietnam to bring accounting standards in line with international commitments and best practice.</w:t>
            </w:r>
          </w:p>
          <w:p w:rsidR="005E0232" w:rsidRPr="005E0232" w:rsidRDefault="005E0232" w:rsidP="005E0232">
            <w:pPr>
              <w:pStyle w:val="NoSpacing"/>
              <w:numPr>
                <w:ilvl w:val="0"/>
                <w:numId w:val="1"/>
              </w:numPr>
              <w:ind w:left="383"/>
              <w:jc w:val="both"/>
              <w:rPr>
                <w:rFonts w:ascii="Arial" w:hAnsi="Arial" w:cs="Arial"/>
                <w:sz w:val="22"/>
              </w:rPr>
            </w:pPr>
            <w:r w:rsidRPr="005E0232">
              <w:rPr>
                <w:rFonts w:ascii="Arial" w:hAnsi="Arial" w:cs="Arial"/>
                <w:i/>
                <w:sz w:val="22"/>
              </w:rPr>
              <w:t>Financial Crime and Anti-Money Laundering</w:t>
            </w:r>
            <w:r w:rsidRPr="005E0232">
              <w:rPr>
                <w:rFonts w:ascii="Arial" w:hAnsi="Arial" w:cs="Arial"/>
                <w:sz w:val="22"/>
              </w:rPr>
              <w:t xml:space="preserve"> (may be included)</w:t>
            </w:r>
          </w:p>
          <w:p w:rsidR="005E0232" w:rsidRPr="005E0232" w:rsidRDefault="005E0232" w:rsidP="005E0232">
            <w:pPr>
              <w:pStyle w:val="NoSpacing"/>
              <w:numPr>
                <w:ilvl w:val="0"/>
                <w:numId w:val="3"/>
              </w:numPr>
              <w:jc w:val="both"/>
              <w:rPr>
                <w:rFonts w:ascii="Arial" w:hAnsi="Arial" w:cs="Arial"/>
                <w:sz w:val="22"/>
              </w:rPr>
            </w:pPr>
            <w:r w:rsidRPr="005E0232">
              <w:rPr>
                <w:rFonts w:ascii="Arial" w:hAnsi="Arial" w:cs="Arial"/>
                <w:sz w:val="22"/>
              </w:rPr>
              <w:t>Helping the governments of Burma and Thailand to build capacity through knowledge exchange.</w:t>
            </w:r>
          </w:p>
        </w:tc>
      </w:tr>
    </w:tbl>
    <w:p w:rsidR="005E0232" w:rsidRPr="005E0232" w:rsidRDefault="005E0232" w:rsidP="005E0232">
      <w:pPr>
        <w:pStyle w:val="NoSpacing"/>
        <w:jc w:val="both"/>
        <w:rPr>
          <w:rFonts w:ascii="Arial" w:hAnsi="Arial" w:cs="Arial"/>
          <w:sz w:val="22"/>
        </w:rPr>
      </w:pPr>
    </w:p>
    <w:p w:rsidR="005E0232" w:rsidRPr="005E0232" w:rsidRDefault="005E0232" w:rsidP="005E0232">
      <w:pPr>
        <w:pStyle w:val="NoSpacing"/>
        <w:jc w:val="both"/>
        <w:rPr>
          <w:rFonts w:ascii="Arial" w:hAnsi="Arial" w:cs="Arial"/>
          <w:sz w:val="22"/>
        </w:rPr>
      </w:pPr>
      <w:r w:rsidRPr="005E0232">
        <w:rPr>
          <w:rFonts w:ascii="Arial" w:hAnsi="Arial" w:cs="Arial"/>
          <w:sz w:val="22"/>
        </w:rPr>
        <w:t>The Programme will run to the end of March 2021</w:t>
      </w:r>
      <w:r>
        <w:rPr>
          <w:rFonts w:ascii="Arial" w:hAnsi="Arial" w:cs="Arial"/>
          <w:sz w:val="22"/>
        </w:rPr>
        <w:t xml:space="preserve"> with a possibility of extension </w:t>
      </w:r>
      <w:r w:rsidRPr="005E0232">
        <w:rPr>
          <w:rFonts w:ascii="Arial" w:hAnsi="Arial" w:cs="Arial"/>
          <w:sz w:val="22"/>
        </w:rPr>
        <w:t>and covers six countries in SEA including Burma, Indonesia, Malaysia, Philippines, Thailand, and Vietnam.</w:t>
      </w:r>
      <w:r>
        <w:rPr>
          <w:rFonts w:ascii="Arial" w:hAnsi="Arial" w:cs="Arial"/>
          <w:sz w:val="22"/>
        </w:rPr>
        <w:t xml:space="preserve"> </w:t>
      </w:r>
      <w:r w:rsidRPr="005E0232">
        <w:rPr>
          <w:rFonts w:ascii="Arial" w:hAnsi="Arial" w:cs="Arial"/>
          <w:sz w:val="22"/>
        </w:rPr>
        <w:t xml:space="preserve">The Programme will be procured through the Prosperity Framework Agreement. </w:t>
      </w:r>
    </w:p>
    <w:p w:rsidR="005E0232" w:rsidRDefault="005E0232" w:rsidP="005E0232">
      <w:pPr>
        <w:pStyle w:val="NoSpacing"/>
        <w:jc w:val="both"/>
        <w:rPr>
          <w:rFonts w:ascii="Arial" w:hAnsi="Arial" w:cs="Arial"/>
          <w:sz w:val="22"/>
        </w:rPr>
      </w:pPr>
    </w:p>
    <w:p w:rsidR="005E0232" w:rsidRDefault="005E0232" w:rsidP="005E0232">
      <w:pPr>
        <w:pStyle w:val="NoSpacing"/>
        <w:jc w:val="both"/>
        <w:rPr>
          <w:rFonts w:ascii="Arial" w:hAnsi="Arial" w:cs="Arial"/>
          <w:sz w:val="22"/>
        </w:rPr>
      </w:pPr>
    </w:p>
    <w:p w:rsidR="005E0232" w:rsidRPr="005E0232" w:rsidRDefault="005E0232" w:rsidP="005E0232">
      <w:pPr>
        <w:pStyle w:val="NoSpacing"/>
        <w:jc w:val="both"/>
        <w:rPr>
          <w:rFonts w:ascii="Arial" w:hAnsi="Arial" w:cs="Arial"/>
          <w:sz w:val="22"/>
        </w:rPr>
      </w:pPr>
    </w:p>
    <w:p w:rsidR="005E0232" w:rsidRPr="005E0232" w:rsidRDefault="005E0232" w:rsidP="005E0232">
      <w:pPr>
        <w:pStyle w:val="NoSpacing"/>
        <w:jc w:val="both"/>
        <w:rPr>
          <w:rFonts w:ascii="Arial" w:hAnsi="Arial" w:cs="Arial"/>
          <w:sz w:val="22"/>
        </w:rPr>
      </w:pPr>
      <w:r w:rsidRPr="005E0232">
        <w:rPr>
          <w:rFonts w:ascii="Arial" w:hAnsi="Arial" w:cs="Arial"/>
          <w:sz w:val="22"/>
        </w:rPr>
        <w:t>South East Asia Prosperity Fund Programme Team</w:t>
      </w:r>
    </w:p>
    <w:p w:rsidR="005E0232" w:rsidRPr="005E0232" w:rsidRDefault="005E0232" w:rsidP="005E0232">
      <w:pPr>
        <w:pStyle w:val="NoSpacing"/>
        <w:jc w:val="both"/>
        <w:rPr>
          <w:rFonts w:ascii="Arial" w:hAnsi="Arial" w:cs="Arial"/>
          <w:b/>
          <w:sz w:val="22"/>
        </w:rPr>
      </w:pPr>
      <w:r w:rsidRPr="005E0232">
        <w:rPr>
          <w:rFonts w:ascii="Arial" w:hAnsi="Arial" w:cs="Arial"/>
          <w:b/>
          <w:sz w:val="22"/>
        </w:rPr>
        <w:t xml:space="preserve">British High Commission Singapore </w:t>
      </w:r>
    </w:p>
    <w:p w:rsidR="00F141CB" w:rsidRPr="005E0232" w:rsidRDefault="005E0232" w:rsidP="005E0232">
      <w:pPr>
        <w:pStyle w:val="NoSpacing"/>
        <w:jc w:val="both"/>
        <w:rPr>
          <w:rFonts w:ascii="Arial" w:hAnsi="Arial" w:cs="Arial"/>
          <w:sz w:val="22"/>
        </w:rPr>
      </w:pPr>
      <w:r w:rsidRPr="005E0232">
        <w:rPr>
          <w:rFonts w:ascii="Arial" w:hAnsi="Arial" w:cs="Arial"/>
          <w:sz w:val="22"/>
        </w:rPr>
        <w:t>100 Tanglin Road, Singapore 247919</w:t>
      </w:r>
    </w:p>
    <w:sectPr w:rsidR="00F141CB" w:rsidRPr="005E0232" w:rsidSect="005E023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232" w:rsidRDefault="005E0232" w:rsidP="005E0232">
      <w:r>
        <w:separator/>
      </w:r>
    </w:p>
  </w:endnote>
  <w:endnote w:type="continuationSeparator" w:id="0">
    <w:p w:rsidR="005E0232" w:rsidRDefault="005E0232" w:rsidP="005E023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32" w:rsidRDefault="005E0232">
    <w:pPr>
      <w:pStyle w:val="Footer"/>
    </w:pPr>
  </w:p>
  <w:p w:rsidR="005E0232" w:rsidRPr="005E0232" w:rsidRDefault="005E0232" w:rsidP="005E0232">
    <w:pPr>
      <w:pStyle w:val="Footer"/>
      <w:spacing w:before="120"/>
      <w:jc w:val="right"/>
      <w:rPr>
        <w:rFonts w:ascii="Arial" w:hAnsi="Arial" w:cs="Arial"/>
        <w:sz w:val="12"/>
      </w:rPr>
    </w:pPr>
    <w:fldSimple w:instr=" FILENAME \p \* MERGEFORMAT ">
      <w:r>
        <w:rPr>
          <w:rFonts w:ascii="Arial" w:hAnsi="Arial" w:cs="Arial"/>
          <w:noProof/>
          <w:sz w:val="12"/>
        </w:rPr>
        <w:t>Document3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32" w:rsidRDefault="005E0232">
    <w:pPr>
      <w:pStyle w:val="Footer"/>
    </w:pPr>
  </w:p>
  <w:p w:rsidR="005E0232" w:rsidRPr="005E0232" w:rsidRDefault="005E0232" w:rsidP="005E0232">
    <w:pPr>
      <w:pStyle w:val="Footer"/>
      <w:spacing w:before="120"/>
      <w:jc w:val="right"/>
      <w:rPr>
        <w:rFonts w:ascii="Arial" w:hAnsi="Arial" w:cs="Arial"/>
        <w:sz w:val="12"/>
      </w:rPr>
    </w:pPr>
    <w:fldSimple w:instr=" FILENAME \p \* MERGEFORMAT ">
      <w:r>
        <w:rPr>
          <w:rFonts w:ascii="Arial" w:hAnsi="Arial" w:cs="Arial"/>
          <w:noProof/>
          <w:sz w:val="12"/>
        </w:rPr>
        <w:t>Document3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32" w:rsidRDefault="005E0232">
    <w:pPr>
      <w:pStyle w:val="Footer"/>
    </w:pPr>
  </w:p>
  <w:p w:rsidR="005E0232" w:rsidRPr="005E0232" w:rsidRDefault="005E0232" w:rsidP="005E0232">
    <w:pPr>
      <w:pStyle w:val="Footer"/>
      <w:spacing w:before="120"/>
      <w:jc w:val="right"/>
      <w:rPr>
        <w:rFonts w:ascii="Arial" w:hAnsi="Arial" w:cs="Arial"/>
        <w:sz w:val="12"/>
      </w:rPr>
    </w:pPr>
    <w:fldSimple w:instr=" FILENAME \p \* MERGEFORMAT ">
      <w:r>
        <w:rPr>
          <w:rFonts w:ascii="Arial" w:hAnsi="Arial" w:cs="Arial"/>
          <w:noProof/>
          <w:sz w:val="12"/>
        </w:rPr>
        <w:t>Document3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232" w:rsidRDefault="005E0232" w:rsidP="005E0232">
      <w:r>
        <w:separator/>
      </w:r>
    </w:p>
  </w:footnote>
  <w:footnote w:type="continuationSeparator" w:id="0">
    <w:p w:rsidR="005E0232" w:rsidRDefault="005E0232" w:rsidP="005E0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32" w:rsidRDefault="005E02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32" w:rsidRDefault="005E02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32" w:rsidRDefault="005E02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F0409"/>
    <w:multiLevelType w:val="hybridMultilevel"/>
    <w:tmpl w:val="16DA2DBE"/>
    <w:lvl w:ilvl="0" w:tplc="771AB4EC">
      <w:start w:val="1"/>
      <w:numFmt w:val="bullet"/>
      <w:lvlText w:val="o"/>
      <w:lvlJc w:val="left"/>
      <w:pPr>
        <w:ind w:left="1103" w:hanging="360"/>
      </w:pPr>
      <w:rPr>
        <w:rFonts w:ascii="Courier New" w:hAnsi="Courier New"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
    <w:nsid w:val="18DB468D"/>
    <w:multiLevelType w:val="hybridMultilevel"/>
    <w:tmpl w:val="D32E025C"/>
    <w:lvl w:ilvl="0" w:tplc="771AB4EC">
      <w:start w:val="1"/>
      <w:numFmt w:val="bullet"/>
      <w:lvlText w:val="o"/>
      <w:lvlJc w:val="left"/>
      <w:pPr>
        <w:ind w:left="1103" w:hanging="360"/>
      </w:pPr>
      <w:rPr>
        <w:rFonts w:ascii="Courier New" w:hAnsi="Courier New"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2">
    <w:nsid w:val="3D302686"/>
    <w:multiLevelType w:val="hybridMultilevel"/>
    <w:tmpl w:val="4DD69480"/>
    <w:lvl w:ilvl="0" w:tplc="771AB4EC">
      <w:start w:val="1"/>
      <w:numFmt w:val="bullet"/>
      <w:lvlText w:val="o"/>
      <w:lvlJc w:val="left"/>
      <w:pPr>
        <w:ind w:left="1103" w:hanging="360"/>
      </w:pPr>
      <w:rPr>
        <w:rFonts w:ascii="Courier New" w:hAnsi="Courier New"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3">
    <w:nsid w:val="48C44623"/>
    <w:multiLevelType w:val="hybridMultilevel"/>
    <w:tmpl w:val="FDD43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20600D"/>
    <w:multiLevelType w:val="hybridMultilevel"/>
    <w:tmpl w:val="3D3EE19C"/>
    <w:lvl w:ilvl="0" w:tplc="771AB4EC">
      <w:start w:val="1"/>
      <w:numFmt w:val="bullet"/>
      <w:lvlText w:val="o"/>
      <w:lvlJc w:val="left"/>
      <w:pPr>
        <w:ind w:left="1103" w:hanging="360"/>
      </w:pPr>
      <w:rPr>
        <w:rFonts w:ascii="Courier New" w:hAnsi="Courier New"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5E0232"/>
    <w:rsid w:val="00302A40"/>
    <w:rsid w:val="003850AC"/>
    <w:rsid w:val="0048155F"/>
    <w:rsid w:val="004B57BE"/>
    <w:rsid w:val="00585072"/>
    <w:rsid w:val="005E0232"/>
    <w:rsid w:val="00632013"/>
    <w:rsid w:val="0063727F"/>
    <w:rsid w:val="006725AD"/>
    <w:rsid w:val="006B63DF"/>
    <w:rsid w:val="00707DBC"/>
    <w:rsid w:val="00834AB2"/>
    <w:rsid w:val="008E2993"/>
    <w:rsid w:val="00A40F0A"/>
    <w:rsid w:val="00AB53F8"/>
    <w:rsid w:val="00C42B38"/>
    <w:rsid w:val="00CB3815"/>
    <w:rsid w:val="00D50A87"/>
    <w:rsid w:val="00E05E39"/>
    <w:rsid w:val="00E11248"/>
    <w:rsid w:val="00F141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32"/>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0232"/>
    <w:pPr>
      <w:tabs>
        <w:tab w:val="center" w:pos="4513"/>
        <w:tab w:val="right" w:pos="9026"/>
      </w:tabs>
    </w:pPr>
    <w:rPr>
      <w:rFonts w:eastAsiaTheme="minorHAnsi"/>
      <w:sz w:val="22"/>
      <w:szCs w:val="22"/>
      <w:lang w:val="en-GB"/>
    </w:rPr>
  </w:style>
  <w:style w:type="character" w:customStyle="1" w:styleId="HeaderChar">
    <w:name w:val="Header Char"/>
    <w:basedOn w:val="DefaultParagraphFont"/>
    <w:link w:val="Header"/>
    <w:uiPriority w:val="99"/>
    <w:semiHidden/>
    <w:rsid w:val="005E0232"/>
  </w:style>
  <w:style w:type="paragraph" w:styleId="Footer">
    <w:name w:val="footer"/>
    <w:basedOn w:val="Normal"/>
    <w:link w:val="FooterChar"/>
    <w:uiPriority w:val="99"/>
    <w:semiHidden/>
    <w:unhideWhenUsed/>
    <w:rsid w:val="005E0232"/>
    <w:pPr>
      <w:tabs>
        <w:tab w:val="center" w:pos="4513"/>
        <w:tab w:val="right" w:pos="9026"/>
      </w:tabs>
    </w:pPr>
    <w:rPr>
      <w:rFonts w:eastAsiaTheme="minorHAnsi"/>
      <w:sz w:val="22"/>
      <w:szCs w:val="22"/>
      <w:lang w:val="en-GB"/>
    </w:rPr>
  </w:style>
  <w:style w:type="character" w:customStyle="1" w:styleId="FooterChar">
    <w:name w:val="Footer Char"/>
    <w:basedOn w:val="DefaultParagraphFont"/>
    <w:link w:val="Footer"/>
    <w:uiPriority w:val="99"/>
    <w:semiHidden/>
    <w:rsid w:val="005E0232"/>
  </w:style>
  <w:style w:type="paragraph" w:styleId="NoSpacing">
    <w:name w:val="No Spacing"/>
    <w:uiPriority w:val="1"/>
    <w:qFormat/>
    <w:rsid w:val="005E0232"/>
    <w:pPr>
      <w:spacing w:after="0" w:line="240" w:lineRule="auto"/>
    </w:pPr>
    <w:rPr>
      <w:rFonts w:eastAsiaTheme="minorEastAsia"/>
      <w:sz w:val="24"/>
      <w:szCs w:val="24"/>
      <w:lang w:val="en-US"/>
    </w:rPr>
  </w:style>
  <w:style w:type="table" w:styleId="TableGrid">
    <w:name w:val="Table Grid"/>
    <w:basedOn w:val="TableNormal"/>
    <w:uiPriority w:val="59"/>
    <w:rsid w:val="005E0232"/>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1839</Characters>
  <Application>Microsoft Office Word</Application>
  <DocSecurity>0</DocSecurity>
  <Lines>15</Lines>
  <Paragraphs>4</Paragraphs>
  <ScaleCrop>false</ScaleCrop>
  <Company>FCO</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ER Programme Overview</dc:title>
  <dc:creator>alengracia</dc:creator>
  <cp:lastModifiedBy>alengracia</cp:lastModifiedBy>
  <cp:revision>1</cp:revision>
  <dcterms:created xsi:type="dcterms:W3CDTF">2018-02-23T15:50:00Z</dcterms:created>
  <dcterms:modified xsi:type="dcterms:W3CDTF">2018-02-23T15:55:00Z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True</vt:lpwstr>
  </property>
  <property fmtid="{D5CDD505-2E9C-101B-9397-08002B2CF9AE}" pid="13" name="Created">
    <vt:filetime>2018-02-22T16:00:00Z</vt:filetime>
  </property>
</Properties>
</file>