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0B" w:rsidRPr="003014E1" w:rsidRDefault="00EA230B" w:rsidP="003014E1">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rsidR="00EA230B" w:rsidRPr="003014E1" w:rsidRDefault="00EA230B" w:rsidP="003014E1">
      <w:r w:rsidRPr="003014E1">
        <w:t xml:space="preserve">  </w:t>
      </w:r>
    </w:p>
    <w:p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Pr="003014E1" w:rsidRDefault="00EA230B" w:rsidP="003014E1"/>
    <w:p w:rsidR="00EA230B" w:rsidRPr="003014E1" w:rsidRDefault="00EA230B" w:rsidP="003014E1"/>
    <w:p w:rsidR="00EA230B" w:rsidRPr="003014E1" w:rsidRDefault="00EA230B" w:rsidP="003014E1"/>
    <w:p w:rsidR="009E6862" w:rsidRPr="003014E1" w:rsidRDefault="009E6862" w:rsidP="003014E1"/>
    <w:p w:rsidR="00137F02" w:rsidRPr="003014E1" w:rsidRDefault="00D46F96" w:rsidP="003014E1">
      <w:pPr>
        <w:jc w:val="center"/>
        <w:rPr>
          <w:b/>
          <w:sz w:val="40"/>
          <w:szCs w:val="40"/>
        </w:rPr>
      </w:pPr>
      <w:r w:rsidRPr="003014E1">
        <w:rPr>
          <w:b/>
          <w:sz w:val="40"/>
          <w:szCs w:val="40"/>
        </w:rPr>
        <w:t>Invitation to Tender</w:t>
      </w:r>
    </w:p>
    <w:p w:rsidR="005D2814" w:rsidRPr="003014E1" w:rsidRDefault="005D2814" w:rsidP="003014E1">
      <w:pPr>
        <w:jc w:val="center"/>
      </w:pPr>
    </w:p>
    <w:p w:rsidR="00D768F9" w:rsidRDefault="00D25B9C" w:rsidP="003014E1">
      <w:pPr>
        <w:jc w:val="center"/>
        <w:rPr>
          <w:b/>
          <w:sz w:val="36"/>
          <w:szCs w:val="36"/>
        </w:rPr>
      </w:pPr>
      <w:r>
        <w:rPr>
          <w:b/>
          <w:sz w:val="36"/>
          <w:szCs w:val="36"/>
        </w:rPr>
        <w:t xml:space="preserve">Technical Advisory </w:t>
      </w:r>
      <w:r w:rsidR="00D768F9">
        <w:rPr>
          <w:b/>
          <w:sz w:val="36"/>
          <w:szCs w:val="36"/>
        </w:rPr>
        <w:t>Group</w:t>
      </w:r>
    </w:p>
    <w:p w:rsidR="00137F02" w:rsidRPr="003014E1" w:rsidRDefault="00D25B9C" w:rsidP="003014E1">
      <w:pPr>
        <w:jc w:val="center"/>
        <w:rPr>
          <w:b/>
          <w:sz w:val="36"/>
          <w:szCs w:val="36"/>
        </w:rPr>
      </w:pPr>
      <w:r>
        <w:rPr>
          <w:b/>
          <w:sz w:val="36"/>
          <w:szCs w:val="36"/>
        </w:rPr>
        <w:t>Framework</w:t>
      </w:r>
    </w:p>
    <w:p w:rsidR="00137F02" w:rsidRPr="003014E1" w:rsidRDefault="00137F02" w:rsidP="003014E1">
      <w:pPr>
        <w:jc w:val="center"/>
      </w:pPr>
    </w:p>
    <w:p w:rsidR="00137F02" w:rsidRPr="003014E1" w:rsidRDefault="00137786" w:rsidP="00D25B9C">
      <w:pPr>
        <w:jc w:val="cente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A576F2">
        <w:rPr>
          <w:sz w:val="32"/>
          <w:szCs w:val="32"/>
        </w:rPr>
        <w:t>0</w:t>
      </w:r>
      <w:r w:rsidR="00D25B9C">
        <w:rPr>
          <w:sz w:val="32"/>
          <w:szCs w:val="32"/>
        </w:rPr>
        <w:t>208</w:t>
      </w:r>
    </w:p>
    <w:p w:rsidR="00137F02" w:rsidRPr="003014E1" w:rsidRDefault="00137F02" w:rsidP="003014E1"/>
    <w:p w:rsidR="00137F02" w:rsidRPr="003014E1" w:rsidRDefault="00137F02" w:rsidP="003014E1"/>
    <w:p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rsidTr="008B2E0E">
        <w:tc>
          <w:tcPr>
            <w:tcW w:w="1768" w:type="pct"/>
            <w:shd w:val="clear" w:color="auto" w:fill="B8CCE4" w:themeFill="accent1" w:themeFillTint="66"/>
          </w:tcPr>
          <w:p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rsidR="00137F02" w:rsidRPr="003014E1" w:rsidRDefault="00137F02" w:rsidP="003014E1">
            <w:r w:rsidRPr="003014E1">
              <w:t>[Please complete]</w:t>
            </w:r>
          </w:p>
        </w:tc>
      </w:tr>
      <w:tr w:rsidR="00137F02" w:rsidRPr="003014E1" w:rsidTr="008B2E0E">
        <w:tc>
          <w:tcPr>
            <w:tcW w:w="1768" w:type="pct"/>
            <w:shd w:val="clear" w:color="auto" w:fill="B8CCE4" w:themeFill="accent1" w:themeFillTint="66"/>
          </w:tcPr>
          <w:p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rsidR="00137F02" w:rsidRPr="003014E1" w:rsidRDefault="00137F02" w:rsidP="003014E1"/>
        </w:tc>
      </w:tr>
      <w:tr w:rsidR="00137F02" w:rsidRPr="003014E1" w:rsidTr="008B2E0E">
        <w:tc>
          <w:tcPr>
            <w:tcW w:w="1768" w:type="pct"/>
            <w:shd w:val="clear" w:color="auto" w:fill="B8CCE4" w:themeFill="accent1" w:themeFillTint="66"/>
          </w:tcPr>
          <w:p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rsidR="00137F02" w:rsidRPr="003014E1" w:rsidRDefault="00137F02" w:rsidP="003014E1"/>
        </w:tc>
      </w:tr>
      <w:tr w:rsidR="00137F02" w:rsidRPr="003014E1" w:rsidTr="008B2E0E">
        <w:tc>
          <w:tcPr>
            <w:tcW w:w="1768" w:type="pct"/>
            <w:shd w:val="clear" w:color="auto" w:fill="B8CCE4" w:themeFill="accent1" w:themeFillTint="66"/>
          </w:tcPr>
          <w:p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rsidR="00137F02" w:rsidRPr="003014E1" w:rsidRDefault="00137F02" w:rsidP="003014E1"/>
        </w:tc>
      </w:tr>
      <w:tr w:rsidR="00EE5E08" w:rsidRPr="003014E1" w:rsidTr="008B2E0E">
        <w:tc>
          <w:tcPr>
            <w:tcW w:w="1768" w:type="pct"/>
            <w:shd w:val="clear" w:color="auto" w:fill="B8CCE4" w:themeFill="accent1" w:themeFillTint="66"/>
          </w:tcPr>
          <w:p w:rsidR="00EE5E08" w:rsidRPr="008B2E0E" w:rsidRDefault="00EE5E08" w:rsidP="003014E1">
            <w:pPr>
              <w:rPr>
                <w:b/>
              </w:rPr>
            </w:pPr>
            <w:r w:rsidRPr="008B2E0E">
              <w:rPr>
                <w:b/>
              </w:rPr>
              <w:t>Postal Address:</w:t>
            </w:r>
          </w:p>
        </w:tc>
        <w:tc>
          <w:tcPr>
            <w:tcW w:w="3232" w:type="pct"/>
            <w:shd w:val="clear" w:color="auto" w:fill="auto"/>
          </w:tcPr>
          <w:p w:rsidR="00EE5E08" w:rsidRPr="003014E1" w:rsidRDefault="00EE5E08" w:rsidP="003014E1"/>
        </w:tc>
      </w:tr>
    </w:tbl>
    <w:p w:rsidR="00137F02" w:rsidRPr="003014E1" w:rsidRDefault="00137F02" w:rsidP="003014E1"/>
    <w:p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rsidR="00137F02" w:rsidRPr="003014E1" w:rsidRDefault="003014E1" w:rsidP="003014E1">
      <w:pPr>
        <w:rPr>
          <w:b/>
          <w:sz w:val="32"/>
          <w:szCs w:val="32"/>
        </w:rPr>
      </w:pPr>
      <w:bookmarkStart w:id="0" w:name="_Toc309139678"/>
      <w:r w:rsidRPr="003014E1">
        <w:rPr>
          <w:b/>
          <w:sz w:val="32"/>
          <w:szCs w:val="32"/>
        </w:rPr>
        <w:t xml:space="preserve">1. </w:t>
      </w:r>
      <w:r w:rsidR="00137F02" w:rsidRPr="003014E1">
        <w:rPr>
          <w:b/>
          <w:sz w:val="32"/>
          <w:szCs w:val="32"/>
        </w:rPr>
        <w:t>INTRODUCTION</w:t>
      </w:r>
      <w:bookmarkEnd w:id="0"/>
    </w:p>
    <w:p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3A2707">
        <w:t>0</w:t>
      </w:r>
      <w:r w:rsidR="00D25B9C">
        <w:t>208</w:t>
      </w:r>
      <w:r w:rsidR="0083551D">
        <w:t>)</w:t>
      </w:r>
      <w:r w:rsidR="004A1BBC" w:rsidRPr="003014E1">
        <w:t>.</w:t>
      </w:r>
    </w:p>
    <w:p w:rsidR="00007621" w:rsidRDefault="00007621" w:rsidP="00BB1495"/>
    <w:p w:rsidR="00C53ED0" w:rsidRDefault="00007621" w:rsidP="00D25B9C">
      <w:pPr>
        <w:rPr>
          <w:rFonts w:cs="Arial"/>
        </w:rPr>
      </w:pPr>
      <w:r>
        <w:t xml:space="preserve">STA is looking to </w:t>
      </w:r>
      <w:r w:rsidR="0031558D">
        <w:t>procure</w:t>
      </w:r>
      <w:r>
        <w:t xml:space="preserve"> a pool of </w:t>
      </w:r>
      <w:r w:rsidR="00D25B9C">
        <w:t>i</w:t>
      </w:r>
      <w:r w:rsidR="00D25B9C" w:rsidRPr="003F7DFE">
        <w:rPr>
          <w:rFonts w:cs="Arial"/>
        </w:rPr>
        <w:t xml:space="preserve">ndependent technical experts to provide expertise and considered advice to STA, to ensure rigorous scrutiny of the technical aspects of the Test development division’s processes and procedures. </w:t>
      </w:r>
    </w:p>
    <w:p w:rsidR="00D25B9C" w:rsidRDefault="00D25B9C" w:rsidP="00D25B9C">
      <w:pPr>
        <w:rPr>
          <w:rFonts w:cs="Arial"/>
        </w:rPr>
      </w:pPr>
    </w:p>
    <w:p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rsidR="00137F02" w:rsidRPr="003014E1" w:rsidRDefault="00137F02" w:rsidP="003014E1">
      <w:r w:rsidRPr="003014E1">
        <w:t>This document:</w:t>
      </w:r>
    </w:p>
    <w:p w:rsidR="00137F02" w:rsidRPr="003014E1" w:rsidRDefault="00137F02" w:rsidP="00125DA0">
      <w:pPr>
        <w:pStyle w:val="ListParagraph"/>
        <w:numPr>
          <w:ilvl w:val="0"/>
          <w:numId w:val="6"/>
        </w:numPr>
      </w:pPr>
      <w:r w:rsidRPr="003014E1">
        <w:t>sets out the context for the required services;</w:t>
      </w:r>
    </w:p>
    <w:p w:rsidR="00137F02" w:rsidRPr="003014E1" w:rsidRDefault="00137F02" w:rsidP="00125DA0">
      <w:pPr>
        <w:pStyle w:val="ListParagraph"/>
        <w:numPr>
          <w:ilvl w:val="0"/>
          <w:numId w:val="6"/>
        </w:numPr>
      </w:pPr>
      <w:r w:rsidRPr="003014E1">
        <w:t>outlines the planned procurement process; and</w:t>
      </w:r>
    </w:p>
    <w:p w:rsidR="00137F02" w:rsidRPr="003014E1" w:rsidRDefault="00137F02" w:rsidP="00125DA0">
      <w:pPr>
        <w:pStyle w:val="ListParagraph"/>
        <w:numPr>
          <w:ilvl w:val="0"/>
          <w:numId w:val="6"/>
        </w:numPr>
      </w:pPr>
      <w:r w:rsidRPr="003014E1">
        <w:t>contains a response section to evaluate the Bidder's proposed response to STA's requirements.</w:t>
      </w:r>
    </w:p>
    <w:p w:rsidR="00252A2F" w:rsidRPr="003014E1" w:rsidRDefault="00252A2F" w:rsidP="003014E1"/>
    <w:p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rsidR="00007621" w:rsidRDefault="00007621" w:rsidP="003014E1"/>
    <w:p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w:t>
      </w:r>
      <w:r w:rsidR="003A2707">
        <w:t xml:space="preserve"> </w:t>
      </w:r>
      <w:r w:rsidRPr="003014E1">
        <w:t xml:space="preserve">Under no circumstances shall STA incur any liability in respect of this </w:t>
      </w:r>
      <w:r w:rsidR="004A1BBC" w:rsidRPr="003014E1">
        <w:t>ITT</w:t>
      </w:r>
      <w:r w:rsidRPr="003014E1">
        <w:t xml:space="preserve"> or any supporting documentation and STA will not reimburse any costs incurred by Bidders or potential Bidders in connection with preparation and/or submission of their responses.</w:t>
      </w:r>
    </w:p>
    <w:p w:rsidR="00007621" w:rsidRDefault="00007621" w:rsidP="003014E1"/>
    <w:p w:rsidR="00137F02" w:rsidRPr="003014E1" w:rsidRDefault="00137F02" w:rsidP="003014E1">
      <w:r w:rsidRPr="003014E1">
        <w:t>The information contained within this document is confidential and should not be disclosed except for purposes related to its completion.</w:t>
      </w:r>
    </w:p>
    <w:p w:rsidR="00252A2F" w:rsidRPr="003014E1" w:rsidRDefault="00252A2F" w:rsidP="003014E1"/>
    <w:p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rsidR="00137F02" w:rsidRPr="003014E1" w:rsidRDefault="00137F02" w:rsidP="003014E1">
      <w:r w:rsidRPr="003014E1">
        <w:t>STA is committed to open government and to meeting its legal responsibilities under the F</w:t>
      </w:r>
      <w:r w:rsidR="003A2707">
        <w:t xml:space="preserve">reedom of Information Act 2000. </w:t>
      </w:r>
      <w:r w:rsidRPr="003014E1">
        <w:t>All information submitted to a public authority may need to be disclosed by the public authority in response to a request under the Act</w:t>
      </w:r>
      <w:r w:rsidR="003A2707">
        <w:t xml:space="preserve">. </w:t>
      </w:r>
      <w:r w:rsidRPr="003014E1">
        <w:t xml:space="preserve">STA may also decide to include certain information in the publication scheme, which it maintains under the Act. </w:t>
      </w:r>
    </w:p>
    <w:p w:rsidR="00007621" w:rsidRDefault="00007621" w:rsidP="003014E1"/>
    <w:p w:rsidR="00137F02" w:rsidRPr="003014E1" w:rsidRDefault="00137F02" w:rsidP="003014E1">
      <w:r w:rsidRPr="003014E1">
        <w:t xml:space="preserve">STA also has a commitment to the Government's transparency initiative relating to public sector suppliers, their transactions and their contracts. </w:t>
      </w:r>
      <w:r w:rsidR="003A2707">
        <w:t xml:space="preserve"> </w:t>
      </w:r>
      <w:r w:rsidRPr="003014E1">
        <w:t>This includes:</w:t>
      </w:r>
    </w:p>
    <w:p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rsidR="00137F02" w:rsidRPr="003014E1" w:rsidRDefault="00137F02" w:rsidP="00125DA0">
      <w:pPr>
        <w:pStyle w:val="ListParagraph"/>
        <w:numPr>
          <w:ilvl w:val="0"/>
          <w:numId w:val="7"/>
        </w:numPr>
      </w:pPr>
      <w:r w:rsidRPr="003014E1">
        <w:t>publication of financial transactions relating to expenditure with third parties; and</w:t>
      </w:r>
    </w:p>
    <w:p w:rsidR="00137F02" w:rsidRDefault="00137F02" w:rsidP="00125DA0">
      <w:pPr>
        <w:pStyle w:val="ListParagraph"/>
        <w:numPr>
          <w:ilvl w:val="0"/>
          <w:numId w:val="7"/>
        </w:numPr>
      </w:pPr>
      <w:r w:rsidRPr="003014E1">
        <w:t>publication of new contracts.</w:t>
      </w:r>
    </w:p>
    <w:p w:rsidR="000D212F" w:rsidRPr="003014E1" w:rsidRDefault="000D212F" w:rsidP="003014E1"/>
    <w:p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rsidTr="00C91434">
        <w:tc>
          <w:tcPr>
            <w:tcW w:w="1488" w:type="dxa"/>
            <w:shd w:val="clear" w:color="auto" w:fill="B8CCE4" w:themeFill="accent1" w:themeFillTint="66"/>
          </w:tcPr>
          <w:p w:rsidR="00137F02" w:rsidRPr="003014E1" w:rsidRDefault="00137F02" w:rsidP="003014E1">
            <w:r w:rsidRPr="003014E1">
              <w:t>Section</w:t>
            </w:r>
          </w:p>
        </w:tc>
        <w:tc>
          <w:tcPr>
            <w:tcW w:w="4992" w:type="dxa"/>
            <w:shd w:val="clear" w:color="auto" w:fill="B8CCE4" w:themeFill="accent1" w:themeFillTint="66"/>
          </w:tcPr>
          <w:p w:rsidR="00137F02" w:rsidRPr="003014E1" w:rsidRDefault="00137F02" w:rsidP="003014E1">
            <w:r w:rsidRPr="003014E1">
              <w:t>Commercial sensitivity</w:t>
            </w:r>
          </w:p>
        </w:tc>
        <w:tc>
          <w:tcPr>
            <w:tcW w:w="2994" w:type="dxa"/>
            <w:shd w:val="clear" w:color="auto" w:fill="B8CCE4" w:themeFill="accent1" w:themeFillTint="66"/>
          </w:tcPr>
          <w:p w:rsidR="00137F02" w:rsidRPr="003014E1" w:rsidRDefault="00137F02" w:rsidP="003014E1">
            <w:r w:rsidRPr="003014E1">
              <w:t>Time period</w:t>
            </w:r>
          </w:p>
        </w:tc>
      </w:tr>
      <w:tr w:rsidR="00137F02" w:rsidRPr="003014E1" w:rsidTr="008E756B">
        <w:trPr>
          <w:trHeight w:val="70"/>
        </w:trPr>
        <w:tc>
          <w:tcPr>
            <w:tcW w:w="1488" w:type="dxa"/>
            <w:shd w:val="clear" w:color="auto" w:fill="auto"/>
          </w:tcPr>
          <w:p w:rsidR="00137F02" w:rsidRPr="003014E1" w:rsidRDefault="00137F02" w:rsidP="003014E1"/>
          <w:p w:rsidR="00137F02" w:rsidRPr="003014E1" w:rsidRDefault="00137F02" w:rsidP="003014E1"/>
        </w:tc>
        <w:tc>
          <w:tcPr>
            <w:tcW w:w="4992" w:type="dxa"/>
            <w:shd w:val="clear" w:color="auto" w:fill="auto"/>
          </w:tcPr>
          <w:p w:rsidR="00137F02" w:rsidRPr="003014E1" w:rsidRDefault="00137F02" w:rsidP="003014E1"/>
        </w:tc>
        <w:tc>
          <w:tcPr>
            <w:tcW w:w="2994" w:type="dxa"/>
            <w:shd w:val="clear" w:color="auto" w:fill="auto"/>
          </w:tcPr>
          <w:p w:rsidR="00137F02" w:rsidRPr="003014E1" w:rsidRDefault="00137F02" w:rsidP="003014E1"/>
        </w:tc>
      </w:tr>
    </w:tbl>
    <w:p w:rsidR="000D212F" w:rsidRDefault="000D212F" w:rsidP="003014E1">
      <w:bookmarkStart w:id="25" w:name="_Toc309139683"/>
    </w:p>
    <w:p w:rsidR="000D212F" w:rsidRDefault="000D212F" w:rsidP="003014E1"/>
    <w:p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rsidR="000D212F" w:rsidRDefault="000D212F" w:rsidP="003014E1">
      <w:bookmarkStart w:id="26" w:name="_Toc309139684"/>
    </w:p>
    <w:p w:rsidR="00137F02"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rsidR="00D25B9C" w:rsidRPr="003F7DFE" w:rsidRDefault="00D25B9C" w:rsidP="00D25B9C">
      <w:pPr>
        <w:rPr>
          <w:rFonts w:eastAsia="Calibri" w:cs="Arial"/>
        </w:rPr>
      </w:pPr>
      <w:r>
        <w:rPr>
          <w:rFonts w:cs="Arial"/>
        </w:rPr>
        <w:t xml:space="preserve">STA </w:t>
      </w:r>
      <w:r w:rsidR="00074D25">
        <w:rPr>
          <w:rFonts w:cs="Arial"/>
        </w:rPr>
        <w:t>will</w:t>
      </w:r>
      <w:r>
        <w:rPr>
          <w:rFonts w:cs="Arial"/>
        </w:rPr>
        <w:t xml:space="preserve"> </w:t>
      </w:r>
      <w:r w:rsidRPr="003F7DFE">
        <w:rPr>
          <w:rFonts w:cs="Arial"/>
        </w:rPr>
        <w:t xml:space="preserve">recruit </w:t>
      </w:r>
      <w:r w:rsidR="00332E75">
        <w:rPr>
          <w:rFonts w:cs="Arial"/>
        </w:rPr>
        <w:t>t</w:t>
      </w:r>
      <w:r w:rsidRPr="003F7DFE">
        <w:rPr>
          <w:rFonts w:cs="Arial"/>
        </w:rPr>
        <w:t xml:space="preserve">echnical </w:t>
      </w:r>
      <w:r w:rsidR="00332E75">
        <w:rPr>
          <w:rFonts w:cs="Arial"/>
        </w:rPr>
        <w:t>e</w:t>
      </w:r>
      <w:r w:rsidRPr="003F7DFE">
        <w:rPr>
          <w:rFonts w:cs="Arial"/>
        </w:rPr>
        <w:t>xperts specifically with knowledge and experience of Psychometric practises and methodolog</w:t>
      </w:r>
      <w:r w:rsidR="00074D25">
        <w:rPr>
          <w:rFonts w:cs="Arial"/>
        </w:rPr>
        <w:t>ie</w:t>
      </w:r>
      <w:r w:rsidRPr="003F7DFE">
        <w:rPr>
          <w:rFonts w:cs="Arial"/>
        </w:rPr>
        <w:t xml:space="preserve">s.  </w:t>
      </w:r>
    </w:p>
    <w:p w:rsidR="00D25B9C" w:rsidRDefault="00D25B9C" w:rsidP="003014E1">
      <w:pPr>
        <w:rPr>
          <w:b/>
          <w:sz w:val="28"/>
          <w:szCs w:val="28"/>
        </w:rPr>
      </w:pPr>
    </w:p>
    <w:p w:rsidR="00007621" w:rsidRDefault="00007621" w:rsidP="00007621">
      <w:bookmarkStart w:id="27" w:name="_Toc309139685"/>
    </w:p>
    <w:p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rsidR="0081015C" w:rsidRDefault="00007621" w:rsidP="00FF5BDC">
      <w:r>
        <w:t xml:space="preserve">STA </w:t>
      </w:r>
      <w:r w:rsidR="00074D25">
        <w:t>require</w:t>
      </w:r>
      <w:r>
        <w:t xml:space="preserve"> individuals with strong knowledge, expertise and </w:t>
      </w:r>
      <w:r w:rsidR="00074D25">
        <w:t xml:space="preserve">working </w:t>
      </w:r>
      <w:r>
        <w:t xml:space="preserve">experience within the field of </w:t>
      </w:r>
      <w:r w:rsidR="00D25B9C">
        <w:t xml:space="preserve">psychometric </w:t>
      </w:r>
      <w:r w:rsidR="003746E0">
        <w:t>practices</w:t>
      </w:r>
      <w:r w:rsidR="00D25B9C">
        <w:t xml:space="preserve"> within the field of education.</w:t>
      </w:r>
    </w:p>
    <w:p w:rsidR="00D25B9C" w:rsidRDefault="00D25B9C" w:rsidP="00D25B9C"/>
    <w:p w:rsidR="00D25B9C" w:rsidRPr="003F7DFE" w:rsidRDefault="00D25B9C" w:rsidP="00D25B9C">
      <w:pPr>
        <w:rPr>
          <w:rFonts w:eastAsia="Calibri" w:cs="Arial"/>
        </w:rPr>
      </w:pPr>
      <w:r w:rsidRPr="003F7DFE">
        <w:rPr>
          <w:rFonts w:cs="Arial"/>
        </w:rPr>
        <w:t xml:space="preserve">The experts will be required to provide technical feedback on a number of </w:t>
      </w:r>
      <w:r w:rsidR="00074D25">
        <w:rPr>
          <w:rFonts w:cs="Arial"/>
        </w:rPr>
        <w:t xml:space="preserve">operational </w:t>
      </w:r>
      <w:r w:rsidRPr="003F7DFE">
        <w:rPr>
          <w:rFonts w:cs="Arial"/>
        </w:rPr>
        <w:t xml:space="preserve">queries and research proposals throughout the test development cycle. </w:t>
      </w:r>
      <w:r w:rsidRPr="003F7DFE">
        <w:rPr>
          <w:rFonts w:eastAsia="Calibri" w:cs="Arial"/>
        </w:rPr>
        <w:t>Areas will include, but not limited to, expertise in item response theory in an operational context, large-scale assessment with an emphasis on the analysis of matrix sampling methodology, performance assessment and conducting validity studies in an operational context.</w:t>
      </w:r>
    </w:p>
    <w:p w:rsidR="00D25B9C" w:rsidRDefault="00D25B9C" w:rsidP="00D25B9C"/>
    <w:p w:rsidR="008E15C2" w:rsidRPr="00D95195" w:rsidRDefault="00D745B6" w:rsidP="00D95195">
      <w:pPr>
        <w:rPr>
          <w:rFonts w:cs="Arial"/>
        </w:rPr>
      </w:pPr>
      <w:r>
        <w:rPr>
          <w:rFonts w:cs="Arial"/>
        </w:rPr>
        <w:t>STA will select the</w:t>
      </w:r>
      <w:r w:rsidR="008E15C2" w:rsidRPr="00D95195">
        <w:rPr>
          <w:rFonts w:cs="Arial"/>
        </w:rPr>
        <w:t xml:space="preserve"> top 10 bidders</w:t>
      </w:r>
      <w:r w:rsidR="00D95195" w:rsidRPr="00D95195">
        <w:rPr>
          <w:rFonts w:cs="Arial"/>
        </w:rPr>
        <w:t xml:space="preserve"> </w:t>
      </w:r>
      <w:r w:rsidR="008E15C2" w:rsidRPr="00D95195">
        <w:rPr>
          <w:rFonts w:cs="Arial"/>
        </w:rPr>
        <w:t xml:space="preserve">based on the list of </w:t>
      </w:r>
      <w:r w:rsidR="00D95195" w:rsidRPr="00D95195">
        <w:rPr>
          <w:rFonts w:cs="Arial"/>
        </w:rPr>
        <w:t>areas above</w:t>
      </w:r>
      <w:r w:rsidR="008E15C2" w:rsidRPr="00D95195">
        <w:rPr>
          <w:rFonts w:cs="Arial"/>
        </w:rPr>
        <w:t xml:space="preserve">. </w:t>
      </w:r>
      <w:r w:rsidR="00D95195" w:rsidRPr="00D95195">
        <w:rPr>
          <w:rFonts w:cs="Arial"/>
        </w:rPr>
        <w:t>The d</w:t>
      </w:r>
      <w:r w:rsidR="008E15C2" w:rsidRPr="00D95195">
        <w:rPr>
          <w:rFonts w:cs="Arial"/>
        </w:rPr>
        <w:t xml:space="preserve">ecision will be based on evidence of these in the professional experience section of the </w:t>
      </w:r>
      <w:r w:rsidR="00F055A1" w:rsidRPr="00097C27">
        <w:t>Curriculum Vitae (CV)</w:t>
      </w:r>
      <w:r>
        <w:rPr>
          <w:rFonts w:cs="Arial"/>
        </w:rPr>
        <w:t xml:space="preserve"> that bidders will be required to submit as part of this tender process</w:t>
      </w:r>
      <w:r w:rsidR="008E15C2" w:rsidRPr="00D95195">
        <w:rPr>
          <w:rFonts w:cs="Arial"/>
        </w:rPr>
        <w:t>.</w:t>
      </w:r>
    </w:p>
    <w:p w:rsidR="0081015C" w:rsidRDefault="0081015C" w:rsidP="00007621"/>
    <w:p w:rsidR="007D2117" w:rsidRDefault="007D2117" w:rsidP="00007621">
      <w:r>
        <w:t xml:space="preserve">We estimate that each person will be required for between </w:t>
      </w:r>
      <w:r w:rsidR="00E3188B">
        <w:t>12</w:t>
      </w:r>
      <w:r w:rsidR="00FF5BDC">
        <w:t xml:space="preserve"> –</w:t>
      </w:r>
      <w:r w:rsidR="0012000C">
        <w:t xml:space="preserve"> </w:t>
      </w:r>
      <w:r w:rsidR="00234C65">
        <w:t xml:space="preserve">18 </w:t>
      </w:r>
      <w:r>
        <w:t xml:space="preserve">days over the course of the </w:t>
      </w:r>
      <w:r w:rsidR="00CD63E1">
        <w:t xml:space="preserve">3- year </w:t>
      </w:r>
      <w:r>
        <w:t xml:space="preserve">contract, although, this may increase if we are not able to procure all the experts we require, or if some are not available for review windows. </w:t>
      </w:r>
    </w:p>
    <w:p w:rsidR="00370ED8" w:rsidRDefault="00370ED8" w:rsidP="00007621"/>
    <w:p w:rsidR="00E3188B" w:rsidRDefault="00C358CB" w:rsidP="00E3188B">
      <w:r w:rsidRPr="00C358CB">
        <w:t xml:space="preserve">You will only be paid for the work that you complete, </w:t>
      </w:r>
      <w:r w:rsidR="00E3188B">
        <w:t xml:space="preserve">and </w:t>
      </w:r>
      <w:r w:rsidRPr="00C358CB">
        <w:t xml:space="preserve">there will </w:t>
      </w:r>
      <w:r w:rsidR="00E65B8D" w:rsidRPr="00C358CB">
        <w:t xml:space="preserve">be </w:t>
      </w:r>
      <w:r w:rsidR="00E65B8D">
        <w:t>a</w:t>
      </w:r>
      <w:r w:rsidR="00CD63E1">
        <w:t xml:space="preserve"> minimum expectation</w:t>
      </w:r>
      <w:r w:rsidR="00E3188B">
        <w:t xml:space="preserve"> that you will complete</w:t>
      </w:r>
      <w:r w:rsidR="00CD63E1">
        <w:t xml:space="preserve"> 4 days per </w:t>
      </w:r>
      <w:r w:rsidR="00E65B8D">
        <w:t>year</w:t>
      </w:r>
      <w:r w:rsidR="00E65B8D" w:rsidRPr="00C358CB">
        <w:t xml:space="preserve"> as</w:t>
      </w:r>
      <w:r w:rsidRPr="00C358CB">
        <w:t xml:space="preserve"> part of this contract.</w:t>
      </w:r>
      <w:r w:rsidR="00E3188B">
        <w:t xml:space="preserve"> (see section 2.4 for details)</w:t>
      </w:r>
      <w:r w:rsidR="00370ED8">
        <w:t xml:space="preserve"> </w:t>
      </w:r>
    </w:p>
    <w:p w:rsidR="00007621" w:rsidRDefault="00007621" w:rsidP="00007621"/>
    <w:p w:rsidR="00007621" w:rsidRDefault="00007621" w:rsidP="00007621">
      <w:r>
        <w:t>The successful experts must:</w:t>
      </w:r>
    </w:p>
    <w:p w:rsidR="00007621" w:rsidRDefault="0070051D" w:rsidP="00F85F3D">
      <w:pPr>
        <w:pStyle w:val="ListParagraph"/>
        <w:numPr>
          <w:ilvl w:val="0"/>
          <w:numId w:val="28"/>
        </w:numPr>
      </w:pPr>
      <w:r>
        <w:t>h</w:t>
      </w:r>
      <w:r w:rsidR="00007621">
        <w:t xml:space="preserve">ave </w:t>
      </w:r>
      <w:r w:rsidR="004F6BFD">
        <w:t xml:space="preserve">strong knowledge, experience and </w:t>
      </w:r>
      <w:r w:rsidR="00007621">
        <w:t>expertise</w:t>
      </w:r>
    </w:p>
    <w:p w:rsidR="00007621" w:rsidRDefault="0070051D" w:rsidP="00F85F3D">
      <w:pPr>
        <w:pStyle w:val="ListParagraph"/>
        <w:numPr>
          <w:ilvl w:val="0"/>
          <w:numId w:val="28"/>
        </w:numPr>
      </w:pPr>
      <w:r>
        <w:t>b</w:t>
      </w:r>
      <w:r w:rsidR="00007621">
        <w:t>e flexible and available to review materials</w:t>
      </w:r>
      <w:r w:rsidR="009F7A13">
        <w:t xml:space="preserve"> remotely</w:t>
      </w:r>
      <w:r w:rsidR="00FF5BDC">
        <w:t xml:space="preserve"> in a secure location</w:t>
      </w:r>
    </w:p>
    <w:p w:rsidR="00FF5BDC" w:rsidRDefault="00074D25" w:rsidP="00F85F3D">
      <w:pPr>
        <w:pStyle w:val="ListParagraph"/>
        <w:numPr>
          <w:ilvl w:val="0"/>
          <w:numId w:val="28"/>
        </w:numPr>
      </w:pPr>
      <w:r>
        <w:t>a</w:t>
      </w:r>
      <w:r w:rsidR="00FF5BDC">
        <w:t xml:space="preserve">ttend in person or via </w:t>
      </w:r>
      <w:r w:rsidR="00E65B8D">
        <w:t>video</w:t>
      </w:r>
      <w:r w:rsidR="00FF5BDC">
        <w:t xml:space="preserve"> conferencing the </w:t>
      </w:r>
      <w:r w:rsidR="003746E0">
        <w:t>Annual</w:t>
      </w:r>
      <w:r w:rsidR="00FF5BDC">
        <w:t xml:space="preserve"> General Meeting</w:t>
      </w:r>
    </w:p>
    <w:p w:rsidR="00007621" w:rsidRDefault="0070051D" w:rsidP="00F85F3D">
      <w:pPr>
        <w:pStyle w:val="ListParagraph"/>
        <w:numPr>
          <w:ilvl w:val="0"/>
          <w:numId w:val="28"/>
        </w:numPr>
      </w:pPr>
      <w:r>
        <w:t>h</w:t>
      </w:r>
      <w:r w:rsidR="00007621">
        <w:t>ave the capacity to meet the requirement</w:t>
      </w:r>
      <w:r w:rsidR="00074D25">
        <w:t>s</w:t>
      </w:r>
      <w:r w:rsidR="00007621">
        <w:t xml:space="preserve"> set out in this ITT</w:t>
      </w:r>
    </w:p>
    <w:p w:rsidR="00007621" w:rsidRDefault="00007621" w:rsidP="00007621"/>
    <w:p w:rsidR="00540686" w:rsidRDefault="00540686" w:rsidP="003014E1"/>
    <w:p w:rsidR="00540686" w:rsidRPr="003014E1" w:rsidRDefault="00540686" w:rsidP="003014E1"/>
    <w:p w:rsidR="00332E75" w:rsidRDefault="00332E75" w:rsidP="003014E1">
      <w:pPr>
        <w:rPr>
          <w:b/>
          <w:sz w:val="28"/>
          <w:szCs w:val="28"/>
        </w:rPr>
      </w:pPr>
      <w:bookmarkStart w:id="28" w:name="_Toc308624825"/>
    </w:p>
    <w:p w:rsidR="00332E75" w:rsidRDefault="00332E75" w:rsidP="003014E1">
      <w:pPr>
        <w:rPr>
          <w:b/>
          <w:sz w:val="28"/>
          <w:szCs w:val="28"/>
        </w:rPr>
      </w:pPr>
    </w:p>
    <w:p w:rsidR="00332E75" w:rsidRDefault="00332E75" w:rsidP="003014E1">
      <w:pPr>
        <w:rPr>
          <w:b/>
          <w:sz w:val="28"/>
          <w:szCs w:val="28"/>
        </w:rPr>
      </w:pPr>
    </w:p>
    <w:p w:rsidR="00137F02" w:rsidRPr="00F00E06" w:rsidRDefault="00F00E06" w:rsidP="003014E1">
      <w:pPr>
        <w:rPr>
          <w:b/>
          <w:sz w:val="28"/>
          <w:szCs w:val="28"/>
        </w:rPr>
      </w:pPr>
      <w:r w:rsidRPr="00F00E06">
        <w:rPr>
          <w:b/>
          <w:sz w:val="28"/>
          <w:szCs w:val="28"/>
        </w:rPr>
        <w:t xml:space="preserve">2.3 </w:t>
      </w:r>
      <w:r w:rsidR="00137F02" w:rsidRPr="00F00E06">
        <w:rPr>
          <w:b/>
          <w:sz w:val="28"/>
          <w:szCs w:val="28"/>
        </w:rPr>
        <w:t>Department resources</w:t>
      </w:r>
      <w:bookmarkEnd w:id="28"/>
      <w:r w:rsidR="00137F02" w:rsidRPr="00F00E06">
        <w:rPr>
          <w:b/>
          <w:sz w:val="28"/>
          <w:szCs w:val="28"/>
        </w:rPr>
        <w:t xml:space="preserve"> </w:t>
      </w:r>
    </w:p>
    <w:p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rsidR="00137F02" w:rsidRPr="003014E1" w:rsidRDefault="001007BF" w:rsidP="00125DA0">
      <w:pPr>
        <w:pStyle w:val="ListParagraph"/>
        <w:numPr>
          <w:ilvl w:val="0"/>
          <w:numId w:val="12"/>
        </w:numPr>
      </w:pPr>
      <w:r>
        <w:t xml:space="preserve">STA </w:t>
      </w:r>
      <w:r w:rsidR="003746E0">
        <w:t>Psychometricians</w:t>
      </w:r>
      <w:r>
        <w:t xml:space="preserve"> </w:t>
      </w:r>
    </w:p>
    <w:p w:rsidR="00137F02" w:rsidRDefault="00E3188B" w:rsidP="00125DA0">
      <w:pPr>
        <w:pStyle w:val="ListParagraph"/>
        <w:numPr>
          <w:ilvl w:val="0"/>
          <w:numId w:val="12"/>
        </w:numPr>
      </w:pPr>
      <w:r>
        <w:t xml:space="preserve">STA </w:t>
      </w:r>
      <w:r w:rsidR="00F263C0" w:rsidRPr="003014E1">
        <w:t>Project Manager</w:t>
      </w:r>
    </w:p>
    <w:p w:rsidR="00E3188B" w:rsidRDefault="00E3188B" w:rsidP="00125DA0">
      <w:pPr>
        <w:pStyle w:val="ListParagraph"/>
        <w:numPr>
          <w:ilvl w:val="0"/>
          <w:numId w:val="12"/>
        </w:numPr>
      </w:pPr>
      <w:r>
        <w:t>STA Test Development Researchers</w:t>
      </w:r>
    </w:p>
    <w:p w:rsidR="00E3188B" w:rsidRDefault="00E3188B" w:rsidP="00125DA0">
      <w:pPr>
        <w:pStyle w:val="ListParagraph"/>
        <w:numPr>
          <w:ilvl w:val="0"/>
          <w:numId w:val="12"/>
        </w:numPr>
      </w:pPr>
      <w:r>
        <w:t>STA Assessment Researchers</w:t>
      </w:r>
    </w:p>
    <w:p w:rsidR="00E3188B" w:rsidRPr="003014E1" w:rsidRDefault="00E3188B" w:rsidP="00125DA0">
      <w:pPr>
        <w:pStyle w:val="ListParagraph"/>
        <w:numPr>
          <w:ilvl w:val="0"/>
          <w:numId w:val="12"/>
        </w:numPr>
      </w:pPr>
      <w:r>
        <w:t xml:space="preserve">STA Head of Assessment </w:t>
      </w:r>
      <w:r w:rsidR="00612372">
        <w:t>R</w:t>
      </w:r>
      <w:r>
        <w:t>esearch and Psychometrics</w:t>
      </w:r>
    </w:p>
    <w:p w:rsidR="00252A2F" w:rsidRDefault="00252A2F" w:rsidP="003014E1"/>
    <w:p w:rsidR="00F00E06" w:rsidRPr="003014E1" w:rsidRDefault="00F00E06" w:rsidP="003014E1"/>
    <w:p w:rsidR="00252A2F" w:rsidRPr="00841880" w:rsidRDefault="00F00E06" w:rsidP="003014E1">
      <w:pPr>
        <w:rPr>
          <w:b/>
          <w:sz w:val="28"/>
          <w:szCs w:val="28"/>
        </w:rPr>
      </w:pPr>
      <w:r w:rsidRPr="00F00E06">
        <w:rPr>
          <w:b/>
          <w:sz w:val="28"/>
          <w:szCs w:val="28"/>
        </w:rPr>
        <w:t>2.4</w:t>
      </w:r>
      <w:r w:rsidR="00252A2F" w:rsidRPr="00F00E06">
        <w:rPr>
          <w:b/>
          <w:sz w:val="28"/>
          <w:szCs w:val="28"/>
        </w:rPr>
        <w:t xml:space="preserve"> Specification of requirements</w:t>
      </w:r>
    </w:p>
    <w:p w:rsidR="00E3188B" w:rsidRDefault="00E3188B" w:rsidP="00E3188B">
      <w:r>
        <w:t>The following table is the minimum expectation required from each person, per year.</w:t>
      </w:r>
      <w:r w:rsidR="004B60A8">
        <w:t xml:space="preserve"> </w:t>
      </w:r>
    </w:p>
    <w:p w:rsidR="00E3188B" w:rsidRDefault="00E3188B" w:rsidP="00E3188B"/>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3494"/>
        <w:gridCol w:w="992"/>
      </w:tblGrid>
      <w:tr w:rsidR="00E3188B" w:rsidRPr="006665F5" w:rsidTr="00D745B6">
        <w:trPr>
          <w:trHeight w:val="315"/>
        </w:trPr>
        <w:tc>
          <w:tcPr>
            <w:tcW w:w="5720" w:type="dxa"/>
            <w:shd w:val="clear" w:color="auto" w:fill="auto"/>
            <w:noWrap/>
            <w:vAlign w:val="bottom"/>
            <w:hideMark/>
          </w:tcPr>
          <w:p w:rsidR="00E3188B" w:rsidRPr="00EB220E" w:rsidRDefault="00E3188B" w:rsidP="00A26C10">
            <w:pPr>
              <w:rPr>
                <w:rFonts w:cs="Arial"/>
                <w:b/>
                <w:color w:val="000000"/>
                <w:lang w:eastAsia="en-GB"/>
              </w:rPr>
            </w:pPr>
            <w:r w:rsidRPr="00EB220E">
              <w:rPr>
                <w:rFonts w:cs="Arial"/>
                <w:b/>
                <w:color w:val="000000"/>
                <w:lang w:eastAsia="en-GB"/>
              </w:rPr>
              <w:t>Activity</w:t>
            </w:r>
          </w:p>
        </w:tc>
        <w:tc>
          <w:tcPr>
            <w:tcW w:w="3494" w:type="dxa"/>
            <w:shd w:val="clear" w:color="auto" w:fill="auto"/>
            <w:noWrap/>
            <w:vAlign w:val="bottom"/>
            <w:hideMark/>
          </w:tcPr>
          <w:p w:rsidR="00E3188B" w:rsidRPr="006665F5" w:rsidRDefault="00E3188B" w:rsidP="00A26C10">
            <w:pPr>
              <w:rPr>
                <w:rFonts w:ascii="Calibri" w:hAnsi="Calibri" w:cs="Calibri"/>
                <w:color w:val="000000"/>
                <w:sz w:val="22"/>
                <w:szCs w:val="22"/>
                <w:lang w:eastAsia="en-GB"/>
              </w:rPr>
            </w:pPr>
          </w:p>
        </w:tc>
        <w:tc>
          <w:tcPr>
            <w:tcW w:w="992" w:type="dxa"/>
            <w:shd w:val="clear" w:color="auto" w:fill="auto"/>
            <w:noWrap/>
            <w:vAlign w:val="bottom"/>
            <w:hideMark/>
          </w:tcPr>
          <w:p w:rsidR="00E3188B" w:rsidRPr="006665F5" w:rsidRDefault="00E3188B" w:rsidP="00A26C10">
            <w:pPr>
              <w:rPr>
                <w:rFonts w:ascii="Calibri" w:hAnsi="Calibri" w:cs="Calibri"/>
                <w:color w:val="000000"/>
                <w:sz w:val="22"/>
                <w:szCs w:val="22"/>
                <w:lang w:eastAsia="en-GB"/>
              </w:rPr>
            </w:pPr>
            <w:r w:rsidRPr="006665F5">
              <w:rPr>
                <w:rFonts w:ascii="Calibri" w:hAnsi="Calibri" w:cs="Calibri"/>
                <w:color w:val="000000"/>
                <w:sz w:val="22"/>
                <w:szCs w:val="22"/>
                <w:lang w:eastAsia="en-GB"/>
              </w:rPr>
              <w:t> </w:t>
            </w:r>
          </w:p>
        </w:tc>
      </w:tr>
      <w:tr w:rsidR="00E3188B" w:rsidRPr="006665F5" w:rsidTr="00D745B6">
        <w:trPr>
          <w:trHeight w:val="1500"/>
        </w:trPr>
        <w:tc>
          <w:tcPr>
            <w:tcW w:w="5720" w:type="dxa"/>
            <w:shd w:val="clear" w:color="auto" w:fill="auto"/>
            <w:vAlign w:val="center"/>
            <w:hideMark/>
          </w:tcPr>
          <w:p w:rsidR="00E3188B" w:rsidRPr="006665F5" w:rsidRDefault="00E3188B" w:rsidP="00A26C10">
            <w:pPr>
              <w:rPr>
                <w:rFonts w:cs="Arial"/>
                <w:color w:val="000000"/>
                <w:lang w:eastAsia="en-GB"/>
              </w:rPr>
            </w:pPr>
            <w:r w:rsidRPr="006665F5">
              <w:rPr>
                <w:rFonts w:cs="Arial"/>
                <w:color w:val="000000"/>
                <w:lang w:eastAsia="en-GB"/>
              </w:rPr>
              <w:t xml:space="preserve">Prepare for all meetings in advance and by the deadline requested                                                       Provide any post meeting feedback </w:t>
            </w:r>
            <w:r>
              <w:rPr>
                <w:rFonts w:cs="Arial"/>
                <w:color w:val="000000"/>
                <w:lang w:eastAsia="en-GB"/>
              </w:rPr>
              <w:t xml:space="preserve">and/or reporting.                                                                  Be an active </w:t>
            </w:r>
            <w:r w:rsidRPr="006665F5">
              <w:rPr>
                <w:rFonts w:cs="Arial"/>
                <w:color w:val="000000"/>
                <w:lang w:eastAsia="en-GB"/>
              </w:rPr>
              <w:t>member of the group and respond to ad hoc requests within agreed timelines.</w:t>
            </w:r>
          </w:p>
        </w:tc>
        <w:tc>
          <w:tcPr>
            <w:tcW w:w="3494" w:type="dxa"/>
            <w:shd w:val="clear" w:color="auto" w:fill="auto"/>
            <w:noWrap/>
            <w:vAlign w:val="bottom"/>
            <w:hideMark/>
          </w:tcPr>
          <w:p w:rsidR="00E3188B" w:rsidRPr="006665F5" w:rsidRDefault="00E3188B" w:rsidP="00A26C10">
            <w:pPr>
              <w:jc w:val="right"/>
              <w:rPr>
                <w:rFonts w:cs="Arial"/>
                <w:color w:val="000000"/>
                <w:lang w:eastAsia="en-GB"/>
              </w:rPr>
            </w:pPr>
            <w:r w:rsidRPr="006665F5">
              <w:rPr>
                <w:rFonts w:cs="Arial"/>
                <w:color w:val="000000"/>
                <w:lang w:eastAsia="en-GB"/>
              </w:rPr>
              <w:t>14 hours across 12 months @</w:t>
            </w:r>
          </w:p>
        </w:tc>
        <w:tc>
          <w:tcPr>
            <w:tcW w:w="992" w:type="dxa"/>
            <w:shd w:val="clear" w:color="auto" w:fill="auto"/>
            <w:noWrap/>
            <w:vAlign w:val="bottom"/>
            <w:hideMark/>
          </w:tcPr>
          <w:p w:rsidR="00E3188B" w:rsidRPr="006665F5" w:rsidRDefault="00E3188B" w:rsidP="00A26C10">
            <w:pPr>
              <w:rPr>
                <w:rFonts w:cs="Arial"/>
                <w:color w:val="000000"/>
                <w:lang w:eastAsia="en-GB"/>
              </w:rPr>
            </w:pPr>
            <w:r w:rsidRPr="006665F5">
              <w:rPr>
                <w:rFonts w:cs="Arial"/>
                <w:color w:val="000000"/>
                <w:lang w:eastAsia="en-GB"/>
              </w:rPr>
              <w:t>2 days</w:t>
            </w:r>
          </w:p>
        </w:tc>
      </w:tr>
      <w:tr w:rsidR="00E3188B" w:rsidRPr="006665F5" w:rsidTr="00D745B6">
        <w:trPr>
          <w:trHeight w:val="915"/>
        </w:trPr>
        <w:tc>
          <w:tcPr>
            <w:tcW w:w="5720" w:type="dxa"/>
            <w:shd w:val="clear" w:color="auto" w:fill="auto"/>
            <w:vAlign w:val="bottom"/>
            <w:hideMark/>
          </w:tcPr>
          <w:p w:rsidR="00E3188B" w:rsidRPr="006665F5" w:rsidRDefault="00E3188B" w:rsidP="00A26C10">
            <w:pPr>
              <w:rPr>
                <w:rFonts w:cs="Arial"/>
                <w:color w:val="000000"/>
                <w:lang w:eastAsia="en-GB"/>
              </w:rPr>
            </w:pPr>
            <w:r w:rsidRPr="006665F5">
              <w:rPr>
                <w:rFonts w:cs="Arial"/>
                <w:color w:val="000000"/>
                <w:lang w:eastAsia="en-GB"/>
              </w:rPr>
              <w:t>Attendance will be required at quarterly meetings, which sha</w:t>
            </w:r>
            <w:r>
              <w:rPr>
                <w:rFonts w:cs="Arial"/>
                <w:color w:val="000000"/>
                <w:lang w:eastAsia="en-GB"/>
              </w:rPr>
              <w:t>ll last approx. 2 hours’ depende</w:t>
            </w:r>
            <w:r w:rsidRPr="006665F5">
              <w:rPr>
                <w:rFonts w:cs="Arial"/>
                <w:color w:val="000000"/>
                <w:lang w:eastAsia="en-GB"/>
              </w:rPr>
              <w:t>nt on agenda items.</w:t>
            </w:r>
          </w:p>
        </w:tc>
        <w:tc>
          <w:tcPr>
            <w:tcW w:w="3494" w:type="dxa"/>
            <w:shd w:val="clear" w:color="auto" w:fill="auto"/>
            <w:noWrap/>
            <w:vAlign w:val="bottom"/>
            <w:hideMark/>
          </w:tcPr>
          <w:p w:rsidR="00E3188B" w:rsidRPr="006665F5" w:rsidRDefault="00E3188B" w:rsidP="00A26C10">
            <w:pPr>
              <w:jc w:val="right"/>
              <w:rPr>
                <w:rFonts w:cs="Arial"/>
                <w:color w:val="000000"/>
                <w:lang w:eastAsia="en-GB"/>
              </w:rPr>
            </w:pPr>
            <w:r w:rsidRPr="006665F5">
              <w:rPr>
                <w:rFonts w:cs="Arial"/>
                <w:color w:val="000000"/>
                <w:lang w:eastAsia="en-GB"/>
              </w:rPr>
              <w:t>2 hour meetings x 4 times per year = 8 hours @</w:t>
            </w:r>
          </w:p>
        </w:tc>
        <w:tc>
          <w:tcPr>
            <w:tcW w:w="992" w:type="dxa"/>
            <w:shd w:val="clear" w:color="auto" w:fill="auto"/>
            <w:noWrap/>
            <w:vAlign w:val="bottom"/>
            <w:hideMark/>
          </w:tcPr>
          <w:p w:rsidR="00E3188B" w:rsidRPr="006665F5" w:rsidRDefault="00E3188B" w:rsidP="00A26C10">
            <w:pPr>
              <w:rPr>
                <w:rFonts w:cs="Arial"/>
                <w:color w:val="000000"/>
                <w:lang w:eastAsia="en-GB"/>
              </w:rPr>
            </w:pPr>
            <w:r w:rsidRPr="006665F5">
              <w:rPr>
                <w:rFonts w:cs="Arial"/>
                <w:color w:val="000000"/>
                <w:lang w:eastAsia="en-GB"/>
              </w:rPr>
              <w:t>1 day</w:t>
            </w:r>
          </w:p>
        </w:tc>
      </w:tr>
      <w:tr w:rsidR="00E3188B" w:rsidRPr="006665F5" w:rsidTr="00D745B6">
        <w:trPr>
          <w:trHeight w:val="615"/>
        </w:trPr>
        <w:tc>
          <w:tcPr>
            <w:tcW w:w="5720" w:type="dxa"/>
            <w:shd w:val="clear" w:color="auto" w:fill="auto"/>
            <w:vAlign w:val="bottom"/>
            <w:hideMark/>
          </w:tcPr>
          <w:p w:rsidR="00E3188B" w:rsidRPr="006665F5" w:rsidRDefault="00E3188B" w:rsidP="00A26C10">
            <w:pPr>
              <w:rPr>
                <w:rFonts w:cs="Arial"/>
                <w:color w:val="000000"/>
                <w:lang w:eastAsia="en-GB"/>
              </w:rPr>
            </w:pPr>
            <w:r w:rsidRPr="006665F5">
              <w:rPr>
                <w:rFonts w:cs="Arial"/>
                <w:color w:val="000000"/>
                <w:lang w:eastAsia="en-GB"/>
              </w:rPr>
              <w:t>Attendance at the TAG Annual General Meeting (AGM) alongside all other TAG</w:t>
            </w:r>
            <w:r>
              <w:rPr>
                <w:rFonts w:cs="Arial"/>
                <w:color w:val="000000"/>
                <w:lang w:eastAsia="en-GB"/>
              </w:rPr>
              <w:t xml:space="preserve"> (and STA)</w:t>
            </w:r>
            <w:r w:rsidRPr="006665F5">
              <w:rPr>
                <w:rFonts w:cs="Arial"/>
                <w:color w:val="000000"/>
                <w:lang w:eastAsia="en-GB"/>
              </w:rPr>
              <w:t xml:space="preserve"> members.</w:t>
            </w:r>
          </w:p>
        </w:tc>
        <w:tc>
          <w:tcPr>
            <w:tcW w:w="3494" w:type="dxa"/>
            <w:shd w:val="clear" w:color="auto" w:fill="auto"/>
            <w:noWrap/>
            <w:vAlign w:val="bottom"/>
            <w:hideMark/>
          </w:tcPr>
          <w:p w:rsidR="00E3188B" w:rsidRPr="006665F5" w:rsidRDefault="00E3188B" w:rsidP="00A26C10">
            <w:pPr>
              <w:jc w:val="right"/>
              <w:rPr>
                <w:rFonts w:cs="Arial"/>
                <w:color w:val="000000"/>
                <w:lang w:eastAsia="en-GB"/>
              </w:rPr>
            </w:pPr>
            <w:r w:rsidRPr="006665F5">
              <w:rPr>
                <w:rFonts w:cs="Arial"/>
                <w:color w:val="000000"/>
                <w:lang w:eastAsia="en-GB"/>
              </w:rPr>
              <w:t>8 hours @</w:t>
            </w:r>
          </w:p>
        </w:tc>
        <w:tc>
          <w:tcPr>
            <w:tcW w:w="992" w:type="dxa"/>
            <w:shd w:val="clear" w:color="auto" w:fill="auto"/>
            <w:noWrap/>
            <w:vAlign w:val="bottom"/>
            <w:hideMark/>
          </w:tcPr>
          <w:p w:rsidR="00E3188B" w:rsidRPr="006665F5" w:rsidRDefault="00E3188B" w:rsidP="00A26C10">
            <w:pPr>
              <w:rPr>
                <w:rFonts w:cs="Arial"/>
                <w:color w:val="000000"/>
                <w:lang w:eastAsia="en-GB"/>
              </w:rPr>
            </w:pPr>
            <w:r w:rsidRPr="006665F5">
              <w:rPr>
                <w:rFonts w:cs="Arial"/>
                <w:color w:val="000000"/>
                <w:lang w:eastAsia="en-GB"/>
              </w:rPr>
              <w:t>1 day</w:t>
            </w:r>
          </w:p>
        </w:tc>
      </w:tr>
      <w:tr w:rsidR="00E3188B" w:rsidRPr="006665F5" w:rsidTr="00D745B6">
        <w:trPr>
          <w:trHeight w:val="315"/>
        </w:trPr>
        <w:tc>
          <w:tcPr>
            <w:tcW w:w="5720" w:type="dxa"/>
            <w:shd w:val="clear" w:color="auto" w:fill="auto"/>
            <w:noWrap/>
            <w:vAlign w:val="bottom"/>
            <w:hideMark/>
          </w:tcPr>
          <w:p w:rsidR="00E3188B" w:rsidRPr="006665F5" w:rsidRDefault="00E3188B" w:rsidP="00A26C10">
            <w:pPr>
              <w:rPr>
                <w:rFonts w:ascii="Calibri" w:hAnsi="Calibri" w:cs="Calibri"/>
                <w:color w:val="000000"/>
                <w:sz w:val="22"/>
                <w:szCs w:val="22"/>
                <w:lang w:eastAsia="en-GB"/>
              </w:rPr>
            </w:pPr>
            <w:r w:rsidRPr="006665F5">
              <w:rPr>
                <w:rFonts w:ascii="Calibri" w:hAnsi="Calibri" w:cs="Calibri"/>
                <w:color w:val="000000"/>
                <w:sz w:val="22"/>
                <w:szCs w:val="22"/>
                <w:lang w:eastAsia="en-GB"/>
              </w:rPr>
              <w:t> </w:t>
            </w:r>
          </w:p>
        </w:tc>
        <w:tc>
          <w:tcPr>
            <w:tcW w:w="3494" w:type="dxa"/>
            <w:shd w:val="clear" w:color="auto" w:fill="auto"/>
            <w:noWrap/>
            <w:vAlign w:val="bottom"/>
            <w:hideMark/>
          </w:tcPr>
          <w:p w:rsidR="00E3188B" w:rsidRPr="006665F5" w:rsidRDefault="00E3188B" w:rsidP="00A26C10">
            <w:pPr>
              <w:rPr>
                <w:rFonts w:ascii="Calibri" w:hAnsi="Calibri" w:cs="Calibri"/>
                <w:color w:val="000000"/>
                <w:sz w:val="22"/>
                <w:szCs w:val="22"/>
                <w:lang w:eastAsia="en-GB"/>
              </w:rPr>
            </w:pPr>
            <w:r w:rsidRPr="006665F5">
              <w:rPr>
                <w:rFonts w:ascii="Calibri" w:hAnsi="Calibri" w:cs="Calibri"/>
                <w:color w:val="000000"/>
                <w:sz w:val="22"/>
                <w:szCs w:val="22"/>
                <w:lang w:eastAsia="en-GB"/>
              </w:rPr>
              <w:t> </w:t>
            </w:r>
          </w:p>
        </w:tc>
        <w:tc>
          <w:tcPr>
            <w:tcW w:w="992" w:type="dxa"/>
            <w:shd w:val="clear" w:color="auto" w:fill="auto"/>
            <w:noWrap/>
            <w:vAlign w:val="bottom"/>
            <w:hideMark/>
          </w:tcPr>
          <w:p w:rsidR="00E3188B" w:rsidRPr="006665F5" w:rsidRDefault="00E3188B" w:rsidP="00A26C10">
            <w:pPr>
              <w:rPr>
                <w:rFonts w:cs="Arial"/>
                <w:color w:val="000000"/>
                <w:lang w:eastAsia="en-GB"/>
              </w:rPr>
            </w:pPr>
            <w:r w:rsidRPr="006665F5">
              <w:rPr>
                <w:rFonts w:cs="Arial"/>
                <w:color w:val="000000"/>
                <w:lang w:eastAsia="en-GB"/>
              </w:rPr>
              <w:t>4 days</w:t>
            </w:r>
          </w:p>
        </w:tc>
      </w:tr>
    </w:tbl>
    <w:p w:rsidR="001007BF" w:rsidRDefault="001007BF" w:rsidP="003014E1"/>
    <w:p w:rsidR="00706BA7" w:rsidRDefault="00706BA7" w:rsidP="00706BA7">
      <w:pPr>
        <w:rPr>
          <w:rFonts w:cs="Arial"/>
        </w:rPr>
      </w:pPr>
      <w:r w:rsidRPr="00E6378D">
        <w:rPr>
          <w:rFonts w:cs="Arial"/>
        </w:rPr>
        <w:t>W</w:t>
      </w:r>
      <w:r>
        <w:rPr>
          <w:rFonts w:cs="Arial"/>
        </w:rPr>
        <w:t>e will contact all successful experts on the framework with general requests that adhere to the minimum acceptance criteria</w:t>
      </w:r>
      <w:r w:rsidR="000E79CC">
        <w:rPr>
          <w:rFonts w:cs="Arial"/>
        </w:rPr>
        <w:t>.</w:t>
      </w:r>
      <w:r>
        <w:rPr>
          <w:rFonts w:cs="Arial"/>
        </w:rPr>
        <w:t xml:space="preserve"> This will include</w:t>
      </w:r>
      <w:r w:rsidR="001A5CAB">
        <w:rPr>
          <w:rFonts w:cs="Arial"/>
        </w:rPr>
        <w:t xml:space="preserve"> experience and evidence in the following areas:</w:t>
      </w:r>
      <w:r>
        <w:rPr>
          <w:rFonts w:cs="Arial"/>
        </w:rPr>
        <w:t xml:space="preserve"> </w:t>
      </w:r>
    </w:p>
    <w:p w:rsidR="00706BA7" w:rsidRPr="00577059" w:rsidRDefault="00317E7D" w:rsidP="00706BA7">
      <w:pPr>
        <w:pStyle w:val="ListParagraph"/>
        <w:numPr>
          <w:ilvl w:val="0"/>
          <w:numId w:val="31"/>
        </w:numPr>
        <w:spacing w:before="100" w:after="200" w:line="276" w:lineRule="auto"/>
        <w:rPr>
          <w:rFonts w:cs="Arial"/>
        </w:rPr>
      </w:pPr>
      <w:r>
        <w:rPr>
          <w:rFonts w:cs="Arial"/>
        </w:rPr>
        <w:t xml:space="preserve">qualifications </w:t>
      </w:r>
      <w:r w:rsidR="00706BA7">
        <w:rPr>
          <w:rFonts w:cs="Arial"/>
        </w:rPr>
        <w:t>in areas of large-scale educational assessment, measurement or psychometrics</w:t>
      </w:r>
      <w:r w:rsidR="00E933CB">
        <w:rPr>
          <w:rFonts w:cs="Arial"/>
        </w:rPr>
        <w:t>;</w:t>
      </w:r>
    </w:p>
    <w:p w:rsidR="00706BA7" w:rsidRPr="007C75C5" w:rsidRDefault="00706BA7" w:rsidP="00706BA7">
      <w:pPr>
        <w:pStyle w:val="ListParagraph"/>
        <w:numPr>
          <w:ilvl w:val="0"/>
          <w:numId w:val="31"/>
        </w:numPr>
        <w:spacing w:before="100" w:after="200" w:line="276" w:lineRule="auto"/>
        <w:rPr>
          <w:rFonts w:cs="Arial"/>
        </w:rPr>
      </w:pPr>
      <w:r w:rsidRPr="007C75C5">
        <w:rPr>
          <w:rFonts w:cs="Arial"/>
          <w:lang w:val="en"/>
        </w:rPr>
        <w:t>quantitat</w:t>
      </w:r>
      <w:r>
        <w:rPr>
          <w:rFonts w:cs="Arial"/>
          <w:lang w:val="en"/>
        </w:rPr>
        <w:t>ive analytic</w:t>
      </w:r>
      <w:r w:rsidR="00E933CB">
        <w:rPr>
          <w:rFonts w:cs="Arial"/>
          <w:lang w:val="en"/>
        </w:rPr>
        <w:t>al</w:t>
      </w:r>
      <w:r>
        <w:rPr>
          <w:rFonts w:cs="Arial"/>
          <w:lang w:val="en"/>
        </w:rPr>
        <w:t xml:space="preserve"> experience,</w:t>
      </w:r>
      <w:r w:rsidRPr="007C75C5">
        <w:rPr>
          <w:rFonts w:cs="Arial"/>
          <w:lang w:val="en"/>
        </w:rPr>
        <w:t xml:space="preserve"> in a </w:t>
      </w:r>
      <w:r w:rsidR="00E933CB">
        <w:rPr>
          <w:rFonts w:cs="Arial"/>
          <w:lang w:val="en"/>
        </w:rPr>
        <w:t xml:space="preserve">large-scale </w:t>
      </w:r>
      <w:r w:rsidRPr="007C75C5">
        <w:rPr>
          <w:rFonts w:cs="Arial"/>
          <w:lang w:val="en"/>
        </w:rPr>
        <w:t>operational testing/assessment context</w:t>
      </w:r>
    </w:p>
    <w:p w:rsidR="00706BA7" w:rsidRDefault="00706BA7" w:rsidP="00706BA7">
      <w:pPr>
        <w:pStyle w:val="ListParagraph"/>
        <w:numPr>
          <w:ilvl w:val="0"/>
          <w:numId w:val="31"/>
        </w:numPr>
        <w:spacing w:before="100" w:after="200" w:line="276" w:lineRule="auto"/>
        <w:rPr>
          <w:rFonts w:cs="Arial"/>
        </w:rPr>
      </w:pPr>
      <w:r>
        <w:rPr>
          <w:rFonts w:cs="Arial"/>
        </w:rPr>
        <w:t xml:space="preserve">knowledge and </w:t>
      </w:r>
      <w:r w:rsidR="00E933CB">
        <w:rPr>
          <w:rFonts w:cs="Arial"/>
        </w:rPr>
        <w:t xml:space="preserve">operational </w:t>
      </w:r>
      <w:r>
        <w:rPr>
          <w:rFonts w:cs="Arial"/>
        </w:rPr>
        <w:t xml:space="preserve">experience </w:t>
      </w:r>
      <w:r w:rsidR="00E933CB">
        <w:rPr>
          <w:rFonts w:cs="Arial"/>
        </w:rPr>
        <w:t xml:space="preserve">with </w:t>
      </w:r>
      <w:r>
        <w:rPr>
          <w:rFonts w:cs="Arial"/>
        </w:rPr>
        <w:t xml:space="preserve">SPSS syntax, and other </w:t>
      </w:r>
      <w:r w:rsidR="00E933CB">
        <w:rPr>
          <w:rFonts w:cs="Arial"/>
        </w:rPr>
        <w:t xml:space="preserve">psychometric </w:t>
      </w:r>
      <w:r>
        <w:rPr>
          <w:rFonts w:cs="Arial"/>
        </w:rPr>
        <w:t>software such as flexMIRT and Mplus</w:t>
      </w:r>
      <w:r w:rsidR="00E933CB">
        <w:rPr>
          <w:rFonts w:cs="Arial"/>
        </w:rPr>
        <w:t>;</w:t>
      </w:r>
    </w:p>
    <w:p w:rsidR="001A5CAB" w:rsidRPr="001A5CAB" w:rsidRDefault="00706BA7" w:rsidP="001A5CAB">
      <w:pPr>
        <w:pStyle w:val="ListParagraph"/>
        <w:numPr>
          <w:ilvl w:val="0"/>
          <w:numId w:val="31"/>
        </w:numPr>
        <w:spacing w:before="100" w:after="200" w:line="276" w:lineRule="auto"/>
        <w:rPr>
          <w:rFonts w:cs="Arial"/>
        </w:rPr>
      </w:pPr>
      <w:r>
        <w:rPr>
          <w:rFonts w:cs="Arial"/>
        </w:rPr>
        <w:t xml:space="preserve">holds an active membership with a national and/or international professional organisation for education/assessment/research, such as The National Council on Measurement in Education (NCME), American Educational </w:t>
      </w:r>
      <w:r w:rsidR="00E933CB">
        <w:rPr>
          <w:rFonts w:cs="Arial"/>
        </w:rPr>
        <w:t>R</w:t>
      </w:r>
      <w:r>
        <w:rPr>
          <w:rFonts w:cs="Arial"/>
        </w:rPr>
        <w:t xml:space="preserve">esearch </w:t>
      </w:r>
      <w:r w:rsidR="00E933CB">
        <w:rPr>
          <w:rFonts w:cs="Arial"/>
        </w:rPr>
        <w:t>A</w:t>
      </w:r>
      <w:r>
        <w:rPr>
          <w:rFonts w:cs="Arial"/>
        </w:rPr>
        <w:t>ssociation (AERA)</w:t>
      </w:r>
      <w:r w:rsidR="00E933CB">
        <w:rPr>
          <w:rFonts w:cs="Arial"/>
        </w:rPr>
        <w:t>, International Test Commission,</w:t>
      </w:r>
      <w:r>
        <w:rPr>
          <w:rFonts w:cs="Arial"/>
        </w:rPr>
        <w:t xml:space="preserve"> or Psychometrics Society</w:t>
      </w:r>
    </w:p>
    <w:p w:rsidR="00706BA7" w:rsidRDefault="00706BA7" w:rsidP="00706BA7">
      <w:pPr>
        <w:rPr>
          <w:rFonts w:cs="Arial"/>
        </w:rPr>
      </w:pPr>
      <w:r>
        <w:rPr>
          <w:rFonts w:cs="Arial"/>
        </w:rPr>
        <w:t xml:space="preserve">For more specialised requests, work </w:t>
      </w:r>
      <w:r w:rsidR="00F055A1">
        <w:rPr>
          <w:rFonts w:cs="Arial"/>
        </w:rPr>
        <w:t xml:space="preserve">will be </w:t>
      </w:r>
      <w:r>
        <w:rPr>
          <w:rFonts w:cs="Arial"/>
        </w:rPr>
        <w:t>awarded to those who possess the necessary knowledge, skill and qualifications in the areas stated in, but not limited to</w:t>
      </w:r>
      <w:r w:rsidR="00F152D4">
        <w:rPr>
          <w:rFonts w:cs="Arial"/>
        </w:rPr>
        <w:t xml:space="preserve"> </w:t>
      </w:r>
      <w:r w:rsidR="006E45D8">
        <w:rPr>
          <w:rFonts w:cs="Arial"/>
        </w:rPr>
        <w:t>the</w:t>
      </w:r>
      <w:r>
        <w:rPr>
          <w:rFonts w:cs="Arial"/>
        </w:rPr>
        <w:t xml:space="preserve"> following bullets</w:t>
      </w:r>
      <w:r w:rsidR="006E45D8">
        <w:rPr>
          <w:rFonts w:cs="Arial"/>
        </w:rPr>
        <w:t>:</w:t>
      </w:r>
    </w:p>
    <w:p w:rsidR="00706BA7" w:rsidRDefault="00706BA7" w:rsidP="00706BA7">
      <w:pPr>
        <w:pStyle w:val="ListParagraph"/>
        <w:numPr>
          <w:ilvl w:val="0"/>
          <w:numId w:val="30"/>
        </w:numPr>
        <w:spacing w:before="100" w:after="200" w:line="276" w:lineRule="auto"/>
        <w:rPr>
          <w:rFonts w:cs="Arial"/>
        </w:rPr>
      </w:pPr>
      <w:r>
        <w:rPr>
          <w:rFonts w:cs="Arial"/>
        </w:rPr>
        <w:t>setting and maintaining standards methodologies</w:t>
      </w:r>
      <w:r w:rsidR="006E45D8">
        <w:rPr>
          <w:rFonts w:cs="Arial"/>
        </w:rPr>
        <w:t>;</w:t>
      </w:r>
      <w:r>
        <w:rPr>
          <w:rFonts w:cs="Arial"/>
        </w:rPr>
        <w:t xml:space="preserve"> </w:t>
      </w:r>
    </w:p>
    <w:p w:rsidR="00706BA7" w:rsidRDefault="00706BA7" w:rsidP="00706BA7">
      <w:pPr>
        <w:pStyle w:val="ListParagraph"/>
        <w:numPr>
          <w:ilvl w:val="0"/>
          <w:numId w:val="30"/>
        </w:numPr>
        <w:spacing w:before="100" w:after="200" w:line="276" w:lineRule="auto"/>
        <w:rPr>
          <w:rFonts w:cs="Arial"/>
        </w:rPr>
      </w:pPr>
      <w:r>
        <w:rPr>
          <w:rFonts w:cs="Arial"/>
        </w:rPr>
        <w:t>item response theory in an operational context</w:t>
      </w:r>
      <w:r w:rsidR="006E45D8">
        <w:rPr>
          <w:rFonts w:cs="Arial"/>
        </w:rPr>
        <w:t>;</w:t>
      </w:r>
    </w:p>
    <w:p w:rsidR="00706BA7" w:rsidRDefault="00706BA7" w:rsidP="00706BA7">
      <w:pPr>
        <w:pStyle w:val="ListParagraph"/>
        <w:numPr>
          <w:ilvl w:val="0"/>
          <w:numId w:val="30"/>
        </w:numPr>
        <w:spacing w:before="100" w:after="200" w:line="276" w:lineRule="auto"/>
        <w:rPr>
          <w:rFonts w:cs="Arial"/>
        </w:rPr>
      </w:pPr>
      <w:r>
        <w:rPr>
          <w:rFonts w:cs="Arial"/>
        </w:rPr>
        <w:t>assessment and analysis of matrix sampling methodology</w:t>
      </w:r>
      <w:r w:rsidR="006E45D8">
        <w:rPr>
          <w:rFonts w:cs="Arial"/>
        </w:rPr>
        <w:t>;</w:t>
      </w:r>
    </w:p>
    <w:p w:rsidR="00706BA7" w:rsidRDefault="00706BA7" w:rsidP="00706BA7">
      <w:pPr>
        <w:pStyle w:val="ListParagraph"/>
        <w:numPr>
          <w:ilvl w:val="0"/>
          <w:numId w:val="30"/>
        </w:numPr>
        <w:spacing w:before="100" w:after="200" w:line="276" w:lineRule="auto"/>
        <w:rPr>
          <w:rFonts w:cs="Arial"/>
        </w:rPr>
      </w:pPr>
      <w:r>
        <w:rPr>
          <w:rFonts w:cs="Arial"/>
        </w:rPr>
        <w:t>performance assessment and conducting validity studies in an operational context</w:t>
      </w:r>
      <w:r w:rsidR="006E45D8">
        <w:rPr>
          <w:rFonts w:cs="Arial"/>
        </w:rPr>
        <w:t>;</w:t>
      </w:r>
    </w:p>
    <w:p w:rsidR="006E45D8" w:rsidRDefault="006E45D8" w:rsidP="00706BA7">
      <w:pPr>
        <w:pStyle w:val="ListParagraph"/>
        <w:numPr>
          <w:ilvl w:val="0"/>
          <w:numId w:val="30"/>
        </w:numPr>
        <w:spacing w:before="100" w:after="200" w:line="276" w:lineRule="auto"/>
        <w:rPr>
          <w:rFonts w:cs="Arial"/>
        </w:rPr>
      </w:pPr>
      <w:r>
        <w:rPr>
          <w:rFonts w:cs="Arial"/>
        </w:rPr>
        <w:t>designing reliability studies;</w:t>
      </w:r>
    </w:p>
    <w:p w:rsidR="00706BA7" w:rsidRDefault="00706BA7" w:rsidP="00706BA7">
      <w:pPr>
        <w:pStyle w:val="ListParagraph"/>
        <w:numPr>
          <w:ilvl w:val="0"/>
          <w:numId w:val="30"/>
        </w:numPr>
        <w:spacing w:before="100" w:after="200" w:line="276" w:lineRule="auto"/>
        <w:rPr>
          <w:rFonts w:cs="Arial"/>
        </w:rPr>
      </w:pPr>
      <w:r>
        <w:rPr>
          <w:rFonts w:cs="Arial"/>
        </w:rPr>
        <w:t>digital/computerised assessments</w:t>
      </w:r>
    </w:p>
    <w:p w:rsidR="001007BF" w:rsidRPr="001A5CAB" w:rsidRDefault="001A5CAB" w:rsidP="003014E1">
      <w:pPr>
        <w:rPr>
          <w:rFonts w:cs="Arial"/>
        </w:rPr>
      </w:pPr>
      <w:r w:rsidRPr="001A5CAB">
        <w:rPr>
          <w:rFonts w:cs="Arial"/>
        </w:rPr>
        <w:t xml:space="preserve">In order to insure independent professional advice and avoid conflict of interest, additional work will be reviewed on a </w:t>
      </w:r>
      <w:r w:rsidR="00F152D4" w:rsidRPr="001A5CAB">
        <w:rPr>
          <w:rFonts w:cs="Arial"/>
        </w:rPr>
        <w:t>case-by-case</w:t>
      </w:r>
      <w:r w:rsidRPr="001A5CAB">
        <w:rPr>
          <w:rFonts w:cs="Arial"/>
        </w:rPr>
        <w:t xml:space="preserve"> basis and any stated conflict of interest will be avoided.</w:t>
      </w:r>
    </w:p>
    <w:p w:rsidR="001007BF" w:rsidRDefault="001007BF" w:rsidP="003014E1"/>
    <w:p w:rsidR="001007BF" w:rsidRDefault="001007BF" w:rsidP="003014E1"/>
    <w:p w:rsidR="00C358CB" w:rsidRDefault="00C358CB" w:rsidP="003014E1">
      <w:r>
        <w:rPr>
          <w:b/>
          <w:sz w:val="28"/>
          <w:szCs w:val="28"/>
        </w:rPr>
        <w:t>2.5</w:t>
      </w:r>
      <w:r w:rsidRPr="00F00E06">
        <w:rPr>
          <w:b/>
          <w:sz w:val="28"/>
          <w:szCs w:val="28"/>
        </w:rPr>
        <w:t xml:space="preserve"> </w:t>
      </w:r>
      <w:r>
        <w:rPr>
          <w:b/>
          <w:sz w:val="28"/>
          <w:szCs w:val="28"/>
        </w:rPr>
        <w:t>Timescales</w:t>
      </w:r>
    </w:p>
    <w:p w:rsidR="001007BF" w:rsidRPr="008A457C" w:rsidRDefault="001007BF" w:rsidP="001007BF">
      <w:pPr>
        <w:rPr>
          <w:rFonts w:cs="Arial"/>
          <w:bCs/>
          <w:iCs/>
        </w:rPr>
      </w:pPr>
      <w:r>
        <w:t xml:space="preserve">The role will be for </w:t>
      </w:r>
      <w:r>
        <w:rPr>
          <w:rFonts w:cs="Arial"/>
          <w:bCs/>
          <w:iCs/>
        </w:rPr>
        <w:t>3</w:t>
      </w:r>
      <w:r w:rsidRPr="008A457C">
        <w:rPr>
          <w:rFonts w:cs="Arial"/>
          <w:bCs/>
          <w:iCs/>
        </w:rPr>
        <w:t xml:space="preserve"> years, from </w:t>
      </w:r>
      <w:r w:rsidRPr="003F7DFE">
        <w:rPr>
          <w:rFonts w:cs="Arial"/>
        </w:rPr>
        <w:t>1</w:t>
      </w:r>
      <w:r w:rsidR="0066644A">
        <w:rPr>
          <w:rFonts w:cs="Arial"/>
        </w:rPr>
        <w:t>4</w:t>
      </w:r>
      <w:r>
        <w:rPr>
          <w:rFonts w:cs="Arial"/>
        </w:rPr>
        <w:t xml:space="preserve"> January 2019 </w:t>
      </w:r>
      <w:r w:rsidR="00F94AC4">
        <w:rPr>
          <w:rFonts w:cs="Arial"/>
        </w:rPr>
        <w:t>– 13</w:t>
      </w:r>
      <w:r w:rsidR="0066644A">
        <w:rPr>
          <w:rFonts w:cs="Arial"/>
        </w:rPr>
        <w:t xml:space="preserve"> January </w:t>
      </w:r>
      <w:r>
        <w:rPr>
          <w:rFonts w:cs="Arial"/>
        </w:rPr>
        <w:t>202</w:t>
      </w:r>
      <w:r w:rsidR="004B08A2">
        <w:rPr>
          <w:rFonts w:cs="Arial"/>
        </w:rPr>
        <w:t>2</w:t>
      </w:r>
      <w:r>
        <w:rPr>
          <w:rFonts w:cs="Arial"/>
        </w:rPr>
        <w:t>.</w:t>
      </w:r>
    </w:p>
    <w:p w:rsidR="001007BF" w:rsidRDefault="001007BF" w:rsidP="003014E1"/>
    <w:p w:rsidR="00F30489" w:rsidRDefault="00E35619" w:rsidP="00E35619">
      <w:bookmarkStart w:id="29" w:name="_Toc309139686"/>
      <w:bookmarkEnd w:id="27"/>
      <w:r w:rsidRPr="003014E1">
        <w:t xml:space="preserve">Details of the specific </w:t>
      </w:r>
      <w:r>
        <w:t>dates</w:t>
      </w:r>
      <w:r w:rsidRPr="003014E1">
        <w:t xml:space="preserve"> will be outlined closer to the times when work is required. </w:t>
      </w:r>
    </w:p>
    <w:p w:rsidR="00F30489" w:rsidRDefault="00F30489" w:rsidP="00F30489"/>
    <w:p w:rsidR="00F30489" w:rsidRDefault="00F30489" w:rsidP="00E35619"/>
    <w:p w:rsidR="006A3ABF" w:rsidRDefault="00E35619" w:rsidP="00E35619">
      <w:pPr>
        <w:rPr>
          <w:b/>
          <w:sz w:val="32"/>
          <w:szCs w:val="32"/>
        </w:rPr>
      </w:pPr>
      <w:r>
        <w:rPr>
          <w:b/>
          <w:sz w:val="32"/>
          <w:szCs w:val="32"/>
        </w:rPr>
        <w:t xml:space="preserve"> </w:t>
      </w:r>
      <w:r w:rsidR="006A3ABF">
        <w:rPr>
          <w:b/>
          <w:sz w:val="32"/>
          <w:szCs w:val="32"/>
        </w:rPr>
        <w:br w:type="page"/>
      </w:r>
    </w:p>
    <w:p w:rsidR="00137F02" w:rsidRPr="00623A93" w:rsidRDefault="00623A93" w:rsidP="003014E1">
      <w:pPr>
        <w:rPr>
          <w:b/>
          <w:sz w:val="32"/>
          <w:szCs w:val="32"/>
        </w:rPr>
      </w:pPr>
      <w:r w:rsidRPr="00623A93">
        <w:rPr>
          <w:b/>
          <w:sz w:val="32"/>
          <w:szCs w:val="32"/>
        </w:rPr>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rsidR="00623A93" w:rsidRDefault="00623A93" w:rsidP="003014E1"/>
    <w:p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rsidR="00623A93" w:rsidRDefault="00623A93" w:rsidP="003014E1"/>
    <w:p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rsidR="00623A93" w:rsidRDefault="00623A93" w:rsidP="003014E1"/>
    <w:p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rsidR="00623A93" w:rsidRDefault="00623A93" w:rsidP="003014E1"/>
    <w:p w:rsidR="00137F02" w:rsidRPr="003014E1" w:rsidRDefault="00137F02" w:rsidP="003014E1">
      <w:r w:rsidRPr="003014E1">
        <w:t>The STA shall not be committed to any course of action as a result of:</w:t>
      </w:r>
    </w:p>
    <w:p w:rsidR="00137F02" w:rsidRPr="003014E1" w:rsidRDefault="00137F02" w:rsidP="00125DA0">
      <w:pPr>
        <w:pStyle w:val="ListParagraph"/>
        <w:numPr>
          <w:ilvl w:val="0"/>
          <w:numId w:val="13"/>
        </w:numPr>
      </w:pPr>
      <w:bookmarkStart w:id="30" w:name="_DV_M233"/>
      <w:bookmarkEnd w:id="30"/>
      <w:r w:rsidRPr="003014E1">
        <w:t xml:space="preserve">issuing this </w:t>
      </w:r>
      <w:r w:rsidR="00A50134" w:rsidRPr="003014E1">
        <w:t>ITT</w:t>
      </w:r>
      <w:r w:rsidRPr="003014E1">
        <w:t xml:space="preserve"> or any invitation to participate in this procurement exercise;</w:t>
      </w:r>
    </w:p>
    <w:p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rsidR="00137F02" w:rsidRPr="003014E1" w:rsidRDefault="00137F02" w:rsidP="00125DA0">
      <w:pPr>
        <w:pStyle w:val="ListParagraph"/>
        <w:numPr>
          <w:ilvl w:val="0"/>
          <w:numId w:val="13"/>
        </w:numPr>
      </w:pPr>
      <w:bookmarkStart w:id="35" w:name="_DV_M238"/>
      <w:bookmarkStart w:id="36" w:name="_DV_M239"/>
      <w:bookmarkEnd w:id="35"/>
      <w:bookmarkEnd w:id="36"/>
      <w:r w:rsidRPr="003014E1">
        <w:t>any other communication between the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rsidR="00623A93" w:rsidRDefault="00623A93" w:rsidP="003014E1"/>
    <w:p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rsidR="00623A93" w:rsidRDefault="00623A93" w:rsidP="003014E1"/>
    <w:p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rsidR="00A50134" w:rsidRPr="003014E1" w:rsidRDefault="00A50134" w:rsidP="003014E1"/>
    <w:p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rsidR="00A50134" w:rsidRPr="003014E1" w:rsidRDefault="00A50134" w:rsidP="003014E1"/>
    <w:p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rsidR="00137F02" w:rsidRPr="003014E1" w:rsidRDefault="00137F02" w:rsidP="003014E1">
      <w:r w:rsidRPr="003014E1">
        <w:t>This contract will be let under the terms and conditions of Framework Ref: STA-</w:t>
      </w:r>
      <w:r w:rsidR="0083551D">
        <w:t xml:space="preserve"> </w:t>
      </w:r>
      <w:r w:rsidR="004571FA">
        <w:t>0</w:t>
      </w:r>
      <w:r w:rsidR="00305BA4">
        <w:t>208</w:t>
      </w:r>
      <w:r w:rsidR="006C126B">
        <w:t xml:space="preserve">.  </w:t>
      </w:r>
      <w:r w:rsidR="003F4F1D">
        <w:t xml:space="preserve">The contract will be for a period of </w:t>
      </w:r>
      <w:r w:rsidR="00305BA4">
        <w:t xml:space="preserve">3 </w:t>
      </w:r>
      <w:r w:rsidR="003F4F1D">
        <w:t>year</w:t>
      </w:r>
      <w:r w:rsidR="00E349EC">
        <w:t>s</w:t>
      </w:r>
      <w:r w:rsidR="00305BA4">
        <w:t>.</w:t>
      </w:r>
      <w:r w:rsidR="003F4F1D">
        <w:t xml:space="preserve">  </w:t>
      </w:r>
      <w:r w:rsidRPr="003014E1">
        <w:t>The following special terms will be applied:</w:t>
      </w:r>
    </w:p>
    <w:p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rsidR="00137F02" w:rsidRDefault="00137F02" w:rsidP="00125DA0">
      <w:pPr>
        <w:pStyle w:val="ListParagraph"/>
        <w:numPr>
          <w:ilvl w:val="0"/>
          <w:numId w:val="14"/>
        </w:numPr>
      </w:pPr>
      <w:r w:rsidRPr="003014E1">
        <w:t>Notwithstanding any other term of the Order, the Contractor hereby gives consent for STA to publish the Order publicly in its entirety, including from time to time agreed changes to the Order, as well as payments made in accordance with the Order.</w:t>
      </w:r>
    </w:p>
    <w:p w:rsidR="00366781" w:rsidRPr="003014E1" w:rsidRDefault="00366781" w:rsidP="00366781">
      <w:pPr>
        <w:pStyle w:val="ListParagraph"/>
        <w:ind w:left="360"/>
      </w:pPr>
    </w:p>
    <w:p w:rsidR="00957B49" w:rsidRDefault="00957B49" w:rsidP="003014E1"/>
    <w:p w:rsidR="00B2677D" w:rsidRPr="003014E1" w:rsidRDefault="00137F02" w:rsidP="003014E1">
      <w:r w:rsidRPr="003014E1">
        <w:t>Bidders should set out below any concerns relating to the use of the Framework t</w:t>
      </w:r>
      <w:r w:rsidR="00366781">
        <w:t xml:space="preserve">erms and conditions </w:t>
      </w:r>
      <w:r w:rsidRPr="003014E1">
        <w:t>for this work, noting that STA gives no undertaking to agree to any changes.</w:t>
      </w:r>
      <w:r w:rsidR="00323CA6">
        <w:t xml:space="preserve"> </w:t>
      </w:r>
    </w:p>
    <w:p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rsidTr="00C91434">
        <w:tc>
          <w:tcPr>
            <w:tcW w:w="1440" w:type="dxa"/>
            <w:shd w:val="clear" w:color="auto" w:fill="B8CCE4" w:themeFill="accent1" w:themeFillTint="66"/>
          </w:tcPr>
          <w:p w:rsidR="00137F02" w:rsidRPr="00F86ACD" w:rsidRDefault="00137F02" w:rsidP="003014E1">
            <w:pPr>
              <w:rPr>
                <w:b/>
              </w:rPr>
            </w:pPr>
            <w:r w:rsidRPr="00F86ACD">
              <w:rPr>
                <w:b/>
              </w:rPr>
              <w:t>Contract Reference</w:t>
            </w:r>
          </w:p>
        </w:tc>
        <w:tc>
          <w:tcPr>
            <w:tcW w:w="3600" w:type="dxa"/>
            <w:shd w:val="clear" w:color="auto" w:fill="B8CCE4" w:themeFill="accent1" w:themeFillTint="66"/>
          </w:tcPr>
          <w:p w:rsidR="00137F02" w:rsidRPr="00F86ACD" w:rsidRDefault="00137F02" w:rsidP="003014E1">
            <w:pPr>
              <w:rPr>
                <w:b/>
              </w:rPr>
            </w:pPr>
            <w:r w:rsidRPr="00F86ACD">
              <w:rPr>
                <w:b/>
              </w:rPr>
              <w:t>Issue</w:t>
            </w:r>
          </w:p>
        </w:tc>
        <w:tc>
          <w:tcPr>
            <w:tcW w:w="5025" w:type="dxa"/>
            <w:shd w:val="clear" w:color="auto" w:fill="B8CCE4" w:themeFill="accent1" w:themeFillTint="66"/>
          </w:tcPr>
          <w:p w:rsidR="00137F02" w:rsidRPr="00F86ACD" w:rsidRDefault="00137F02" w:rsidP="003014E1">
            <w:pPr>
              <w:rPr>
                <w:b/>
              </w:rPr>
            </w:pPr>
            <w:r w:rsidRPr="00F86ACD">
              <w:rPr>
                <w:b/>
              </w:rPr>
              <w:t>Proposed mitigation</w:t>
            </w:r>
          </w:p>
        </w:tc>
      </w:tr>
      <w:tr w:rsidR="00137F02" w:rsidRPr="003014E1" w:rsidTr="00F86ACD">
        <w:tc>
          <w:tcPr>
            <w:tcW w:w="1440" w:type="dxa"/>
            <w:shd w:val="clear" w:color="auto" w:fill="auto"/>
          </w:tcPr>
          <w:p w:rsidR="00137F02" w:rsidRPr="003014E1" w:rsidRDefault="00137F02" w:rsidP="003014E1"/>
        </w:tc>
        <w:tc>
          <w:tcPr>
            <w:tcW w:w="3600" w:type="dxa"/>
            <w:shd w:val="clear" w:color="auto" w:fill="auto"/>
          </w:tcPr>
          <w:p w:rsidR="00137F02" w:rsidRPr="003014E1" w:rsidRDefault="00137F02" w:rsidP="003014E1"/>
        </w:tc>
        <w:tc>
          <w:tcPr>
            <w:tcW w:w="5025" w:type="dxa"/>
            <w:shd w:val="clear" w:color="auto" w:fill="auto"/>
          </w:tcPr>
          <w:p w:rsidR="00137F02" w:rsidRPr="003014E1" w:rsidRDefault="00137F02" w:rsidP="003014E1"/>
        </w:tc>
      </w:tr>
    </w:tbl>
    <w:p w:rsidR="00957B49" w:rsidRDefault="00957B49" w:rsidP="003014E1">
      <w:bookmarkStart w:id="43" w:name="_Toc309139689"/>
    </w:p>
    <w:p w:rsidR="00957B49" w:rsidRDefault="00804073" w:rsidP="003014E1">
      <w:r>
        <w:t>A copy of the draft contract is included in the Appendix</w:t>
      </w:r>
      <w:r w:rsidR="00F055A1">
        <w:t xml:space="preserve"> 1</w:t>
      </w:r>
      <w:r>
        <w:t xml:space="preserve"> for your information.</w:t>
      </w:r>
    </w:p>
    <w:p w:rsidR="00804073" w:rsidRDefault="00804073" w:rsidP="003014E1"/>
    <w:p w:rsidR="003F4F1D" w:rsidRPr="003F4F1D"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rsidR="00137F02" w:rsidRPr="003014E1" w:rsidRDefault="00137F02" w:rsidP="003014E1">
      <w:r w:rsidRPr="003014E1">
        <w:t>The proposed procurement timetable is set out below:</w:t>
      </w:r>
    </w:p>
    <w:p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rsidTr="00C91434">
        <w:tc>
          <w:tcPr>
            <w:tcW w:w="905" w:type="pct"/>
            <w:shd w:val="clear" w:color="auto" w:fill="B8CCE4" w:themeFill="accent1" w:themeFillTint="66"/>
          </w:tcPr>
          <w:p w:rsidR="00137F02" w:rsidRPr="00F86ACD" w:rsidRDefault="00137F02" w:rsidP="003014E1">
            <w:pPr>
              <w:rPr>
                <w:b/>
              </w:rPr>
            </w:pPr>
            <w:r w:rsidRPr="00F86ACD">
              <w:rPr>
                <w:b/>
              </w:rPr>
              <w:t>Date</w:t>
            </w:r>
          </w:p>
        </w:tc>
        <w:tc>
          <w:tcPr>
            <w:tcW w:w="4095" w:type="pct"/>
            <w:shd w:val="clear" w:color="auto" w:fill="B8CCE4" w:themeFill="accent1" w:themeFillTint="66"/>
          </w:tcPr>
          <w:p w:rsidR="00137F02" w:rsidRPr="00F86ACD" w:rsidRDefault="00137F02" w:rsidP="003014E1">
            <w:pPr>
              <w:rPr>
                <w:b/>
              </w:rPr>
            </w:pPr>
            <w:r w:rsidRPr="00F86ACD">
              <w:rPr>
                <w:b/>
              </w:rPr>
              <w:t>Stage</w:t>
            </w:r>
          </w:p>
        </w:tc>
      </w:tr>
      <w:tr w:rsidR="00E35619" w:rsidRPr="003014E1" w:rsidTr="00F86ACD">
        <w:tc>
          <w:tcPr>
            <w:tcW w:w="905" w:type="pct"/>
          </w:tcPr>
          <w:p w:rsidR="00E35619" w:rsidRPr="003014E1" w:rsidRDefault="00FE78ED" w:rsidP="00F055A1">
            <w:pPr>
              <w:spacing w:before="120" w:after="120"/>
            </w:pPr>
            <w:r>
              <w:t>1</w:t>
            </w:r>
            <w:r w:rsidR="00F055A1">
              <w:t>4</w:t>
            </w:r>
            <w:r>
              <w:t>/11/18</w:t>
            </w:r>
          </w:p>
        </w:tc>
        <w:tc>
          <w:tcPr>
            <w:tcW w:w="4095" w:type="pct"/>
          </w:tcPr>
          <w:p w:rsidR="00E35619" w:rsidRPr="003014E1" w:rsidRDefault="00E35619" w:rsidP="00E35619">
            <w:pPr>
              <w:spacing w:before="120" w:after="120"/>
            </w:pPr>
            <w:r w:rsidRPr="003014E1">
              <w:t>ITT issued</w:t>
            </w:r>
          </w:p>
        </w:tc>
      </w:tr>
      <w:tr w:rsidR="00E35619" w:rsidRPr="003014E1" w:rsidTr="00F86ACD">
        <w:tc>
          <w:tcPr>
            <w:tcW w:w="905" w:type="pct"/>
          </w:tcPr>
          <w:p w:rsidR="00E35619" w:rsidRPr="003014E1" w:rsidRDefault="00FE78ED" w:rsidP="00E35619">
            <w:pPr>
              <w:spacing w:before="120" w:after="120"/>
            </w:pPr>
            <w:r>
              <w:t>03/12/18</w:t>
            </w:r>
          </w:p>
        </w:tc>
        <w:tc>
          <w:tcPr>
            <w:tcW w:w="4095" w:type="pct"/>
          </w:tcPr>
          <w:p w:rsidR="00E35619" w:rsidRPr="003014E1" w:rsidRDefault="00E35619" w:rsidP="00E35619">
            <w:pPr>
              <w:spacing w:before="120" w:after="120"/>
            </w:pPr>
            <w:r w:rsidRPr="003014E1">
              <w:t>Deadline for clarification questions</w:t>
            </w:r>
          </w:p>
        </w:tc>
      </w:tr>
      <w:tr w:rsidR="00E35619" w:rsidRPr="003014E1" w:rsidTr="00F86ACD">
        <w:tc>
          <w:tcPr>
            <w:tcW w:w="905" w:type="pct"/>
          </w:tcPr>
          <w:p w:rsidR="00E35619" w:rsidRPr="003014E1" w:rsidRDefault="00FE78ED" w:rsidP="00E35619">
            <w:pPr>
              <w:spacing w:before="120" w:after="120"/>
            </w:pPr>
            <w:r>
              <w:t>10/12/18</w:t>
            </w:r>
          </w:p>
        </w:tc>
        <w:tc>
          <w:tcPr>
            <w:tcW w:w="4095" w:type="pct"/>
          </w:tcPr>
          <w:p w:rsidR="00E35619" w:rsidRPr="003014E1" w:rsidRDefault="00E35619" w:rsidP="00687E3A">
            <w:pPr>
              <w:spacing w:before="120" w:after="120"/>
            </w:pPr>
            <w:r w:rsidRPr="003014E1">
              <w:t xml:space="preserve">Deadline for submission of </w:t>
            </w:r>
            <w:r w:rsidR="00C80050">
              <w:t>C</w:t>
            </w:r>
            <w:r w:rsidR="00C97541">
              <w:t>V’s</w:t>
            </w:r>
          </w:p>
        </w:tc>
      </w:tr>
      <w:tr w:rsidR="00E35619" w:rsidRPr="003014E1" w:rsidTr="00F86ACD">
        <w:tc>
          <w:tcPr>
            <w:tcW w:w="905" w:type="pct"/>
          </w:tcPr>
          <w:p w:rsidR="00E35619" w:rsidRPr="003014E1" w:rsidRDefault="00FE78ED" w:rsidP="00E35619">
            <w:pPr>
              <w:spacing w:before="120" w:after="120"/>
            </w:pPr>
            <w:r>
              <w:t>21/12/18</w:t>
            </w:r>
          </w:p>
        </w:tc>
        <w:tc>
          <w:tcPr>
            <w:tcW w:w="4095" w:type="pct"/>
          </w:tcPr>
          <w:p w:rsidR="00E35619" w:rsidRPr="003014E1" w:rsidRDefault="00E35619" w:rsidP="00D169E3">
            <w:pPr>
              <w:spacing w:before="120" w:after="120"/>
            </w:pPr>
            <w:r w:rsidRPr="003014E1">
              <w:t>Notification to successful supplier</w:t>
            </w:r>
            <w:r w:rsidR="00FF7CBA">
              <w:t>s</w:t>
            </w:r>
          </w:p>
        </w:tc>
      </w:tr>
      <w:tr w:rsidR="00FF7CBA" w:rsidRPr="003014E1" w:rsidTr="00F86ACD">
        <w:tc>
          <w:tcPr>
            <w:tcW w:w="905" w:type="pct"/>
          </w:tcPr>
          <w:p w:rsidR="00FF7CBA" w:rsidRDefault="00FE78ED" w:rsidP="00E35619">
            <w:pPr>
              <w:spacing w:before="120" w:after="120"/>
            </w:pPr>
            <w:r>
              <w:t>14/01/19</w:t>
            </w:r>
          </w:p>
        </w:tc>
        <w:tc>
          <w:tcPr>
            <w:tcW w:w="4095" w:type="pct"/>
          </w:tcPr>
          <w:p w:rsidR="00FF7CBA" w:rsidRPr="003014E1" w:rsidRDefault="00F30489" w:rsidP="00E35619">
            <w:pPr>
              <w:spacing w:before="120" w:after="120"/>
            </w:pPr>
            <w:r>
              <w:t>Contract start date</w:t>
            </w:r>
          </w:p>
        </w:tc>
      </w:tr>
    </w:tbl>
    <w:p w:rsidR="006567AA" w:rsidRPr="003014E1" w:rsidRDefault="006567AA" w:rsidP="003014E1">
      <w:bookmarkStart w:id="44" w:name="_Toc309139690"/>
    </w:p>
    <w:p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rsidR="006567AA" w:rsidRPr="003014E1" w:rsidRDefault="00137F02" w:rsidP="003014E1">
      <w:bookmarkStart w:id="45" w:name="_Ref270655914"/>
      <w:r w:rsidRPr="003014E1">
        <w:t>Clarification requests should be submitted by e-mail only to</w:t>
      </w:r>
      <w:bookmarkEnd w:id="45"/>
      <w:r w:rsidR="006567AA" w:rsidRPr="003014E1">
        <w:t xml:space="preserve">: </w:t>
      </w:r>
      <w:hyperlink r:id="rId16" w:history="1">
        <w:r w:rsidR="00B404A6" w:rsidRPr="00D74B20">
          <w:rPr>
            <w:rStyle w:val="Hyperlink"/>
          </w:rPr>
          <w:t>TendersTD.STA@education.gov.uk</w:t>
        </w:r>
      </w:hyperlink>
      <w:r w:rsidR="00B404A6">
        <w:t xml:space="preserve"> </w:t>
      </w:r>
      <w:r w:rsidR="00B404A6">
        <w:rPr>
          <w:rStyle w:val="Hyperlink"/>
        </w:rPr>
        <w:t xml:space="preserve">and copied to </w:t>
      </w:r>
      <w:r w:rsidR="00305BA4">
        <w:rPr>
          <w:rStyle w:val="Hyperlink"/>
        </w:rPr>
        <w:t>chris.davies@education.gov.uk</w:t>
      </w:r>
    </w:p>
    <w:p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w:t>
      </w:r>
      <w:r w:rsidR="00687E3A">
        <w:t>th</w:t>
      </w:r>
      <w:r w:rsidR="00CE28DF">
        <w:t>is ITT and the proposed contract.</w:t>
      </w:r>
    </w:p>
    <w:p w:rsidR="006567AA" w:rsidRPr="003014E1" w:rsidRDefault="006567AA" w:rsidP="003014E1"/>
    <w:p w:rsidR="00137F02" w:rsidRPr="003014E1" w:rsidRDefault="00137F02" w:rsidP="003014E1">
      <w:r w:rsidRPr="003014E1">
        <w:t>Bidders should indicate if a query is of a commercially sensitive nature – where disclosure of such a query and the answer would or would be likely to prej</w:t>
      </w:r>
      <w:r w:rsidR="00FF7CBA">
        <w:t xml:space="preserve">udice its commercial interests.  </w:t>
      </w:r>
      <w:r w:rsidRPr="003014E1">
        <w:t>However, if STA at its sole discretion does not either consider the query to be of a commercially confidential nature, or one which all Bidders would potentially benefit from seeing, then STA will either:</w:t>
      </w:r>
    </w:p>
    <w:p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rsidR="006567AA" w:rsidRPr="003014E1" w:rsidRDefault="006567AA" w:rsidP="003014E1"/>
    <w:p w:rsidR="00137F02"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rsidR="003F4F1D" w:rsidRPr="003014E1" w:rsidRDefault="003F4F1D" w:rsidP="003014E1"/>
    <w:p w:rsidR="008B4A45" w:rsidRDefault="008B4A45" w:rsidP="003014E1">
      <w:pPr>
        <w:rPr>
          <w:b/>
          <w:sz w:val="28"/>
          <w:szCs w:val="28"/>
        </w:rPr>
      </w:pPr>
      <w:bookmarkStart w:id="46" w:name="_Toc309139691"/>
    </w:p>
    <w:p w:rsidR="008B4A45" w:rsidRDefault="008B4A45" w:rsidP="003014E1">
      <w:pPr>
        <w:rPr>
          <w:b/>
          <w:sz w:val="28"/>
          <w:szCs w:val="28"/>
        </w:rPr>
      </w:pPr>
    </w:p>
    <w:p w:rsidR="008B4A45" w:rsidRDefault="008B4A45" w:rsidP="003014E1">
      <w:pPr>
        <w:rPr>
          <w:b/>
          <w:sz w:val="28"/>
          <w:szCs w:val="28"/>
        </w:rPr>
      </w:pPr>
    </w:p>
    <w:p w:rsidR="00137F02" w:rsidRDefault="00792FEF" w:rsidP="003014E1">
      <w:pPr>
        <w:rPr>
          <w:b/>
          <w:sz w:val="28"/>
          <w:szCs w:val="28"/>
        </w:rPr>
      </w:pPr>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 xml:space="preserve">of </w:t>
      </w:r>
      <w:r w:rsidR="00C80050">
        <w:rPr>
          <w:b/>
          <w:sz w:val="28"/>
          <w:szCs w:val="28"/>
        </w:rPr>
        <w:t>Curriculum Vi</w:t>
      </w:r>
      <w:r w:rsidR="00C97541">
        <w:rPr>
          <w:b/>
          <w:sz w:val="28"/>
          <w:szCs w:val="28"/>
        </w:rPr>
        <w:t>tae</w:t>
      </w:r>
    </w:p>
    <w:p w:rsidR="00A879E6" w:rsidRDefault="002827AF" w:rsidP="003014E1">
      <w:r>
        <w:t>Individual b</w:t>
      </w:r>
      <w:r w:rsidR="00A879E6" w:rsidRPr="00097C27">
        <w:t>idders are required to submit a</w:t>
      </w:r>
      <w:r w:rsidR="001F573B">
        <w:t xml:space="preserve"> CV</w:t>
      </w:r>
      <w:r w:rsidR="00A879E6" w:rsidRPr="00097C27">
        <w:t xml:space="preserve">. </w:t>
      </w:r>
      <w:r>
        <w:t>Please ensure the following sections are included in the CV: contact details, educational background, professional experience</w:t>
      </w:r>
      <w:r w:rsidR="00067D25">
        <w:t xml:space="preserve"> including professional memberships</w:t>
      </w:r>
      <w:r>
        <w:t>, published work (peer reviewed and non-peer reviewed under separate headings).</w:t>
      </w:r>
    </w:p>
    <w:p w:rsidR="00A879E6" w:rsidRPr="006C126B" w:rsidRDefault="00A879E6" w:rsidP="003014E1">
      <w:pPr>
        <w:rPr>
          <w:b/>
          <w:sz w:val="28"/>
          <w:szCs w:val="28"/>
        </w:rPr>
      </w:pPr>
    </w:p>
    <w:p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w:t>
      </w:r>
      <w:r w:rsidR="00305BA4">
        <w:t>rne by Bidders,</w:t>
      </w:r>
      <w:r w:rsidRPr="003014E1">
        <w:t xml:space="preserve"> suppliers or advisers in this process.</w:t>
      </w:r>
    </w:p>
    <w:p w:rsidR="00425728" w:rsidRPr="003014E1" w:rsidRDefault="00425728" w:rsidP="003014E1"/>
    <w:p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rsidR="00425728" w:rsidRPr="003014E1" w:rsidRDefault="00425728" w:rsidP="003014E1"/>
    <w:p w:rsidR="00137F02" w:rsidRPr="003014E1" w:rsidRDefault="00137F02" w:rsidP="003014E1">
      <w:r w:rsidRPr="003014E1">
        <w:t xml:space="preserve">STA relies on Bidders' own analysis and review of information provided. </w:t>
      </w:r>
    </w:p>
    <w:p w:rsidR="00425728" w:rsidRPr="003014E1" w:rsidRDefault="00425728" w:rsidP="003014E1"/>
    <w:p w:rsidR="00137F02" w:rsidRPr="006C126B"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305BA4">
        <w:t>tender</w:t>
      </w:r>
      <w:r w:rsidRPr="003014E1">
        <w:t xml:space="preserve">. </w:t>
      </w:r>
    </w:p>
    <w:p w:rsidR="00425728" w:rsidRPr="003014E1" w:rsidRDefault="00425728" w:rsidP="003014E1"/>
    <w:p w:rsidR="00425728"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rsidR="00425728" w:rsidRPr="003014E1" w:rsidRDefault="00425728" w:rsidP="003014E1"/>
    <w:p w:rsidR="00137F02"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rsidR="004B268A" w:rsidRDefault="00137F02" w:rsidP="003014E1">
      <w:r w:rsidRPr="003014E1">
        <w:t>Any conflicts of interest should be declared</w:t>
      </w:r>
      <w:r w:rsidR="004B268A">
        <w:t xml:space="preserve"> in the covering email when the bidders submit their CV</w:t>
      </w:r>
    </w:p>
    <w:p w:rsidR="00E65041" w:rsidRDefault="00E65041" w:rsidP="003014E1"/>
    <w:p w:rsidR="004B268A" w:rsidRPr="00E65041" w:rsidRDefault="004B268A" w:rsidP="003014E1">
      <w:r w:rsidRPr="00E65041">
        <w:t xml:space="preserve">When bidding for subsequent call offs again conflicts of interest should be </w:t>
      </w:r>
      <w:r w:rsidR="00F94AC4" w:rsidRPr="00E65041">
        <w:t>declared.</w:t>
      </w:r>
      <w:r w:rsidR="00F94AC4" w:rsidRPr="00E65041">
        <w:rPr>
          <w:rFonts w:cs="Arial"/>
        </w:rPr>
        <w:t xml:space="preserve"> In</w:t>
      </w:r>
      <w:r w:rsidRPr="00E65041">
        <w:rPr>
          <w:rFonts w:cs="Arial"/>
        </w:rPr>
        <w:t xml:space="preserve"> order to insure independent professional advice and avoid conflict of interest, additional work will be reviewed on a case by case basis and any stated conflict of interest will be avoided.</w:t>
      </w:r>
    </w:p>
    <w:p w:rsidR="00B7253A" w:rsidRPr="00E65041" w:rsidRDefault="00B7253A" w:rsidP="003014E1"/>
    <w:p w:rsidR="00B7253A" w:rsidRDefault="00B7253A" w:rsidP="003014E1">
      <w:pPr>
        <w:rPr>
          <w:b/>
          <w:sz w:val="28"/>
          <w:szCs w:val="28"/>
        </w:rPr>
      </w:pPr>
      <w:r w:rsidRPr="004C7EF6">
        <w:rPr>
          <w:b/>
          <w:sz w:val="28"/>
          <w:szCs w:val="28"/>
        </w:rPr>
        <w:t>3.8 Daily rates and payment</w:t>
      </w:r>
    </w:p>
    <w:p w:rsidR="004A14CC" w:rsidRDefault="004A14CC" w:rsidP="004A14CC">
      <w:pPr>
        <w:widowControl w:val="0"/>
        <w:overflowPunct w:val="0"/>
        <w:autoSpaceDE w:val="0"/>
        <w:autoSpaceDN w:val="0"/>
        <w:adjustRightInd w:val="0"/>
        <w:textAlignment w:val="baseline"/>
        <w:rPr>
          <w:rFonts w:cs="Arial"/>
        </w:rPr>
      </w:pPr>
      <w:r>
        <w:t xml:space="preserve">Payments for the work will be </w:t>
      </w:r>
      <w:r>
        <w:rPr>
          <w:rFonts w:cs="Arial"/>
        </w:rPr>
        <w:t>using the daily rate of £</w:t>
      </w:r>
      <w:r w:rsidR="00DD6953">
        <w:rPr>
          <w:rFonts w:cs="Arial"/>
        </w:rPr>
        <w:t>700</w:t>
      </w:r>
      <w:r w:rsidR="007613DE">
        <w:rPr>
          <w:rFonts w:cs="Arial"/>
        </w:rPr>
        <w:t>.</w:t>
      </w:r>
    </w:p>
    <w:p w:rsidR="00305BA4" w:rsidRDefault="00305BA4" w:rsidP="00305BA4"/>
    <w:p w:rsidR="00425728" w:rsidRPr="003014E1" w:rsidRDefault="00063C4B" w:rsidP="003014E1">
      <w:r w:rsidRPr="003014E1">
        <w:t>Travel and subsistence will be paid in line with government guidelines. For overnight stays accommodation will be paid for within the limits of government policy.</w:t>
      </w:r>
    </w:p>
    <w:p w:rsidR="00B7253A" w:rsidRDefault="00B7253A" w:rsidP="003014E1"/>
    <w:p w:rsidR="00C248C0" w:rsidRPr="003014E1" w:rsidRDefault="00C248C0" w:rsidP="003014E1">
      <w:r>
        <w:t>A</w:t>
      </w:r>
      <w:r w:rsidRPr="003014E1">
        <w:t>pplicants will be paid on the completion of the relevant work</w:t>
      </w:r>
      <w:r w:rsidR="004A14CC">
        <w:t xml:space="preserve">, and after a compliant invoice has been received. </w:t>
      </w:r>
      <w:r w:rsidR="00DA1FC0">
        <w:t xml:space="preserve">Details of a compliant invoice are contained within the contract.  A </w:t>
      </w:r>
      <w:r w:rsidR="00F152D4">
        <w:t>non-compliant</w:t>
      </w:r>
      <w:r w:rsidR="00DA1FC0">
        <w:t xml:space="preserve"> invoice will result in a delay in payment</w:t>
      </w:r>
      <w:r w:rsidR="0095527A">
        <w:t>.</w:t>
      </w:r>
    </w:p>
    <w:p w:rsidR="00B7253A" w:rsidRDefault="00B7253A" w:rsidP="003014E1"/>
    <w:p w:rsidR="00C248C0" w:rsidRDefault="00F06007" w:rsidP="003014E1">
      <w:r>
        <w:t xml:space="preserve">Please note that </w:t>
      </w:r>
      <w:r w:rsidR="003746E0">
        <w:t>UK</w:t>
      </w:r>
      <w:r w:rsidR="00305BA4">
        <w:t xml:space="preserve"> </w:t>
      </w:r>
      <w:r>
        <w:t>individuals will be taxed at source and VAT is not applicable.</w:t>
      </w:r>
    </w:p>
    <w:p w:rsidR="00540686" w:rsidRDefault="00540686" w:rsidP="003014E1"/>
    <w:p w:rsidR="00540686" w:rsidRDefault="00540686" w:rsidP="003014E1"/>
    <w:p w:rsidR="00A879E6" w:rsidRDefault="00A879E6" w:rsidP="003014E1"/>
    <w:p w:rsidR="003F4F1D" w:rsidRPr="003014E1" w:rsidRDefault="003F4F1D" w:rsidP="003014E1"/>
    <w:p w:rsidR="00137F02" w:rsidRPr="006C126B" w:rsidRDefault="00792FEF" w:rsidP="003014E1">
      <w:pPr>
        <w:rPr>
          <w:b/>
          <w:sz w:val="28"/>
          <w:szCs w:val="28"/>
        </w:rPr>
      </w:pPr>
      <w:bookmarkStart w:id="49" w:name="_Toc309139695"/>
      <w:r w:rsidRPr="006C126B">
        <w:rPr>
          <w:b/>
          <w:sz w:val="28"/>
          <w:szCs w:val="28"/>
        </w:rPr>
        <w:t xml:space="preserve">3.9 </w:t>
      </w:r>
      <w:r w:rsidR="00137F02" w:rsidRPr="006C126B">
        <w:rPr>
          <w:b/>
          <w:sz w:val="28"/>
          <w:szCs w:val="28"/>
        </w:rPr>
        <w:t xml:space="preserve">Submission of </w:t>
      </w:r>
      <w:r w:rsidR="00C80050">
        <w:rPr>
          <w:b/>
          <w:sz w:val="28"/>
          <w:szCs w:val="28"/>
        </w:rPr>
        <w:t>Curriculum Vitae</w:t>
      </w:r>
      <w:bookmarkEnd w:id="49"/>
    </w:p>
    <w:p w:rsidR="00137F02" w:rsidRPr="003014E1" w:rsidRDefault="00137F02" w:rsidP="003014E1">
      <w:r w:rsidRPr="003014E1">
        <w:t xml:space="preserve">Bidders must submit their </w:t>
      </w:r>
      <w:r w:rsidR="00C97541">
        <w:t>CV’s</w:t>
      </w:r>
      <w:r w:rsidRPr="003014E1">
        <w:t xml:space="preserve"> in electronic </w:t>
      </w:r>
      <w:r w:rsidR="00A42FB8" w:rsidRPr="003014E1">
        <w:t xml:space="preserve">format </w:t>
      </w:r>
      <w:r w:rsidR="00A42FB8">
        <w:t xml:space="preserve">as a Microsoft </w:t>
      </w:r>
      <w:r w:rsidRPr="003014E1">
        <w:t xml:space="preserve">Word </w:t>
      </w:r>
      <w:r w:rsidR="00D16002">
        <w:t xml:space="preserve">2016 </w:t>
      </w:r>
      <w:r w:rsidR="00A42FB8">
        <w:t>(or equivalent</w:t>
      </w:r>
      <w:r w:rsidR="00C97541">
        <w:t xml:space="preserve">) </w:t>
      </w:r>
      <w:r w:rsidR="00C97541" w:rsidRPr="003014E1">
        <w:t>with</w:t>
      </w:r>
      <w:r w:rsidRPr="003014E1">
        <w:t xml:space="preserve"> their </w:t>
      </w:r>
      <w:r w:rsidR="00063C4B">
        <w:t xml:space="preserve">name </w:t>
      </w:r>
      <w:r w:rsidRPr="003014E1">
        <w:t>in the document title</w:t>
      </w:r>
      <w:r w:rsidR="00A42FB8">
        <w:t>.</w:t>
      </w:r>
    </w:p>
    <w:p w:rsidR="001F2CF6" w:rsidRPr="003014E1" w:rsidRDefault="001F2CF6" w:rsidP="003014E1"/>
    <w:p w:rsidR="00CC0F00" w:rsidRDefault="00C80050" w:rsidP="003014E1">
      <w:r>
        <w:t>CV’s</w:t>
      </w:r>
      <w:r w:rsidR="00137F02" w:rsidRPr="003014E1">
        <w:t xml:space="preserve"> must be received </w:t>
      </w:r>
      <w:r w:rsidR="008207D0" w:rsidRPr="003014E1">
        <w:t xml:space="preserve">by </w:t>
      </w:r>
      <w:r w:rsidR="00E17E72">
        <w:t>midday</w:t>
      </w:r>
      <w:r w:rsidR="00E17E72" w:rsidRPr="003014E1">
        <w:t xml:space="preserve"> </w:t>
      </w:r>
      <w:r w:rsidR="007802FB">
        <w:t>10 December</w:t>
      </w:r>
      <w:r w:rsidR="00305BA4">
        <w:t xml:space="preserve"> 2018</w:t>
      </w:r>
      <w:r w:rsidR="00E17E72" w:rsidRPr="003014E1">
        <w:t xml:space="preserve"> </w:t>
      </w:r>
      <w:r w:rsidR="00CC0F00" w:rsidRPr="003014E1">
        <w:t xml:space="preserve">and </w:t>
      </w:r>
      <w:r w:rsidR="00B019E0" w:rsidRPr="003014E1">
        <w:t xml:space="preserve">should be sent to </w:t>
      </w:r>
      <w:hyperlink r:id="rId17" w:history="1">
        <w:r w:rsidR="00227ADC" w:rsidRPr="00030476">
          <w:rPr>
            <w:rStyle w:val="Hyperlink"/>
          </w:rPr>
          <w:t>TendersTD.STA@education.gov.uk</w:t>
        </w:r>
      </w:hyperlink>
      <w:r w:rsidR="00BA5769">
        <w:t xml:space="preserve"> and copied to </w:t>
      </w:r>
      <w:hyperlink r:id="rId18" w:history="1">
        <w:r w:rsidR="00305BA4" w:rsidRPr="00B5508E">
          <w:rPr>
            <w:rStyle w:val="Hyperlink"/>
          </w:rPr>
          <w:t>chris.davies@education.gov.uk</w:t>
        </w:r>
      </w:hyperlink>
    </w:p>
    <w:p w:rsidR="00305BA4" w:rsidRPr="003014E1" w:rsidRDefault="00305BA4" w:rsidP="003014E1"/>
    <w:p w:rsidR="00137F02" w:rsidRPr="003014E1" w:rsidRDefault="00C80050" w:rsidP="003014E1">
      <w:r>
        <w:t>CV’s</w:t>
      </w:r>
      <w:r w:rsidR="00137F02" w:rsidRPr="003014E1">
        <w:t xml:space="preserve"> will be accepted at any time up to this deadline but will not be opened or evaluated until the deadline has passed. </w:t>
      </w:r>
    </w:p>
    <w:p w:rsidR="006C126B" w:rsidRDefault="006C126B" w:rsidP="003014E1"/>
    <w:p w:rsidR="00137F02" w:rsidRPr="003014E1" w:rsidRDefault="00137F02" w:rsidP="003014E1">
      <w:r w:rsidRPr="003014E1">
        <w:t xml:space="preserve">Any </w:t>
      </w:r>
      <w:r w:rsidR="00C80050">
        <w:t>CV</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rsidR="00425728" w:rsidRPr="003014E1" w:rsidRDefault="00425728" w:rsidP="003014E1"/>
    <w:p w:rsidR="00137F02" w:rsidRPr="006C126B" w:rsidRDefault="00792FEF" w:rsidP="003014E1">
      <w:pPr>
        <w:rPr>
          <w:b/>
          <w:sz w:val="28"/>
          <w:szCs w:val="28"/>
        </w:rPr>
      </w:pPr>
      <w:bookmarkStart w:id="50"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0"/>
    </w:p>
    <w:p w:rsidR="00137F02" w:rsidRPr="003014E1" w:rsidRDefault="00137F02" w:rsidP="003014E1">
      <w:r w:rsidRPr="003014E1">
        <w:t>The STA reserves the right to reject or disqualify a Bidder where:</w:t>
      </w:r>
    </w:p>
    <w:p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rsidR="005D7287" w:rsidRDefault="005D7287" w:rsidP="003014E1">
      <w:bookmarkStart w:id="51" w:name="_Toc309139697"/>
    </w:p>
    <w:p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1"/>
    </w:p>
    <w:p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rsidR="00425728" w:rsidRPr="003014E1" w:rsidRDefault="00425728" w:rsidP="003014E1"/>
    <w:p w:rsidR="00425728" w:rsidRPr="003014E1" w:rsidRDefault="00425728" w:rsidP="003014E1"/>
    <w:p w:rsidR="006A3ABF" w:rsidRDefault="006A3ABF">
      <w:pPr>
        <w:rPr>
          <w:b/>
          <w:sz w:val="32"/>
          <w:szCs w:val="32"/>
        </w:rPr>
      </w:pPr>
      <w:bookmarkStart w:id="52" w:name="_Toc309139698"/>
      <w:r>
        <w:rPr>
          <w:b/>
          <w:sz w:val="32"/>
          <w:szCs w:val="32"/>
        </w:rPr>
        <w:br w:type="page"/>
      </w:r>
    </w:p>
    <w:p w:rsidR="00137F02" w:rsidRPr="00B74522" w:rsidRDefault="00B74522" w:rsidP="003014E1">
      <w:pPr>
        <w:rPr>
          <w:b/>
          <w:sz w:val="32"/>
          <w:szCs w:val="32"/>
        </w:rPr>
      </w:pPr>
      <w:r w:rsidRPr="00B74522">
        <w:rPr>
          <w:b/>
          <w:sz w:val="32"/>
          <w:szCs w:val="32"/>
        </w:rPr>
        <w:t>4</w:t>
      </w:r>
      <w:r w:rsidR="00861B2D">
        <w:rPr>
          <w:b/>
          <w:sz w:val="32"/>
          <w:szCs w:val="32"/>
        </w:rPr>
        <w:t>.</w:t>
      </w:r>
      <w:r w:rsidRPr="00B74522">
        <w:rPr>
          <w:b/>
          <w:sz w:val="32"/>
          <w:szCs w:val="32"/>
        </w:rPr>
        <w:t xml:space="preserve"> </w:t>
      </w:r>
      <w:r w:rsidR="00137F02" w:rsidRPr="00B74522">
        <w:rPr>
          <w:b/>
          <w:sz w:val="32"/>
          <w:szCs w:val="32"/>
        </w:rPr>
        <w:t>EVALUATION METHODOLOGY</w:t>
      </w:r>
      <w:bookmarkEnd w:id="52"/>
    </w:p>
    <w:p w:rsidR="00B74522" w:rsidRDefault="00B74522" w:rsidP="003014E1">
      <w:bookmarkStart w:id="53" w:name="_Toc309139699"/>
    </w:p>
    <w:p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3"/>
    </w:p>
    <w:p w:rsidR="00B74522" w:rsidRDefault="00097C27" w:rsidP="003014E1">
      <w:r>
        <w:t>CVs</w:t>
      </w:r>
      <w:r w:rsidR="00137F02" w:rsidRPr="003014E1">
        <w:t xml:space="preserve"> will be evaluated in order to determine the most advantageous solution for STA in line with the Framework ordering process.</w:t>
      </w:r>
    </w:p>
    <w:p w:rsidR="00B74522" w:rsidRDefault="00B74522" w:rsidP="003014E1"/>
    <w:p w:rsidR="00AF2E4B" w:rsidRPr="003014E1" w:rsidRDefault="001F573B" w:rsidP="003014E1">
      <w:r>
        <w:t xml:space="preserve">The top ten </w:t>
      </w:r>
      <w:r w:rsidR="00097C27">
        <w:t>CVs</w:t>
      </w:r>
      <w:r w:rsidR="00AF2E4B" w:rsidRPr="003014E1">
        <w:t xml:space="preserve"> that meet the quality thres</w:t>
      </w:r>
      <w:r w:rsidR="00B31133">
        <w:t xml:space="preserve">hold of </w:t>
      </w:r>
      <w:r w:rsidR="00AF2E4B" w:rsidRPr="003014E1">
        <w:t xml:space="preserve">will be added to the </w:t>
      </w:r>
      <w:r w:rsidR="00D768F9">
        <w:t>Technical Advisory Group Framework</w:t>
      </w:r>
      <w:r w:rsidR="00AF2E4B" w:rsidRPr="003014E1">
        <w:t>.</w:t>
      </w:r>
    </w:p>
    <w:p w:rsidR="00B74522" w:rsidRPr="003014E1" w:rsidRDefault="00B74522" w:rsidP="003014E1"/>
    <w:p w:rsidR="00137F02" w:rsidRPr="00B74522" w:rsidRDefault="00792FEF" w:rsidP="003014E1">
      <w:pPr>
        <w:rPr>
          <w:b/>
          <w:sz w:val="28"/>
          <w:szCs w:val="28"/>
        </w:rPr>
      </w:pPr>
      <w:bookmarkStart w:id="54" w:name="_Toc309139700"/>
      <w:r w:rsidRPr="00B74522">
        <w:rPr>
          <w:b/>
          <w:sz w:val="28"/>
          <w:szCs w:val="28"/>
        </w:rPr>
        <w:t xml:space="preserve">4.2 </w:t>
      </w:r>
      <w:r w:rsidR="00137F02" w:rsidRPr="00B74522">
        <w:rPr>
          <w:b/>
          <w:sz w:val="28"/>
          <w:szCs w:val="28"/>
        </w:rPr>
        <w:t>Evaluation process</w:t>
      </w:r>
      <w:bookmarkEnd w:id="54"/>
    </w:p>
    <w:p w:rsidR="00B74522" w:rsidRDefault="00097C27" w:rsidP="003014E1">
      <w:r>
        <w:t>CV’s</w:t>
      </w:r>
      <w:r w:rsidR="00137F02" w:rsidRPr="003014E1">
        <w:t xml:space="preserve"> will be formally logged upon receipt. Any </w:t>
      </w:r>
      <w:r w:rsidR="00612372">
        <w:t>CV’s</w:t>
      </w:r>
      <w:r w:rsidR="00612372" w:rsidRPr="003014E1">
        <w:t xml:space="preserve"> </w:t>
      </w:r>
      <w:r w:rsidR="00137F02" w:rsidRPr="003014E1">
        <w:t xml:space="preserve">that is received after the deadline </w:t>
      </w:r>
      <w:r w:rsidR="008C4143" w:rsidRPr="003014E1">
        <w:t>may</w:t>
      </w:r>
      <w:r w:rsidR="00137F02" w:rsidRPr="003014E1">
        <w:t xml:space="preserve"> be rejected.</w:t>
      </w:r>
    </w:p>
    <w:p w:rsidR="00B74522" w:rsidRDefault="00B74522" w:rsidP="003014E1"/>
    <w:p w:rsidR="00CC0F00" w:rsidRDefault="00137F02" w:rsidP="003014E1">
      <w:r w:rsidRPr="003014E1">
        <w:t xml:space="preserve">Following the deadline, a compliance check will then be conducted on all </w:t>
      </w:r>
      <w:r w:rsidR="00612372">
        <w:t>CV’s</w:t>
      </w:r>
      <w:r w:rsidR="00612372" w:rsidRPr="003014E1">
        <w:t xml:space="preserve"> </w:t>
      </w:r>
      <w:r w:rsidRPr="003014E1">
        <w:t xml:space="preserve">that are received on time to determine whether they correspond to the </w:t>
      </w:r>
      <w:r w:rsidR="00612372">
        <w:t>CV’s</w:t>
      </w:r>
      <w:r w:rsidR="00612372" w:rsidRPr="003014E1">
        <w:t xml:space="preserve"> </w:t>
      </w:r>
      <w:r w:rsidRPr="003014E1">
        <w:t xml:space="preserve">requirements. STA may reject any </w:t>
      </w:r>
      <w:r w:rsidR="00612372">
        <w:t>CV</w:t>
      </w:r>
      <w:r w:rsidR="00612372" w:rsidRPr="003014E1">
        <w:t xml:space="preserve"> </w:t>
      </w:r>
      <w:r w:rsidRPr="003014E1">
        <w:t>that does not comply with these requirements</w:t>
      </w:r>
      <w:r w:rsidR="00CC0F00" w:rsidRPr="003014E1">
        <w:t>.</w:t>
      </w:r>
    </w:p>
    <w:p w:rsidR="00652EF6" w:rsidRDefault="00652EF6" w:rsidP="003014E1"/>
    <w:p w:rsidR="00652EF6" w:rsidRDefault="00097C27" w:rsidP="00652EF6">
      <w:r>
        <w:t>C</w:t>
      </w:r>
      <w:r w:rsidR="00E65B8D">
        <w:t>V</w:t>
      </w:r>
      <w:r>
        <w:t>’s</w:t>
      </w:r>
      <w:r w:rsidR="00652EF6">
        <w:t xml:space="preserve"> w</w:t>
      </w:r>
      <w:r w:rsidR="00652EF6" w:rsidRPr="003014E1">
        <w:t>ill be evaluated solely on the responses and associated evidence provided by the B</w:t>
      </w:r>
      <w:r w:rsidR="00652EF6">
        <w:t>idder in the following sections of this ITT</w:t>
      </w:r>
      <w:r w:rsidR="00652EF6" w:rsidRPr="003014E1">
        <w:t>.</w:t>
      </w:r>
    </w:p>
    <w:p w:rsidR="00767DAA" w:rsidRDefault="00767DAA" w:rsidP="00652EF6"/>
    <w:p w:rsidR="00767DAA" w:rsidRDefault="00767DAA" w:rsidP="00652EF6"/>
    <w:p w:rsidR="00767DAA" w:rsidRPr="00540686" w:rsidRDefault="00767DAA" w:rsidP="00540686">
      <w:pPr>
        <w:tabs>
          <w:tab w:val="num" w:pos="851"/>
        </w:tabs>
        <w:spacing w:after="60"/>
        <w:rPr>
          <w:lang w:eastAsia="en-GB"/>
        </w:rPr>
      </w:pPr>
      <w:r w:rsidRPr="001F573B">
        <w:rPr>
          <w:u w:val="single"/>
          <w:lang w:eastAsia="en-GB"/>
        </w:rPr>
        <w:t>Technical evaluation</w:t>
      </w:r>
      <w:r w:rsidRPr="00540686">
        <w:rPr>
          <w:lang w:eastAsia="en-GB"/>
        </w:rPr>
        <w:t xml:space="preserve"> </w:t>
      </w:r>
      <w:r w:rsidRPr="00540686">
        <w:rPr>
          <w:lang w:eastAsia="en-GB"/>
        </w:rPr>
        <w:br/>
        <w:t>CV’</w:t>
      </w:r>
      <w:r w:rsidR="00E65B8D">
        <w:rPr>
          <w:lang w:eastAsia="en-GB"/>
        </w:rPr>
        <w:t>s</w:t>
      </w:r>
      <w:r w:rsidRPr="00540686">
        <w:rPr>
          <w:lang w:eastAsia="en-GB"/>
        </w:rPr>
        <w:t xml:space="preserve"> will be scored by </w:t>
      </w:r>
      <w:r w:rsidR="00B31133">
        <w:rPr>
          <w:lang w:eastAsia="en-GB"/>
        </w:rPr>
        <w:t xml:space="preserve">an </w:t>
      </w:r>
      <w:r w:rsidRPr="00540686">
        <w:rPr>
          <w:lang w:eastAsia="en-GB"/>
        </w:rPr>
        <w:t>evaluation pane</w:t>
      </w:r>
      <w:r w:rsidR="00B31133">
        <w:rPr>
          <w:lang w:eastAsia="en-GB"/>
        </w:rPr>
        <w:t xml:space="preserve">l using the criteria </w:t>
      </w:r>
      <w:r w:rsidRPr="00540686">
        <w:rPr>
          <w:lang w:eastAsia="en-GB"/>
        </w:rPr>
        <w:t xml:space="preserve">set out </w:t>
      </w:r>
      <w:r w:rsidR="00B31133">
        <w:rPr>
          <w:lang w:eastAsia="en-GB"/>
        </w:rPr>
        <w:t>below</w:t>
      </w:r>
      <w:r w:rsidR="00992A20">
        <w:rPr>
          <w:lang w:eastAsia="en-GB"/>
        </w:rPr>
        <w:t xml:space="preserve">. The technical threshold for consideration to be part of the panel is a score of </w:t>
      </w:r>
      <w:r w:rsidR="003668A9">
        <w:rPr>
          <w:lang w:eastAsia="en-GB"/>
        </w:rPr>
        <w:t>8.</w:t>
      </w:r>
    </w:p>
    <w:p w:rsidR="00767DAA" w:rsidRPr="00540686" w:rsidRDefault="00767DAA" w:rsidP="00767DAA">
      <w:pPr>
        <w:spacing w:after="60"/>
        <w:ind w:left="851"/>
        <w:rPr>
          <w:lang w:eastAsia="en-GB"/>
        </w:rPr>
      </w:pPr>
    </w:p>
    <w:p w:rsidR="005B5B39" w:rsidRDefault="005B5B39" w:rsidP="005B5B39">
      <w:r w:rsidRPr="000666E5">
        <w:t xml:space="preserve">The method of scoring the evaluation sections will be a </w:t>
      </w:r>
      <w:r>
        <w:t xml:space="preserve">0 </w:t>
      </w:r>
      <w:r w:rsidR="00B2381A">
        <w:t>–</w:t>
      </w:r>
      <w:r>
        <w:t xml:space="preserve"> </w:t>
      </w:r>
      <w:r w:rsidR="00767DAA">
        <w:t>2</w:t>
      </w:r>
      <w:r w:rsidR="00B2381A">
        <w:t xml:space="preserve"> and 0-3</w:t>
      </w:r>
      <w:r w:rsidRPr="000666E5">
        <w:t xml:space="preserve"> point scale. Evaluators will use this to assign a score to each evaluation question response.</w:t>
      </w:r>
    </w:p>
    <w:p w:rsidR="00767DAA" w:rsidRDefault="00767DAA" w:rsidP="005B5B39"/>
    <w:p w:rsidR="00767DAA" w:rsidRPr="00DA1FC0" w:rsidRDefault="000D08A7" w:rsidP="005B5B39">
      <w:pPr>
        <w:rPr>
          <w:u w:val="single"/>
        </w:rPr>
      </w:pPr>
      <w:r w:rsidRPr="00DA1FC0">
        <w:rPr>
          <w:u w:val="single"/>
        </w:rPr>
        <w:t>Educational background</w:t>
      </w:r>
    </w:p>
    <w:p w:rsidR="005B5B39" w:rsidRDefault="005B5B39" w:rsidP="005B5B39"/>
    <w:p w:rsidR="003363CE" w:rsidRDefault="001F573B" w:rsidP="005B5B39">
      <w:r>
        <w:t xml:space="preserve">Scoring </w:t>
      </w:r>
      <w:r w:rsidR="003363CE">
        <w:t>0-2</w:t>
      </w: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5B5B39" w:rsidRPr="004D43CD" w:rsidTr="00C358CB">
        <w:trPr>
          <w:trHeight w:val="510"/>
        </w:trPr>
        <w:tc>
          <w:tcPr>
            <w:tcW w:w="1815" w:type="dxa"/>
            <w:shd w:val="clear" w:color="auto" w:fill="BDD6EE"/>
            <w:tcMar>
              <w:top w:w="0" w:type="dxa"/>
              <w:left w:w="108" w:type="dxa"/>
              <w:bottom w:w="0" w:type="dxa"/>
              <w:right w:w="108" w:type="dxa"/>
            </w:tcMar>
            <w:vAlign w:val="center"/>
            <w:hideMark/>
          </w:tcPr>
          <w:p w:rsidR="005B5B39" w:rsidRPr="004D43CD" w:rsidRDefault="005B5B39" w:rsidP="00C358CB">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5B5B39" w:rsidRPr="004D43CD" w:rsidRDefault="005B5B39" w:rsidP="00C358CB">
            <w:pPr>
              <w:jc w:val="both"/>
              <w:rPr>
                <w:rFonts w:ascii="Calibri" w:hAnsi="Calibri" w:cs="Calibri"/>
              </w:rPr>
            </w:pPr>
            <w:r w:rsidRPr="004D43CD">
              <w:t>Description</w:t>
            </w:r>
          </w:p>
        </w:tc>
      </w:tr>
      <w:tr w:rsidR="00B046A0" w:rsidRPr="004D43CD" w:rsidTr="00C358CB">
        <w:trPr>
          <w:trHeight w:val="805"/>
        </w:trPr>
        <w:tc>
          <w:tcPr>
            <w:tcW w:w="1815" w:type="dxa"/>
            <w:shd w:val="clear" w:color="auto" w:fill="auto"/>
            <w:tcMar>
              <w:top w:w="0" w:type="dxa"/>
              <w:left w:w="108" w:type="dxa"/>
              <w:bottom w:w="0" w:type="dxa"/>
              <w:right w:w="108" w:type="dxa"/>
            </w:tcMar>
            <w:hideMark/>
          </w:tcPr>
          <w:p w:rsidR="00B046A0" w:rsidRPr="004D43CD" w:rsidRDefault="00767DAA" w:rsidP="00767DAA">
            <w:pPr>
              <w:spacing w:after="240"/>
              <w:jc w:val="both"/>
            </w:pPr>
            <w:r>
              <w:t>2</w:t>
            </w:r>
            <w:r w:rsidR="00B046A0" w:rsidRPr="004D43CD">
              <w:t xml:space="preserve"> marks</w:t>
            </w:r>
          </w:p>
        </w:tc>
        <w:tc>
          <w:tcPr>
            <w:tcW w:w="8074" w:type="dxa"/>
            <w:shd w:val="clear" w:color="auto" w:fill="auto"/>
            <w:tcMar>
              <w:top w:w="0" w:type="dxa"/>
              <w:left w:w="108" w:type="dxa"/>
              <w:bottom w:w="0" w:type="dxa"/>
              <w:right w:w="108" w:type="dxa"/>
            </w:tcMar>
            <w:hideMark/>
          </w:tcPr>
          <w:p w:rsidR="00A26C10" w:rsidRDefault="00B046A0" w:rsidP="00A26C10">
            <w:pPr>
              <w:spacing w:after="240"/>
              <w:jc w:val="both"/>
            </w:pPr>
            <w:r w:rsidRPr="000666E5">
              <w:t xml:space="preserve">A score of </w:t>
            </w:r>
            <w:r w:rsidR="00A26C10">
              <w:t>2</w:t>
            </w:r>
            <w:r w:rsidRPr="000666E5">
              <w:t xml:space="preserve"> will reflect that the bidder has demonstrated </w:t>
            </w:r>
            <w:r w:rsidR="000D08A7">
              <w:t xml:space="preserve">a </w:t>
            </w:r>
            <w:r>
              <w:t xml:space="preserve">highly relevant </w:t>
            </w:r>
            <w:r w:rsidR="000D08A7">
              <w:t>educational background</w:t>
            </w:r>
            <w:r w:rsidRPr="000666E5">
              <w:t>.</w:t>
            </w:r>
          </w:p>
          <w:p w:rsidR="00B046A0" w:rsidRPr="000666E5" w:rsidRDefault="00A26C10" w:rsidP="000D08A7">
            <w:pPr>
              <w:spacing w:after="240"/>
              <w:jc w:val="both"/>
            </w:pPr>
            <w:r>
              <w:t xml:space="preserve">Examples </w:t>
            </w:r>
            <w:r w:rsidR="000D08A7">
              <w:t xml:space="preserve">of educational background </w:t>
            </w:r>
            <w:r>
              <w:t xml:space="preserve">being </w:t>
            </w:r>
            <w:r w:rsidR="000D08A7">
              <w:t>scored a 2 include a PhD in educational measurement or allied field, MSc/MA in educational statistics.</w:t>
            </w:r>
          </w:p>
        </w:tc>
      </w:tr>
      <w:tr w:rsidR="00B046A0" w:rsidRPr="004D43CD" w:rsidTr="00C358CB">
        <w:trPr>
          <w:trHeight w:val="285"/>
        </w:trPr>
        <w:tc>
          <w:tcPr>
            <w:tcW w:w="1815" w:type="dxa"/>
            <w:shd w:val="clear" w:color="auto" w:fill="auto"/>
            <w:tcMar>
              <w:top w:w="0" w:type="dxa"/>
              <w:left w:w="108" w:type="dxa"/>
              <w:bottom w:w="0" w:type="dxa"/>
              <w:right w:w="108" w:type="dxa"/>
            </w:tcMar>
            <w:hideMark/>
          </w:tcPr>
          <w:p w:rsidR="00B046A0" w:rsidRPr="004D43CD" w:rsidRDefault="00B046A0" w:rsidP="00B046A0">
            <w:pPr>
              <w:spacing w:after="240"/>
              <w:jc w:val="both"/>
            </w:pPr>
            <w:r w:rsidRPr="004D43CD">
              <w:t>1 mark</w:t>
            </w:r>
          </w:p>
        </w:tc>
        <w:tc>
          <w:tcPr>
            <w:tcW w:w="8074" w:type="dxa"/>
            <w:shd w:val="clear" w:color="auto" w:fill="auto"/>
            <w:tcMar>
              <w:top w:w="0" w:type="dxa"/>
              <w:left w:w="108" w:type="dxa"/>
              <w:bottom w:w="0" w:type="dxa"/>
              <w:right w:w="108" w:type="dxa"/>
            </w:tcMar>
            <w:hideMark/>
          </w:tcPr>
          <w:p w:rsidR="00B046A0" w:rsidRPr="000666E5" w:rsidRDefault="00B046A0" w:rsidP="000D08A7">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sidR="000D08A7">
              <w:rPr>
                <w:rFonts w:eastAsia="Calibri" w:cs="Arial"/>
              </w:rPr>
              <w:t xml:space="preserve">a </w:t>
            </w:r>
            <w:r>
              <w:rPr>
                <w:rFonts w:eastAsia="Calibri" w:cs="Arial"/>
              </w:rPr>
              <w:t xml:space="preserve">relevant </w:t>
            </w:r>
            <w:r w:rsidR="000D08A7">
              <w:rPr>
                <w:rFonts w:eastAsia="Calibri" w:cs="Arial"/>
              </w:rPr>
              <w:t>educational background</w:t>
            </w:r>
            <w:r w:rsidRPr="000666E5">
              <w:t>.</w:t>
            </w:r>
          </w:p>
        </w:tc>
      </w:tr>
      <w:tr w:rsidR="00B046A0" w:rsidRPr="004D43CD" w:rsidTr="00C358CB">
        <w:trPr>
          <w:trHeight w:val="285"/>
        </w:trPr>
        <w:tc>
          <w:tcPr>
            <w:tcW w:w="1815" w:type="dxa"/>
            <w:shd w:val="clear" w:color="auto" w:fill="auto"/>
            <w:tcMar>
              <w:top w:w="0" w:type="dxa"/>
              <w:left w:w="108" w:type="dxa"/>
              <w:bottom w:w="0" w:type="dxa"/>
              <w:right w:w="108" w:type="dxa"/>
            </w:tcMar>
            <w:hideMark/>
          </w:tcPr>
          <w:p w:rsidR="00B046A0" w:rsidRPr="004D43CD" w:rsidRDefault="00B046A0" w:rsidP="00B046A0">
            <w:pPr>
              <w:spacing w:after="240"/>
              <w:jc w:val="both"/>
            </w:pPr>
            <w:r w:rsidRPr="004D43CD">
              <w:t>0 marks</w:t>
            </w:r>
          </w:p>
        </w:tc>
        <w:tc>
          <w:tcPr>
            <w:tcW w:w="8074" w:type="dxa"/>
            <w:shd w:val="clear" w:color="auto" w:fill="auto"/>
            <w:tcMar>
              <w:top w:w="0" w:type="dxa"/>
              <w:left w:w="108" w:type="dxa"/>
              <w:bottom w:w="0" w:type="dxa"/>
              <w:right w:w="108" w:type="dxa"/>
            </w:tcMar>
            <w:hideMark/>
          </w:tcPr>
          <w:p w:rsidR="00B046A0" w:rsidRPr="000666E5" w:rsidRDefault="000D08A7" w:rsidP="00B046A0">
            <w:pPr>
              <w:spacing w:after="240"/>
              <w:jc w:val="both"/>
            </w:pPr>
            <w:r>
              <w:t>Educational background section is missing from the CV</w:t>
            </w:r>
            <w:r w:rsidR="00B046A0" w:rsidRPr="000666E5">
              <w:t xml:space="preserve">. </w:t>
            </w:r>
          </w:p>
        </w:tc>
      </w:tr>
    </w:tbl>
    <w:p w:rsidR="006A3ABF" w:rsidRDefault="006A3ABF">
      <w:pPr>
        <w:rPr>
          <w:b/>
          <w:sz w:val="28"/>
          <w:szCs w:val="28"/>
        </w:rPr>
      </w:pPr>
      <w:bookmarkStart w:id="55" w:name="_Toc309139701"/>
    </w:p>
    <w:p w:rsidR="003363CE" w:rsidRDefault="003363CE">
      <w:pPr>
        <w:rPr>
          <w:b/>
          <w:sz w:val="28"/>
          <w:szCs w:val="28"/>
        </w:rPr>
      </w:pPr>
    </w:p>
    <w:p w:rsidR="004333DA" w:rsidRDefault="004333DA">
      <w:pPr>
        <w:rPr>
          <w:b/>
          <w:sz w:val="28"/>
          <w:szCs w:val="28"/>
        </w:rPr>
      </w:pPr>
    </w:p>
    <w:p w:rsidR="00A26C10" w:rsidRDefault="00A26C10">
      <w:pPr>
        <w:rPr>
          <w:b/>
          <w:sz w:val="28"/>
          <w:szCs w:val="28"/>
        </w:rPr>
      </w:pPr>
    </w:p>
    <w:p w:rsidR="006C206C" w:rsidRPr="00DA1FC0" w:rsidRDefault="00900A20">
      <w:pPr>
        <w:rPr>
          <w:u w:val="single"/>
        </w:rPr>
      </w:pPr>
      <w:r w:rsidRPr="00DA1FC0">
        <w:rPr>
          <w:u w:val="single"/>
        </w:rPr>
        <w:t>Professional experience</w:t>
      </w:r>
    </w:p>
    <w:p w:rsidR="006C206C" w:rsidRDefault="006C206C">
      <w:pPr>
        <w:rPr>
          <w:b/>
          <w:sz w:val="28"/>
          <w:szCs w:val="28"/>
        </w:rPr>
      </w:pPr>
    </w:p>
    <w:p w:rsidR="00992A20" w:rsidRDefault="00992A20" w:rsidP="00992A20">
      <w:r>
        <w:t>Scoring 0-2</w:t>
      </w:r>
    </w:p>
    <w:p w:rsidR="00992A20" w:rsidRDefault="00992A20">
      <w:pPr>
        <w:rPr>
          <w:b/>
          <w:sz w:val="28"/>
          <w:szCs w:val="28"/>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rsidTr="00A26C10">
        <w:trPr>
          <w:trHeight w:val="510"/>
        </w:trPr>
        <w:tc>
          <w:tcPr>
            <w:tcW w:w="1815"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ascii="Calibri" w:hAnsi="Calibri" w:cs="Calibri"/>
              </w:rPr>
            </w:pPr>
            <w:r w:rsidRPr="004D43CD">
              <w:t>Description</w:t>
            </w:r>
          </w:p>
        </w:tc>
      </w:tr>
      <w:tr w:rsidR="00A26C10" w:rsidRPr="004D43CD" w:rsidTr="00A26C10">
        <w:trPr>
          <w:trHeight w:val="80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t>2</w:t>
            </w:r>
            <w:r w:rsidRPr="004D43CD">
              <w:t xml:space="preserve"> marks</w:t>
            </w:r>
          </w:p>
        </w:tc>
        <w:tc>
          <w:tcPr>
            <w:tcW w:w="8074" w:type="dxa"/>
            <w:shd w:val="clear" w:color="auto" w:fill="auto"/>
            <w:tcMar>
              <w:top w:w="0" w:type="dxa"/>
              <w:left w:w="108" w:type="dxa"/>
              <w:bottom w:w="0" w:type="dxa"/>
              <w:right w:w="108" w:type="dxa"/>
            </w:tcMar>
            <w:hideMark/>
          </w:tcPr>
          <w:p w:rsidR="00A97E33" w:rsidRDefault="00A26C10" w:rsidP="00A26C10">
            <w:pPr>
              <w:spacing w:after="240"/>
              <w:jc w:val="both"/>
            </w:pPr>
            <w:r w:rsidRPr="000666E5">
              <w:t xml:space="preserve">A score of </w:t>
            </w:r>
            <w:r>
              <w:t>2</w:t>
            </w:r>
            <w:r w:rsidRPr="000666E5">
              <w:t xml:space="preserve"> will reflect that the bidder has demonstrated </w:t>
            </w:r>
            <w:r>
              <w:t xml:space="preserve">highly </w:t>
            </w:r>
            <w:r w:rsidR="00F94AC4">
              <w:t xml:space="preserve">relevant </w:t>
            </w:r>
            <w:r w:rsidR="00F94AC4">
              <w:rPr>
                <w:rFonts w:eastAsia="Calibri" w:cs="Arial"/>
              </w:rPr>
              <w:t>professional</w:t>
            </w:r>
            <w:r w:rsidR="00900A20">
              <w:rPr>
                <w:rFonts w:eastAsia="Calibri" w:cs="Arial"/>
              </w:rPr>
              <w:t xml:space="preserve"> experience in the quantitative technical aspects of educational assessment.</w:t>
            </w:r>
          </w:p>
          <w:p w:rsidR="00A26C10" w:rsidRPr="000666E5" w:rsidRDefault="00900A20" w:rsidP="00900A20">
            <w:pPr>
              <w:spacing w:after="240"/>
              <w:jc w:val="both"/>
            </w:pPr>
            <w:r>
              <w:t xml:space="preserve">An example of professional </w:t>
            </w:r>
            <w:r w:rsidR="00F94AC4">
              <w:t>experience being</w:t>
            </w:r>
            <w:r>
              <w:t xml:space="preserve"> scored a 2 would be operational experience in local, national or international summative assessment. </w:t>
            </w: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1 mark</w:t>
            </w:r>
          </w:p>
        </w:tc>
        <w:tc>
          <w:tcPr>
            <w:tcW w:w="8074" w:type="dxa"/>
            <w:shd w:val="clear" w:color="auto" w:fill="auto"/>
            <w:tcMar>
              <w:top w:w="0" w:type="dxa"/>
              <w:left w:w="108" w:type="dxa"/>
              <w:bottom w:w="0" w:type="dxa"/>
              <w:right w:w="108" w:type="dxa"/>
            </w:tcMar>
            <w:hideMark/>
          </w:tcPr>
          <w:p w:rsidR="00A26C10" w:rsidRPr="000666E5" w:rsidRDefault="00A26C10" w:rsidP="00900A20">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w:t>
            </w:r>
            <w:r w:rsidR="00900A20">
              <w:rPr>
                <w:rFonts w:eastAsia="Calibri" w:cs="Arial"/>
              </w:rPr>
              <w:t>professional experience in the quantitative technical aspects of educational assessment.</w:t>
            </w: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rsidR="00A26C10" w:rsidRPr="000666E5" w:rsidRDefault="00900A20" w:rsidP="00A26C10">
            <w:pPr>
              <w:spacing w:after="240"/>
              <w:jc w:val="both"/>
            </w:pPr>
            <w:r>
              <w:t>Professional experience section is missing from the CV</w:t>
            </w:r>
            <w:r w:rsidR="00A26C10" w:rsidRPr="000666E5">
              <w:t xml:space="preserve">. </w:t>
            </w:r>
          </w:p>
        </w:tc>
      </w:tr>
    </w:tbl>
    <w:p w:rsidR="00A26C10" w:rsidRDefault="00A26C10">
      <w:pPr>
        <w:rPr>
          <w:b/>
          <w:sz w:val="28"/>
          <w:szCs w:val="28"/>
        </w:rPr>
      </w:pPr>
    </w:p>
    <w:p w:rsidR="00DA1FC0" w:rsidRDefault="00DA1FC0">
      <w:pPr>
        <w:rPr>
          <w:b/>
          <w:sz w:val="28"/>
          <w:szCs w:val="28"/>
        </w:rPr>
      </w:pPr>
    </w:p>
    <w:p w:rsidR="00A26C10" w:rsidRDefault="00A26C10">
      <w:pPr>
        <w:rPr>
          <w:u w:val="single"/>
        </w:rPr>
      </w:pPr>
      <w:r w:rsidRPr="00DA1FC0">
        <w:rPr>
          <w:u w:val="single"/>
        </w:rPr>
        <w:t>Active Membership</w:t>
      </w:r>
    </w:p>
    <w:p w:rsidR="00992A20" w:rsidRDefault="00992A20">
      <w:pPr>
        <w:rPr>
          <w:u w:val="single"/>
        </w:rPr>
      </w:pPr>
    </w:p>
    <w:p w:rsidR="00992A20" w:rsidRDefault="00992A20" w:rsidP="00992A20">
      <w:r>
        <w:t>Scoring 0-2</w:t>
      </w:r>
    </w:p>
    <w:p w:rsidR="00DA1FC0" w:rsidRPr="00DA1FC0" w:rsidRDefault="00DA1FC0">
      <w:pPr>
        <w:rPr>
          <w:u w:val="single"/>
        </w:rPr>
      </w:pPr>
    </w:p>
    <w:p w:rsidR="00A26C10" w:rsidRDefault="00A26C10">
      <w:pPr>
        <w:framePr w:hSpace="180" w:wrap="around" w:vAnchor="text" w:hAnchor="margin" w:y="205"/>
        <w:rPr>
          <w:b/>
          <w:sz w:val="28"/>
          <w:szCs w:val="28"/>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rsidTr="00A26C10">
        <w:trPr>
          <w:trHeight w:val="510"/>
        </w:trPr>
        <w:tc>
          <w:tcPr>
            <w:tcW w:w="1815"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ascii="Calibri" w:hAnsi="Calibri" w:cs="Calibri"/>
              </w:rPr>
            </w:pPr>
            <w:r w:rsidRPr="004D43CD">
              <w:t>Description</w:t>
            </w:r>
          </w:p>
        </w:tc>
      </w:tr>
      <w:tr w:rsidR="00A26C10" w:rsidRPr="004D43CD" w:rsidTr="00A26C10">
        <w:trPr>
          <w:trHeight w:val="80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t>2</w:t>
            </w:r>
            <w:r w:rsidRPr="004D43CD">
              <w:t xml:space="preserve"> marks</w:t>
            </w:r>
          </w:p>
        </w:tc>
        <w:tc>
          <w:tcPr>
            <w:tcW w:w="8074" w:type="dxa"/>
            <w:shd w:val="clear" w:color="auto" w:fill="auto"/>
            <w:tcMar>
              <w:top w:w="0" w:type="dxa"/>
              <w:left w:w="108" w:type="dxa"/>
              <w:bottom w:w="0" w:type="dxa"/>
              <w:right w:w="108" w:type="dxa"/>
            </w:tcMar>
            <w:hideMark/>
          </w:tcPr>
          <w:p w:rsidR="00A97E33" w:rsidRPr="004F7E56" w:rsidRDefault="00A26C10" w:rsidP="004F7E56">
            <w:pPr>
              <w:spacing w:before="100" w:after="200" w:line="276" w:lineRule="auto"/>
              <w:rPr>
                <w:rFonts w:cs="Arial"/>
              </w:rPr>
            </w:pPr>
            <w:r w:rsidRPr="000666E5">
              <w:t xml:space="preserve">A score of </w:t>
            </w:r>
            <w:r>
              <w:t>2</w:t>
            </w:r>
            <w:r w:rsidRPr="000666E5">
              <w:t xml:space="preserve"> will reflect that the bidder </w:t>
            </w:r>
            <w:r w:rsidR="00A97E33" w:rsidRPr="004F7E56">
              <w:rPr>
                <w:rFonts w:cs="Arial"/>
              </w:rPr>
              <w:t>holds an active</w:t>
            </w:r>
            <w:r w:rsidR="00B8063F" w:rsidRPr="004F7E56">
              <w:rPr>
                <w:rFonts w:cs="Arial"/>
              </w:rPr>
              <w:t>, current</w:t>
            </w:r>
            <w:r w:rsidR="00A97E33" w:rsidRPr="004F7E56">
              <w:rPr>
                <w:rFonts w:cs="Arial"/>
              </w:rPr>
              <w:t xml:space="preserve"> membership with a national and/or international professional organisation for education</w:t>
            </w:r>
            <w:r w:rsidR="00B8063F" w:rsidRPr="004F7E56">
              <w:rPr>
                <w:rFonts w:cs="Arial"/>
              </w:rPr>
              <w:t>al measurement</w:t>
            </w:r>
            <w:r w:rsidR="00A97E33" w:rsidRPr="004F7E56">
              <w:rPr>
                <w:rFonts w:cs="Arial"/>
              </w:rPr>
              <w:t xml:space="preserve">/assessment/research, such as The National Council on Measurement in Education (NCME), </w:t>
            </w:r>
            <w:r w:rsidR="00B8063F" w:rsidRPr="004F7E56">
              <w:rPr>
                <w:rFonts w:cs="Arial"/>
              </w:rPr>
              <w:t>International Test Commission,</w:t>
            </w:r>
            <w:r w:rsidR="00A97E33" w:rsidRPr="004F7E56">
              <w:rPr>
                <w:rFonts w:cs="Arial"/>
              </w:rPr>
              <w:t xml:space="preserve"> Psychometrics Society or similar organisations</w:t>
            </w:r>
          </w:p>
          <w:p w:rsidR="00A26C10" w:rsidRPr="000666E5" w:rsidRDefault="00A26C10" w:rsidP="00A26C10">
            <w:pPr>
              <w:spacing w:after="240"/>
              <w:jc w:val="both"/>
            </w:pP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1 mark</w:t>
            </w:r>
          </w:p>
        </w:tc>
        <w:tc>
          <w:tcPr>
            <w:tcW w:w="8074" w:type="dxa"/>
            <w:shd w:val="clear" w:color="auto" w:fill="auto"/>
            <w:tcMar>
              <w:top w:w="0" w:type="dxa"/>
              <w:left w:w="108" w:type="dxa"/>
              <w:bottom w:w="0" w:type="dxa"/>
              <w:right w:w="108" w:type="dxa"/>
            </w:tcMar>
            <w:hideMark/>
          </w:tcPr>
          <w:p w:rsidR="00A26C10" w:rsidRPr="000666E5" w:rsidRDefault="00A26C10" w:rsidP="00A97E33">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w:t>
            </w:r>
            <w:r w:rsidR="00A97E33">
              <w:rPr>
                <w:rFonts w:eastAsia="Calibri" w:cs="Arial"/>
              </w:rPr>
              <w:t>membership.</w:t>
            </w: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rsidR="00A26C10" w:rsidRPr="000666E5" w:rsidRDefault="00B8063F" w:rsidP="00A26C10">
            <w:pPr>
              <w:spacing w:after="240"/>
              <w:jc w:val="both"/>
            </w:pPr>
            <w:r>
              <w:t>Active membership section is missing from the CV</w:t>
            </w:r>
            <w:r w:rsidR="00A26C10" w:rsidRPr="000666E5">
              <w:t xml:space="preserve">. </w:t>
            </w:r>
          </w:p>
        </w:tc>
      </w:tr>
    </w:tbl>
    <w:p w:rsidR="00A26C10" w:rsidRDefault="00A26C10">
      <w:pPr>
        <w:rPr>
          <w:b/>
          <w:sz w:val="28"/>
          <w:szCs w:val="28"/>
        </w:rPr>
      </w:pPr>
    </w:p>
    <w:p w:rsidR="003668A9" w:rsidRDefault="003668A9">
      <w:pPr>
        <w:rPr>
          <w:b/>
          <w:sz w:val="28"/>
          <w:szCs w:val="28"/>
        </w:rPr>
      </w:pPr>
    </w:p>
    <w:p w:rsidR="003668A9" w:rsidRDefault="003668A9">
      <w:pPr>
        <w:rPr>
          <w:b/>
          <w:sz w:val="28"/>
          <w:szCs w:val="28"/>
        </w:rPr>
      </w:pPr>
    </w:p>
    <w:p w:rsidR="003668A9" w:rsidRDefault="003668A9">
      <w:pPr>
        <w:rPr>
          <w:b/>
          <w:sz w:val="28"/>
          <w:szCs w:val="28"/>
        </w:rPr>
      </w:pPr>
    </w:p>
    <w:p w:rsidR="003668A9" w:rsidRDefault="003668A9">
      <w:pPr>
        <w:rPr>
          <w:b/>
          <w:sz w:val="28"/>
          <w:szCs w:val="28"/>
        </w:rPr>
      </w:pPr>
    </w:p>
    <w:p w:rsidR="003668A9" w:rsidRDefault="003668A9">
      <w:pPr>
        <w:rPr>
          <w:b/>
          <w:sz w:val="28"/>
          <w:szCs w:val="28"/>
        </w:rPr>
      </w:pPr>
    </w:p>
    <w:p w:rsidR="00A26C10" w:rsidRDefault="00B8063F">
      <w:pPr>
        <w:rPr>
          <w:u w:val="single"/>
        </w:rPr>
      </w:pPr>
      <w:r w:rsidRPr="00DA1FC0">
        <w:rPr>
          <w:u w:val="single"/>
        </w:rPr>
        <w:t>Published work</w:t>
      </w:r>
    </w:p>
    <w:p w:rsidR="00992A20" w:rsidRDefault="00992A20">
      <w:pPr>
        <w:rPr>
          <w:u w:val="single"/>
        </w:rPr>
      </w:pPr>
    </w:p>
    <w:p w:rsidR="00992A20" w:rsidRDefault="00992A20">
      <w:pPr>
        <w:rPr>
          <w:u w:val="single"/>
        </w:rPr>
      </w:pPr>
      <w:r>
        <w:t>Scoring 0-3</w:t>
      </w:r>
    </w:p>
    <w:p w:rsidR="00343EA0" w:rsidRPr="00DA1FC0" w:rsidRDefault="00343EA0">
      <w:pPr>
        <w:rPr>
          <w:u w:val="single"/>
        </w:rPr>
      </w:pP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26C10" w:rsidRPr="004D43CD" w:rsidTr="00A26C10">
        <w:trPr>
          <w:trHeight w:val="510"/>
        </w:trPr>
        <w:tc>
          <w:tcPr>
            <w:tcW w:w="1815"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rsidR="00A26C10" w:rsidRPr="004D43CD" w:rsidRDefault="00A26C10" w:rsidP="00A26C10">
            <w:pPr>
              <w:jc w:val="both"/>
              <w:rPr>
                <w:rFonts w:ascii="Calibri" w:hAnsi="Calibri" w:cs="Calibri"/>
              </w:rPr>
            </w:pPr>
            <w:r w:rsidRPr="004D43CD">
              <w:t>Description</w:t>
            </w:r>
          </w:p>
        </w:tc>
      </w:tr>
      <w:tr w:rsidR="00B8063F" w:rsidRPr="004D43CD" w:rsidTr="00A26C10">
        <w:trPr>
          <w:trHeight w:val="805"/>
        </w:trPr>
        <w:tc>
          <w:tcPr>
            <w:tcW w:w="1815" w:type="dxa"/>
            <w:shd w:val="clear" w:color="auto" w:fill="auto"/>
            <w:tcMar>
              <w:top w:w="0" w:type="dxa"/>
              <w:left w:w="108" w:type="dxa"/>
              <w:bottom w:w="0" w:type="dxa"/>
              <w:right w:w="108" w:type="dxa"/>
            </w:tcMar>
          </w:tcPr>
          <w:p w:rsidR="00B8063F" w:rsidRDefault="00B8063F" w:rsidP="00A26C10">
            <w:pPr>
              <w:spacing w:after="240"/>
              <w:jc w:val="both"/>
            </w:pPr>
            <w:r>
              <w:t>3 marks</w:t>
            </w:r>
          </w:p>
        </w:tc>
        <w:tc>
          <w:tcPr>
            <w:tcW w:w="8074" w:type="dxa"/>
            <w:shd w:val="clear" w:color="auto" w:fill="auto"/>
            <w:tcMar>
              <w:top w:w="0" w:type="dxa"/>
              <w:left w:w="108" w:type="dxa"/>
              <w:bottom w:w="0" w:type="dxa"/>
              <w:right w:w="108" w:type="dxa"/>
            </w:tcMar>
          </w:tcPr>
          <w:p w:rsidR="00B8063F" w:rsidRPr="000666E5" w:rsidRDefault="00DC7EC7" w:rsidP="004F7E56">
            <w:pPr>
              <w:spacing w:before="100" w:after="200" w:line="276" w:lineRule="auto"/>
            </w:pPr>
            <w:r>
              <w:t>A score of 3 will reflect the bidder’s substantial published work in peer-reviewed journals specialising in educational measurement.</w:t>
            </w:r>
          </w:p>
        </w:tc>
      </w:tr>
      <w:tr w:rsidR="00A26C10" w:rsidRPr="004D43CD" w:rsidTr="00A26C10">
        <w:trPr>
          <w:trHeight w:val="80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t>2</w:t>
            </w:r>
            <w:r w:rsidRPr="004D43CD">
              <w:t xml:space="preserve"> marks</w:t>
            </w:r>
          </w:p>
        </w:tc>
        <w:tc>
          <w:tcPr>
            <w:tcW w:w="8074" w:type="dxa"/>
            <w:shd w:val="clear" w:color="auto" w:fill="auto"/>
            <w:tcMar>
              <w:top w:w="0" w:type="dxa"/>
              <w:left w:w="108" w:type="dxa"/>
              <w:bottom w:w="0" w:type="dxa"/>
              <w:right w:w="108" w:type="dxa"/>
            </w:tcMar>
            <w:hideMark/>
          </w:tcPr>
          <w:p w:rsidR="00A26C10" w:rsidRPr="000666E5" w:rsidRDefault="00A26C10" w:rsidP="004F7E56">
            <w:pPr>
              <w:spacing w:before="100" w:after="200" w:line="276" w:lineRule="auto"/>
            </w:pPr>
            <w:r w:rsidRPr="000666E5">
              <w:t xml:space="preserve">A score of </w:t>
            </w:r>
            <w:r>
              <w:t>2</w:t>
            </w:r>
            <w:r w:rsidRPr="000666E5">
              <w:t xml:space="preserve"> will reflect the bidder</w:t>
            </w:r>
            <w:r w:rsidR="00DC7EC7">
              <w:t>’s relevant published work that has not been through blind peer review.</w:t>
            </w: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1 mark</w:t>
            </w:r>
          </w:p>
        </w:tc>
        <w:tc>
          <w:tcPr>
            <w:tcW w:w="8074" w:type="dxa"/>
            <w:shd w:val="clear" w:color="auto" w:fill="auto"/>
            <w:tcMar>
              <w:top w:w="0" w:type="dxa"/>
              <w:left w:w="108" w:type="dxa"/>
              <w:bottom w:w="0" w:type="dxa"/>
              <w:right w:w="108" w:type="dxa"/>
            </w:tcMar>
            <w:hideMark/>
          </w:tcPr>
          <w:p w:rsidR="00A26C10" w:rsidRPr="000666E5" w:rsidRDefault="00A26C10" w:rsidP="00B8063F">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w:t>
            </w:r>
            <w:r w:rsidR="00B8063F">
              <w:rPr>
                <w:rFonts w:eastAsia="Calibri" w:cs="Arial"/>
              </w:rPr>
              <w:t>published work</w:t>
            </w:r>
            <w:r w:rsidR="00A97E33">
              <w:rPr>
                <w:rFonts w:eastAsia="Calibri" w:cs="Arial"/>
              </w:rPr>
              <w:t>.</w:t>
            </w:r>
          </w:p>
        </w:tc>
      </w:tr>
      <w:tr w:rsidR="00A26C10" w:rsidRPr="004D43CD" w:rsidTr="00A26C10">
        <w:trPr>
          <w:trHeight w:val="285"/>
        </w:trPr>
        <w:tc>
          <w:tcPr>
            <w:tcW w:w="1815" w:type="dxa"/>
            <w:shd w:val="clear" w:color="auto" w:fill="auto"/>
            <w:tcMar>
              <w:top w:w="0" w:type="dxa"/>
              <w:left w:w="108" w:type="dxa"/>
              <w:bottom w:w="0" w:type="dxa"/>
              <w:right w:w="108" w:type="dxa"/>
            </w:tcMar>
            <w:hideMark/>
          </w:tcPr>
          <w:p w:rsidR="00A26C10" w:rsidRPr="004D43CD" w:rsidRDefault="00A26C10" w:rsidP="00A26C10">
            <w:pPr>
              <w:spacing w:after="240"/>
              <w:jc w:val="both"/>
            </w:pPr>
            <w:r w:rsidRPr="004D43CD">
              <w:t>0 marks</w:t>
            </w:r>
          </w:p>
        </w:tc>
        <w:tc>
          <w:tcPr>
            <w:tcW w:w="8074" w:type="dxa"/>
            <w:shd w:val="clear" w:color="auto" w:fill="auto"/>
            <w:tcMar>
              <w:top w:w="0" w:type="dxa"/>
              <w:left w:w="108" w:type="dxa"/>
              <w:bottom w:w="0" w:type="dxa"/>
              <w:right w:w="108" w:type="dxa"/>
            </w:tcMar>
            <w:hideMark/>
          </w:tcPr>
          <w:p w:rsidR="00A26C10" w:rsidRPr="000666E5" w:rsidRDefault="00B8063F" w:rsidP="00A26C10">
            <w:pPr>
              <w:spacing w:after="240"/>
              <w:jc w:val="both"/>
            </w:pPr>
            <w:r>
              <w:t>Published work section is missing from the CV</w:t>
            </w:r>
            <w:r w:rsidR="00A26C10" w:rsidRPr="000666E5">
              <w:t xml:space="preserve">. </w:t>
            </w:r>
          </w:p>
        </w:tc>
      </w:tr>
    </w:tbl>
    <w:p w:rsidR="00A26C10" w:rsidRDefault="00A26C10">
      <w:pPr>
        <w:rPr>
          <w:b/>
          <w:sz w:val="28"/>
          <w:szCs w:val="28"/>
        </w:rPr>
      </w:pPr>
    </w:p>
    <w:p w:rsidR="00A97E33" w:rsidRDefault="00A97E33">
      <w:pPr>
        <w:rPr>
          <w:b/>
          <w:sz w:val="28"/>
          <w:szCs w:val="28"/>
        </w:rPr>
      </w:pPr>
    </w:p>
    <w:p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5"/>
    </w:p>
    <w:p w:rsidR="00A26C10" w:rsidRDefault="00097C27" w:rsidP="00A26C10">
      <w:r>
        <w:t>CV’s</w:t>
      </w:r>
      <w:r w:rsidR="00764E19" w:rsidRPr="003014E1">
        <w:t xml:space="preserve"> will be reviewed individually against the stated criteria. </w:t>
      </w:r>
      <w:r w:rsidR="00A26C10">
        <w:t>The top ten bidders will be appointed on the</w:t>
      </w:r>
      <w:r w:rsidR="00F94AC4">
        <w:t>ir ranked score.</w:t>
      </w:r>
    </w:p>
    <w:p w:rsidR="00A26C10" w:rsidRDefault="00A26C10" w:rsidP="003014E1"/>
    <w:p w:rsidR="00F94AC4" w:rsidRDefault="00F94AC4" w:rsidP="003014E1"/>
    <w:p w:rsidR="00345CE4" w:rsidRDefault="00345CE4" w:rsidP="00345CE4">
      <w:pPr>
        <w:rPr>
          <w:b/>
          <w:sz w:val="28"/>
          <w:szCs w:val="28"/>
        </w:rPr>
      </w:pPr>
      <w:r w:rsidRPr="00B74522">
        <w:rPr>
          <w:b/>
          <w:sz w:val="28"/>
          <w:szCs w:val="28"/>
        </w:rPr>
        <w:t>4.4 Allocation of Work</w:t>
      </w:r>
    </w:p>
    <w:p w:rsidR="008E7417" w:rsidRPr="008E7417" w:rsidRDefault="008E7417" w:rsidP="00345CE4">
      <w:pPr>
        <w:rPr>
          <w:szCs w:val="28"/>
        </w:rPr>
      </w:pPr>
      <w:r>
        <w:rPr>
          <w:szCs w:val="28"/>
        </w:rPr>
        <w:t>The table in 2.4 sets out the minimum expectation of work</w:t>
      </w:r>
      <w:r w:rsidR="0062043F">
        <w:rPr>
          <w:szCs w:val="28"/>
        </w:rPr>
        <w:t xml:space="preserve"> and availability </w:t>
      </w:r>
      <w:r>
        <w:rPr>
          <w:szCs w:val="28"/>
        </w:rPr>
        <w:t>required</w:t>
      </w:r>
      <w:r w:rsidR="004818AB">
        <w:rPr>
          <w:szCs w:val="28"/>
        </w:rPr>
        <w:t xml:space="preserve"> from each</w:t>
      </w:r>
      <w:r w:rsidR="001343AD">
        <w:rPr>
          <w:szCs w:val="28"/>
        </w:rPr>
        <w:t xml:space="preserve"> successful</w:t>
      </w:r>
      <w:r w:rsidR="004818AB">
        <w:rPr>
          <w:szCs w:val="28"/>
        </w:rPr>
        <w:t xml:space="preserve"> bidder</w:t>
      </w:r>
      <w:r w:rsidR="00C03ACF">
        <w:rPr>
          <w:szCs w:val="28"/>
        </w:rPr>
        <w:t>.</w:t>
      </w:r>
      <w:r>
        <w:rPr>
          <w:szCs w:val="28"/>
        </w:rPr>
        <w:t xml:space="preserve"> </w:t>
      </w:r>
    </w:p>
    <w:p w:rsidR="00345CE4" w:rsidRDefault="00345CE4" w:rsidP="00345CE4"/>
    <w:p w:rsidR="00635D4E" w:rsidRDefault="008E7417" w:rsidP="00635D4E">
      <w:pPr>
        <w:rPr>
          <w:rFonts w:cs="Arial"/>
        </w:rPr>
      </w:pPr>
      <w:r>
        <w:rPr>
          <w:rFonts w:cs="Arial"/>
        </w:rPr>
        <w:t xml:space="preserve">For specialised call offs </w:t>
      </w:r>
      <w:r w:rsidR="00635D4E" w:rsidRPr="003D2B29">
        <w:rPr>
          <w:rFonts w:cs="Arial"/>
        </w:rPr>
        <w:t>work requests will be</w:t>
      </w:r>
      <w:r>
        <w:rPr>
          <w:rFonts w:cs="Arial"/>
        </w:rPr>
        <w:t xml:space="preserve"> circulated </w:t>
      </w:r>
      <w:r w:rsidR="0062043F">
        <w:rPr>
          <w:rFonts w:cs="Arial"/>
        </w:rPr>
        <w:t xml:space="preserve">to those </w:t>
      </w:r>
      <w:r w:rsidR="004818AB">
        <w:rPr>
          <w:rFonts w:cs="Arial"/>
        </w:rPr>
        <w:t xml:space="preserve">bidders </w:t>
      </w:r>
      <w:r w:rsidR="0062043F">
        <w:rPr>
          <w:rFonts w:cs="Arial"/>
        </w:rPr>
        <w:t>who</w:t>
      </w:r>
      <w:r w:rsidR="004818AB">
        <w:rPr>
          <w:rFonts w:cs="Arial"/>
        </w:rPr>
        <w:t xml:space="preserve"> have evidenced the </w:t>
      </w:r>
      <w:r w:rsidR="0062043F">
        <w:rPr>
          <w:rFonts w:cs="Arial"/>
        </w:rPr>
        <w:t xml:space="preserve">necessary skills and knowledge </w:t>
      </w:r>
      <w:r w:rsidR="004818AB">
        <w:rPr>
          <w:rFonts w:cs="Arial"/>
        </w:rPr>
        <w:t>in their CV.</w:t>
      </w:r>
      <w:r w:rsidR="0062043F">
        <w:rPr>
          <w:rFonts w:cs="Arial"/>
        </w:rPr>
        <w:t xml:space="preserve"> </w:t>
      </w:r>
      <w:r w:rsidR="00635D4E" w:rsidRPr="003D2B29">
        <w:rPr>
          <w:rFonts w:cs="Arial"/>
        </w:rPr>
        <w:t>Some work requests may require more than one expert, in which case STA will allocate</w:t>
      </w:r>
      <w:r w:rsidR="004818AB">
        <w:rPr>
          <w:rFonts w:cs="Arial"/>
        </w:rPr>
        <w:t xml:space="preserve"> accordingly. </w:t>
      </w:r>
      <w:r w:rsidR="00635D4E" w:rsidRPr="003D2B29">
        <w:rPr>
          <w:rFonts w:cs="Arial"/>
        </w:rPr>
        <w:t xml:space="preserve"> </w:t>
      </w:r>
    </w:p>
    <w:p w:rsidR="009038F7" w:rsidRDefault="009038F7" w:rsidP="00635D4E">
      <w:pPr>
        <w:rPr>
          <w:rFonts w:cs="Arial"/>
        </w:rPr>
      </w:pPr>
    </w:p>
    <w:p w:rsidR="009038F7" w:rsidRPr="00751767" w:rsidRDefault="001608DF" w:rsidP="00635D4E">
      <w:pPr>
        <w:rPr>
          <w:rFonts w:cs="Arial"/>
        </w:rPr>
      </w:pPr>
      <w:r>
        <w:rPr>
          <w:rFonts w:cs="Arial"/>
        </w:rPr>
        <w:t>All w</w:t>
      </w:r>
      <w:r w:rsidR="009038F7">
        <w:rPr>
          <w:rFonts w:cs="Arial"/>
        </w:rPr>
        <w:t>ork</w:t>
      </w:r>
      <w:r>
        <w:rPr>
          <w:rFonts w:cs="Arial"/>
        </w:rPr>
        <w:t xml:space="preserve"> requests/call offs</w:t>
      </w:r>
      <w:r w:rsidR="009038F7">
        <w:rPr>
          <w:rFonts w:cs="Arial"/>
        </w:rPr>
        <w:t xml:space="preserve"> will be allocated and agreed subject to conflict of interest declarations.</w:t>
      </w:r>
    </w:p>
    <w:p w:rsidR="00635D4E" w:rsidRDefault="00635D4E"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F94AC4" w:rsidRDefault="00F94AC4" w:rsidP="00345CE4"/>
    <w:p w:rsidR="006C206C" w:rsidRPr="003014E1" w:rsidRDefault="006C206C" w:rsidP="00345CE4"/>
    <w:p w:rsidR="00345CE4" w:rsidRDefault="00345CE4" w:rsidP="00345CE4">
      <w:pPr>
        <w:rPr>
          <w:b/>
          <w:sz w:val="28"/>
          <w:szCs w:val="28"/>
        </w:rPr>
      </w:pPr>
      <w:r w:rsidRPr="0084724F">
        <w:rPr>
          <w:b/>
          <w:sz w:val="28"/>
          <w:szCs w:val="28"/>
        </w:rPr>
        <w:t>4.5 Quality</w:t>
      </w:r>
    </w:p>
    <w:p w:rsidR="00343EA0" w:rsidRPr="00F035CE" w:rsidRDefault="00343EA0" w:rsidP="00343EA0">
      <w:pPr>
        <w:autoSpaceDE w:val="0"/>
        <w:autoSpaceDN w:val="0"/>
        <w:adjustRightInd w:val="0"/>
        <w:rPr>
          <w:rFonts w:cs="Arial"/>
          <w:szCs w:val="22"/>
          <w:lang w:eastAsia="en-GB"/>
        </w:rPr>
      </w:pPr>
      <w:r w:rsidRPr="00F035CE">
        <w:rPr>
          <w:rFonts w:cs="Arial"/>
          <w:szCs w:val="22"/>
          <w:lang w:eastAsia="en-GB"/>
        </w:rPr>
        <w:t>You will be expected to:</w:t>
      </w:r>
    </w:p>
    <w:p w:rsidR="00343EA0" w:rsidRPr="00F035CE" w:rsidRDefault="00343EA0" w:rsidP="00343EA0">
      <w:pPr>
        <w:autoSpaceDE w:val="0"/>
        <w:autoSpaceDN w:val="0"/>
        <w:adjustRightInd w:val="0"/>
        <w:rPr>
          <w:rFonts w:cs="Arial"/>
          <w:szCs w:val="22"/>
          <w:lang w:eastAsia="en-GB"/>
        </w:rPr>
      </w:pPr>
    </w:p>
    <w:p w:rsidR="00343EA0" w:rsidRPr="00F035CE" w:rsidRDefault="00343EA0" w:rsidP="00780D04">
      <w:pPr>
        <w:pStyle w:val="ListParagraph"/>
        <w:numPr>
          <w:ilvl w:val="0"/>
          <w:numId w:val="35"/>
        </w:numPr>
        <w:autoSpaceDE w:val="0"/>
        <w:autoSpaceDN w:val="0"/>
        <w:adjustRightInd w:val="0"/>
        <w:rPr>
          <w:rFonts w:cs="Arial"/>
          <w:szCs w:val="22"/>
          <w:lang w:eastAsia="en-GB"/>
        </w:rPr>
      </w:pPr>
      <w:r w:rsidRPr="00F035CE">
        <w:rPr>
          <w:rFonts w:cs="Arial"/>
          <w:szCs w:val="22"/>
          <w:lang w:eastAsia="en-GB"/>
        </w:rPr>
        <w:t>Contribute fully and positively to the whole process and bring to bear your full breadth</w:t>
      </w:r>
    </w:p>
    <w:p w:rsidR="00343EA0" w:rsidRPr="00F035CE" w:rsidRDefault="00343EA0" w:rsidP="00012CAC">
      <w:pPr>
        <w:autoSpaceDE w:val="0"/>
        <w:autoSpaceDN w:val="0"/>
        <w:adjustRightInd w:val="0"/>
        <w:ind w:left="709"/>
        <w:rPr>
          <w:rFonts w:cs="Arial"/>
          <w:szCs w:val="22"/>
          <w:lang w:eastAsia="en-GB"/>
        </w:rPr>
      </w:pPr>
      <w:r w:rsidRPr="00F035CE">
        <w:rPr>
          <w:rFonts w:cs="Arial"/>
          <w:szCs w:val="22"/>
          <w:lang w:eastAsia="en-GB"/>
        </w:rPr>
        <w:t>of knowledge and understanding as a technical advisor.</w:t>
      </w:r>
    </w:p>
    <w:p w:rsidR="00343EA0" w:rsidRPr="00F035CE" w:rsidRDefault="00343EA0" w:rsidP="00012CAC">
      <w:pPr>
        <w:pStyle w:val="ListParagraph"/>
        <w:numPr>
          <w:ilvl w:val="0"/>
          <w:numId w:val="35"/>
        </w:numPr>
        <w:autoSpaceDE w:val="0"/>
        <w:autoSpaceDN w:val="0"/>
        <w:adjustRightInd w:val="0"/>
        <w:rPr>
          <w:rFonts w:cs="Arial"/>
          <w:szCs w:val="22"/>
          <w:lang w:eastAsia="en-GB"/>
        </w:rPr>
      </w:pPr>
      <w:r w:rsidRPr="00F035CE">
        <w:rPr>
          <w:rFonts w:cs="Arial"/>
          <w:szCs w:val="22"/>
          <w:lang w:eastAsia="en-GB"/>
        </w:rPr>
        <w:t xml:space="preserve">Prepare for, and attend all indicated meetings, and take a full and active </w:t>
      </w:r>
      <w:r w:rsidR="00EB7715" w:rsidRPr="00F035CE">
        <w:rPr>
          <w:rFonts w:cs="Arial"/>
          <w:szCs w:val="22"/>
          <w:lang w:eastAsia="en-GB"/>
        </w:rPr>
        <w:t>role</w:t>
      </w:r>
      <w:r w:rsidRPr="00F035CE">
        <w:rPr>
          <w:rFonts w:cs="Arial"/>
          <w:szCs w:val="22"/>
          <w:lang w:eastAsia="en-GB"/>
        </w:rPr>
        <w:t>.</w:t>
      </w:r>
    </w:p>
    <w:p w:rsidR="00343EA0" w:rsidRPr="00F035CE" w:rsidRDefault="00343EA0" w:rsidP="00012CAC">
      <w:pPr>
        <w:pStyle w:val="ListParagraph"/>
        <w:numPr>
          <w:ilvl w:val="0"/>
          <w:numId w:val="35"/>
        </w:numPr>
        <w:rPr>
          <w:b/>
          <w:sz w:val="32"/>
          <w:szCs w:val="28"/>
        </w:rPr>
      </w:pPr>
      <w:r w:rsidRPr="00F035CE">
        <w:rPr>
          <w:rFonts w:cs="Arial"/>
          <w:szCs w:val="22"/>
          <w:lang w:eastAsia="en-GB"/>
        </w:rPr>
        <w:t>Provide feedback within the agreed timeframe</w:t>
      </w:r>
      <w:r w:rsidR="0039496F" w:rsidRPr="00F035CE">
        <w:rPr>
          <w:rFonts w:cs="Arial"/>
          <w:szCs w:val="22"/>
          <w:lang w:eastAsia="en-GB"/>
        </w:rPr>
        <w:t>, that is fit for pu</w:t>
      </w:r>
      <w:r w:rsidR="00012CAC" w:rsidRPr="00F035CE">
        <w:rPr>
          <w:rFonts w:cs="Arial"/>
          <w:szCs w:val="22"/>
          <w:lang w:eastAsia="en-GB"/>
        </w:rPr>
        <w:t>r</w:t>
      </w:r>
      <w:r w:rsidR="0039496F" w:rsidRPr="00F035CE">
        <w:rPr>
          <w:rFonts w:cs="Arial"/>
          <w:szCs w:val="22"/>
          <w:lang w:eastAsia="en-GB"/>
        </w:rPr>
        <w:t>pose and complies with the detail of the work request/call off.</w:t>
      </w:r>
    </w:p>
    <w:p w:rsidR="00343EA0" w:rsidRPr="0084724F" w:rsidRDefault="00343EA0" w:rsidP="00345CE4">
      <w:pPr>
        <w:rPr>
          <w:b/>
          <w:sz w:val="28"/>
          <w:szCs w:val="28"/>
        </w:rPr>
      </w:pPr>
    </w:p>
    <w:p w:rsidR="00345CE4" w:rsidRPr="003014E1" w:rsidRDefault="00345CE4" w:rsidP="00345CE4">
      <w:r w:rsidRPr="003014E1">
        <w:t xml:space="preserve">A quality assessment will be carried out upon completion of each allocated piece of work. </w:t>
      </w:r>
      <w:r w:rsidR="008A6268">
        <w:t>Expert</w:t>
      </w:r>
      <w:r w:rsidRPr="003014E1">
        <w:t xml:space="preserve">s who pass the quality assessment will be eligible for later allocation according to the </w:t>
      </w:r>
      <w:r w:rsidR="00546EDD">
        <w:t>expectations</w:t>
      </w:r>
      <w:r w:rsidR="00546EDD" w:rsidRPr="003014E1">
        <w:t xml:space="preserve"> </w:t>
      </w:r>
      <w:r w:rsidRPr="003014E1">
        <w:t xml:space="preserve">above. </w:t>
      </w:r>
      <w:r w:rsidR="00343EA0">
        <w:t xml:space="preserve">Quality assurance is required in order to ensure value for money. The level of quality assurance covered will be in proportion to the task to be carried out.  </w:t>
      </w:r>
      <w:r w:rsidRPr="003014E1">
        <w:t>Those who do not pass the quality assessment will no longer be eligible for later allocations.</w:t>
      </w:r>
    </w:p>
    <w:p w:rsidR="00345CE4" w:rsidRPr="003014E1" w:rsidRDefault="00345CE4" w:rsidP="003014E1"/>
    <w:p w:rsidR="0084724F" w:rsidRDefault="0084724F" w:rsidP="003014E1">
      <w:bookmarkStart w:id="56" w:name="_Toc270073007"/>
      <w:bookmarkStart w:id="57" w:name="_Ref271010389"/>
      <w:bookmarkStart w:id="58" w:name="_Toc309139702"/>
    </w:p>
    <w:p w:rsidR="00F86ACD" w:rsidRDefault="00F86ACD" w:rsidP="003014E1">
      <w:pPr>
        <w:rPr>
          <w:b/>
          <w:sz w:val="28"/>
          <w:szCs w:val="28"/>
        </w:rPr>
        <w:sectPr w:rsidR="00F86ACD" w:rsidSect="00F866C8">
          <w:headerReference w:type="even" r:id="rId19"/>
          <w:headerReference w:type="default" r:id="rId20"/>
          <w:footerReference w:type="default" r:id="rId21"/>
          <w:headerReference w:type="first" r:id="rId22"/>
          <w:pgSz w:w="11907" w:h="16840" w:code="9"/>
          <w:pgMar w:top="1077" w:right="924" w:bottom="1440" w:left="1077" w:header="357" w:footer="318" w:gutter="0"/>
          <w:cols w:space="708"/>
          <w:docGrid w:linePitch="360"/>
        </w:sectPr>
      </w:pPr>
    </w:p>
    <w:p w:rsidR="003D3285" w:rsidRDefault="003D3285" w:rsidP="003014E1">
      <w:pPr>
        <w:rPr>
          <w:b/>
          <w:sz w:val="28"/>
          <w:szCs w:val="28"/>
        </w:rPr>
      </w:pPr>
      <w:r>
        <w:rPr>
          <w:b/>
          <w:sz w:val="32"/>
          <w:szCs w:val="32"/>
        </w:rPr>
        <w:t>5.</w:t>
      </w:r>
      <w:r w:rsidRPr="00623A93">
        <w:rPr>
          <w:b/>
          <w:sz w:val="32"/>
          <w:szCs w:val="32"/>
        </w:rPr>
        <w:t xml:space="preserve"> BIDDER</w:t>
      </w:r>
      <w:r>
        <w:rPr>
          <w:b/>
          <w:sz w:val="32"/>
          <w:szCs w:val="32"/>
        </w:rPr>
        <w:t>’S RESPONSE</w:t>
      </w:r>
    </w:p>
    <w:p w:rsidR="00AF2E4B" w:rsidRPr="003014E1" w:rsidRDefault="00AF2E4B" w:rsidP="003014E1">
      <w:bookmarkStart w:id="59" w:name="_Toc309139703"/>
      <w:bookmarkEnd w:id="56"/>
      <w:bookmarkEnd w:id="57"/>
      <w:bookmarkEnd w:id="58"/>
    </w:p>
    <w:p w:rsidR="00B925DE" w:rsidRDefault="006C206C" w:rsidP="00B925DE">
      <w:pPr>
        <w:rPr>
          <w:szCs w:val="28"/>
        </w:rPr>
      </w:pPr>
      <w:r w:rsidRPr="00635D4E">
        <w:rPr>
          <w:szCs w:val="28"/>
        </w:rPr>
        <w:t xml:space="preserve">Bidders to </w:t>
      </w:r>
      <w:r w:rsidR="00731E28">
        <w:rPr>
          <w:szCs w:val="28"/>
        </w:rPr>
        <w:t>forward a copy of their Curriculum Vitae.</w:t>
      </w:r>
    </w:p>
    <w:p w:rsidR="00F055A1" w:rsidRDefault="00F055A1" w:rsidP="00B925DE">
      <w:pPr>
        <w:rPr>
          <w:sz w:val="22"/>
        </w:rPr>
      </w:pPr>
    </w:p>
    <w:p w:rsidR="00F055A1" w:rsidRDefault="00F055A1" w:rsidP="00B925DE">
      <w:pPr>
        <w:rPr>
          <w:sz w:val="22"/>
        </w:rPr>
      </w:pPr>
    </w:p>
    <w:p w:rsidR="00F055A1" w:rsidRPr="00635D4E" w:rsidRDefault="00F055A1" w:rsidP="00B925DE">
      <w:pPr>
        <w:rPr>
          <w:sz w:val="22"/>
        </w:rPr>
      </w:pPr>
    </w:p>
    <w:p w:rsidR="00B925DE" w:rsidRDefault="00B925DE" w:rsidP="003014E1"/>
    <w:bookmarkEnd w:id="59"/>
    <w:p w:rsidR="00AF1C07" w:rsidRDefault="00B925DE" w:rsidP="003014E1">
      <w:r>
        <w:rPr>
          <w:b/>
          <w:sz w:val="32"/>
          <w:szCs w:val="32"/>
        </w:rPr>
        <w:t>APPENDIX</w:t>
      </w:r>
      <w:r w:rsidR="00F055A1">
        <w:rPr>
          <w:b/>
          <w:sz w:val="32"/>
          <w:szCs w:val="32"/>
        </w:rPr>
        <w:t xml:space="preserve"> 1</w:t>
      </w:r>
      <w:r>
        <w:rPr>
          <w:b/>
          <w:sz w:val="32"/>
          <w:szCs w:val="32"/>
        </w:rPr>
        <w:t>: DRAFT CONTRACT</w:t>
      </w:r>
    </w:p>
    <w:p w:rsidR="00B925DE" w:rsidRDefault="00B925DE" w:rsidP="003014E1"/>
    <w:p w:rsidR="00A338F3" w:rsidRDefault="00A338F3" w:rsidP="003014E1">
      <w:r>
        <w:t>This draft contract document is for your information only.  Successful bidders will be issued with contracts following the conclusion of the procurement process.</w:t>
      </w:r>
    </w:p>
    <w:p w:rsidR="00B925DE" w:rsidRDefault="00B925DE" w:rsidP="003014E1"/>
    <w:bookmarkStart w:id="60" w:name="_MON_1603603515"/>
    <w:bookmarkEnd w:id="60"/>
    <w:p w:rsidR="00A338F3" w:rsidRDefault="003668A9" w:rsidP="003014E1">
      <w:r>
        <w:object w:dxaOrig="1487" w:dyaOrig="992" w14:anchorId="2425C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23" o:title=""/>
          </v:shape>
          <o:OLEObject Type="Embed" ProgID="Word.Document.8" ShapeID="_x0000_i1025" DrawAspect="Icon" ObjectID="_1603625346" r:id="rId24">
            <o:FieldCodes>\s</o:FieldCodes>
          </o:OLEObject>
        </w:object>
      </w:r>
    </w:p>
    <w:p w:rsidR="00A338F3" w:rsidRDefault="00A338F3" w:rsidP="003014E1"/>
    <w:p w:rsidR="003746E0" w:rsidRDefault="003746E0" w:rsidP="003014E1"/>
    <w:p w:rsidR="003746E0" w:rsidRPr="003014E1" w:rsidRDefault="003746E0" w:rsidP="003014E1"/>
    <w:sectPr w:rsidR="003746E0" w:rsidRPr="003014E1" w:rsidSect="00C71CF0">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E53" w:rsidRDefault="006A3E53">
      <w:r>
        <w:separator/>
      </w:r>
    </w:p>
  </w:endnote>
  <w:endnote w:type="continuationSeparator" w:id="0">
    <w:p w:rsidR="006A3E53" w:rsidRDefault="006A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Default="00780D04"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Default="00780D04" w:rsidP="008E756B">
    <w:pPr>
      <w:pStyle w:val="Footer"/>
      <w:pBdr>
        <w:bottom w:val="single" w:sz="12" w:space="1" w:color="auto"/>
      </w:pBdr>
      <w:jc w:val="right"/>
      <w:rPr>
        <w:rStyle w:val="PageNumber"/>
      </w:rPr>
    </w:pPr>
  </w:p>
  <w:p w:rsidR="00780D04" w:rsidRDefault="00780D04" w:rsidP="008E756B">
    <w:pPr>
      <w:pStyle w:val="Footer"/>
      <w:jc w:val="right"/>
      <w:rPr>
        <w:rStyle w:val="PageNumber"/>
      </w:rPr>
    </w:pPr>
  </w:p>
  <w:p w:rsidR="00780D04" w:rsidRPr="00653B4E" w:rsidRDefault="00780D04"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0B2B9A">
      <w:rPr>
        <w:rStyle w:val="PageNumber"/>
        <w:noProof/>
        <w:sz w:val="20"/>
        <w:szCs w:val="20"/>
      </w:rPr>
      <w:t>14</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0B2B9A">
      <w:rPr>
        <w:rStyle w:val="PageNumber"/>
        <w:noProof/>
        <w:sz w:val="20"/>
        <w:szCs w:val="20"/>
      </w:rPr>
      <w:t>14</w:t>
    </w:r>
    <w:r w:rsidRPr="00653B4E">
      <w:rPr>
        <w:rStyle w:val="PageNumber"/>
        <w:sz w:val="20"/>
        <w:szCs w:val="20"/>
      </w:rPr>
      <w:fldChar w:fldCharType="end"/>
    </w:r>
  </w:p>
  <w:p w:rsidR="00780D04" w:rsidRDefault="00780D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E53" w:rsidRDefault="006A3E53">
      <w:r>
        <w:separator/>
      </w:r>
    </w:p>
  </w:footnote>
  <w:footnote w:type="continuationSeparator" w:id="0">
    <w:p w:rsidR="006A3E53" w:rsidRDefault="006A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Pr="007A70EF" w:rsidRDefault="00780D04">
    <w:pPr>
      <w:pStyle w:val="Header"/>
      <w:pBdr>
        <w:bottom w:val="single" w:sz="12" w:space="1" w:color="auto"/>
      </w:pBdr>
      <w:rPr>
        <w:sz w:val="2"/>
        <w:szCs w:val="2"/>
      </w:rPr>
    </w:pPr>
  </w:p>
  <w:p w:rsidR="00780D04" w:rsidRDefault="00780D04"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Default="00780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Default="00780D04" w:rsidP="008E756B">
    <w:pPr>
      <w:pStyle w:val="Header"/>
      <w:pBdr>
        <w:bottom w:val="single" w:sz="12" w:space="1" w:color="auto"/>
      </w:pBdr>
      <w:jc w:val="right"/>
    </w:pPr>
  </w:p>
  <w:p w:rsidR="00780D04" w:rsidRDefault="00780D04">
    <w:pPr>
      <w:pStyle w:val="Header"/>
    </w:pPr>
  </w:p>
  <w:p w:rsidR="00780D04" w:rsidRDefault="00780D04"/>
  <w:p w:rsidR="00780D04" w:rsidRDefault="00780D0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D04" w:rsidRDefault="00780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E6E5E96"/>
    <w:lvl w:ilvl="0">
      <w:numFmt w:val="bullet"/>
      <w:lvlText w:val="*"/>
      <w:lvlJc w:val="left"/>
    </w:lvl>
  </w:abstractNum>
  <w:abstractNum w:abstractNumId="1" w15:restartNumberingAfterBreak="0">
    <w:nsid w:val="01E27481"/>
    <w:multiLevelType w:val="hybridMultilevel"/>
    <w:tmpl w:val="7F0A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3" w15:restartNumberingAfterBreak="0">
    <w:nsid w:val="21545362"/>
    <w:multiLevelType w:val="hybridMultilevel"/>
    <w:tmpl w:val="665660F4"/>
    <w:lvl w:ilvl="0" w:tplc="DDE2A0F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23766D"/>
    <w:multiLevelType w:val="hybridMultilevel"/>
    <w:tmpl w:val="EDEE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A166DF1"/>
    <w:multiLevelType w:val="hybridMultilevel"/>
    <w:tmpl w:val="57E8F25E"/>
    <w:lvl w:ilvl="0" w:tplc="83A6D606">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FC7F4B"/>
    <w:multiLevelType w:val="hybridMultilevel"/>
    <w:tmpl w:val="79E6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91072"/>
    <w:multiLevelType w:val="hybridMultilevel"/>
    <w:tmpl w:val="47D2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7F1325"/>
    <w:multiLevelType w:val="hybridMultilevel"/>
    <w:tmpl w:val="4660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8D68D4"/>
    <w:multiLevelType w:val="multilevel"/>
    <w:tmpl w:val="EC54E48A"/>
    <w:lvl w:ilvl="0">
      <w:start w:val="1"/>
      <w:numFmt w:val="decimal"/>
      <w:lvlText w:val="%1"/>
      <w:lvlJc w:val="left"/>
      <w:pPr>
        <w:tabs>
          <w:tab w:val="num" w:pos="680"/>
        </w:tabs>
        <w:ind w:left="680" w:hanging="680"/>
      </w:pPr>
      <w:rPr>
        <w:rFonts w:hint="default"/>
        <w:color w:val="auto"/>
      </w:rPr>
    </w:lvl>
    <w:lvl w:ilvl="1">
      <w:start w:val="1"/>
      <w:numFmt w:val="decimal"/>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11"/>
  </w:num>
  <w:num w:numId="4">
    <w:abstractNumId w:val="23"/>
  </w:num>
  <w:num w:numId="5">
    <w:abstractNumId w:val="12"/>
  </w:num>
  <w:num w:numId="6">
    <w:abstractNumId w:val="17"/>
  </w:num>
  <w:num w:numId="7">
    <w:abstractNumId w:val="20"/>
  </w:num>
  <w:num w:numId="8">
    <w:abstractNumId w:val="19"/>
  </w:num>
  <w:num w:numId="9">
    <w:abstractNumId w:val="14"/>
  </w:num>
  <w:num w:numId="10">
    <w:abstractNumId w:val="4"/>
  </w:num>
  <w:num w:numId="11">
    <w:abstractNumId w:val="10"/>
  </w:num>
  <w:num w:numId="12">
    <w:abstractNumId w:val="34"/>
  </w:num>
  <w:num w:numId="13">
    <w:abstractNumId w:val="8"/>
  </w:num>
  <w:num w:numId="14">
    <w:abstractNumId w:val="9"/>
  </w:num>
  <w:num w:numId="15">
    <w:abstractNumId w:val="16"/>
  </w:num>
  <w:num w:numId="16">
    <w:abstractNumId w:val="3"/>
  </w:num>
  <w:num w:numId="17">
    <w:abstractNumId w:val="33"/>
  </w:num>
  <w:num w:numId="18">
    <w:abstractNumId w:val="7"/>
  </w:num>
  <w:num w:numId="19">
    <w:abstractNumId w:val="25"/>
  </w:num>
  <w:num w:numId="20">
    <w:abstractNumId w:val="31"/>
  </w:num>
  <w:num w:numId="21">
    <w:abstractNumId w:val="28"/>
  </w:num>
  <w:num w:numId="22">
    <w:abstractNumId w:val="32"/>
  </w:num>
  <w:num w:numId="23">
    <w:abstractNumId w:val="30"/>
  </w:num>
  <w:num w:numId="24">
    <w:abstractNumId w:val="6"/>
  </w:num>
  <w:num w:numId="25">
    <w:abstractNumId w:val="5"/>
  </w:num>
  <w:num w:numId="26">
    <w:abstractNumId w:val="2"/>
  </w:num>
  <w:num w:numId="27">
    <w:abstractNumId w:val="26"/>
  </w:num>
  <w:num w:numId="28">
    <w:abstractNumId w:val="1"/>
  </w:num>
  <w:num w:numId="29">
    <w:abstractNumId w:val="18"/>
  </w:num>
  <w:num w:numId="30">
    <w:abstractNumId w:val="27"/>
  </w:num>
  <w:num w:numId="31">
    <w:abstractNumId w:val="24"/>
  </w:num>
  <w:num w:numId="32">
    <w:abstractNumId w:val="29"/>
  </w:num>
  <w:num w:numId="3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4">
    <w:abstractNumId w:val="22"/>
  </w:num>
  <w:num w:numId="35">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596A"/>
    <w:rsid w:val="00007621"/>
    <w:rsid w:val="000106C5"/>
    <w:rsid w:val="00011F78"/>
    <w:rsid w:val="00012CAC"/>
    <w:rsid w:val="00016DD0"/>
    <w:rsid w:val="00022435"/>
    <w:rsid w:val="00022CC5"/>
    <w:rsid w:val="00022DB6"/>
    <w:rsid w:val="00023FAA"/>
    <w:rsid w:val="0003209C"/>
    <w:rsid w:val="00041864"/>
    <w:rsid w:val="00046175"/>
    <w:rsid w:val="0004776A"/>
    <w:rsid w:val="00051382"/>
    <w:rsid w:val="00051E7C"/>
    <w:rsid w:val="00063C4B"/>
    <w:rsid w:val="00064F82"/>
    <w:rsid w:val="00067D25"/>
    <w:rsid w:val="00074D25"/>
    <w:rsid w:val="000833EF"/>
    <w:rsid w:val="00084FA2"/>
    <w:rsid w:val="000851F2"/>
    <w:rsid w:val="00097C27"/>
    <w:rsid w:val="000A0C1B"/>
    <w:rsid w:val="000A3DF7"/>
    <w:rsid w:val="000A451C"/>
    <w:rsid w:val="000A58B3"/>
    <w:rsid w:val="000A6842"/>
    <w:rsid w:val="000B1468"/>
    <w:rsid w:val="000B2B9A"/>
    <w:rsid w:val="000B6F7F"/>
    <w:rsid w:val="000C3939"/>
    <w:rsid w:val="000C60CF"/>
    <w:rsid w:val="000D08A7"/>
    <w:rsid w:val="000D0C25"/>
    <w:rsid w:val="000D212F"/>
    <w:rsid w:val="000E39DD"/>
    <w:rsid w:val="000E3BBA"/>
    <w:rsid w:val="000E79CC"/>
    <w:rsid w:val="000F1A3C"/>
    <w:rsid w:val="000F4E59"/>
    <w:rsid w:val="001007BF"/>
    <w:rsid w:val="001073B9"/>
    <w:rsid w:val="00107925"/>
    <w:rsid w:val="001105A2"/>
    <w:rsid w:val="00116F59"/>
    <w:rsid w:val="0012000C"/>
    <w:rsid w:val="00125DA0"/>
    <w:rsid w:val="00133214"/>
    <w:rsid w:val="001343AD"/>
    <w:rsid w:val="001362FD"/>
    <w:rsid w:val="001366BB"/>
    <w:rsid w:val="001372F2"/>
    <w:rsid w:val="0013767E"/>
    <w:rsid w:val="00137786"/>
    <w:rsid w:val="00137F02"/>
    <w:rsid w:val="00151F10"/>
    <w:rsid w:val="001527B2"/>
    <w:rsid w:val="00152ADD"/>
    <w:rsid w:val="00153F85"/>
    <w:rsid w:val="00155AFA"/>
    <w:rsid w:val="001608DF"/>
    <w:rsid w:val="00161684"/>
    <w:rsid w:val="00161E1A"/>
    <w:rsid w:val="001622CF"/>
    <w:rsid w:val="00165056"/>
    <w:rsid w:val="00172A9F"/>
    <w:rsid w:val="001739A9"/>
    <w:rsid w:val="00180A06"/>
    <w:rsid w:val="00181759"/>
    <w:rsid w:val="00182783"/>
    <w:rsid w:val="00195F8E"/>
    <w:rsid w:val="00197575"/>
    <w:rsid w:val="00197DB2"/>
    <w:rsid w:val="001A54FA"/>
    <w:rsid w:val="001A5CAB"/>
    <w:rsid w:val="001A5F8E"/>
    <w:rsid w:val="001B05C8"/>
    <w:rsid w:val="001B6DF9"/>
    <w:rsid w:val="001C728F"/>
    <w:rsid w:val="001D2429"/>
    <w:rsid w:val="001D55BC"/>
    <w:rsid w:val="001D7FB3"/>
    <w:rsid w:val="001E098B"/>
    <w:rsid w:val="001E455D"/>
    <w:rsid w:val="001E5AC3"/>
    <w:rsid w:val="001F1A4F"/>
    <w:rsid w:val="001F1E3E"/>
    <w:rsid w:val="001F2CF6"/>
    <w:rsid w:val="001F3E93"/>
    <w:rsid w:val="001F573B"/>
    <w:rsid w:val="002009C2"/>
    <w:rsid w:val="002017FE"/>
    <w:rsid w:val="00211C37"/>
    <w:rsid w:val="00212D24"/>
    <w:rsid w:val="0021374F"/>
    <w:rsid w:val="00215594"/>
    <w:rsid w:val="00217581"/>
    <w:rsid w:val="00220885"/>
    <w:rsid w:val="00223316"/>
    <w:rsid w:val="00227ADC"/>
    <w:rsid w:val="002335B0"/>
    <w:rsid w:val="002338A1"/>
    <w:rsid w:val="00234C65"/>
    <w:rsid w:val="00242B41"/>
    <w:rsid w:val="00251448"/>
    <w:rsid w:val="00252A2F"/>
    <w:rsid w:val="00253534"/>
    <w:rsid w:val="00260BA9"/>
    <w:rsid w:val="002617AD"/>
    <w:rsid w:val="0026261D"/>
    <w:rsid w:val="00266064"/>
    <w:rsid w:val="002662A0"/>
    <w:rsid w:val="002731CC"/>
    <w:rsid w:val="00275D6E"/>
    <w:rsid w:val="0027611C"/>
    <w:rsid w:val="002776C0"/>
    <w:rsid w:val="002827AF"/>
    <w:rsid w:val="002840D0"/>
    <w:rsid w:val="00285DC4"/>
    <w:rsid w:val="002915FA"/>
    <w:rsid w:val="00294A62"/>
    <w:rsid w:val="00295EFC"/>
    <w:rsid w:val="002B0376"/>
    <w:rsid w:val="002B651E"/>
    <w:rsid w:val="002B680C"/>
    <w:rsid w:val="002C1160"/>
    <w:rsid w:val="002C12FF"/>
    <w:rsid w:val="002D2A7A"/>
    <w:rsid w:val="002D4147"/>
    <w:rsid w:val="002E28FA"/>
    <w:rsid w:val="002E6101"/>
    <w:rsid w:val="002F0777"/>
    <w:rsid w:val="002F2749"/>
    <w:rsid w:val="002F3082"/>
    <w:rsid w:val="002F7351"/>
    <w:rsid w:val="003014E1"/>
    <w:rsid w:val="003018AB"/>
    <w:rsid w:val="00305BA4"/>
    <w:rsid w:val="00306E2B"/>
    <w:rsid w:val="00310289"/>
    <w:rsid w:val="00310708"/>
    <w:rsid w:val="00312BD3"/>
    <w:rsid w:val="0031558D"/>
    <w:rsid w:val="00317E7D"/>
    <w:rsid w:val="003221D6"/>
    <w:rsid w:val="00323CA6"/>
    <w:rsid w:val="003259B1"/>
    <w:rsid w:val="00326D31"/>
    <w:rsid w:val="003270B7"/>
    <w:rsid w:val="00330395"/>
    <w:rsid w:val="00332E75"/>
    <w:rsid w:val="003363CE"/>
    <w:rsid w:val="00343EA0"/>
    <w:rsid w:val="00345CE4"/>
    <w:rsid w:val="00347A3B"/>
    <w:rsid w:val="00350F48"/>
    <w:rsid w:val="0035182D"/>
    <w:rsid w:val="00353218"/>
    <w:rsid w:val="00355C09"/>
    <w:rsid w:val="00356998"/>
    <w:rsid w:val="00366781"/>
    <w:rsid w:val="003668A9"/>
    <w:rsid w:val="00367EEB"/>
    <w:rsid w:val="00370895"/>
    <w:rsid w:val="00370ED8"/>
    <w:rsid w:val="003746E0"/>
    <w:rsid w:val="003747CD"/>
    <w:rsid w:val="0037591E"/>
    <w:rsid w:val="00383DBD"/>
    <w:rsid w:val="00383E26"/>
    <w:rsid w:val="0038675C"/>
    <w:rsid w:val="00391690"/>
    <w:rsid w:val="0039282B"/>
    <w:rsid w:val="0039289B"/>
    <w:rsid w:val="00392AE9"/>
    <w:rsid w:val="00392FE1"/>
    <w:rsid w:val="0039496F"/>
    <w:rsid w:val="00395E78"/>
    <w:rsid w:val="00396794"/>
    <w:rsid w:val="003A2707"/>
    <w:rsid w:val="003A653F"/>
    <w:rsid w:val="003B13D2"/>
    <w:rsid w:val="003B1583"/>
    <w:rsid w:val="003B3AB9"/>
    <w:rsid w:val="003B78F9"/>
    <w:rsid w:val="003B7E25"/>
    <w:rsid w:val="003C2255"/>
    <w:rsid w:val="003D3285"/>
    <w:rsid w:val="003D3A29"/>
    <w:rsid w:val="003D4671"/>
    <w:rsid w:val="003D74A2"/>
    <w:rsid w:val="003D7A13"/>
    <w:rsid w:val="003E1B86"/>
    <w:rsid w:val="003E311B"/>
    <w:rsid w:val="003E5BAA"/>
    <w:rsid w:val="003F079B"/>
    <w:rsid w:val="003F1F07"/>
    <w:rsid w:val="003F4F1D"/>
    <w:rsid w:val="00402321"/>
    <w:rsid w:val="00402829"/>
    <w:rsid w:val="00405D5C"/>
    <w:rsid w:val="00415C9D"/>
    <w:rsid w:val="00417C69"/>
    <w:rsid w:val="00425728"/>
    <w:rsid w:val="004268E5"/>
    <w:rsid w:val="00430DC5"/>
    <w:rsid w:val="004333DA"/>
    <w:rsid w:val="0044362C"/>
    <w:rsid w:val="0044762E"/>
    <w:rsid w:val="00450C68"/>
    <w:rsid w:val="00450D89"/>
    <w:rsid w:val="004533A7"/>
    <w:rsid w:val="004563D8"/>
    <w:rsid w:val="004571FA"/>
    <w:rsid w:val="00460505"/>
    <w:rsid w:val="004623B5"/>
    <w:rsid w:val="00463122"/>
    <w:rsid w:val="00464813"/>
    <w:rsid w:val="00471F4C"/>
    <w:rsid w:val="00472EF0"/>
    <w:rsid w:val="00480E77"/>
    <w:rsid w:val="004818AB"/>
    <w:rsid w:val="004838B3"/>
    <w:rsid w:val="004845D9"/>
    <w:rsid w:val="00484C39"/>
    <w:rsid w:val="00487BFB"/>
    <w:rsid w:val="00491EE8"/>
    <w:rsid w:val="0049490D"/>
    <w:rsid w:val="004955D9"/>
    <w:rsid w:val="00496C9A"/>
    <w:rsid w:val="004A14CC"/>
    <w:rsid w:val="004A1BBC"/>
    <w:rsid w:val="004A2BF4"/>
    <w:rsid w:val="004A3759"/>
    <w:rsid w:val="004B07AA"/>
    <w:rsid w:val="004B08A2"/>
    <w:rsid w:val="004B268A"/>
    <w:rsid w:val="004B3A54"/>
    <w:rsid w:val="004B47FE"/>
    <w:rsid w:val="004B60A8"/>
    <w:rsid w:val="004C26AB"/>
    <w:rsid w:val="004C40DA"/>
    <w:rsid w:val="004C6BAD"/>
    <w:rsid w:val="004C7EF6"/>
    <w:rsid w:val="004E0F22"/>
    <w:rsid w:val="004E633C"/>
    <w:rsid w:val="004F1F58"/>
    <w:rsid w:val="004F6BFD"/>
    <w:rsid w:val="004F7E56"/>
    <w:rsid w:val="0050282F"/>
    <w:rsid w:val="00503D28"/>
    <w:rsid w:val="00505B3E"/>
    <w:rsid w:val="00510972"/>
    <w:rsid w:val="00511CA5"/>
    <w:rsid w:val="005150CE"/>
    <w:rsid w:val="005175E2"/>
    <w:rsid w:val="005176D6"/>
    <w:rsid w:val="0051776B"/>
    <w:rsid w:val="0052040A"/>
    <w:rsid w:val="005245F3"/>
    <w:rsid w:val="00530814"/>
    <w:rsid w:val="00531745"/>
    <w:rsid w:val="00536295"/>
    <w:rsid w:val="0053684A"/>
    <w:rsid w:val="005369C0"/>
    <w:rsid w:val="00540686"/>
    <w:rsid w:val="00545301"/>
    <w:rsid w:val="00546EDD"/>
    <w:rsid w:val="005505CA"/>
    <w:rsid w:val="00554BC4"/>
    <w:rsid w:val="00555963"/>
    <w:rsid w:val="00560117"/>
    <w:rsid w:val="00565333"/>
    <w:rsid w:val="00565334"/>
    <w:rsid w:val="00573DC7"/>
    <w:rsid w:val="005818DB"/>
    <w:rsid w:val="00582B2D"/>
    <w:rsid w:val="0058300A"/>
    <w:rsid w:val="005848EA"/>
    <w:rsid w:val="0058492D"/>
    <w:rsid w:val="005917BB"/>
    <w:rsid w:val="00591B39"/>
    <w:rsid w:val="005932C2"/>
    <w:rsid w:val="005A2D47"/>
    <w:rsid w:val="005B1CC3"/>
    <w:rsid w:val="005B30C2"/>
    <w:rsid w:val="005B5A07"/>
    <w:rsid w:val="005B5B39"/>
    <w:rsid w:val="005C1372"/>
    <w:rsid w:val="005C17C7"/>
    <w:rsid w:val="005C3D91"/>
    <w:rsid w:val="005C40FF"/>
    <w:rsid w:val="005C4E74"/>
    <w:rsid w:val="005C5436"/>
    <w:rsid w:val="005C59D5"/>
    <w:rsid w:val="005C6B33"/>
    <w:rsid w:val="005D0F3B"/>
    <w:rsid w:val="005D2814"/>
    <w:rsid w:val="005D5368"/>
    <w:rsid w:val="005D7287"/>
    <w:rsid w:val="005E2171"/>
    <w:rsid w:val="005E4614"/>
    <w:rsid w:val="005E49D2"/>
    <w:rsid w:val="005F0B83"/>
    <w:rsid w:val="005F1EC2"/>
    <w:rsid w:val="006017D3"/>
    <w:rsid w:val="006040C7"/>
    <w:rsid w:val="00605E5E"/>
    <w:rsid w:val="00607A4B"/>
    <w:rsid w:val="00610459"/>
    <w:rsid w:val="00610DEF"/>
    <w:rsid w:val="00612372"/>
    <w:rsid w:val="006125CA"/>
    <w:rsid w:val="0061344D"/>
    <w:rsid w:val="006134B0"/>
    <w:rsid w:val="0061533D"/>
    <w:rsid w:val="00616CC3"/>
    <w:rsid w:val="0062043F"/>
    <w:rsid w:val="006216FE"/>
    <w:rsid w:val="0062357E"/>
    <w:rsid w:val="00623A93"/>
    <w:rsid w:val="0062704E"/>
    <w:rsid w:val="00634682"/>
    <w:rsid w:val="0063490A"/>
    <w:rsid w:val="0063507E"/>
    <w:rsid w:val="00635D4E"/>
    <w:rsid w:val="006363E9"/>
    <w:rsid w:val="00636F00"/>
    <w:rsid w:val="00640B45"/>
    <w:rsid w:val="0064273D"/>
    <w:rsid w:val="00644417"/>
    <w:rsid w:val="00645944"/>
    <w:rsid w:val="0064634D"/>
    <w:rsid w:val="00651614"/>
    <w:rsid w:val="00652EF6"/>
    <w:rsid w:val="00653AD8"/>
    <w:rsid w:val="006556B9"/>
    <w:rsid w:val="006567AA"/>
    <w:rsid w:val="00661613"/>
    <w:rsid w:val="00662D5F"/>
    <w:rsid w:val="00662F0F"/>
    <w:rsid w:val="00663AB2"/>
    <w:rsid w:val="00663E0F"/>
    <w:rsid w:val="006640F3"/>
    <w:rsid w:val="0066644A"/>
    <w:rsid w:val="006666FD"/>
    <w:rsid w:val="006757F6"/>
    <w:rsid w:val="00675BA3"/>
    <w:rsid w:val="0067671E"/>
    <w:rsid w:val="006858D6"/>
    <w:rsid w:val="00686C42"/>
    <w:rsid w:val="00687908"/>
    <w:rsid w:val="00687E3A"/>
    <w:rsid w:val="00694A57"/>
    <w:rsid w:val="006A0189"/>
    <w:rsid w:val="006A0C65"/>
    <w:rsid w:val="006A1127"/>
    <w:rsid w:val="006A2D7C"/>
    <w:rsid w:val="006A2F72"/>
    <w:rsid w:val="006A3278"/>
    <w:rsid w:val="006A3ABF"/>
    <w:rsid w:val="006A3E53"/>
    <w:rsid w:val="006A4526"/>
    <w:rsid w:val="006A5529"/>
    <w:rsid w:val="006B6E53"/>
    <w:rsid w:val="006C02C3"/>
    <w:rsid w:val="006C126B"/>
    <w:rsid w:val="006C184E"/>
    <w:rsid w:val="006C206C"/>
    <w:rsid w:val="006C32C4"/>
    <w:rsid w:val="006C3C28"/>
    <w:rsid w:val="006C61D0"/>
    <w:rsid w:val="006D3EBD"/>
    <w:rsid w:val="006D5C31"/>
    <w:rsid w:val="006E0876"/>
    <w:rsid w:val="006E0EF0"/>
    <w:rsid w:val="006E3A64"/>
    <w:rsid w:val="006E45D8"/>
    <w:rsid w:val="006E6F0B"/>
    <w:rsid w:val="006F7EC5"/>
    <w:rsid w:val="00700026"/>
    <w:rsid w:val="0070051D"/>
    <w:rsid w:val="0070116C"/>
    <w:rsid w:val="00701B04"/>
    <w:rsid w:val="00701D6A"/>
    <w:rsid w:val="00703B17"/>
    <w:rsid w:val="00704DA0"/>
    <w:rsid w:val="00706BA7"/>
    <w:rsid w:val="007104E4"/>
    <w:rsid w:val="0071084E"/>
    <w:rsid w:val="0072290C"/>
    <w:rsid w:val="00723ADE"/>
    <w:rsid w:val="007258C2"/>
    <w:rsid w:val="00726ED9"/>
    <w:rsid w:val="00731E28"/>
    <w:rsid w:val="00735C47"/>
    <w:rsid w:val="00742C6F"/>
    <w:rsid w:val="00743735"/>
    <w:rsid w:val="007442BB"/>
    <w:rsid w:val="007463C5"/>
    <w:rsid w:val="00746846"/>
    <w:rsid w:val="007510C3"/>
    <w:rsid w:val="007534AD"/>
    <w:rsid w:val="007577A9"/>
    <w:rsid w:val="00757EA9"/>
    <w:rsid w:val="007613DE"/>
    <w:rsid w:val="00761CB6"/>
    <w:rsid w:val="00761E64"/>
    <w:rsid w:val="0076458E"/>
    <w:rsid w:val="00764E19"/>
    <w:rsid w:val="00767063"/>
    <w:rsid w:val="00767DAA"/>
    <w:rsid w:val="00773769"/>
    <w:rsid w:val="0077638D"/>
    <w:rsid w:val="007775A3"/>
    <w:rsid w:val="007802FB"/>
    <w:rsid w:val="00780D04"/>
    <w:rsid w:val="00791140"/>
    <w:rsid w:val="00792FEF"/>
    <w:rsid w:val="007940AE"/>
    <w:rsid w:val="00796AFA"/>
    <w:rsid w:val="007A05AA"/>
    <w:rsid w:val="007A10F9"/>
    <w:rsid w:val="007A2F4C"/>
    <w:rsid w:val="007A3811"/>
    <w:rsid w:val="007A3DBE"/>
    <w:rsid w:val="007A4C02"/>
    <w:rsid w:val="007A509F"/>
    <w:rsid w:val="007B0795"/>
    <w:rsid w:val="007B1A37"/>
    <w:rsid w:val="007B49CD"/>
    <w:rsid w:val="007B593B"/>
    <w:rsid w:val="007B5A46"/>
    <w:rsid w:val="007B66D4"/>
    <w:rsid w:val="007C0DA3"/>
    <w:rsid w:val="007C1BC2"/>
    <w:rsid w:val="007C24B4"/>
    <w:rsid w:val="007C72EC"/>
    <w:rsid w:val="007D0DBA"/>
    <w:rsid w:val="007D2117"/>
    <w:rsid w:val="007D4DB0"/>
    <w:rsid w:val="007D65A9"/>
    <w:rsid w:val="007E14C3"/>
    <w:rsid w:val="007E4012"/>
    <w:rsid w:val="007E7477"/>
    <w:rsid w:val="007F073B"/>
    <w:rsid w:val="00801B20"/>
    <w:rsid w:val="00802120"/>
    <w:rsid w:val="0080236B"/>
    <w:rsid w:val="00804073"/>
    <w:rsid w:val="008043B0"/>
    <w:rsid w:val="00805C20"/>
    <w:rsid w:val="00805C72"/>
    <w:rsid w:val="00807168"/>
    <w:rsid w:val="0081015C"/>
    <w:rsid w:val="00811649"/>
    <w:rsid w:val="00814B0F"/>
    <w:rsid w:val="008207D0"/>
    <w:rsid w:val="00826894"/>
    <w:rsid w:val="00831225"/>
    <w:rsid w:val="00832BCA"/>
    <w:rsid w:val="008350B4"/>
    <w:rsid w:val="0083551D"/>
    <w:rsid w:val="00841880"/>
    <w:rsid w:val="008428AB"/>
    <w:rsid w:val="00845FD5"/>
    <w:rsid w:val="00846937"/>
    <w:rsid w:val="00846B65"/>
    <w:rsid w:val="0084724F"/>
    <w:rsid w:val="00850054"/>
    <w:rsid w:val="00861B2D"/>
    <w:rsid w:val="00863232"/>
    <w:rsid w:val="00863664"/>
    <w:rsid w:val="00865911"/>
    <w:rsid w:val="00867583"/>
    <w:rsid w:val="0086764C"/>
    <w:rsid w:val="00874A85"/>
    <w:rsid w:val="0088151C"/>
    <w:rsid w:val="008817AB"/>
    <w:rsid w:val="00881E7F"/>
    <w:rsid w:val="0088307A"/>
    <w:rsid w:val="008843A4"/>
    <w:rsid w:val="00885D1D"/>
    <w:rsid w:val="00897324"/>
    <w:rsid w:val="008A27F4"/>
    <w:rsid w:val="008A6268"/>
    <w:rsid w:val="008A6600"/>
    <w:rsid w:val="008B1C49"/>
    <w:rsid w:val="008B2E0E"/>
    <w:rsid w:val="008B4A45"/>
    <w:rsid w:val="008B4BB5"/>
    <w:rsid w:val="008B606D"/>
    <w:rsid w:val="008B67CC"/>
    <w:rsid w:val="008B69C7"/>
    <w:rsid w:val="008C4143"/>
    <w:rsid w:val="008C6A24"/>
    <w:rsid w:val="008C7E8E"/>
    <w:rsid w:val="008D1228"/>
    <w:rsid w:val="008D5E36"/>
    <w:rsid w:val="008D6EC5"/>
    <w:rsid w:val="008E15C2"/>
    <w:rsid w:val="008E3BDA"/>
    <w:rsid w:val="008E66E8"/>
    <w:rsid w:val="008E6B05"/>
    <w:rsid w:val="008E7417"/>
    <w:rsid w:val="008E756B"/>
    <w:rsid w:val="008F0BEE"/>
    <w:rsid w:val="008F2739"/>
    <w:rsid w:val="008F3E87"/>
    <w:rsid w:val="008F452F"/>
    <w:rsid w:val="00900A20"/>
    <w:rsid w:val="00901274"/>
    <w:rsid w:val="00901EE3"/>
    <w:rsid w:val="009038F7"/>
    <w:rsid w:val="00905ADC"/>
    <w:rsid w:val="00906C33"/>
    <w:rsid w:val="00906FC0"/>
    <w:rsid w:val="00911014"/>
    <w:rsid w:val="009173AF"/>
    <w:rsid w:val="00923047"/>
    <w:rsid w:val="00932946"/>
    <w:rsid w:val="009336A9"/>
    <w:rsid w:val="00935904"/>
    <w:rsid w:val="00935BC2"/>
    <w:rsid w:val="009424FA"/>
    <w:rsid w:val="009426CB"/>
    <w:rsid w:val="009476BF"/>
    <w:rsid w:val="00951A2F"/>
    <w:rsid w:val="009534AF"/>
    <w:rsid w:val="0095527A"/>
    <w:rsid w:val="00957B49"/>
    <w:rsid w:val="00957FA1"/>
    <w:rsid w:val="00960CA9"/>
    <w:rsid w:val="00962E32"/>
    <w:rsid w:val="00963073"/>
    <w:rsid w:val="009723BE"/>
    <w:rsid w:val="0097315A"/>
    <w:rsid w:val="00983CFD"/>
    <w:rsid w:val="00984FA0"/>
    <w:rsid w:val="00990F13"/>
    <w:rsid w:val="00992A20"/>
    <w:rsid w:val="00995998"/>
    <w:rsid w:val="00997E2E"/>
    <w:rsid w:val="009A05F0"/>
    <w:rsid w:val="009A3F0A"/>
    <w:rsid w:val="009A43E8"/>
    <w:rsid w:val="009A6DEF"/>
    <w:rsid w:val="009B2354"/>
    <w:rsid w:val="009B3380"/>
    <w:rsid w:val="009B3EFE"/>
    <w:rsid w:val="009B493A"/>
    <w:rsid w:val="009B6105"/>
    <w:rsid w:val="009C547E"/>
    <w:rsid w:val="009D3D73"/>
    <w:rsid w:val="009D56A1"/>
    <w:rsid w:val="009D6A3F"/>
    <w:rsid w:val="009D74D8"/>
    <w:rsid w:val="009D78DD"/>
    <w:rsid w:val="009E6525"/>
    <w:rsid w:val="009E6862"/>
    <w:rsid w:val="009E69C0"/>
    <w:rsid w:val="009E73AD"/>
    <w:rsid w:val="009F0151"/>
    <w:rsid w:val="009F1BD1"/>
    <w:rsid w:val="009F3939"/>
    <w:rsid w:val="009F5357"/>
    <w:rsid w:val="009F7653"/>
    <w:rsid w:val="009F7871"/>
    <w:rsid w:val="009F7A13"/>
    <w:rsid w:val="00A00569"/>
    <w:rsid w:val="00A020E7"/>
    <w:rsid w:val="00A02C06"/>
    <w:rsid w:val="00A04EF8"/>
    <w:rsid w:val="00A0530F"/>
    <w:rsid w:val="00A07E84"/>
    <w:rsid w:val="00A1245A"/>
    <w:rsid w:val="00A21DA6"/>
    <w:rsid w:val="00A21E85"/>
    <w:rsid w:val="00A2477A"/>
    <w:rsid w:val="00A26C10"/>
    <w:rsid w:val="00A2712A"/>
    <w:rsid w:val="00A3306B"/>
    <w:rsid w:val="00A338F3"/>
    <w:rsid w:val="00A36044"/>
    <w:rsid w:val="00A366A9"/>
    <w:rsid w:val="00A42FB8"/>
    <w:rsid w:val="00A44712"/>
    <w:rsid w:val="00A46912"/>
    <w:rsid w:val="00A4710C"/>
    <w:rsid w:val="00A4745F"/>
    <w:rsid w:val="00A50134"/>
    <w:rsid w:val="00A53F8A"/>
    <w:rsid w:val="00A576F2"/>
    <w:rsid w:val="00A6170E"/>
    <w:rsid w:val="00A61BD8"/>
    <w:rsid w:val="00A63A46"/>
    <w:rsid w:val="00A64099"/>
    <w:rsid w:val="00A660BC"/>
    <w:rsid w:val="00A73E72"/>
    <w:rsid w:val="00A85F6F"/>
    <w:rsid w:val="00A879E6"/>
    <w:rsid w:val="00A935EF"/>
    <w:rsid w:val="00A96425"/>
    <w:rsid w:val="00A979C5"/>
    <w:rsid w:val="00A97E33"/>
    <w:rsid w:val="00AA0482"/>
    <w:rsid w:val="00AB4F62"/>
    <w:rsid w:val="00AB5F6E"/>
    <w:rsid w:val="00AB6016"/>
    <w:rsid w:val="00AB7044"/>
    <w:rsid w:val="00AB7EEA"/>
    <w:rsid w:val="00AC2A37"/>
    <w:rsid w:val="00AC7ED0"/>
    <w:rsid w:val="00AD0989"/>
    <w:rsid w:val="00AD0E50"/>
    <w:rsid w:val="00AD132D"/>
    <w:rsid w:val="00AD2D55"/>
    <w:rsid w:val="00AD6069"/>
    <w:rsid w:val="00AD632D"/>
    <w:rsid w:val="00AE67C6"/>
    <w:rsid w:val="00AF0554"/>
    <w:rsid w:val="00AF14EC"/>
    <w:rsid w:val="00AF1801"/>
    <w:rsid w:val="00AF1C07"/>
    <w:rsid w:val="00AF2E4B"/>
    <w:rsid w:val="00AF6348"/>
    <w:rsid w:val="00AF737F"/>
    <w:rsid w:val="00AF7BF6"/>
    <w:rsid w:val="00B006DF"/>
    <w:rsid w:val="00B019E0"/>
    <w:rsid w:val="00B046A0"/>
    <w:rsid w:val="00B05ECD"/>
    <w:rsid w:val="00B06172"/>
    <w:rsid w:val="00B061EE"/>
    <w:rsid w:val="00B063A3"/>
    <w:rsid w:val="00B16A24"/>
    <w:rsid w:val="00B16A8C"/>
    <w:rsid w:val="00B2308D"/>
    <w:rsid w:val="00B2381A"/>
    <w:rsid w:val="00B23C38"/>
    <w:rsid w:val="00B25585"/>
    <w:rsid w:val="00B2625C"/>
    <w:rsid w:val="00B2677D"/>
    <w:rsid w:val="00B275C1"/>
    <w:rsid w:val="00B31133"/>
    <w:rsid w:val="00B35C8B"/>
    <w:rsid w:val="00B404A6"/>
    <w:rsid w:val="00B414E2"/>
    <w:rsid w:val="00B45BC4"/>
    <w:rsid w:val="00B46B46"/>
    <w:rsid w:val="00B55621"/>
    <w:rsid w:val="00B56AC6"/>
    <w:rsid w:val="00B57D23"/>
    <w:rsid w:val="00B630B6"/>
    <w:rsid w:val="00B640B9"/>
    <w:rsid w:val="00B6522B"/>
    <w:rsid w:val="00B65709"/>
    <w:rsid w:val="00B67DF2"/>
    <w:rsid w:val="00B71001"/>
    <w:rsid w:val="00B7253A"/>
    <w:rsid w:val="00B74522"/>
    <w:rsid w:val="00B77DD1"/>
    <w:rsid w:val="00B8063F"/>
    <w:rsid w:val="00B80A04"/>
    <w:rsid w:val="00B8487E"/>
    <w:rsid w:val="00B85BF7"/>
    <w:rsid w:val="00B864E9"/>
    <w:rsid w:val="00B925DE"/>
    <w:rsid w:val="00B939CC"/>
    <w:rsid w:val="00B94865"/>
    <w:rsid w:val="00B968AA"/>
    <w:rsid w:val="00B971F3"/>
    <w:rsid w:val="00BA39A3"/>
    <w:rsid w:val="00BA3B82"/>
    <w:rsid w:val="00BA5769"/>
    <w:rsid w:val="00BB1495"/>
    <w:rsid w:val="00BB2427"/>
    <w:rsid w:val="00BB3344"/>
    <w:rsid w:val="00BB3EA4"/>
    <w:rsid w:val="00BB5F28"/>
    <w:rsid w:val="00BC19DD"/>
    <w:rsid w:val="00BC4224"/>
    <w:rsid w:val="00BC547B"/>
    <w:rsid w:val="00BD04C8"/>
    <w:rsid w:val="00BD4B6C"/>
    <w:rsid w:val="00BD4CD0"/>
    <w:rsid w:val="00BE63D8"/>
    <w:rsid w:val="00BF6AF3"/>
    <w:rsid w:val="00BF76F4"/>
    <w:rsid w:val="00C03ACF"/>
    <w:rsid w:val="00C07CF6"/>
    <w:rsid w:val="00C17BDA"/>
    <w:rsid w:val="00C248C0"/>
    <w:rsid w:val="00C267D9"/>
    <w:rsid w:val="00C33E66"/>
    <w:rsid w:val="00C35542"/>
    <w:rsid w:val="00C358CB"/>
    <w:rsid w:val="00C37161"/>
    <w:rsid w:val="00C37933"/>
    <w:rsid w:val="00C37BCE"/>
    <w:rsid w:val="00C408C7"/>
    <w:rsid w:val="00C43DB0"/>
    <w:rsid w:val="00C47EEA"/>
    <w:rsid w:val="00C519D0"/>
    <w:rsid w:val="00C53ED0"/>
    <w:rsid w:val="00C651F1"/>
    <w:rsid w:val="00C6527B"/>
    <w:rsid w:val="00C70ACB"/>
    <w:rsid w:val="00C70CF5"/>
    <w:rsid w:val="00C712CC"/>
    <w:rsid w:val="00C717DF"/>
    <w:rsid w:val="00C71CF0"/>
    <w:rsid w:val="00C80050"/>
    <w:rsid w:val="00C859CA"/>
    <w:rsid w:val="00C91434"/>
    <w:rsid w:val="00C97541"/>
    <w:rsid w:val="00CA4BAB"/>
    <w:rsid w:val="00CA4FEC"/>
    <w:rsid w:val="00CA75B8"/>
    <w:rsid w:val="00CB12CE"/>
    <w:rsid w:val="00CB4AC3"/>
    <w:rsid w:val="00CB57F5"/>
    <w:rsid w:val="00CB7AE3"/>
    <w:rsid w:val="00CC0F00"/>
    <w:rsid w:val="00CC3FB7"/>
    <w:rsid w:val="00CC41FF"/>
    <w:rsid w:val="00CC6E5A"/>
    <w:rsid w:val="00CD2529"/>
    <w:rsid w:val="00CD3B31"/>
    <w:rsid w:val="00CD425F"/>
    <w:rsid w:val="00CD63E1"/>
    <w:rsid w:val="00CD7921"/>
    <w:rsid w:val="00CE02FF"/>
    <w:rsid w:val="00CE084B"/>
    <w:rsid w:val="00CE28DF"/>
    <w:rsid w:val="00CF449A"/>
    <w:rsid w:val="00D01E7F"/>
    <w:rsid w:val="00D02D57"/>
    <w:rsid w:val="00D0530D"/>
    <w:rsid w:val="00D118D6"/>
    <w:rsid w:val="00D16002"/>
    <w:rsid w:val="00D169E3"/>
    <w:rsid w:val="00D20266"/>
    <w:rsid w:val="00D20C29"/>
    <w:rsid w:val="00D25B9C"/>
    <w:rsid w:val="00D278EC"/>
    <w:rsid w:val="00D32672"/>
    <w:rsid w:val="00D33842"/>
    <w:rsid w:val="00D42E71"/>
    <w:rsid w:val="00D46F96"/>
    <w:rsid w:val="00D470E7"/>
    <w:rsid w:val="00D47915"/>
    <w:rsid w:val="00D5724A"/>
    <w:rsid w:val="00D57D6E"/>
    <w:rsid w:val="00D61577"/>
    <w:rsid w:val="00D61F5A"/>
    <w:rsid w:val="00D6379D"/>
    <w:rsid w:val="00D656C2"/>
    <w:rsid w:val="00D669FC"/>
    <w:rsid w:val="00D745B6"/>
    <w:rsid w:val="00D768F9"/>
    <w:rsid w:val="00D80C40"/>
    <w:rsid w:val="00D80EFA"/>
    <w:rsid w:val="00D84F36"/>
    <w:rsid w:val="00D877B2"/>
    <w:rsid w:val="00D93D15"/>
    <w:rsid w:val="00D95195"/>
    <w:rsid w:val="00D976F5"/>
    <w:rsid w:val="00DA1FC0"/>
    <w:rsid w:val="00DA4311"/>
    <w:rsid w:val="00DA7058"/>
    <w:rsid w:val="00DB0948"/>
    <w:rsid w:val="00DB4C12"/>
    <w:rsid w:val="00DB72CE"/>
    <w:rsid w:val="00DB7BF2"/>
    <w:rsid w:val="00DB7CFB"/>
    <w:rsid w:val="00DC34F6"/>
    <w:rsid w:val="00DC7883"/>
    <w:rsid w:val="00DC7EC7"/>
    <w:rsid w:val="00DD6953"/>
    <w:rsid w:val="00DF1458"/>
    <w:rsid w:val="00DF7C7E"/>
    <w:rsid w:val="00E0081E"/>
    <w:rsid w:val="00E02094"/>
    <w:rsid w:val="00E0465A"/>
    <w:rsid w:val="00E06BDE"/>
    <w:rsid w:val="00E07BC3"/>
    <w:rsid w:val="00E10F4C"/>
    <w:rsid w:val="00E17E72"/>
    <w:rsid w:val="00E2419F"/>
    <w:rsid w:val="00E254CF"/>
    <w:rsid w:val="00E27428"/>
    <w:rsid w:val="00E312E0"/>
    <w:rsid w:val="00E31758"/>
    <w:rsid w:val="00E3188B"/>
    <w:rsid w:val="00E32AB2"/>
    <w:rsid w:val="00E349EC"/>
    <w:rsid w:val="00E35619"/>
    <w:rsid w:val="00E366D6"/>
    <w:rsid w:val="00E41ADC"/>
    <w:rsid w:val="00E43977"/>
    <w:rsid w:val="00E53FBE"/>
    <w:rsid w:val="00E553C1"/>
    <w:rsid w:val="00E62216"/>
    <w:rsid w:val="00E63426"/>
    <w:rsid w:val="00E63D8B"/>
    <w:rsid w:val="00E65041"/>
    <w:rsid w:val="00E65B8D"/>
    <w:rsid w:val="00E66666"/>
    <w:rsid w:val="00E67746"/>
    <w:rsid w:val="00E71158"/>
    <w:rsid w:val="00E717A6"/>
    <w:rsid w:val="00E81F4B"/>
    <w:rsid w:val="00E92121"/>
    <w:rsid w:val="00E92510"/>
    <w:rsid w:val="00E933CB"/>
    <w:rsid w:val="00E97173"/>
    <w:rsid w:val="00EA11BE"/>
    <w:rsid w:val="00EA230B"/>
    <w:rsid w:val="00EA4475"/>
    <w:rsid w:val="00EA4FCD"/>
    <w:rsid w:val="00EB3A28"/>
    <w:rsid w:val="00EB7715"/>
    <w:rsid w:val="00EC644A"/>
    <w:rsid w:val="00EC6A3F"/>
    <w:rsid w:val="00ED2135"/>
    <w:rsid w:val="00ED262A"/>
    <w:rsid w:val="00EE1DDE"/>
    <w:rsid w:val="00EE5134"/>
    <w:rsid w:val="00EE5E08"/>
    <w:rsid w:val="00EF11B2"/>
    <w:rsid w:val="00EF36EA"/>
    <w:rsid w:val="00EF3FD4"/>
    <w:rsid w:val="00F00E06"/>
    <w:rsid w:val="00F035CE"/>
    <w:rsid w:val="00F055A1"/>
    <w:rsid w:val="00F06007"/>
    <w:rsid w:val="00F07331"/>
    <w:rsid w:val="00F10661"/>
    <w:rsid w:val="00F11E8D"/>
    <w:rsid w:val="00F152D4"/>
    <w:rsid w:val="00F16435"/>
    <w:rsid w:val="00F1754F"/>
    <w:rsid w:val="00F201C4"/>
    <w:rsid w:val="00F22C52"/>
    <w:rsid w:val="00F240BC"/>
    <w:rsid w:val="00F263C0"/>
    <w:rsid w:val="00F30489"/>
    <w:rsid w:val="00F30554"/>
    <w:rsid w:val="00F34144"/>
    <w:rsid w:val="00F348D2"/>
    <w:rsid w:val="00F36E4A"/>
    <w:rsid w:val="00F4485F"/>
    <w:rsid w:val="00F44B6A"/>
    <w:rsid w:val="00F4685B"/>
    <w:rsid w:val="00F47487"/>
    <w:rsid w:val="00F51077"/>
    <w:rsid w:val="00F51B61"/>
    <w:rsid w:val="00F521C7"/>
    <w:rsid w:val="00F532E7"/>
    <w:rsid w:val="00F556E7"/>
    <w:rsid w:val="00F60BF8"/>
    <w:rsid w:val="00F63120"/>
    <w:rsid w:val="00F64863"/>
    <w:rsid w:val="00F65D0D"/>
    <w:rsid w:val="00F702E3"/>
    <w:rsid w:val="00F7265D"/>
    <w:rsid w:val="00F75FA2"/>
    <w:rsid w:val="00F8383B"/>
    <w:rsid w:val="00F85F3D"/>
    <w:rsid w:val="00F866C8"/>
    <w:rsid w:val="00F86ACD"/>
    <w:rsid w:val="00F91269"/>
    <w:rsid w:val="00F94AC4"/>
    <w:rsid w:val="00F94DD0"/>
    <w:rsid w:val="00F960C1"/>
    <w:rsid w:val="00F97ED5"/>
    <w:rsid w:val="00FA0331"/>
    <w:rsid w:val="00FA71AE"/>
    <w:rsid w:val="00FA7287"/>
    <w:rsid w:val="00FB06AB"/>
    <w:rsid w:val="00FC049C"/>
    <w:rsid w:val="00FC1C0E"/>
    <w:rsid w:val="00FC3B40"/>
    <w:rsid w:val="00FC5ED8"/>
    <w:rsid w:val="00FC7AD2"/>
    <w:rsid w:val="00FD157C"/>
    <w:rsid w:val="00FD1788"/>
    <w:rsid w:val="00FD2592"/>
    <w:rsid w:val="00FD4826"/>
    <w:rsid w:val="00FD76A5"/>
    <w:rsid w:val="00FE2898"/>
    <w:rsid w:val="00FE78ED"/>
    <w:rsid w:val="00FF5BDC"/>
    <w:rsid w:val="00FF67A0"/>
    <w:rsid w:val="00FF7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EC4211-9C76-48DE-BF42-ECD239BB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uiPriority w:val="99"/>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rmalWeb">
    <w:name w:val="Normal (Web)"/>
    <w:basedOn w:val="Normal"/>
    <w:uiPriority w:val="99"/>
    <w:semiHidden/>
    <w:unhideWhenUsed/>
    <w:rsid w:val="0081015C"/>
    <w:pPr>
      <w:spacing w:before="100" w:beforeAutospacing="1" w:after="100" w:afterAutospacing="1"/>
    </w:pPr>
    <w:rPr>
      <w:rFonts w:ascii="Times New Roman" w:hAnsi="Times New Roman"/>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706BA7"/>
    <w:rPr>
      <w:rFonts w:ascii="Arial" w:hAnsi="Arial"/>
      <w:sz w:val="24"/>
      <w:szCs w:val="24"/>
      <w:lang w:eastAsia="en-US"/>
    </w:rPr>
  </w:style>
  <w:style w:type="paragraph" w:styleId="BodyText2">
    <w:name w:val="Body Text 2"/>
    <w:basedOn w:val="Normal"/>
    <w:link w:val="BodyText2Char"/>
    <w:rsid w:val="00CD25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color w:val="000000"/>
      <w:szCs w:val="20"/>
      <w:lang w:eastAsia="en-GB"/>
    </w:rPr>
  </w:style>
  <w:style w:type="character" w:customStyle="1" w:styleId="BodyText2Char">
    <w:name w:val="Body Text 2 Char"/>
    <w:basedOn w:val="DefaultParagraphFont"/>
    <w:link w:val="BodyText2"/>
    <w:rsid w:val="00CD2529"/>
    <w:rPr>
      <w:rFonts w:ascii="Arial" w:hAnsi="Arial"/>
      <w:color w:val="000000"/>
      <w:sz w:val="24"/>
    </w:rPr>
  </w:style>
  <w:style w:type="paragraph" w:customStyle="1" w:styleId="Outline2">
    <w:name w:val="Outline 2"/>
    <w:basedOn w:val="Normal"/>
    <w:rsid w:val="00CD2529"/>
    <w:pPr>
      <w:tabs>
        <w:tab w:val="left" w:pos="851"/>
      </w:tabs>
      <w:overflowPunct w:val="0"/>
      <w:autoSpaceDE w:val="0"/>
      <w:autoSpaceDN w:val="0"/>
      <w:adjustRightInd w:val="0"/>
      <w:spacing w:after="240"/>
      <w:ind w:left="851" w:hanging="851"/>
      <w:jc w:val="both"/>
      <w:textAlignment w:val="baseline"/>
    </w:pPr>
    <w:rPr>
      <w:sz w:val="22"/>
      <w:szCs w:val="20"/>
      <w:lang w:eastAsia="en-GB"/>
    </w:rPr>
  </w:style>
  <w:style w:type="paragraph" w:customStyle="1" w:styleId="OutlinePara">
    <w:name w:val="Outline Para"/>
    <w:basedOn w:val="Normal"/>
    <w:rsid w:val="00CD2529"/>
    <w:pPr>
      <w:overflowPunct w:val="0"/>
      <w:autoSpaceDE w:val="0"/>
      <w:autoSpaceDN w:val="0"/>
      <w:adjustRightInd w:val="0"/>
      <w:spacing w:after="240"/>
      <w:jc w:val="both"/>
      <w:textAlignment w:val="baseline"/>
    </w:pPr>
    <w:rPr>
      <w:sz w:val="22"/>
      <w:szCs w:val="20"/>
      <w:lang w:eastAsia="en-GB"/>
    </w:rPr>
  </w:style>
  <w:style w:type="character" w:customStyle="1" w:styleId="BodyTextChar">
    <w:name w:val="Body Text Char"/>
    <w:link w:val="BodyText"/>
    <w:locked/>
    <w:rsid w:val="00CD2529"/>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86482">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26677446">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1116245">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chris.davies@education.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Word_97_-_2003_Document.doc"/><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R7V2QUUQPMTK-6-72606</_dlc_DocId>
    <_dlc_DocIdUrl xmlns="85a719ee-0e1a-405a-acca-fded54921c95">
      <Url>https://educationgovuk.sharepoint.com/sites/stacom/_layouts/15/DocIdRedir.aspx?ID=R7V2QUUQPMTK-6-72606</Url>
      <Description>R7V2QUUQPMTK-6-72606</Description>
    </_dlc_DocIdUr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TaxCatchAll xmlns="8c566321-f672-4e06-a901-b5e72b4c4357">
      <Value>3</Value>
      <Value>2</Value>
      <Value>1</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20d7e17e1bb6c3d474cd15312aa785ef">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e9facfabf7b039b2d3d6814bd7dd48a7"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4B7C9-BE43-4F6F-81F6-7C8BBFE1C74B}">
  <ds:schemaRefs>
    <ds:schemaRef ds:uri="http://schemas.microsoft.com/office/2006/metadata/properties"/>
    <ds:schemaRef ds:uri="http://schemas.microsoft.com/office/infopath/2007/PartnerControls"/>
    <ds:schemaRef ds:uri="85a719ee-0e1a-405a-acca-fded54921c95"/>
    <ds:schemaRef ds:uri="906b00a0-3f23-4820-8da1-8de25fc78cbd"/>
    <ds:schemaRef ds:uri="95ab55cc-3ec0-4b23-b395-e89a1530037f"/>
    <ds:schemaRef ds:uri="http://schemas.microsoft.com/sharepoint/v3"/>
    <ds:schemaRef ds:uri="8c566321-f672-4e06-a901-b5e72b4c4357"/>
  </ds:schemaRefs>
</ds:datastoreItem>
</file>

<file path=customXml/itemProps2.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3.xml><?xml version="1.0" encoding="utf-8"?>
<ds:datastoreItem xmlns:ds="http://schemas.openxmlformats.org/officeDocument/2006/customXml" ds:itemID="{F868F787-242F-483D-8804-5F6F3687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5.xml><?xml version="1.0" encoding="utf-8"?>
<ds:datastoreItem xmlns:ds="http://schemas.openxmlformats.org/officeDocument/2006/customXml" ds:itemID="{6DA808BF-0D1A-4543-9A09-8EBA3657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3183</Words>
  <Characters>18147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STA-0165 Inclusion Experts ITT</vt:lpstr>
    </vt:vector>
  </TitlesOfParts>
  <Company>DfE</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STA-0165 Inclusion Experts ITT</dc:title>
  <dc:creator>HEATHCOTE, James</dc:creator>
  <cp:lastModifiedBy>ARROWSMITH, Morgan</cp:lastModifiedBy>
  <cp:revision>1</cp:revision>
  <cp:lastPrinted>2016-03-03T09:35:00Z</cp:lastPrinted>
  <dcterms:created xsi:type="dcterms:W3CDTF">2018-11-13T14:42:00Z</dcterms:created>
  <dcterms:modified xsi:type="dcterms:W3CDTF">2018-11-13T14:42:00Z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5e0fa318-f037-471b-9100-3ad3e683e6cc</vt:lpwstr>
  </property>
  <property fmtid="{D5CDD505-2E9C-101B-9397-08002B2CF9AE}" pid="9" name="IWPSubject">
    <vt:lpwstr/>
  </property>
  <property fmtid="{D5CDD505-2E9C-101B-9397-08002B2CF9AE}" pid="10" name="IWPSiteType">
    <vt:lpwstr/>
  </property>
</Properties>
</file>