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8E6A3" w14:textId="77777777" w:rsidR="00EA3D50" w:rsidRPr="00006003" w:rsidRDefault="009A25EB" w:rsidP="009A25EB">
      <w:pPr>
        <w:rPr>
          <w:rFonts w:ascii="Arial" w:eastAsia="Times New Roman" w:hAnsi="Arial" w:cs="Arial"/>
          <w:bCs/>
          <w:sz w:val="36"/>
          <w:szCs w:val="24"/>
          <w:lang w:val="en-US"/>
        </w:rPr>
      </w:pPr>
      <w:bookmarkStart w:id="0" w:name="_GoBack"/>
      <w:bookmarkEnd w:id="0"/>
      <w:r w:rsidRPr="00006003">
        <w:rPr>
          <w:rFonts w:ascii="Arial" w:eastAsia="Times New Roman" w:hAnsi="Arial" w:cs="Arial"/>
          <w:bCs/>
          <w:sz w:val="36"/>
          <w:szCs w:val="24"/>
          <w:lang w:val="en-US"/>
        </w:rPr>
        <w:t>Service Specification</w:t>
      </w:r>
    </w:p>
    <w:p w14:paraId="5B1C5EE1" w14:textId="385599AE" w:rsidR="00013DD6" w:rsidRPr="00006003" w:rsidRDefault="00013DD6"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imes New Roman" w:hAnsi="Arial" w:cs="Arial"/>
          <w:bCs/>
          <w:sz w:val="36"/>
          <w:szCs w:val="24"/>
          <w:lang w:val="en-US"/>
        </w:rPr>
      </w:pPr>
      <w:r w:rsidRPr="00006003">
        <w:rPr>
          <w:rFonts w:ascii="Arial" w:eastAsia="Times New Roman" w:hAnsi="Arial" w:cs="Arial"/>
          <w:bCs/>
          <w:sz w:val="36"/>
          <w:szCs w:val="24"/>
          <w:lang w:val="en-US"/>
        </w:rPr>
        <w:t xml:space="preserve">Testing for menthol </w:t>
      </w:r>
      <w:proofErr w:type="spellStart"/>
      <w:r w:rsidRPr="00006003">
        <w:rPr>
          <w:rFonts w:ascii="Arial" w:eastAsia="Times New Roman" w:hAnsi="Arial" w:cs="Arial"/>
          <w:bCs/>
          <w:sz w:val="36"/>
          <w:szCs w:val="24"/>
          <w:lang w:val="en-US"/>
        </w:rPr>
        <w:t>characterising</w:t>
      </w:r>
      <w:proofErr w:type="spellEnd"/>
      <w:r w:rsidRPr="00006003">
        <w:rPr>
          <w:rFonts w:ascii="Arial" w:eastAsia="Times New Roman" w:hAnsi="Arial" w:cs="Arial"/>
          <w:bCs/>
          <w:sz w:val="36"/>
          <w:szCs w:val="24"/>
          <w:lang w:val="en-US"/>
        </w:rPr>
        <w:t xml:space="preserve"> </w:t>
      </w:r>
      <w:proofErr w:type="spellStart"/>
      <w:r w:rsidRPr="00006003">
        <w:rPr>
          <w:rFonts w:ascii="Arial" w:eastAsia="Times New Roman" w:hAnsi="Arial" w:cs="Arial"/>
          <w:bCs/>
          <w:sz w:val="36"/>
          <w:szCs w:val="24"/>
          <w:lang w:val="en-US"/>
        </w:rPr>
        <w:t>flavour</w:t>
      </w:r>
      <w:proofErr w:type="spellEnd"/>
      <w:r w:rsidRPr="00006003">
        <w:rPr>
          <w:rFonts w:ascii="Arial" w:eastAsia="Times New Roman" w:hAnsi="Arial" w:cs="Arial"/>
          <w:bCs/>
          <w:sz w:val="36"/>
          <w:szCs w:val="24"/>
          <w:lang w:val="en-US"/>
        </w:rPr>
        <w:t xml:space="preserve"> in cigarettes notified for sale on the </w:t>
      </w:r>
      <w:r w:rsidR="00006003">
        <w:rPr>
          <w:rFonts w:ascii="Arial" w:eastAsia="Times New Roman" w:hAnsi="Arial" w:cs="Arial"/>
          <w:bCs/>
          <w:sz w:val="36"/>
          <w:szCs w:val="24"/>
          <w:lang w:val="en-US"/>
        </w:rPr>
        <w:t>United Kingdom</w:t>
      </w:r>
      <w:r w:rsidRPr="00006003">
        <w:rPr>
          <w:rFonts w:ascii="Arial" w:eastAsia="Times New Roman" w:hAnsi="Arial" w:cs="Arial"/>
          <w:bCs/>
          <w:sz w:val="36"/>
          <w:szCs w:val="24"/>
          <w:lang w:val="en-US"/>
        </w:rPr>
        <w:t xml:space="preserve"> domestic market</w:t>
      </w:r>
    </w:p>
    <w:p w14:paraId="69C0C93F" w14:textId="61642CED" w:rsidR="00222AFC" w:rsidRPr="00C27D7D" w:rsidRDefault="00222AF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C27D7D">
        <w:rPr>
          <w:rFonts w:ascii="Arial" w:hAnsi="Arial" w:cs="Arial"/>
          <w:b/>
          <w:bCs/>
          <w:sz w:val="24"/>
          <w:szCs w:val="24"/>
        </w:rPr>
        <w:t>Purpose</w:t>
      </w:r>
    </w:p>
    <w:p w14:paraId="23F563F5" w14:textId="5D20438B" w:rsidR="00D16D7B" w:rsidRPr="00C27D7D" w:rsidRDefault="00460EF3"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C27D7D">
        <w:rPr>
          <w:rFonts w:ascii="Arial" w:hAnsi="Arial" w:cs="Arial"/>
          <w:bCs/>
          <w:sz w:val="24"/>
          <w:szCs w:val="24"/>
        </w:rPr>
        <w:t>Public Health England</w:t>
      </w:r>
      <w:r w:rsidR="00107571" w:rsidRPr="00C27D7D">
        <w:rPr>
          <w:rFonts w:ascii="Arial" w:hAnsi="Arial" w:cs="Arial"/>
          <w:bCs/>
          <w:sz w:val="24"/>
          <w:szCs w:val="24"/>
        </w:rPr>
        <w:t xml:space="preserve"> (PHE)</w:t>
      </w:r>
      <w:r w:rsidRPr="00C27D7D">
        <w:rPr>
          <w:rFonts w:ascii="Arial" w:hAnsi="Arial" w:cs="Arial"/>
          <w:bCs/>
          <w:sz w:val="24"/>
          <w:szCs w:val="24"/>
        </w:rPr>
        <w:t xml:space="preserve"> is seeking</w:t>
      </w:r>
      <w:r w:rsidR="004B32EA" w:rsidRPr="00C27D7D">
        <w:rPr>
          <w:rFonts w:ascii="Arial" w:hAnsi="Arial" w:cs="Arial"/>
          <w:bCs/>
          <w:sz w:val="24"/>
          <w:szCs w:val="24"/>
        </w:rPr>
        <w:t xml:space="preserve"> to commission</w:t>
      </w:r>
      <w:r w:rsidR="008D7F38" w:rsidRPr="00C27D7D">
        <w:rPr>
          <w:rFonts w:ascii="Arial" w:hAnsi="Arial" w:cs="Arial"/>
          <w:bCs/>
          <w:sz w:val="24"/>
          <w:szCs w:val="24"/>
        </w:rPr>
        <w:t xml:space="preserve"> </w:t>
      </w:r>
      <w:r w:rsidR="003B657B">
        <w:rPr>
          <w:rFonts w:ascii="Arial" w:hAnsi="Arial" w:cs="Arial"/>
          <w:bCs/>
          <w:sz w:val="24"/>
          <w:szCs w:val="24"/>
        </w:rPr>
        <w:t>one or more</w:t>
      </w:r>
      <w:r w:rsidR="008D7F38" w:rsidRPr="00C27D7D">
        <w:rPr>
          <w:rFonts w:ascii="Arial" w:hAnsi="Arial" w:cs="Arial"/>
          <w:bCs/>
          <w:sz w:val="24"/>
          <w:szCs w:val="24"/>
        </w:rPr>
        <w:t xml:space="preserve"> external partner</w:t>
      </w:r>
      <w:r w:rsidR="003B657B">
        <w:rPr>
          <w:rFonts w:ascii="Arial" w:hAnsi="Arial" w:cs="Arial"/>
          <w:bCs/>
          <w:sz w:val="24"/>
          <w:szCs w:val="24"/>
        </w:rPr>
        <w:t>s</w:t>
      </w:r>
      <w:r w:rsidR="008D7F38" w:rsidRPr="00C27D7D">
        <w:rPr>
          <w:rFonts w:ascii="Arial" w:hAnsi="Arial" w:cs="Arial"/>
          <w:bCs/>
          <w:sz w:val="24"/>
          <w:szCs w:val="24"/>
        </w:rPr>
        <w:t xml:space="preserve"> to</w:t>
      </w:r>
      <w:r w:rsidR="00BE4D3A" w:rsidRPr="00C27D7D">
        <w:rPr>
          <w:rFonts w:ascii="Arial" w:hAnsi="Arial" w:cs="Arial"/>
          <w:bCs/>
          <w:sz w:val="24"/>
          <w:szCs w:val="24"/>
        </w:rPr>
        <w:t>:</w:t>
      </w:r>
    </w:p>
    <w:p w14:paraId="6B7B4262" w14:textId="42BDAE99" w:rsidR="00013DD6" w:rsidRPr="00C27D7D" w:rsidRDefault="00013DD6" w:rsidP="00013DD6">
      <w:pPr>
        <w:pStyle w:val="ListParagraph"/>
        <w:numPr>
          <w:ilvl w:val="0"/>
          <w:numId w:val="33"/>
        </w:numPr>
        <w:rPr>
          <w:rFonts w:ascii="Arial" w:hAnsi="Arial" w:cs="Arial"/>
          <w:bCs/>
          <w:sz w:val="24"/>
          <w:szCs w:val="24"/>
        </w:rPr>
      </w:pPr>
      <w:r w:rsidRPr="00C27D7D">
        <w:rPr>
          <w:rFonts w:ascii="Arial" w:hAnsi="Arial" w:cs="Arial"/>
          <w:bCs/>
          <w:sz w:val="24"/>
          <w:szCs w:val="24"/>
        </w:rPr>
        <w:t>Conduct</w:t>
      </w:r>
      <w:r w:rsidRPr="00013DD6">
        <w:rPr>
          <w:rFonts w:ascii="Arial" w:hAnsi="Arial" w:cs="Arial"/>
          <w:bCs/>
          <w:sz w:val="24"/>
          <w:szCs w:val="24"/>
        </w:rPr>
        <w:t xml:space="preserve"> laboratory analysis of the yields of mentho</w:t>
      </w:r>
      <w:r w:rsidR="000B26D3">
        <w:rPr>
          <w:rFonts w:ascii="Arial" w:hAnsi="Arial" w:cs="Arial"/>
          <w:bCs/>
          <w:sz w:val="24"/>
          <w:szCs w:val="24"/>
        </w:rPr>
        <w:t>l emissions</w:t>
      </w:r>
      <w:r w:rsidRPr="00013DD6">
        <w:rPr>
          <w:rFonts w:ascii="Arial" w:hAnsi="Arial" w:cs="Arial"/>
          <w:bCs/>
          <w:sz w:val="24"/>
          <w:szCs w:val="24"/>
        </w:rPr>
        <w:t xml:space="preserve"> (or menthol analogue chemical alternatives) in specified</w:t>
      </w:r>
      <w:r w:rsidR="00D43576">
        <w:rPr>
          <w:rFonts w:ascii="Arial" w:hAnsi="Arial" w:cs="Arial"/>
          <w:bCs/>
          <w:sz w:val="24"/>
          <w:szCs w:val="24"/>
        </w:rPr>
        <w:t xml:space="preserve"> combustible</w:t>
      </w:r>
      <w:r w:rsidRPr="00013DD6">
        <w:rPr>
          <w:rFonts w:ascii="Arial" w:hAnsi="Arial" w:cs="Arial"/>
          <w:bCs/>
          <w:sz w:val="24"/>
          <w:szCs w:val="24"/>
        </w:rPr>
        <w:t xml:space="preserve"> cigarette brands, in pursuance of Regulation 15 of the TRPR 2016 </w:t>
      </w:r>
      <w:hyperlink r:id="rId8" w:history="1">
        <w:r w:rsidRPr="00013DD6">
          <w:rPr>
            <w:rStyle w:val="Hyperlink"/>
            <w:rFonts w:ascii="Arial" w:hAnsi="Arial" w:cs="Arial"/>
            <w:bCs/>
            <w:sz w:val="24"/>
            <w:szCs w:val="24"/>
          </w:rPr>
          <w:t>http://www.legislation.gov.uk/uksi/2016/507/regulation/15/made</w:t>
        </w:r>
      </w:hyperlink>
      <w:r w:rsidRPr="00013DD6">
        <w:rPr>
          <w:rFonts w:ascii="Arial" w:hAnsi="Arial" w:cs="Arial"/>
          <w:bCs/>
          <w:sz w:val="24"/>
          <w:szCs w:val="24"/>
        </w:rPr>
        <w:t xml:space="preserve"> </w:t>
      </w:r>
      <w:r w:rsidR="00E70152">
        <w:rPr>
          <w:rFonts w:ascii="Arial" w:hAnsi="Arial" w:cs="Arial"/>
          <w:bCs/>
          <w:sz w:val="24"/>
          <w:szCs w:val="24"/>
        </w:rPr>
        <w:t xml:space="preserve">and </w:t>
      </w:r>
      <w:r w:rsidRPr="00013DD6">
        <w:rPr>
          <w:rFonts w:ascii="Arial" w:hAnsi="Arial" w:cs="Arial"/>
          <w:bCs/>
          <w:sz w:val="24"/>
          <w:szCs w:val="24"/>
        </w:rPr>
        <w:t xml:space="preserve">in accordance with relevant ISO standards. </w:t>
      </w:r>
    </w:p>
    <w:p w14:paraId="305F04E6" w14:textId="77777777" w:rsidR="00013DD6" w:rsidRPr="00C27D7D" w:rsidRDefault="00013DD6" w:rsidP="00013DD6">
      <w:pPr>
        <w:pStyle w:val="ListParagraph"/>
        <w:rPr>
          <w:rFonts w:ascii="Arial" w:hAnsi="Arial" w:cs="Arial"/>
          <w:bCs/>
          <w:sz w:val="24"/>
          <w:szCs w:val="24"/>
        </w:rPr>
      </w:pPr>
    </w:p>
    <w:p w14:paraId="67E9B610" w14:textId="0FA35F21" w:rsidR="00013DD6" w:rsidRPr="00C27D7D" w:rsidRDefault="00013DD6" w:rsidP="00013DD6">
      <w:pPr>
        <w:pStyle w:val="ListParagraph"/>
        <w:numPr>
          <w:ilvl w:val="0"/>
          <w:numId w:val="33"/>
        </w:numPr>
        <w:rPr>
          <w:rFonts w:ascii="Arial" w:hAnsi="Arial" w:cs="Arial"/>
          <w:bCs/>
          <w:sz w:val="24"/>
          <w:szCs w:val="24"/>
        </w:rPr>
      </w:pPr>
      <w:r w:rsidRPr="00C27D7D">
        <w:rPr>
          <w:rFonts w:ascii="Arial" w:hAnsi="Arial" w:cs="Arial"/>
          <w:bCs/>
          <w:sz w:val="24"/>
          <w:szCs w:val="24"/>
        </w:rPr>
        <w:t xml:space="preserve">Subject to findings from the laboratory analysis, to convene </w:t>
      </w:r>
      <w:r w:rsidR="00E70152">
        <w:rPr>
          <w:rFonts w:ascii="Arial" w:hAnsi="Arial" w:cs="Arial"/>
          <w:bCs/>
          <w:sz w:val="24"/>
          <w:szCs w:val="24"/>
        </w:rPr>
        <w:t xml:space="preserve">a </w:t>
      </w:r>
      <w:r w:rsidRPr="00C27D7D">
        <w:rPr>
          <w:rFonts w:ascii="Arial" w:hAnsi="Arial" w:cs="Arial"/>
          <w:bCs/>
          <w:sz w:val="24"/>
          <w:szCs w:val="24"/>
        </w:rPr>
        <w:t>user group with a panel of smokers, to determine if identified tobacco products are compliant with TRPR Regulation 15 around the characterising flavour of those brands.</w:t>
      </w:r>
    </w:p>
    <w:p w14:paraId="7091612D" w14:textId="2770CDBB" w:rsidR="00B2480C" w:rsidRPr="00C27D7D" w:rsidRDefault="00B2480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C27D7D">
        <w:rPr>
          <w:rFonts w:ascii="Arial" w:hAnsi="Arial" w:cs="Arial"/>
          <w:b/>
          <w:bCs/>
          <w:sz w:val="24"/>
          <w:szCs w:val="24"/>
        </w:rPr>
        <w:t>Back</w:t>
      </w:r>
      <w:r w:rsidR="00013DD6" w:rsidRPr="00C27D7D">
        <w:rPr>
          <w:rFonts w:ascii="Arial" w:hAnsi="Arial" w:cs="Arial"/>
          <w:b/>
          <w:bCs/>
          <w:sz w:val="24"/>
          <w:szCs w:val="24"/>
        </w:rPr>
        <w:t>g</w:t>
      </w:r>
      <w:r w:rsidRPr="00C27D7D">
        <w:rPr>
          <w:rFonts w:ascii="Arial" w:hAnsi="Arial" w:cs="Arial"/>
          <w:b/>
          <w:bCs/>
          <w:sz w:val="24"/>
          <w:szCs w:val="24"/>
        </w:rPr>
        <w:t>round</w:t>
      </w:r>
    </w:p>
    <w:p w14:paraId="1449ECF1" w14:textId="65C258C6" w:rsidR="00F73C4B" w:rsidRPr="00ED70E5" w:rsidRDefault="00F73C4B"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70E5">
        <w:rPr>
          <w:rFonts w:ascii="Arial" w:hAnsi="Arial" w:cs="Arial"/>
          <w:sz w:val="24"/>
          <w:szCs w:val="24"/>
        </w:rPr>
        <w:t>Public Health England (PHE) is the expert national public health agency which fulfils the Secretary of State for Health’s statutory duty to protect health</w:t>
      </w:r>
      <w:r w:rsidR="00DA769F">
        <w:rPr>
          <w:rFonts w:ascii="Arial" w:hAnsi="Arial" w:cs="Arial"/>
          <w:sz w:val="24"/>
          <w:szCs w:val="24"/>
        </w:rPr>
        <w:t>,</w:t>
      </w:r>
      <w:r w:rsidRPr="00ED70E5">
        <w:rPr>
          <w:rFonts w:ascii="Arial" w:hAnsi="Arial" w:cs="Arial"/>
          <w:sz w:val="24"/>
          <w:szCs w:val="24"/>
        </w:rPr>
        <w:t xml:space="preserve"> address </w:t>
      </w:r>
      <w:r w:rsidR="002B35A0" w:rsidRPr="00ED70E5">
        <w:rPr>
          <w:rFonts w:ascii="Arial" w:hAnsi="Arial" w:cs="Arial"/>
          <w:sz w:val="24"/>
          <w:szCs w:val="24"/>
        </w:rPr>
        <w:t>inequalities</w:t>
      </w:r>
      <w:r w:rsidR="00DA769F">
        <w:rPr>
          <w:rFonts w:ascii="Arial" w:hAnsi="Arial" w:cs="Arial"/>
          <w:sz w:val="24"/>
          <w:szCs w:val="24"/>
        </w:rPr>
        <w:t>,</w:t>
      </w:r>
      <w:r w:rsidR="002B35A0">
        <w:rPr>
          <w:rFonts w:ascii="Arial" w:hAnsi="Arial" w:cs="Arial"/>
          <w:sz w:val="24"/>
          <w:szCs w:val="24"/>
        </w:rPr>
        <w:t xml:space="preserve"> and</w:t>
      </w:r>
      <w:r w:rsidRPr="00ED70E5">
        <w:rPr>
          <w:rFonts w:ascii="Arial" w:hAnsi="Arial" w:cs="Arial"/>
          <w:sz w:val="24"/>
          <w:szCs w:val="24"/>
        </w:rPr>
        <w:t xml:space="preserve"> executes his power to promote the health and wellbeing of the nation.</w:t>
      </w:r>
    </w:p>
    <w:p w14:paraId="11240C2D" w14:textId="77777777" w:rsidR="006066DE" w:rsidRPr="00ED70E5" w:rsidRDefault="00F73C4B" w:rsidP="006066DE">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imes New Roman" w:hAnsi="Arial" w:cs="Arial"/>
          <w:color w:val="000000"/>
          <w:sz w:val="24"/>
          <w:szCs w:val="24"/>
          <w:lang w:eastAsia="en-GB"/>
        </w:rPr>
      </w:pPr>
      <w:r w:rsidRPr="00ED70E5">
        <w:rPr>
          <w:rFonts w:ascii="Arial" w:hAnsi="Arial" w:cs="Arial"/>
          <w:sz w:val="24"/>
          <w:szCs w:val="24"/>
        </w:rPr>
        <w:t xml:space="preserve">PHE supports local authorities, and through them clinical commissioning groups, by providing evidence and knowledge on local health needs, alongside practical and professional advice on what to do to improve health, and by </w:t>
      </w:r>
      <w:proofErr w:type="gramStart"/>
      <w:r w:rsidRPr="00ED70E5">
        <w:rPr>
          <w:rFonts w:ascii="Arial" w:hAnsi="Arial" w:cs="Arial"/>
          <w:sz w:val="24"/>
          <w:szCs w:val="24"/>
        </w:rPr>
        <w:t>taking action</w:t>
      </w:r>
      <w:proofErr w:type="gramEnd"/>
      <w:r w:rsidRPr="00ED70E5">
        <w:rPr>
          <w:rFonts w:ascii="Arial" w:hAnsi="Arial" w:cs="Arial"/>
          <w:sz w:val="24"/>
          <w:szCs w:val="24"/>
        </w:rPr>
        <w:t xml:space="preserve"> nationally where it makes sense to do so.</w:t>
      </w:r>
      <w:r w:rsidR="006066DE" w:rsidRPr="00ED70E5">
        <w:rPr>
          <w:rFonts w:ascii="Arial" w:eastAsia="Times New Roman" w:hAnsi="Arial" w:cs="Arial"/>
          <w:color w:val="000000"/>
          <w:sz w:val="24"/>
          <w:szCs w:val="24"/>
          <w:lang w:eastAsia="en-GB"/>
        </w:rPr>
        <w:t xml:space="preserve"> </w:t>
      </w:r>
    </w:p>
    <w:p w14:paraId="2D79612F" w14:textId="42C77292" w:rsidR="006066DE" w:rsidRPr="00ED70E5" w:rsidRDefault="006066DE" w:rsidP="006066DE">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ED70E5">
        <w:rPr>
          <w:rFonts w:ascii="Arial" w:hAnsi="Arial" w:cs="Arial"/>
          <w:sz w:val="24"/>
          <w:szCs w:val="24"/>
        </w:rPr>
        <w:t xml:space="preserve">The Tobacco Products Directive 2014/40/EU is a statutory obligation that placed tobacco product regulation obligations on Member States of the European Union (EU). This was transposed into UK law in 2016 by the Tobacco and Related Products Regulations (SI 507/2016 and SI 829/2015). The responsibility for overseeing compliance against these regulations has been conferred to PHE as the Competent Authority for tobacco and related products in the United Kingdom (UK). </w:t>
      </w:r>
    </w:p>
    <w:p w14:paraId="106356C7" w14:textId="6F78F819" w:rsidR="006066DE" w:rsidRPr="00ED70E5" w:rsidRDefault="006066DE" w:rsidP="006066DE">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ED70E5">
        <w:rPr>
          <w:rFonts w:ascii="Arial" w:hAnsi="Arial" w:cs="Arial"/>
          <w:sz w:val="24"/>
          <w:szCs w:val="24"/>
        </w:rPr>
        <w:t xml:space="preserve">New regulations came into force across EU member states in May 2020 which banned menthol as a characterising flavour in </w:t>
      </w:r>
      <w:r w:rsidR="00D43576">
        <w:rPr>
          <w:rFonts w:ascii="Arial" w:hAnsi="Arial" w:cs="Arial"/>
          <w:sz w:val="24"/>
          <w:szCs w:val="24"/>
        </w:rPr>
        <w:t xml:space="preserve">combustible </w:t>
      </w:r>
      <w:r w:rsidRPr="00ED70E5">
        <w:rPr>
          <w:rFonts w:ascii="Arial" w:hAnsi="Arial" w:cs="Arial"/>
          <w:sz w:val="24"/>
          <w:szCs w:val="24"/>
        </w:rPr>
        <w:t xml:space="preserve">tobacco cigarettes. PHE, as the Competent Authority, is responsible for ensuring that any tobacco-containing </w:t>
      </w:r>
      <w:r w:rsidRPr="00ED70E5">
        <w:rPr>
          <w:rFonts w:ascii="Arial" w:hAnsi="Arial" w:cs="Arial"/>
          <w:sz w:val="24"/>
          <w:szCs w:val="24"/>
        </w:rPr>
        <w:lastRenderedPageBreak/>
        <w:t xml:space="preserve">cigarettes that are notified by suppliers or manufacturers for sale across the UK are compliant with this regulation. </w:t>
      </w:r>
    </w:p>
    <w:p w14:paraId="60E7C246" w14:textId="08215B22" w:rsidR="008F12DC" w:rsidRPr="00ED70E5" w:rsidRDefault="008D7F38"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ED70E5">
        <w:rPr>
          <w:rFonts w:ascii="Arial" w:hAnsi="Arial" w:cs="Arial"/>
          <w:b/>
          <w:bCs/>
          <w:sz w:val="24"/>
          <w:szCs w:val="24"/>
        </w:rPr>
        <w:t>Outline of Work</w:t>
      </w:r>
    </w:p>
    <w:p w14:paraId="2F935FE9" w14:textId="0CCA9827" w:rsidR="003B01AE" w:rsidRDefault="0044687B" w:rsidP="0044687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ED70E5">
        <w:rPr>
          <w:rFonts w:ascii="Arial" w:hAnsi="Arial" w:cs="Arial"/>
          <w:sz w:val="24"/>
          <w:szCs w:val="24"/>
        </w:rPr>
        <w:t xml:space="preserve">The ban on menthol </w:t>
      </w:r>
      <w:r w:rsidR="00E70152">
        <w:rPr>
          <w:rFonts w:ascii="Arial" w:hAnsi="Arial" w:cs="Arial"/>
          <w:sz w:val="24"/>
          <w:szCs w:val="24"/>
        </w:rPr>
        <w:t>as a characterising flavour</w:t>
      </w:r>
      <w:r w:rsidR="00C27D7D" w:rsidRPr="00ED70E5">
        <w:rPr>
          <w:rFonts w:ascii="Arial" w:hAnsi="Arial" w:cs="Arial"/>
          <w:sz w:val="24"/>
          <w:szCs w:val="24"/>
        </w:rPr>
        <w:t xml:space="preserve"> has</w:t>
      </w:r>
      <w:r w:rsidRPr="00ED70E5">
        <w:rPr>
          <w:rFonts w:ascii="Arial" w:hAnsi="Arial" w:cs="Arial"/>
          <w:sz w:val="24"/>
          <w:szCs w:val="24"/>
        </w:rPr>
        <w:t xml:space="preserve"> </w:t>
      </w:r>
      <w:r w:rsidR="00C27D7D" w:rsidRPr="00ED70E5">
        <w:rPr>
          <w:rFonts w:ascii="Arial" w:hAnsi="Arial" w:cs="Arial"/>
          <w:sz w:val="24"/>
          <w:szCs w:val="24"/>
        </w:rPr>
        <w:t>generated the need for</w:t>
      </w:r>
      <w:r w:rsidRPr="00ED70E5">
        <w:rPr>
          <w:rFonts w:ascii="Arial" w:hAnsi="Arial" w:cs="Arial"/>
          <w:sz w:val="24"/>
          <w:szCs w:val="24"/>
        </w:rPr>
        <w:t xml:space="preserve"> one-off testing to </w:t>
      </w:r>
      <w:r w:rsidR="00370B93" w:rsidRPr="00ED70E5">
        <w:rPr>
          <w:rFonts w:ascii="Arial" w:hAnsi="Arial" w:cs="Arial"/>
          <w:sz w:val="24"/>
          <w:szCs w:val="24"/>
        </w:rPr>
        <w:t>ascertain if identified</w:t>
      </w:r>
      <w:r w:rsidRPr="00ED70E5">
        <w:rPr>
          <w:rFonts w:ascii="Arial" w:hAnsi="Arial" w:cs="Arial"/>
          <w:sz w:val="24"/>
          <w:szCs w:val="24"/>
        </w:rPr>
        <w:t xml:space="preserve"> cigarette</w:t>
      </w:r>
      <w:r w:rsidR="00370B93" w:rsidRPr="00ED70E5">
        <w:rPr>
          <w:rFonts w:ascii="Arial" w:hAnsi="Arial" w:cs="Arial"/>
          <w:sz w:val="24"/>
          <w:szCs w:val="24"/>
        </w:rPr>
        <w:t xml:space="preserve"> brands</w:t>
      </w:r>
      <w:r w:rsidRPr="00ED70E5">
        <w:rPr>
          <w:rFonts w:ascii="Arial" w:hAnsi="Arial" w:cs="Arial"/>
          <w:sz w:val="24"/>
          <w:szCs w:val="24"/>
        </w:rPr>
        <w:t xml:space="preserve"> are compliant with UK</w:t>
      </w:r>
      <w:r w:rsidR="00C27D7D" w:rsidRPr="00ED70E5">
        <w:rPr>
          <w:rFonts w:ascii="Arial" w:hAnsi="Arial" w:cs="Arial"/>
          <w:bCs/>
          <w:sz w:val="24"/>
          <w:szCs w:val="24"/>
        </w:rPr>
        <w:t xml:space="preserve"> regulations</w:t>
      </w:r>
      <w:r w:rsidRPr="00ED70E5">
        <w:rPr>
          <w:rFonts w:ascii="Arial" w:hAnsi="Arial" w:cs="Arial"/>
          <w:sz w:val="24"/>
          <w:szCs w:val="24"/>
        </w:rPr>
        <w:t xml:space="preserve">. </w:t>
      </w:r>
      <w:r w:rsidR="003B657B">
        <w:rPr>
          <w:rFonts w:ascii="Arial" w:hAnsi="Arial" w:cs="Arial"/>
          <w:sz w:val="24"/>
          <w:szCs w:val="24"/>
        </w:rPr>
        <w:t xml:space="preserve">There are two </w:t>
      </w:r>
      <w:r w:rsidR="00F52E31">
        <w:rPr>
          <w:rFonts w:ascii="Arial" w:hAnsi="Arial" w:cs="Arial"/>
          <w:sz w:val="24"/>
          <w:szCs w:val="24"/>
        </w:rPr>
        <w:t>distinct elements</w:t>
      </w:r>
      <w:r w:rsidR="003B657B">
        <w:rPr>
          <w:rFonts w:ascii="Arial" w:hAnsi="Arial" w:cs="Arial"/>
          <w:sz w:val="24"/>
          <w:szCs w:val="24"/>
        </w:rPr>
        <w:t xml:space="preserve"> to this testing process, and the contract has been divided into </w:t>
      </w:r>
      <w:r w:rsidR="003B01AE">
        <w:rPr>
          <w:rFonts w:ascii="Arial" w:hAnsi="Arial" w:cs="Arial"/>
          <w:sz w:val="24"/>
          <w:szCs w:val="24"/>
        </w:rPr>
        <w:t xml:space="preserve">three </w:t>
      </w:r>
      <w:r w:rsidR="003B657B">
        <w:rPr>
          <w:rFonts w:ascii="Arial" w:hAnsi="Arial" w:cs="Arial"/>
          <w:sz w:val="24"/>
          <w:szCs w:val="24"/>
        </w:rPr>
        <w:t xml:space="preserve">lots to </w:t>
      </w:r>
      <w:r w:rsidR="003B01AE">
        <w:rPr>
          <w:rFonts w:ascii="Arial" w:hAnsi="Arial" w:cs="Arial"/>
          <w:sz w:val="24"/>
          <w:szCs w:val="24"/>
        </w:rPr>
        <w:t xml:space="preserve">provide flexibility to </w:t>
      </w:r>
      <w:r w:rsidR="003B657B">
        <w:rPr>
          <w:rFonts w:ascii="Arial" w:hAnsi="Arial" w:cs="Arial"/>
          <w:sz w:val="24"/>
          <w:szCs w:val="24"/>
        </w:rPr>
        <w:t xml:space="preserve">potentially award </w:t>
      </w:r>
      <w:r w:rsidR="00BA3B33">
        <w:rPr>
          <w:rFonts w:ascii="Arial" w:hAnsi="Arial" w:cs="Arial"/>
          <w:sz w:val="24"/>
          <w:szCs w:val="24"/>
        </w:rPr>
        <w:t xml:space="preserve">the distinct testing elements of </w:t>
      </w:r>
      <w:r w:rsidR="003B657B">
        <w:rPr>
          <w:rFonts w:ascii="Arial" w:hAnsi="Arial" w:cs="Arial"/>
          <w:sz w:val="24"/>
          <w:szCs w:val="24"/>
        </w:rPr>
        <w:t xml:space="preserve">the contract to different providers. </w:t>
      </w:r>
    </w:p>
    <w:p w14:paraId="01404E8B" w14:textId="55534200" w:rsidR="00BA3B33" w:rsidRDefault="003B01AE" w:rsidP="0044687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P</w:t>
      </w:r>
      <w:r w:rsidR="003B657B">
        <w:rPr>
          <w:rFonts w:ascii="Arial" w:hAnsi="Arial" w:cs="Arial"/>
          <w:sz w:val="24"/>
          <w:szCs w:val="24"/>
        </w:rPr>
        <w:t xml:space="preserve">otential providers may choose to bid on </w:t>
      </w:r>
      <w:r w:rsidR="00BA3B33">
        <w:rPr>
          <w:rFonts w:ascii="Arial" w:hAnsi="Arial" w:cs="Arial"/>
          <w:sz w:val="24"/>
          <w:szCs w:val="24"/>
        </w:rPr>
        <w:t>L</w:t>
      </w:r>
      <w:r>
        <w:rPr>
          <w:rFonts w:ascii="Arial" w:hAnsi="Arial" w:cs="Arial"/>
          <w:sz w:val="24"/>
          <w:szCs w:val="24"/>
        </w:rPr>
        <w:t>ots one and two</w:t>
      </w:r>
      <w:r w:rsidR="003B657B">
        <w:rPr>
          <w:rFonts w:ascii="Arial" w:hAnsi="Arial" w:cs="Arial"/>
          <w:sz w:val="24"/>
          <w:szCs w:val="24"/>
        </w:rPr>
        <w:t xml:space="preserve"> </w:t>
      </w:r>
      <w:r>
        <w:rPr>
          <w:rFonts w:ascii="Arial" w:hAnsi="Arial" w:cs="Arial"/>
          <w:sz w:val="24"/>
          <w:szCs w:val="24"/>
        </w:rPr>
        <w:t xml:space="preserve">separately </w:t>
      </w:r>
      <w:r w:rsidR="003B657B">
        <w:rPr>
          <w:rFonts w:ascii="Arial" w:hAnsi="Arial" w:cs="Arial"/>
          <w:sz w:val="24"/>
          <w:szCs w:val="24"/>
        </w:rPr>
        <w:t>and</w:t>
      </w:r>
      <w:r>
        <w:rPr>
          <w:rFonts w:ascii="Arial" w:hAnsi="Arial" w:cs="Arial"/>
          <w:sz w:val="24"/>
          <w:szCs w:val="24"/>
        </w:rPr>
        <w:t xml:space="preserve"> to deliver both elements of the tender together in lot three,</w:t>
      </w:r>
      <w:r w:rsidR="00BA3B33">
        <w:rPr>
          <w:rFonts w:ascii="Arial" w:hAnsi="Arial" w:cs="Arial"/>
          <w:sz w:val="24"/>
          <w:szCs w:val="24"/>
        </w:rPr>
        <w:t xml:space="preserve"> recognising that </w:t>
      </w:r>
      <w:r>
        <w:rPr>
          <w:rFonts w:ascii="Arial" w:hAnsi="Arial" w:cs="Arial"/>
          <w:sz w:val="24"/>
          <w:szCs w:val="24"/>
        </w:rPr>
        <w:t>there may be a</w:t>
      </w:r>
      <w:r w:rsidR="00BA3B33">
        <w:rPr>
          <w:rFonts w:ascii="Arial" w:hAnsi="Arial" w:cs="Arial"/>
          <w:sz w:val="24"/>
          <w:szCs w:val="24"/>
        </w:rPr>
        <w:t xml:space="preserve"> </w:t>
      </w:r>
      <w:r>
        <w:rPr>
          <w:rFonts w:ascii="Arial" w:hAnsi="Arial" w:cs="Arial"/>
          <w:sz w:val="24"/>
          <w:szCs w:val="24"/>
        </w:rPr>
        <w:t xml:space="preserve">cost </w:t>
      </w:r>
      <w:r w:rsidR="00BA3B33">
        <w:rPr>
          <w:rFonts w:ascii="Arial" w:hAnsi="Arial" w:cs="Arial"/>
          <w:sz w:val="24"/>
          <w:szCs w:val="24"/>
        </w:rPr>
        <w:t>advantage in</w:t>
      </w:r>
      <w:r>
        <w:rPr>
          <w:rFonts w:ascii="Arial" w:hAnsi="Arial" w:cs="Arial"/>
          <w:sz w:val="24"/>
          <w:szCs w:val="24"/>
        </w:rPr>
        <w:t xml:space="preserve"> delivering both elements of the contract together</w:t>
      </w:r>
      <w:r w:rsidR="003B657B">
        <w:rPr>
          <w:rFonts w:ascii="Arial" w:hAnsi="Arial" w:cs="Arial"/>
          <w:sz w:val="24"/>
          <w:szCs w:val="24"/>
        </w:rPr>
        <w:t>.</w:t>
      </w:r>
      <w:r w:rsidR="00494D61">
        <w:rPr>
          <w:rFonts w:ascii="Arial" w:hAnsi="Arial" w:cs="Arial"/>
          <w:sz w:val="24"/>
          <w:szCs w:val="24"/>
        </w:rPr>
        <w:t xml:space="preserve"> </w:t>
      </w:r>
    </w:p>
    <w:p w14:paraId="161EBAE9" w14:textId="77777777" w:rsidR="00BA3B33" w:rsidRDefault="00494D61" w:rsidP="0044687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hAnsi="Arial" w:cs="Arial"/>
          <w:b/>
          <w:bCs/>
          <w:sz w:val="24"/>
          <w:szCs w:val="24"/>
        </w:rPr>
        <w:t xml:space="preserve">Any </w:t>
      </w:r>
      <w:r w:rsidRPr="00494D61">
        <w:rPr>
          <w:rFonts w:ascii="Arial" w:hAnsi="Arial" w:cs="Arial"/>
          <w:b/>
          <w:bCs/>
          <w:sz w:val="24"/>
          <w:szCs w:val="24"/>
        </w:rPr>
        <w:t xml:space="preserve">provider(s) must be able to demonstrate independence from the tobacco </w:t>
      </w:r>
      <w:r w:rsidR="002B35A0" w:rsidRPr="00494D61">
        <w:rPr>
          <w:rFonts w:ascii="Arial" w:hAnsi="Arial" w:cs="Arial"/>
          <w:b/>
          <w:bCs/>
          <w:sz w:val="24"/>
          <w:szCs w:val="24"/>
        </w:rPr>
        <w:t>industry and</w:t>
      </w:r>
      <w:r w:rsidRPr="00494D61">
        <w:rPr>
          <w:rFonts w:ascii="Arial" w:hAnsi="Arial" w:cs="Arial"/>
          <w:b/>
          <w:bCs/>
          <w:sz w:val="24"/>
          <w:szCs w:val="24"/>
        </w:rPr>
        <w:t xml:space="preserve"> have no commercial interest in the production of combustible tobacco filter devices.</w:t>
      </w:r>
    </w:p>
    <w:p w14:paraId="6262EC82" w14:textId="1B11D4D5" w:rsidR="003B657B" w:rsidRPr="00494D61" w:rsidRDefault="00494D61" w:rsidP="0044687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b/>
          <w:bCs/>
          <w:sz w:val="24"/>
          <w:szCs w:val="24"/>
        </w:rPr>
        <w:t xml:space="preserve"> </w:t>
      </w:r>
      <w:r>
        <w:rPr>
          <w:rFonts w:ascii="Arial" w:hAnsi="Arial" w:cs="Arial"/>
          <w:sz w:val="24"/>
          <w:szCs w:val="24"/>
        </w:rPr>
        <w:t>Outlines of the specific work for each lot are defined below.</w:t>
      </w:r>
    </w:p>
    <w:p w14:paraId="3D3CB965" w14:textId="27218671" w:rsidR="003B657B" w:rsidRPr="004A3B42" w:rsidRDefault="003B657B" w:rsidP="0044687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4A3B42">
        <w:rPr>
          <w:rFonts w:ascii="Arial" w:hAnsi="Arial" w:cs="Arial"/>
          <w:b/>
          <w:bCs/>
          <w:sz w:val="24"/>
          <w:szCs w:val="24"/>
        </w:rPr>
        <w:t>Lot 1 – Laboratory testing</w:t>
      </w:r>
    </w:p>
    <w:p w14:paraId="20CA8C19" w14:textId="4BC33226" w:rsidR="0044687B" w:rsidRPr="00ED70E5" w:rsidRDefault="00987488" w:rsidP="0044687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The provider must undertake laboratory testing of combustible cigarette products</w:t>
      </w:r>
      <w:r w:rsidR="00924162">
        <w:rPr>
          <w:rFonts w:ascii="Arial" w:hAnsi="Arial" w:cs="Arial"/>
          <w:sz w:val="24"/>
          <w:szCs w:val="24"/>
        </w:rPr>
        <w:t>.</w:t>
      </w:r>
      <w:r>
        <w:rPr>
          <w:rFonts w:ascii="Arial" w:hAnsi="Arial" w:cs="Arial"/>
          <w:sz w:val="24"/>
          <w:szCs w:val="24"/>
        </w:rPr>
        <w:t xml:space="preserve"> </w:t>
      </w:r>
      <w:r w:rsidR="0044687B" w:rsidRPr="00ED70E5">
        <w:rPr>
          <w:rFonts w:ascii="Arial" w:hAnsi="Arial" w:cs="Arial"/>
          <w:sz w:val="24"/>
          <w:szCs w:val="24"/>
        </w:rPr>
        <w:t xml:space="preserve">PHE has identified 27 </w:t>
      </w:r>
      <w:r w:rsidR="00370B93" w:rsidRPr="00ED70E5">
        <w:rPr>
          <w:rFonts w:ascii="Arial" w:hAnsi="Arial" w:cs="Arial"/>
          <w:sz w:val="24"/>
          <w:szCs w:val="24"/>
        </w:rPr>
        <w:t xml:space="preserve">cigarette </w:t>
      </w:r>
      <w:r w:rsidR="0044687B" w:rsidRPr="00ED70E5">
        <w:rPr>
          <w:rFonts w:ascii="Arial" w:hAnsi="Arial" w:cs="Arial"/>
          <w:sz w:val="24"/>
          <w:szCs w:val="24"/>
        </w:rPr>
        <w:t xml:space="preserve">products of interest which </w:t>
      </w:r>
      <w:r w:rsidR="00C27D7D" w:rsidRPr="00ED70E5">
        <w:rPr>
          <w:rFonts w:ascii="Arial" w:hAnsi="Arial" w:cs="Arial"/>
          <w:sz w:val="24"/>
          <w:szCs w:val="24"/>
        </w:rPr>
        <w:t xml:space="preserve">will </w:t>
      </w:r>
      <w:r w:rsidR="0044687B" w:rsidRPr="00ED70E5">
        <w:rPr>
          <w:rFonts w:ascii="Arial" w:hAnsi="Arial" w:cs="Arial"/>
          <w:sz w:val="24"/>
          <w:szCs w:val="24"/>
        </w:rPr>
        <w:t>require laboratory testing for the presence of menthol and its analogues, with a smaller number of products</w:t>
      </w:r>
      <w:r w:rsidR="00370B93" w:rsidRPr="00ED70E5">
        <w:rPr>
          <w:rFonts w:ascii="Arial" w:hAnsi="Arial" w:cs="Arial"/>
          <w:sz w:val="24"/>
          <w:szCs w:val="24"/>
        </w:rPr>
        <w:t xml:space="preserve"> (5)</w:t>
      </w:r>
      <w:r w:rsidR="0044687B" w:rsidRPr="00ED70E5">
        <w:rPr>
          <w:rFonts w:ascii="Arial" w:hAnsi="Arial" w:cs="Arial"/>
          <w:sz w:val="24"/>
          <w:szCs w:val="24"/>
        </w:rPr>
        <w:t xml:space="preserve"> also being</w:t>
      </w:r>
      <w:r w:rsidR="00D43576">
        <w:rPr>
          <w:rFonts w:ascii="Arial" w:hAnsi="Arial" w:cs="Arial"/>
          <w:sz w:val="24"/>
          <w:szCs w:val="24"/>
        </w:rPr>
        <w:t xml:space="preserve"> fully</w:t>
      </w:r>
      <w:r w:rsidR="0044687B" w:rsidRPr="00ED70E5">
        <w:rPr>
          <w:rFonts w:ascii="Arial" w:hAnsi="Arial" w:cs="Arial"/>
          <w:sz w:val="24"/>
          <w:szCs w:val="24"/>
        </w:rPr>
        <w:t xml:space="preserve"> tested for control purposes.</w:t>
      </w:r>
      <w:r w:rsidR="00370B93" w:rsidRPr="00ED70E5">
        <w:rPr>
          <w:rFonts w:ascii="Arial" w:hAnsi="Arial" w:cs="Arial"/>
          <w:sz w:val="24"/>
          <w:szCs w:val="24"/>
        </w:rPr>
        <w:t xml:space="preserve"> As well as the presence of menthol and its analogues within cigarette emissions, PHE require a summary of the </w:t>
      </w:r>
      <w:r w:rsidR="00D43576">
        <w:rPr>
          <w:rFonts w:ascii="Arial" w:hAnsi="Arial" w:cs="Arial"/>
          <w:sz w:val="24"/>
          <w:szCs w:val="24"/>
        </w:rPr>
        <w:t xml:space="preserve">individual </w:t>
      </w:r>
      <w:r w:rsidR="00370B93" w:rsidRPr="00ED70E5">
        <w:rPr>
          <w:rFonts w:ascii="Arial" w:hAnsi="Arial" w:cs="Arial"/>
          <w:sz w:val="24"/>
          <w:szCs w:val="24"/>
        </w:rPr>
        <w:t xml:space="preserve">levels of such chemicals identified. </w:t>
      </w:r>
      <w:r w:rsidR="00D43576">
        <w:rPr>
          <w:rFonts w:ascii="Arial" w:hAnsi="Arial" w:cs="Arial"/>
          <w:sz w:val="24"/>
          <w:szCs w:val="24"/>
        </w:rPr>
        <w:t xml:space="preserve">PHE is not </w:t>
      </w:r>
      <w:r w:rsidR="00D43576" w:rsidRPr="00D43576">
        <w:rPr>
          <w:rFonts w:ascii="Arial" w:hAnsi="Arial" w:cs="Arial"/>
          <w:sz w:val="24"/>
          <w:szCs w:val="24"/>
        </w:rPr>
        <w:t>specifying the method of analysis, but any process used would need to identify the presence (and level) of th</w:t>
      </w:r>
      <w:r w:rsidR="00D43576">
        <w:rPr>
          <w:rFonts w:ascii="Arial" w:hAnsi="Arial" w:cs="Arial"/>
          <w:sz w:val="24"/>
          <w:szCs w:val="24"/>
        </w:rPr>
        <w:t>e</w:t>
      </w:r>
      <w:r w:rsidR="00D43576" w:rsidRPr="00D43576">
        <w:rPr>
          <w:rFonts w:ascii="Arial" w:hAnsi="Arial" w:cs="Arial"/>
          <w:sz w:val="24"/>
          <w:szCs w:val="24"/>
        </w:rPr>
        <w:t xml:space="preserve"> specific ingredients </w:t>
      </w:r>
      <w:r w:rsidR="00D43576">
        <w:rPr>
          <w:rFonts w:ascii="Arial" w:hAnsi="Arial" w:cs="Arial"/>
          <w:sz w:val="24"/>
          <w:szCs w:val="24"/>
        </w:rPr>
        <w:t>below</w:t>
      </w:r>
      <w:r w:rsidR="00370B93" w:rsidRPr="00ED70E5">
        <w:rPr>
          <w:rFonts w:ascii="Arial" w:hAnsi="Arial" w:cs="Arial"/>
          <w:sz w:val="24"/>
          <w:szCs w:val="24"/>
        </w:rPr>
        <w:t>:</w:t>
      </w:r>
    </w:p>
    <w:p w14:paraId="5CB301FD" w14:textId="77777777" w:rsidR="00370B93" w:rsidRPr="00ED70E5" w:rsidRDefault="00370B93" w:rsidP="00370B93">
      <w:pPr>
        <w:numPr>
          <w:ilvl w:val="0"/>
          <w:numId w:val="35"/>
        </w:numPr>
        <w:spacing w:after="0" w:line="240" w:lineRule="auto"/>
        <w:rPr>
          <w:rFonts w:ascii="Arial" w:eastAsia="Times New Roman" w:hAnsi="Arial" w:cs="Arial"/>
          <w:sz w:val="24"/>
          <w:szCs w:val="24"/>
        </w:rPr>
      </w:pPr>
      <w:r w:rsidRPr="00ED70E5">
        <w:rPr>
          <w:rFonts w:ascii="Arial" w:eastAsia="Times New Roman" w:hAnsi="Arial" w:cs="Arial"/>
          <w:sz w:val="24"/>
          <w:szCs w:val="24"/>
        </w:rPr>
        <w:t>Limonene</w:t>
      </w:r>
    </w:p>
    <w:p w14:paraId="5A601D27" w14:textId="77777777" w:rsidR="00370B93" w:rsidRPr="00ED70E5" w:rsidRDefault="00370B93" w:rsidP="00370B93">
      <w:pPr>
        <w:numPr>
          <w:ilvl w:val="0"/>
          <w:numId w:val="35"/>
        </w:numPr>
        <w:spacing w:after="0" w:line="240" w:lineRule="auto"/>
        <w:rPr>
          <w:rFonts w:ascii="Arial" w:eastAsia="Times New Roman" w:hAnsi="Arial" w:cs="Arial"/>
          <w:sz w:val="24"/>
          <w:szCs w:val="24"/>
        </w:rPr>
      </w:pPr>
      <w:r w:rsidRPr="00ED70E5">
        <w:rPr>
          <w:rFonts w:ascii="Arial" w:eastAsia="Times New Roman" w:hAnsi="Arial" w:cs="Arial"/>
          <w:sz w:val="24"/>
          <w:szCs w:val="24"/>
        </w:rPr>
        <w:t>Ethyl Salicylate</w:t>
      </w:r>
    </w:p>
    <w:p w14:paraId="344B3DA1" w14:textId="77777777" w:rsidR="00370B93" w:rsidRPr="00ED70E5" w:rsidRDefault="00370B93" w:rsidP="00370B93">
      <w:pPr>
        <w:numPr>
          <w:ilvl w:val="0"/>
          <w:numId w:val="35"/>
        </w:numPr>
        <w:spacing w:after="0" w:line="240" w:lineRule="auto"/>
        <w:rPr>
          <w:rFonts w:ascii="Arial" w:eastAsia="Times New Roman" w:hAnsi="Arial" w:cs="Arial"/>
          <w:sz w:val="24"/>
          <w:szCs w:val="24"/>
        </w:rPr>
      </w:pPr>
      <w:r w:rsidRPr="00ED70E5">
        <w:rPr>
          <w:rFonts w:ascii="Arial" w:eastAsia="Times New Roman" w:hAnsi="Arial" w:cs="Arial"/>
          <w:sz w:val="24"/>
          <w:szCs w:val="24"/>
        </w:rPr>
        <w:t>Methyl Salicylate</w:t>
      </w:r>
    </w:p>
    <w:p w14:paraId="458828DF" w14:textId="77777777" w:rsidR="00370B93" w:rsidRPr="00ED70E5" w:rsidRDefault="00370B93" w:rsidP="00370B93">
      <w:pPr>
        <w:numPr>
          <w:ilvl w:val="0"/>
          <w:numId w:val="35"/>
        </w:numPr>
        <w:spacing w:after="0" w:line="240" w:lineRule="auto"/>
        <w:rPr>
          <w:rFonts w:ascii="Arial" w:eastAsia="Times New Roman" w:hAnsi="Arial" w:cs="Arial"/>
          <w:sz w:val="24"/>
          <w:szCs w:val="24"/>
        </w:rPr>
      </w:pPr>
      <w:r w:rsidRPr="00ED70E5">
        <w:rPr>
          <w:rFonts w:ascii="Arial" w:eastAsia="Times New Roman" w:hAnsi="Arial" w:cs="Arial"/>
          <w:sz w:val="24"/>
          <w:szCs w:val="24"/>
        </w:rPr>
        <w:t>Menthol</w:t>
      </w:r>
    </w:p>
    <w:p w14:paraId="1394D59F" w14:textId="77777777" w:rsidR="00370B93" w:rsidRPr="00ED70E5" w:rsidRDefault="00370B93" w:rsidP="00370B93">
      <w:pPr>
        <w:numPr>
          <w:ilvl w:val="0"/>
          <w:numId w:val="35"/>
        </w:numPr>
        <w:spacing w:after="0" w:line="240" w:lineRule="auto"/>
        <w:rPr>
          <w:rFonts w:ascii="Arial" w:eastAsia="Times New Roman" w:hAnsi="Arial" w:cs="Arial"/>
          <w:sz w:val="24"/>
          <w:szCs w:val="24"/>
        </w:rPr>
      </w:pPr>
      <w:r w:rsidRPr="00ED70E5">
        <w:rPr>
          <w:rFonts w:ascii="Arial" w:eastAsia="Times New Roman" w:hAnsi="Arial" w:cs="Arial"/>
          <w:sz w:val="24"/>
          <w:szCs w:val="24"/>
        </w:rPr>
        <w:t>Eucalyptol</w:t>
      </w:r>
    </w:p>
    <w:p w14:paraId="288158E5" w14:textId="6969F602" w:rsidR="00370B93" w:rsidRDefault="00370B93" w:rsidP="003E24C7">
      <w:pPr>
        <w:numPr>
          <w:ilvl w:val="0"/>
          <w:numId w:val="35"/>
        </w:numPr>
        <w:spacing w:after="0" w:line="240" w:lineRule="auto"/>
        <w:rPr>
          <w:rFonts w:ascii="Arial" w:eastAsia="Times New Roman" w:hAnsi="Arial" w:cs="Arial"/>
          <w:sz w:val="24"/>
          <w:szCs w:val="24"/>
        </w:rPr>
      </w:pPr>
      <w:r w:rsidRPr="00ED70E5">
        <w:rPr>
          <w:rFonts w:ascii="Arial" w:eastAsia="Times New Roman" w:hAnsi="Arial" w:cs="Arial"/>
          <w:sz w:val="24"/>
          <w:szCs w:val="24"/>
        </w:rPr>
        <w:t>Pulegone</w:t>
      </w:r>
    </w:p>
    <w:p w14:paraId="210FA4F0" w14:textId="7037487A" w:rsidR="00E70152" w:rsidRDefault="00E70152" w:rsidP="00E70152">
      <w:pPr>
        <w:spacing w:after="0" w:line="240" w:lineRule="auto"/>
        <w:rPr>
          <w:rFonts w:ascii="Arial" w:eastAsia="Times New Roman" w:hAnsi="Arial" w:cs="Arial"/>
          <w:sz w:val="24"/>
          <w:szCs w:val="24"/>
        </w:rPr>
      </w:pPr>
    </w:p>
    <w:p w14:paraId="64797CB7" w14:textId="3E441300" w:rsidR="00E70152" w:rsidRPr="009F453C" w:rsidRDefault="00E70152" w:rsidP="00E70152">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The</w:t>
      </w:r>
      <w:r w:rsidRPr="00ED70E5">
        <w:rPr>
          <w:rFonts w:ascii="Arial" w:hAnsi="Arial" w:cs="Arial"/>
          <w:sz w:val="24"/>
          <w:szCs w:val="24"/>
        </w:rPr>
        <w:t xml:space="preserve"> </w:t>
      </w:r>
      <w:r w:rsidR="008B74B0">
        <w:rPr>
          <w:rFonts w:ascii="Arial" w:hAnsi="Arial" w:cs="Arial"/>
          <w:sz w:val="24"/>
          <w:szCs w:val="24"/>
        </w:rPr>
        <w:t>specific number and</w:t>
      </w:r>
      <w:r w:rsidRPr="00ED70E5">
        <w:rPr>
          <w:rFonts w:ascii="Arial" w:hAnsi="Arial" w:cs="Arial"/>
          <w:sz w:val="24"/>
          <w:szCs w:val="24"/>
        </w:rPr>
        <w:t xml:space="preserve"> brands of cigarettes for testing will be identified by PHE and details supplied to the provider. The provider will be responsible for obtaining </w:t>
      </w:r>
      <w:r>
        <w:rPr>
          <w:rFonts w:ascii="Arial" w:hAnsi="Arial" w:cs="Arial"/>
          <w:sz w:val="24"/>
          <w:szCs w:val="24"/>
        </w:rPr>
        <w:t>s</w:t>
      </w:r>
      <w:r w:rsidRPr="00ED70E5">
        <w:rPr>
          <w:rFonts w:ascii="Arial" w:hAnsi="Arial" w:cs="Arial"/>
          <w:sz w:val="24"/>
          <w:szCs w:val="24"/>
        </w:rPr>
        <w:t>amples</w:t>
      </w:r>
      <w:r>
        <w:rPr>
          <w:rFonts w:ascii="Arial" w:hAnsi="Arial" w:cs="Arial"/>
          <w:sz w:val="24"/>
          <w:szCs w:val="24"/>
        </w:rPr>
        <w:t xml:space="preserve"> for testing</w:t>
      </w:r>
      <w:r w:rsidRPr="00ED70E5">
        <w:rPr>
          <w:rFonts w:ascii="Arial" w:hAnsi="Arial" w:cs="Arial"/>
          <w:sz w:val="24"/>
          <w:szCs w:val="24"/>
        </w:rPr>
        <w:t>. The cost of</w:t>
      </w:r>
      <w:r>
        <w:rPr>
          <w:rFonts w:ascii="Arial" w:hAnsi="Arial" w:cs="Arial"/>
          <w:sz w:val="24"/>
          <w:szCs w:val="24"/>
        </w:rPr>
        <w:t xml:space="preserve"> obtaining and</w:t>
      </w:r>
      <w:r w:rsidRPr="00ED70E5">
        <w:rPr>
          <w:rFonts w:ascii="Arial" w:hAnsi="Arial" w:cs="Arial"/>
          <w:sz w:val="24"/>
          <w:szCs w:val="24"/>
        </w:rPr>
        <w:t xml:space="preserve"> transporting the samples will be borne by the appointed provider</w:t>
      </w:r>
      <w:r>
        <w:rPr>
          <w:rFonts w:ascii="Arial" w:hAnsi="Arial" w:cs="Arial"/>
          <w:sz w:val="24"/>
          <w:szCs w:val="24"/>
        </w:rPr>
        <w:t xml:space="preserve"> and should be included as part of the costs for contract </w:t>
      </w:r>
      <w:r>
        <w:rPr>
          <w:rFonts w:ascii="Arial" w:hAnsi="Arial" w:cs="Arial"/>
          <w:sz w:val="24"/>
          <w:szCs w:val="24"/>
        </w:rPr>
        <w:lastRenderedPageBreak/>
        <w:t>delivery within their bid.</w:t>
      </w:r>
      <w:r w:rsidRPr="00ED70E5">
        <w:rPr>
          <w:rFonts w:ascii="Arial" w:hAnsi="Arial" w:cs="Arial"/>
          <w:sz w:val="24"/>
          <w:szCs w:val="24"/>
        </w:rPr>
        <w:t xml:space="preserve"> </w:t>
      </w:r>
      <w:r>
        <w:rPr>
          <w:rFonts w:ascii="Arial" w:hAnsi="Arial" w:cs="Arial"/>
          <w:sz w:val="24"/>
          <w:szCs w:val="24"/>
        </w:rPr>
        <w:t>The tobacco industry currently submits cigarette samples to an appointed contractor for tar, nicotine and carbon monoxide testing on a routine basis, so there may be opportunity to access products indirectly via this route.</w:t>
      </w:r>
    </w:p>
    <w:p w14:paraId="508701D0" w14:textId="617A522D" w:rsidR="003B657B" w:rsidRDefault="008B74B0" w:rsidP="003B657B">
      <w:pPr>
        <w:spacing w:after="0" w:line="240" w:lineRule="auto"/>
        <w:rPr>
          <w:rFonts w:ascii="Arial" w:eastAsia="Times New Roman" w:hAnsi="Arial" w:cs="Arial"/>
          <w:sz w:val="24"/>
          <w:szCs w:val="24"/>
        </w:rPr>
      </w:pPr>
      <w:r>
        <w:rPr>
          <w:rFonts w:ascii="Arial" w:eastAsia="Times New Roman" w:hAnsi="Arial" w:cs="Arial"/>
          <w:sz w:val="24"/>
          <w:szCs w:val="24"/>
        </w:rPr>
        <w:t xml:space="preserve">A report on the outcome of the laboratory testing </w:t>
      </w:r>
      <w:r w:rsidR="00E70152" w:rsidRPr="00E70152">
        <w:rPr>
          <w:rFonts w:ascii="Arial" w:eastAsia="Times New Roman" w:hAnsi="Arial" w:cs="Arial"/>
          <w:sz w:val="24"/>
          <w:szCs w:val="24"/>
        </w:rPr>
        <w:t>must be provided in electronic format</w:t>
      </w:r>
      <w:r>
        <w:rPr>
          <w:rFonts w:ascii="Arial" w:eastAsia="Times New Roman" w:hAnsi="Arial" w:cs="Arial"/>
          <w:sz w:val="24"/>
          <w:szCs w:val="24"/>
        </w:rPr>
        <w:t xml:space="preserve">. </w:t>
      </w:r>
      <w:r w:rsidR="00E70152" w:rsidRPr="00E70152">
        <w:rPr>
          <w:rFonts w:ascii="Arial" w:eastAsia="Times New Roman" w:hAnsi="Arial" w:cs="Arial"/>
          <w:sz w:val="24"/>
          <w:szCs w:val="24"/>
        </w:rPr>
        <w:t>T</w:t>
      </w:r>
      <w:r>
        <w:rPr>
          <w:rFonts w:ascii="Arial" w:eastAsia="Times New Roman" w:hAnsi="Arial" w:cs="Arial"/>
          <w:sz w:val="24"/>
          <w:szCs w:val="24"/>
        </w:rPr>
        <w:t xml:space="preserve">his </w:t>
      </w:r>
      <w:r w:rsidR="00E70152" w:rsidRPr="00E70152">
        <w:rPr>
          <w:rFonts w:ascii="Arial" w:eastAsia="Times New Roman" w:hAnsi="Arial" w:cs="Arial"/>
          <w:sz w:val="24"/>
          <w:szCs w:val="24"/>
        </w:rPr>
        <w:t>report should highlight any brands that contain menthol (or menthol analogue), as well as the levels of such chemicals found within the emissions from each brand.</w:t>
      </w:r>
      <w:r w:rsidR="00987488">
        <w:rPr>
          <w:rFonts w:ascii="Arial" w:eastAsia="Times New Roman" w:hAnsi="Arial" w:cs="Arial"/>
          <w:sz w:val="24"/>
          <w:szCs w:val="24"/>
        </w:rPr>
        <w:t xml:space="preserve"> </w:t>
      </w:r>
    </w:p>
    <w:p w14:paraId="2CAF74D8" w14:textId="62225CE8" w:rsidR="00987488" w:rsidRDefault="00987488" w:rsidP="003B657B">
      <w:pPr>
        <w:spacing w:after="0" w:line="240" w:lineRule="auto"/>
        <w:rPr>
          <w:rFonts w:ascii="Arial" w:eastAsia="Times New Roman" w:hAnsi="Arial" w:cs="Arial"/>
          <w:sz w:val="24"/>
          <w:szCs w:val="24"/>
        </w:rPr>
      </w:pPr>
    </w:p>
    <w:p w14:paraId="2B438508" w14:textId="0BC54DE3" w:rsidR="00494D61" w:rsidRDefault="00987488" w:rsidP="00987488">
      <w:pPr>
        <w:pStyle w:val="Default"/>
        <w:adjustRightInd w:val="0"/>
      </w:pPr>
      <w:r>
        <w:t xml:space="preserve">The successful applicant must </w:t>
      </w:r>
      <w:r w:rsidR="003E35D4">
        <w:t xml:space="preserve">have </w:t>
      </w:r>
      <w:r w:rsidRPr="00ED70E5">
        <w:t xml:space="preserve">the capacity </w:t>
      </w:r>
      <w:r w:rsidR="003E35D4">
        <w:t>and skills required, including</w:t>
      </w:r>
      <w:r w:rsidRPr="00ED70E5">
        <w:t xml:space="preserve"> human resources, technical expertise, </w:t>
      </w:r>
      <w:r w:rsidR="00CE2573">
        <w:t xml:space="preserve">knowledge and experience of </w:t>
      </w:r>
      <w:r w:rsidRPr="00ED70E5">
        <w:t>quality systems (e.g. ISO standards), smoking and analytical instruments, and electronic reporting systems</w:t>
      </w:r>
      <w:r>
        <w:t>. They should h</w:t>
      </w:r>
      <w:r w:rsidRPr="00ED70E5">
        <w:t>old national</w:t>
      </w:r>
      <w:r w:rsidR="00CE2573">
        <w:t xml:space="preserve"> and/or </w:t>
      </w:r>
      <w:r>
        <w:t>international</w:t>
      </w:r>
      <w:r w:rsidRPr="00ED70E5">
        <w:t xml:space="preserve"> accreditation in respect of the relevant smoke yield analysis as required in order to undertake and satisfy the outputs of the skill requirement</w:t>
      </w:r>
      <w:r>
        <w:t>. Finally, they should d</w:t>
      </w:r>
      <w:r w:rsidRPr="00ED70E5">
        <w:t>emonstrate practical experience of tobacco (</w:t>
      </w:r>
      <w:r>
        <w:t xml:space="preserve">combustible </w:t>
      </w:r>
      <w:r w:rsidRPr="00ED70E5">
        <w:t>cigarette) technology and the principles of cigarette manufactur</w:t>
      </w:r>
      <w:r w:rsidR="00CE2573">
        <w:t>ing.</w:t>
      </w:r>
      <w:r w:rsidRPr="00ED70E5">
        <w:t xml:space="preserve"> </w:t>
      </w:r>
    </w:p>
    <w:p w14:paraId="5E1E5C07" w14:textId="77777777" w:rsidR="00987488" w:rsidRPr="00987488" w:rsidRDefault="00987488" w:rsidP="00987488">
      <w:pPr>
        <w:pStyle w:val="Default"/>
        <w:adjustRightInd w:val="0"/>
      </w:pPr>
    </w:p>
    <w:p w14:paraId="2B49706A" w14:textId="4A2DB5AF" w:rsidR="003B657B" w:rsidRPr="004A3B42" w:rsidRDefault="003B657B" w:rsidP="003B657B">
      <w:pPr>
        <w:spacing w:after="0" w:line="240" w:lineRule="auto"/>
        <w:rPr>
          <w:rFonts w:ascii="Arial" w:eastAsia="Times New Roman" w:hAnsi="Arial" w:cs="Arial"/>
          <w:b/>
          <w:bCs/>
          <w:sz w:val="24"/>
          <w:szCs w:val="24"/>
        </w:rPr>
      </w:pPr>
      <w:r w:rsidRPr="004A3B42">
        <w:rPr>
          <w:rFonts w:ascii="Arial" w:eastAsia="Times New Roman" w:hAnsi="Arial" w:cs="Arial"/>
          <w:b/>
          <w:bCs/>
          <w:sz w:val="24"/>
          <w:szCs w:val="24"/>
        </w:rPr>
        <w:t>Lot 2 – User panel testing</w:t>
      </w:r>
    </w:p>
    <w:p w14:paraId="38094F22" w14:textId="77777777" w:rsidR="003E24C7" w:rsidRPr="00ED70E5" w:rsidRDefault="003E24C7" w:rsidP="003E24C7">
      <w:pPr>
        <w:spacing w:after="0" w:line="240" w:lineRule="auto"/>
        <w:ind w:left="720"/>
        <w:rPr>
          <w:rFonts w:ascii="Arial" w:eastAsia="Times New Roman" w:hAnsi="Arial" w:cs="Arial"/>
          <w:sz w:val="24"/>
          <w:szCs w:val="24"/>
        </w:rPr>
      </w:pPr>
    </w:p>
    <w:p w14:paraId="3A2B38DD" w14:textId="6E36844A" w:rsidR="00987488" w:rsidRPr="00987488" w:rsidRDefault="00987488" w:rsidP="00987488">
      <w:pPr>
        <w:pStyle w:val="Default"/>
        <w:rPr>
          <w:color w:val="auto"/>
        </w:rPr>
      </w:pPr>
      <w:r w:rsidRPr="00987488">
        <w:rPr>
          <w:color w:val="auto"/>
        </w:rPr>
        <w:t xml:space="preserve">The provider must be able to establish </w:t>
      </w:r>
      <w:r w:rsidR="00924162">
        <w:rPr>
          <w:color w:val="auto"/>
        </w:rPr>
        <w:t>(</w:t>
      </w:r>
      <w:r w:rsidRPr="00987488">
        <w:rPr>
          <w:color w:val="auto"/>
        </w:rPr>
        <w:t>or have access to</w:t>
      </w:r>
      <w:r w:rsidR="00924162">
        <w:rPr>
          <w:color w:val="auto"/>
        </w:rPr>
        <w:t>)</w:t>
      </w:r>
      <w:r w:rsidRPr="00987488">
        <w:rPr>
          <w:color w:val="auto"/>
        </w:rPr>
        <w:t xml:space="preserve"> a smoker user panel, and </w:t>
      </w:r>
      <w:r w:rsidR="00924162">
        <w:rPr>
          <w:color w:val="auto"/>
        </w:rPr>
        <w:t xml:space="preserve">have </w:t>
      </w:r>
      <w:r w:rsidRPr="00987488">
        <w:rPr>
          <w:color w:val="auto"/>
        </w:rPr>
        <w:t>experience of conducting blinded user tests, a</w:t>
      </w:r>
      <w:r w:rsidR="00924162">
        <w:rPr>
          <w:color w:val="auto"/>
        </w:rPr>
        <w:t xml:space="preserve">s well as </w:t>
      </w:r>
      <w:r w:rsidRPr="00987488">
        <w:rPr>
          <w:color w:val="auto"/>
        </w:rPr>
        <w:t>producing analytical reports from such tests.</w:t>
      </w:r>
    </w:p>
    <w:p w14:paraId="27212CBA" w14:textId="77777777" w:rsidR="00987488" w:rsidRPr="00987488" w:rsidRDefault="00987488" w:rsidP="00987488">
      <w:pPr>
        <w:pStyle w:val="Default"/>
        <w:rPr>
          <w:color w:val="auto"/>
        </w:rPr>
      </w:pPr>
    </w:p>
    <w:p w14:paraId="09ACAAF5" w14:textId="3F99B20D" w:rsidR="00987488" w:rsidRPr="00987488" w:rsidRDefault="00494D61" w:rsidP="00987488">
      <w:pPr>
        <w:pStyle w:val="Default"/>
        <w:rPr>
          <w:color w:val="auto"/>
        </w:rPr>
      </w:pPr>
      <w:r w:rsidRPr="00987488">
        <w:rPr>
          <w:color w:val="auto"/>
        </w:rPr>
        <w:t>Based on results from</w:t>
      </w:r>
      <w:r w:rsidR="003B657B" w:rsidRPr="00987488">
        <w:rPr>
          <w:color w:val="auto"/>
        </w:rPr>
        <w:t xml:space="preserve"> the</w:t>
      </w:r>
      <w:r w:rsidR="00370B93" w:rsidRPr="00987488">
        <w:rPr>
          <w:color w:val="auto"/>
        </w:rPr>
        <w:t xml:space="preserve"> laboratory testing</w:t>
      </w:r>
      <w:r w:rsidR="003B657B" w:rsidRPr="00987488">
        <w:rPr>
          <w:color w:val="auto"/>
        </w:rPr>
        <w:t xml:space="preserve"> results</w:t>
      </w:r>
      <w:r w:rsidR="00924162">
        <w:rPr>
          <w:color w:val="auto"/>
        </w:rPr>
        <w:t xml:space="preserve"> in Lot 1</w:t>
      </w:r>
      <w:r w:rsidR="00280781" w:rsidRPr="00987488">
        <w:rPr>
          <w:color w:val="auto"/>
        </w:rPr>
        <w:t xml:space="preserve">, a panel of smokers </w:t>
      </w:r>
      <w:r w:rsidR="003E24C7" w:rsidRPr="00987488">
        <w:rPr>
          <w:color w:val="auto"/>
        </w:rPr>
        <w:t>must</w:t>
      </w:r>
      <w:r w:rsidR="00280781" w:rsidRPr="00987488">
        <w:rPr>
          <w:color w:val="auto"/>
        </w:rPr>
        <w:t xml:space="preserve"> be convened by the successful provider to conduct user</w:t>
      </w:r>
      <w:r w:rsidR="00C27D7D" w:rsidRPr="00987488">
        <w:rPr>
          <w:color w:val="auto"/>
        </w:rPr>
        <w:t xml:space="preserve"> </w:t>
      </w:r>
      <w:r w:rsidR="00987488" w:rsidRPr="00987488">
        <w:rPr>
          <w:color w:val="auto"/>
        </w:rPr>
        <w:t>analysis</w:t>
      </w:r>
      <w:r w:rsidR="00280781" w:rsidRPr="00987488">
        <w:rPr>
          <w:color w:val="auto"/>
        </w:rPr>
        <w:t xml:space="preserve"> of products. The</w:t>
      </w:r>
      <w:r w:rsidRPr="00987488">
        <w:rPr>
          <w:color w:val="auto"/>
        </w:rPr>
        <w:t xml:space="preserve"> specific</w:t>
      </w:r>
      <w:r w:rsidR="00280781" w:rsidRPr="00987488">
        <w:rPr>
          <w:color w:val="auto"/>
        </w:rPr>
        <w:t xml:space="preserve"> number of cigarette brands put forward for user</w:t>
      </w:r>
      <w:r w:rsidR="00C27D7D" w:rsidRPr="00987488">
        <w:rPr>
          <w:color w:val="auto"/>
        </w:rPr>
        <w:t xml:space="preserve"> t</w:t>
      </w:r>
      <w:r w:rsidR="00280781" w:rsidRPr="00987488">
        <w:rPr>
          <w:color w:val="auto"/>
        </w:rPr>
        <w:t>esting will be dependent on the results from the laboratory testing</w:t>
      </w:r>
      <w:r w:rsidRPr="00987488">
        <w:rPr>
          <w:color w:val="auto"/>
        </w:rPr>
        <w:t xml:space="preserve">, therefore this phase must be conducted following the completion of </w:t>
      </w:r>
      <w:r w:rsidR="00987488" w:rsidRPr="00987488">
        <w:rPr>
          <w:color w:val="auto"/>
        </w:rPr>
        <w:t>Lot 1</w:t>
      </w:r>
      <w:r w:rsidR="00280781" w:rsidRPr="00987488">
        <w:rPr>
          <w:color w:val="auto"/>
        </w:rPr>
        <w:t xml:space="preserve">. </w:t>
      </w:r>
    </w:p>
    <w:p w14:paraId="3989205E" w14:textId="77777777" w:rsidR="00987488" w:rsidRPr="00987488" w:rsidRDefault="00987488" w:rsidP="00987488">
      <w:pPr>
        <w:pStyle w:val="Default"/>
        <w:rPr>
          <w:color w:val="auto"/>
        </w:rPr>
      </w:pPr>
    </w:p>
    <w:p w14:paraId="7C2E0B77" w14:textId="591A617D" w:rsidR="00987488" w:rsidRPr="00987488" w:rsidRDefault="00987488" w:rsidP="00987488">
      <w:pPr>
        <w:pStyle w:val="Default"/>
        <w:rPr>
          <w:color w:val="auto"/>
        </w:rPr>
      </w:pPr>
      <w:r w:rsidRPr="00987488">
        <w:rPr>
          <w:color w:val="auto"/>
        </w:rPr>
        <w:t xml:space="preserve">For bidding purposes, </w:t>
      </w:r>
      <w:r w:rsidR="00280781" w:rsidRPr="00987488">
        <w:rPr>
          <w:color w:val="auto"/>
        </w:rPr>
        <w:t xml:space="preserve">the provider should assume </w:t>
      </w:r>
      <w:r w:rsidRPr="00987488">
        <w:rPr>
          <w:color w:val="auto"/>
        </w:rPr>
        <w:t xml:space="preserve">that </w:t>
      </w:r>
      <w:r w:rsidR="00280781" w:rsidRPr="00987488">
        <w:rPr>
          <w:color w:val="auto"/>
        </w:rPr>
        <w:t xml:space="preserve">up to </w:t>
      </w:r>
      <w:r w:rsidR="00924162">
        <w:rPr>
          <w:color w:val="auto"/>
        </w:rPr>
        <w:t xml:space="preserve">a maximum of </w:t>
      </w:r>
      <w:r w:rsidR="00280781" w:rsidRPr="00987488">
        <w:rPr>
          <w:color w:val="auto"/>
        </w:rPr>
        <w:t xml:space="preserve">32 cigarette brands </w:t>
      </w:r>
      <w:r w:rsidRPr="00987488">
        <w:rPr>
          <w:color w:val="auto"/>
        </w:rPr>
        <w:t xml:space="preserve">will be </w:t>
      </w:r>
      <w:r w:rsidR="00280781" w:rsidRPr="00987488">
        <w:rPr>
          <w:color w:val="auto"/>
        </w:rPr>
        <w:t xml:space="preserve">taken forward to </w:t>
      </w:r>
      <w:r w:rsidRPr="00987488">
        <w:rPr>
          <w:color w:val="auto"/>
        </w:rPr>
        <w:t>the user testing</w:t>
      </w:r>
      <w:r w:rsidR="00280781" w:rsidRPr="00987488">
        <w:rPr>
          <w:color w:val="auto"/>
        </w:rPr>
        <w:t xml:space="preserve"> </w:t>
      </w:r>
      <w:r w:rsidRPr="00987488">
        <w:rPr>
          <w:color w:val="auto"/>
        </w:rPr>
        <w:t>phase</w:t>
      </w:r>
      <w:r w:rsidR="00F52E31">
        <w:rPr>
          <w:color w:val="auto"/>
        </w:rPr>
        <w:t>, including control samples to help establish a characterising flavour baseline</w:t>
      </w:r>
      <w:r w:rsidRPr="00987488">
        <w:rPr>
          <w:color w:val="auto"/>
        </w:rPr>
        <w:t>.</w:t>
      </w:r>
      <w:r w:rsidR="00280781" w:rsidRPr="00987488">
        <w:rPr>
          <w:color w:val="auto"/>
        </w:rPr>
        <w:t xml:space="preserve"> The user group will be required to </w:t>
      </w:r>
      <w:r w:rsidR="003E24C7" w:rsidRPr="00987488">
        <w:rPr>
          <w:color w:val="auto"/>
        </w:rPr>
        <w:t xml:space="preserve">blind </w:t>
      </w:r>
      <w:r w:rsidR="00280781" w:rsidRPr="00987488">
        <w:rPr>
          <w:color w:val="auto"/>
        </w:rPr>
        <w:t>sample all cigarette products and offer insight on any characterising flavour</w:t>
      </w:r>
      <w:r w:rsidR="003B657B" w:rsidRPr="00987488">
        <w:rPr>
          <w:color w:val="auto"/>
        </w:rPr>
        <w:t>(s)</w:t>
      </w:r>
      <w:r w:rsidR="00280781" w:rsidRPr="00987488">
        <w:rPr>
          <w:color w:val="auto"/>
        </w:rPr>
        <w:t xml:space="preserve"> that they experience from each product. </w:t>
      </w:r>
      <w:r w:rsidR="00660D0F" w:rsidRPr="00987488">
        <w:rPr>
          <w:color w:val="auto"/>
        </w:rPr>
        <w:t>Outcomes from this user testing should be collated, with both qualitative and quantitative results provided to PHE</w:t>
      </w:r>
      <w:r w:rsidRPr="00987488">
        <w:rPr>
          <w:color w:val="auto"/>
        </w:rPr>
        <w:t>.</w:t>
      </w:r>
    </w:p>
    <w:p w14:paraId="3CB8B21F" w14:textId="77777777" w:rsidR="00987488" w:rsidRPr="00987488" w:rsidRDefault="00987488" w:rsidP="00987488">
      <w:pPr>
        <w:pStyle w:val="Default"/>
        <w:rPr>
          <w:color w:val="auto"/>
        </w:rPr>
      </w:pPr>
    </w:p>
    <w:p w14:paraId="6EA7697E" w14:textId="1B25C747" w:rsidR="00987488" w:rsidRDefault="00660D0F" w:rsidP="00660D0F">
      <w:pPr>
        <w:pStyle w:val="Default"/>
        <w:rPr>
          <w:color w:val="auto"/>
        </w:rPr>
      </w:pPr>
      <w:r w:rsidRPr="00987488">
        <w:rPr>
          <w:color w:val="auto"/>
        </w:rPr>
        <w:t xml:space="preserve">User testing may be conducted individually or in groups – to be agreed between PHE and the </w:t>
      </w:r>
      <w:r w:rsidR="003E24C7" w:rsidRPr="00987488">
        <w:rPr>
          <w:color w:val="auto"/>
        </w:rPr>
        <w:t>appointed</w:t>
      </w:r>
      <w:r w:rsidRPr="00987488">
        <w:rPr>
          <w:color w:val="auto"/>
        </w:rPr>
        <w:t xml:space="preserve"> provider. The number of participants within the user-testing is also to be agreed, but PHE would expect this to be </w:t>
      </w:r>
      <w:r w:rsidR="00ED70E5" w:rsidRPr="00987488">
        <w:rPr>
          <w:color w:val="auto"/>
        </w:rPr>
        <w:t>a minimum of</w:t>
      </w:r>
      <w:r w:rsidRPr="00987488">
        <w:rPr>
          <w:color w:val="auto"/>
        </w:rPr>
        <w:t xml:space="preserve"> 50 people, all of whom are current smokers</w:t>
      </w:r>
      <w:r w:rsidR="00F52E31">
        <w:rPr>
          <w:color w:val="auto"/>
        </w:rPr>
        <w:t>, and represent a diverse mix of genders, ages, and ethnicities</w:t>
      </w:r>
      <w:r w:rsidRPr="00987488">
        <w:rPr>
          <w:color w:val="auto"/>
        </w:rPr>
        <w:t>.</w:t>
      </w:r>
    </w:p>
    <w:p w14:paraId="526F319C" w14:textId="0ECF135A" w:rsidR="003B01AE" w:rsidRDefault="003B01AE" w:rsidP="00660D0F">
      <w:pPr>
        <w:pStyle w:val="Default"/>
        <w:rPr>
          <w:color w:val="auto"/>
        </w:rPr>
      </w:pPr>
    </w:p>
    <w:p w14:paraId="1E17887D" w14:textId="77777777" w:rsidR="003B01AE" w:rsidRDefault="003B01AE" w:rsidP="00660D0F">
      <w:pPr>
        <w:pStyle w:val="Default"/>
        <w:rPr>
          <w:color w:val="auto"/>
        </w:rPr>
      </w:pPr>
    </w:p>
    <w:p w14:paraId="20ED497A" w14:textId="6653EE26" w:rsidR="00660D0F" w:rsidRDefault="00660D0F" w:rsidP="00F52E31">
      <w:pPr>
        <w:pStyle w:val="Default"/>
        <w:rPr>
          <w:color w:val="auto"/>
        </w:rPr>
      </w:pPr>
      <w:r w:rsidRPr="00987488">
        <w:rPr>
          <w:color w:val="auto"/>
        </w:rPr>
        <w:t>The provider must produce a report from the user testing</w:t>
      </w:r>
      <w:r w:rsidR="00F9083D" w:rsidRPr="00987488">
        <w:rPr>
          <w:color w:val="auto"/>
        </w:rPr>
        <w:t xml:space="preserve"> phase</w:t>
      </w:r>
      <w:r w:rsidRPr="00987488">
        <w:rPr>
          <w:color w:val="auto"/>
        </w:rPr>
        <w:t>, identifying the number</w:t>
      </w:r>
      <w:r w:rsidR="00F9083D" w:rsidRPr="00987488">
        <w:rPr>
          <w:color w:val="auto"/>
        </w:rPr>
        <w:t xml:space="preserve"> of participants</w:t>
      </w:r>
      <w:r w:rsidRPr="00987488">
        <w:rPr>
          <w:color w:val="auto"/>
        </w:rPr>
        <w:t xml:space="preserve"> who identified a characterising flavour within any of the products, as well as details of such flavours.  </w:t>
      </w:r>
    </w:p>
    <w:p w14:paraId="18B3B1EC" w14:textId="77777777" w:rsidR="00FA5F71" w:rsidRDefault="00FA5F71" w:rsidP="00FA5F71">
      <w:pPr>
        <w:pStyle w:val="Default"/>
        <w:rPr>
          <w:b/>
          <w:bCs/>
          <w:color w:val="auto"/>
        </w:rPr>
      </w:pPr>
    </w:p>
    <w:p w14:paraId="14255156" w14:textId="3B5A77D3" w:rsidR="00FA5F71" w:rsidRPr="004A3B42" w:rsidRDefault="00FA5F71" w:rsidP="00FA5F71">
      <w:pPr>
        <w:pStyle w:val="Default"/>
        <w:rPr>
          <w:b/>
          <w:bCs/>
          <w:color w:val="auto"/>
        </w:rPr>
      </w:pPr>
      <w:r w:rsidRPr="004A3B42">
        <w:rPr>
          <w:b/>
          <w:bCs/>
          <w:color w:val="auto"/>
        </w:rPr>
        <w:t>Lot 3 – Laboratory Testing and User Panel testing combined</w:t>
      </w:r>
    </w:p>
    <w:p w14:paraId="76AE1CBE" w14:textId="77777777" w:rsidR="00FA5F71" w:rsidRDefault="00FA5F71" w:rsidP="00FA5F71">
      <w:pPr>
        <w:pStyle w:val="Default"/>
        <w:rPr>
          <w:color w:val="auto"/>
        </w:rPr>
      </w:pPr>
    </w:p>
    <w:p w14:paraId="10919053" w14:textId="77777777" w:rsidR="00FA5F71" w:rsidRPr="00987488" w:rsidRDefault="00FA5F71" w:rsidP="00FA5F71">
      <w:pPr>
        <w:pStyle w:val="Default"/>
        <w:rPr>
          <w:color w:val="auto"/>
        </w:rPr>
      </w:pPr>
      <w:r>
        <w:rPr>
          <w:color w:val="auto"/>
        </w:rPr>
        <w:t>Combination of Lots 1 and 2 as described above.</w:t>
      </w:r>
    </w:p>
    <w:p w14:paraId="3CE40F22" w14:textId="77777777" w:rsidR="00FA5F71" w:rsidRPr="00F52E31" w:rsidRDefault="00FA5F71" w:rsidP="00F52E31">
      <w:pPr>
        <w:pStyle w:val="Default"/>
        <w:rPr>
          <w:color w:val="auto"/>
        </w:rPr>
      </w:pPr>
    </w:p>
    <w:p w14:paraId="4159ED6A" w14:textId="3B7F625C" w:rsidR="00E44D32" w:rsidRPr="00ED70E5" w:rsidRDefault="00F66C4E"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70E5">
        <w:rPr>
          <w:rFonts w:ascii="Arial" w:hAnsi="Arial" w:cs="Arial"/>
          <w:b/>
          <w:bCs/>
          <w:sz w:val="24"/>
          <w:szCs w:val="24"/>
        </w:rPr>
        <w:t>Deliverables</w:t>
      </w:r>
    </w:p>
    <w:p w14:paraId="4EEF97CB" w14:textId="713918B3" w:rsidR="0044687B" w:rsidRPr="00ED70E5" w:rsidRDefault="00135D7E" w:rsidP="0044687B">
      <w:pPr>
        <w:pStyle w:val="Default"/>
      </w:pPr>
      <w:r>
        <w:t xml:space="preserve">Lot 1: </w:t>
      </w:r>
      <w:r w:rsidR="0044687B" w:rsidRPr="00ED70E5">
        <w:t>The provider will be required to deliver:</w:t>
      </w:r>
    </w:p>
    <w:p w14:paraId="78C351CF" w14:textId="77777777" w:rsidR="0044687B" w:rsidRPr="00ED70E5" w:rsidRDefault="0044687B" w:rsidP="0044687B">
      <w:pPr>
        <w:pStyle w:val="Default"/>
      </w:pPr>
    </w:p>
    <w:p w14:paraId="3E2AD75D" w14:textId="6B72604F" w:rsidR="005B2C41" w:rsidRPr="00ED70E5" w:rsidRDefault="00135D7E" w:rsidP="005B2C41">
      <w:pPr>
        <w:pStyle w:val="Default"/>
        <w:numPr>
          <w:ilvl w:val="0"/>
          <w:numId w:val="34"/>
        </w:numPr>
        <w:adjustRightInd w:val="0"/>
      </w:pPr>
      <w:r>
        <w:t>I</w:t>
      </w:r>
      <w:r w:rsidR="0044687B" w:rsidRPr="00ED70E5">
        <w:t>ndependent laboratory analysis of the yields of menthol (or menthol analogue chemical alternatives) in</w:t>
      </w:r>
      <w:r w:rsidR="00924162">
        <w:t xml:space="preserve"> emissions from</w:t>
      </w:r>
      <w:r w:rsidR="0044687B" w:rsidRPr="00ED70E5">
        <w:t xml:space="preserve"> specified cigarette brands, in pursuance of Regulation 15 of the TRPR 2016 </w:t>
      </w:r>
      <w:hyperlink r:id="rId9" w:history="1">
        <w:r w:rsidR="0044687B" w:rsidRPr="00ED70E5">
          <w:rPr>
            <w:color w:val="0000FF"/>
            <w:u w:val="single"/>
          </w:rPr>
          <w:t>http://www.legislation.gov.uk/uksi/2016/507/regulation/15/made</w:t>
        </w:r>
      </w:hyperlink>
      <w:r w:rsidR="0044687B" w:rsidRPr="00ED70E5">
        <w:t xml:space="preserve"> in accordance with relevant ISO standards. </w:t>
      </w:r>
      <w:r w:rsidR="00660D0F" w:rsidRPr="00ED70E5">
        <w:t>Up to 32 cigarette brands will be specified for laboratory testing</w:t>
      </w:r>
      <w:r w:rsidR="00E3638E">
        <w:t>.</w:t>
      </w:r>
    </w:p>
    <w:p w14:paraId="44929CA3" w14:textId="77777777" w:rsidR="005B2C41" w:rsidRPr="00ED70E5" w:rsidRDefault="005B2C41" w:rsidP="005B2C41">
      <w:pPr>
        <w:pStyle w:val="Default"/>
        <w:adjustRightInd w:val="0"/>
        <w:ind w:left="720"/>
      </w:pPr>
    </w:p>
    <w:p w14:paraId="0F86A8D8" w14:textId="0417CB79" w:rsidR="00135D7E" w:rsidRDefault="00660D0F" w:rsidP="00135D7E">
      <w:pPr>
        <w:pStyle w:val="Default"/>
        <w:numPr>
          <w:ilvl w:val="0"/>
          <w:numId w:val="34"/>
        </w:numPr>
        <w:adjustRightInd w:val="0"/>
      </w:pPr>
      <w:r w:rsidRPr="00ED70E5">
        <w:t>A written report following the laboratory testing, highlighting any brands that contain menthol (or menthol analogue), as well as the levels of such chemicals found within each product</w:t>
      </w:r>
      <w:r w:rsidR="005B2C41" w:rsidRPr="00ED70E5">
        <w:t>.</w:t>
      </w:r>
    </w:p>
    <w:p w14:paraId="1FE5A60B" w14:textId="77777777" w:rsidR="00135D7E" w:rsidRDefault="00135D7E" w:rsidP="00135D7E">
      <w:pPr>
        <w:pStyle w:val="Default"/>
        <w:adjustRightInd w:val="0"/>
      </w:pPr>
    </w:p>
    <w:p w14:paraId="53F8EC1B" w14:textId="05AD94B6" w:rsidR="00135D7E" w:rsidRDefault="00135D7E" w:rsidP="00135D7E">
      <w:pPr>
        <w:pStyle w:val="Default"/>
        <w:numPr>
          <w:ilvl w:val="0"/>
          <w:numId w:val="34"/>
        </w:numPr>
        <w:adjustRightInd w:val="0"/>
      </w:pPr>
      <w:r>
        <w:t>If the provider of Lot 1 (laboratory testing) does not also deliver Lot 2 (user panel testing), then they must agree to liaise with that provider to share cigarette samples, and agree costs for the transportation of those cigarette brands being taken forward for user panel testing.</w:t>
      </w:r>
    </w:p>
    <w:p w14:paraId="3D56C3E8" w14:textId="77777777" w:rsidR="00135D7E" w:rsidRDefault="00135D7E" w:rsidP="00135D7E">
      <w:pPr>
        <w:pStyle w:val="Default"/>
        <w:adjustRightInd w:val="0"/>
      </w:pPr>
    </w:p>
    <w:p w14:paraId="6C1F6527" w14:textId="5089CDA4" w:rsidR="00135D7E" w:rsidRDefault="00135D7E" w:rsidP="00135D7E">
      <w:pPr>
        <w:pStyle w:val="Default"/>
        <w:numPr>
          <w:ilvl w:val="0"/>
          <w:numId w:val="34"/>
        </w:numPr>
        <w:adjustRightInd w:val="0"/>
      </w:pPr>
      <w:bookmarkStart w:id="1" w:name="_Hlk75771658"/>
      <w:r>
        <w:t>Liaise</w:t>
      </w:r>
      <w:r w:rsidRPr="00ED70E5">
        <w:t xml:space="preserve"> with PHE throughout this process, and to host a virtual meeting to discuss findings</w:t>
      </w:r>
      <w:r>
        <w:t>.</w:t>
      </w:r>
    </w:p>
    <w:bookmarkEnd w:id="1"/>
    <w:p w14:paraId="3DBCF549" w14:textId="77777777" w:rsidR="00135D7E" w:rsidRDefault="00135D7E" w:rsidP="00135D7E">
      <w:pPr>
        <w:pStyle w:val="ListParagraph"/>
      </w:pPr>
    </w:p>
    <w:p w14:paraId="755A8EB9" w14:textId="56908660" w:rsidR="005B2C41" w:rsidRDefault="00135D7E" w:rsidP="00135D7E">
      <w:pPr>
        <w:pStyle w:val="Default"/>
      </w:pPr>
      <w:r>
        <w:t xml:space="preserve">Lot 2: </w:t>
      </w:r>
      <w:r w:rsidRPr="00ED70E5">
        <w:t>The provider will be required to deliver:</w:t>
      </w:r>
    </w:p>
    <w:p w14:paraId="4296375F" w14:textId="77777777" w:rsidR="00135D7E" w:rsidRDefault="00135D7E" w:rsidP="00135D7E">
      <w:pPr>
        <w:pStyle w:val="Default"/>
        <w:adjustRightInd w:val="0"/>
      </w:pPr>
    </w:p>
    <w:p w14:paraId="235895B1" w14:textId="25D68963" w:rsidR="005B2C41" w:rsidRPr="00ED70E5" w:rsidRDefault="0044687B" w:rsidP="00135D7E">
      <w:pPr>
        <w:pStyle w:val="Default"/>
        <w:numPr>
          <w:ilvl w:val="0"/>
          <w:numId w:val="37"/>
        </w:numPr>
        <w:adjustRightInd w:val="0"/>
        <w:ind w:left="709" w:hanging="425"/>
      </w:pPr>
      <w:r w:rsidRPr="00ED70E5">
        <w:t>User group testing with a panel of smokers, to</w:t>
      </w:r>
      <w:r w:rsidR="00660D0F" w:rsidRPr="00ED70E5">
        <w:t xml:space="preserve"> gather insight on any characterising flavours derived by the smoker when using the brands provided. Up to 32 cigarette brands will be</w:t>
      </w:r>
      <w:r w:rsidR="005B2C41" w:rsidRPr="00ED70E5">
        <w:t xml:space="preserve"> submitted for user-testing, dependent on the finding from the laboratory tests.</w:t>
      </w:r>
    </w:p>
    <w:p w14:paraId="5E09C7EE" w14:textId="77777777" w:rsidR="005B2C41" w:rsidRPr="00ED70E5" w:rsidRDefault="005B2C41" w:rsidP="00135D7E">
      <w:pPr>
        <w:pStyle w:val="Default"/>
        <w:adjustRightInd w:val="0"/>
        <w:ind w:left="709" w:hanging="425"/>
      </w:pPr>
    </w:p>
    <w:p w14:paraId="6A9C1067" w14:textId="4155B550" w:rsidR="00135D7E" w:rsidRDefault="005B2C41" w:rsidP="00494D61">
      <w:pPr>
        <w:pStyle w:val="Default"/>
        <w:numPr>
          <w:ilvl w:val="0"/>
          <w:numId w:val="37"/>
        </w:numPr>
        <w:adjustRightInd w:val="0"/>
        <w:ind w:left="709" w:hanging="425"/>
      </w:pPr>
      <w:r w:rsidRPr="00ED70E5">
        <w:t>A written summary of the user-test findings, highlighting quantitative analysis of any characterising flavours identified, as well as any qualitative insights from the panel about specific products.</w:t>
      </w:r>
      <w:r w:rsidR="0044687B" w:rsidRPr="00ED70E5">
        <w:t xml:space="preserve"> </w:t>
      </w:r>
    </w:p>
    <w:p w14:paraId="10198745" w14:textId="77777777" w:rsidR="00494D61" w:rsidRDefault="00494D61" w:rsidP="00494D61">
      <w:pPr>
        <w:pStyle w:val="Default"/>
        <w:adjustRightInd w:val="0"/>
      </w:pPr>
    </w:p>
    <w:p w14:paraId="72C42A6A" w14:textId="30D5155C" w:rsidR="00135D7E" w:rsidRDefault="00135D7E" w:rsidP="00135D7E">
      <w:pPr>
        <w:pStyle w:val="Default"/>
        <w:numPr>
          <w:ilvl w:val="0"/>
          <w:numId w:val="37"/>
        </w:numPr>
        <w:adjustRightInd w:val="0"/>
        <w:ind w:left="709" w:hanging="425"/>
      </w:pPr>
      <w:r>
        <w:t>If the provider of Lot 2 has not also undertaken the laboratory testing, they must agree to work with the Lot 1 provider to agree transportation of the cigarette brands being taken forward for user testing.</w:t>
      </w:r>
    </w:p>
    <w:p w14:paraId="03E75050" w14:textId="77777777" w:rsidR="00135D7E" w:rsidRDefault="00135D7E" w:rsidP="00135D7E">
      <w:pPr>
        <w:pStyle w:val="Default"/>
        <w:adjustRightInd w:val="0"/>
      </w:pPr>
    </w:p>
    <w:p w14:paraId="390750D9" w14:textId="21D0E377" w:rsidR="00570F79" w:rsidRPr="00243948" w:rsidRDefault="00135D7E" w:rsidP="00243948">
      <w:pPr>
        <w:pStyle w:val="Default"/>
        <w:numPr>
          <w:ilvl w:val="0"/>
          <w:numId w:val="37"/>
        </w:numPr>
        <w:adjustRightInd w:val="0"/>
        <w:ind w:left="709" w:hanging="425"/>
      </w:pPr>
      <w:r>
        <w:t>Liaise</w:t>
      </w:r>
      <w:r w:rsidRPr="00ED70E5">
        <w:t xml:space="preserve"> with PHE throughout this process, and to host a virtual meeting to discuss findings</w:t>
      </w:r>
      <w:r>
        <w:t>.</w:t>
      </w:r>
    </w:p>
    <w:p w14:paraId="6D7D5B4B" w14:textId="77777777" w:rsidR="00F52E31" w:rsidRDefault="00F52E31" w:rsidP="00A377E5">
      <w:pPr>
        <w:spacing w:before="120" w:after="240" w:line="240" w:lineRule="auto"/>
        <w:rPr>
          <w:rFonts w:ascii="Arial" w:hAnsi="Arial" w:cs="Arial"/>
          <w:b/>
          <w:bCs/>
          <w:sz w:val="24"/>
          <w:szCs w:val="24"/>
        </w:rPr>
      </w:pPr>
    </w:p>
    <w:p w14:paraId="50015DCD" w14:textId="2739FEE6" w:rsidR="00CA0BA9" w:rsidRPr="004A3B42" w:rsidRDefault="00CA0BA9" w:rsidP="00CA0BA9">
      <w:pPr>
        <w:pStyle w:val="Default"/>
        <w:rPr>
          <w:b/>
          <w:bCs/>
        </w:rPr>
      </w:pPr>
      <w:r w:rsidRPr="004A3B42">
        <w:rPr>
          <w:b/>
          <w:bCs/>
        </w:rPr>
        <w:t>Lot 3: The provider will be required to deliver:</w:t>
      </w:r>
    </w:p>
    <w:p w14:paraId="09826D25" w14:textId="56E33102" w:rsidR="00CA0BA9" w:rsidRPr="004A3B42" w:rsidRDefault="003B01AE" w:rsidP="00A377E5">
      <w:pPr>
        <w:spacing w:before="120" w:after="240" w:line="240" w:lineRule="auto"/>
        <w:rPr>
          <w:rFonts w:ascii="Arial" w:hAnsi="Arial" w:cs="Arial"/>
          <w:sz w:val="24"/>
          <w:szCs w:val="24"/>
        </w:rPr>
      </w:pPr>
      <w:r>
        <w:rPr>
          <w:rFonts w:ascii="Arial" w:hAnsi="Arial" w:cs="Arial"/>
          <w:sz w:val="24"/>
          <w:szCs w:val="24"/>
        </w:rPr>
        <w:t>Deliverables from Lots</w:t>
      </w:r>
      <w:r w:rsidR="00CA0BA9" w:rsidRPr="004A3B42">
        <w:rPr>
          <w:rFonts w:ascii="Arial" w:hAnsi="Arial" w:cs="Arial"/>
          <w:sz w:val="24"/>
          <w:szCs w:val="24"/>
        </w:rPr>
        <w:t xml:space="preserve"> 1 and 2 above.</w:t>
      </w:r>
    </w:p>
    <w:p w14:paraId="167B090A" w14:textId="418E41E3" w:rsidR="00417F74" w:rsidRPr="00ED70E5" w:rsidRDefault="004461A9" w:rsidP="00A377E5">
      <w:pPr>
        <w:spacing w:before="120" w:after="240" w:line="240" w:lineRule="auto"/>
        <w:rPr>
          <w:rFonts w:ascii="Arial" w:hAnsi="Arial" w:cs="Arial"/>
          <w:b/>
          <w:bCs/>
          <w:sz w:val="24"/>
          <w:szCs w:val="24"/>
        </w:rPr>
      </w:pPr>
      <w:r w:rsidRPr="00ED70E5">
        <w:rPr>
          <w:rFonts w:ascii="Arial" w:hAnsi="Arial" w:cs="Arial"/>
          <w:b/>
          <w:bCs/>
          <w:sz w:val="24"/>
          <w:szCs w:val="24"/>
        </w:rPr>
        <w:t>Reporting arrangements</w:t>
      </w:r>
    </w:p>
    <w:p w14:paraId="091692B6" w14:textId="6A3C7F5E" w:rsidR="00417F74" w:rsidRPr="00ED70E5" w:rsidRDefault="00574AA3"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ED70E5">
        <w:rPr>
          <w:rFonts w:ascii="Arial" w:hAnsi="Arial" w:cs="Arial"/>
          <w:bCs/>
          <w:sz w:val="24"/>
          <w:szCs w:val="24"/>
        </w:rPr>
        <w:t>The delivery partner</w:t>
      </w:r>
      <w:r w:rsidR="00494D61">
        <w:rPr>
          <w:rFonts w:ascii="Arial" w:hAnsi="Arial" w:cs="Arial"/>
          <w:bCs/>
          <w:sz w:val="24"/>
          <w:szCs w:val="24"/>
        </w:rPr>
        <w:t>(s)</w:t>
      </w:r>
      <w:r w:rsidR="00417F74" w:rsidRPr="00ED70E5">
        <w:rPr>
          <w:rFonts w:ascii="Arial" w:hAnsi="Arial" w:cs="Arial"/>
          <w:bCs/>
          <w:sz w:val="24"/>
          <w:szCs w:val="24"/>
        </w:rPr>
        <w:t xml:space="preserve"> should work closely with PHE to plan, implem</w:t>
      </w:r>
      <w:r w:rsidRPr="00ED70E5">
        <w:rPr>
          <w:rFonts w:ascii="Arial" w:hAnsi="Arial" w:cs="Arial"/>
          <w:bCs/>
          <w:sz w:val="24"/>
          <w:szCs w:val="24"/>
        </w:rPr>
        <w:t>ent and report on the project</w:t>
      </w:r>
      <w:r w:rsidR="00417F74" w:rsidRPr="00ED70E5">
        <w:rPr>
          <w:rFonts w:ascii="Arial" w:hAnsi="Arial" w:cs="Arial"/>
          <w:bCs/>
          <w:sz w:val="24"/>
          <w:szCs w:val="24"/>
        </w:rPr>
        <w:t>.</w:t>
      </w:r>
    </w:p>
    <w:p w14:paraId="08550C7F" w14:textId="7EDD0ED0" w:rsidR="00431732" w:rsidRDefault="0093358C"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ED70E5">
        <w:rPr>
          <w:rFonts w:ascii="Arial" w:hAnsi="Arial" w:cs="Arial"/>
          <w:sz w:val="24"/>
          <w:szCs w:val="24"/>
        </w:rPr>
        <w:t>The dissemination</w:t>
      </w:r>
      <w:r w:rsidR="00593BC5" w:rsidRPr="00ED70E5">
        <w:rPr>
          <w:rFonts w:ascii="Arial" w:hAnsi="Arial" w:cs="Arial"/>
          <w:sz w:val="24"/>
          <w:szCs w:val="24"/>
        </w:rPr>
        <w:t xml:space="preserve"> </w:t>
      </w:r>
      <w:r w:rsidR="009B0341" w:rsidRPr="00ED70E5">
        <w:rPr>
          <w:rFonts w:ascii="Arial" w:hAnsi="Arial" w:cs="Arial"/>
          <w:sz w:val="24"/>
          <w:szCs w:val="24"/>
        </w:rPr>
        <w:t xml:space="preserve">process </w:t>
      </w:r>
      <w:r w:rsidR="001524DE">
        <w:rPr>
          <w:rFonts w:ascii="Arial" w:hAnsi="Arial" w:cs="Arial"/>
          <w:sz w:val="24"/>
          <w:szCs w:val="24"/>
        </w:rPr>
        <w:t xml:space="preserve">for each lot </w:t>
      </w:r>
      <w:r w:rsidR="00593BC5" w:rsidRPr="00ED70E5">
        <w:rPr>
          <w:rFonts w:ascii="Arial" w:hAnsi="Arial" w:cs="Arial"/>
          <w:sz w:val="24"/>
          <w:szCs w:val="24"/>
        </w:rPr>
        <w:t xml:space="preserve">should be inclusive of </w:t>
      </w:r>
      <w:r w:rsidR="00494D61">
        <w:rPr>
          <w:rFonts w:ascii="Arial" w:hAnsi="Arial" w:cs="Arial"/>
          <w:sz w:val="24"/>
          <w:szCs w:val="24"/>
        </w:rPr>
        <w:t xml:space="preserve">any </w:t>
      </w:r>
      <w:r w:rsidR="00574AA3" w:rsidRPr="00ED70E5">
        <w:rPr>
          <w:rFonts w:ascii="Arial" w:hAnsi="Arial" w:cs="Arial"/>
          <w:sz w:val="24"/>
          <w:szCs w:val="24"/>
        </w:rPr>
        <w:t>local and national stakeholders</w:t>
      </w:r>
      <w:r w:rsidR="00494D61">
        <w:rPr>
          <w:rFonts w:ascii="Arial" w:hAnsi="Arial" w:cs="Arial"/>
          <w:sz w:val="24"/>
          <w:szCs w:val="24"/>
        </w:rPr>
        <w:t xml:space="preserve"> identified by PHE.</w:t>
      </w:r>
    </w:p>
    <w:p w14:paraId="07A0FCD9" w14:textId="77777777" w:rsidR="00924162" w:rsidRPr="00ED70E5" w:rsidRDefault="00924162"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p>
    <w:p w14:paraId="41CD2A45" w14:textId="32822D76" w:rsidR="00431732" w:rsidRPr="00ED70E5" w:rsidRDefault="00431732"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70E5">
        <w:rPr>
          <w:rFonts w:ascii="Arial" w:hAnsi="Arial" w:cs="Arial"/>
          <w:b/>
          <w:bCs/>
          <w:sz w:val="24"/>
          <w:szCs w:val="24"/>
        </w:rPr>
        <w:t>Data Handling and Provision</w:t>
      </w:r>
    </w:p>
    <w:p w14:paraId="5BEAFEEB" w14:textId="7AC1E188" w:rsidR="00431732" w:rsidRPr="00ED70E5" w:rsidRDefault="00431732"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ED70E5">
        <w:rPr>
          <w:rFonts w:ascii="Arial" w:hAnsi="Arial" w:cs="Arial"/>
          <w:bCs/>
          <w:sz w:val="24"/>
          <w:szCs w:val="24"/>
        </w:rPr>
        <w:t xml:space="preserve">All personal data (as defined within the General Data Protection Regulation - GDPR), collected, stored, </w:t>
      </w:r>
      <w:r w:rsidR="00494D61" w:rsidRPr="00ED70E5">
        <w:rPr>
          <w:rFonts w:ascii="Arial" w:hAnsi="Arial" w:cs="Arial"/>
          <w:bCs/>
          <w:sz w:val="24"/>
          <w:szCs w:val="24"/>
        </w:rPr>
        <w:t>analysed</w:t>
      </w:r>
      <w:r w:rsidRPr="00ED70E5">
        <w:rPr>
          <w:rFonts w:ascii="Arial" w:hAnsi="Arial" w:cs="Arial"/>
          <w:bCs/>
          <w:sz w:val="24"/>
          <w:szCs w:val="24"/>
        </w:rPr>
        <w:t xml:space="preserve"> or shared must be carried out in compliance with the Data Protection Act 2018, GDPR and must conform with the policy statements specified in the PHE Information Governance Policy framework.    </w:t>
      </w:r>
    </w:p>
    <w:p w14:paraId="4FD89CB9" w14:textId="6644C0E8" w:rsidR="00431732" w:rsidRPr="00ED70E5" w:rsidRDefault="00431732" w:rsidP="0043173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ED70E5">
        <w:rPr>
          <w:rFonts w:ascii="Arial" w:hAnsi="Arial" w:cs="Arial"/>
          <w:bCs/>
          <w:sz w:val="24"/>
          <w:szCs w:val="24"/>
        </w:rPr>
        <w:t>The successful provider</w:t>
      </w:r>
      <w:r w:rsidR="00924162">
        <w:rPr>
          <w:rFonts w:ascii="Arial" w:hAnsi="Arial" w:cs="Arial"/>
          <w:bCs/>
          <w:sz w:val="24"/>
          <w:szCs w:val="24"/>
        </w:rPr>
        <w:t>(s)</w:t>
      </w:r>
      <w:r w:rsidRPr="00ED70E5">
        <w:rPr>
          <w:rFonts w:ascii="Arial" w:hAnsi="Arial" w:cs="Arial"/>
          <w:bCs/>
          <w:sz w:val="24"/>
          <w:szCs w:val="24"/>
        </w:rPr>
        <w:t xml:space="preserve"> must adhere to the Freedom of Information Act (2000). </w:t>
      </w:r>
    </w:p>
    <w:p w14:paraId="6C347EDC" w14:textId="77777777" w:rsidR="00107571" w:rsidRPr="00ED70E5" w:rsidRDefault="00107571"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14:paraId="34F3B9A1" w14:textId="77777777" w:rsidR="00071649" w:rsidRPr="00ED70E5"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70E5">
        <w:rPr>
          <w:rFonts w:ascii="Arial" w:hAnsi="Arial" w:cs="Arial"/>
          <w:b/>
          <w:bCs/>
          <w:sz w:val="24"/>
          <w:szCs w:val="24"/>
        </w:rPr>
        <w:t>Risk Management</w:t>
      </w:r>
    </w:p>
    <w:p w14:paraId="05252B23" w14:textId="77777777" w:rsidR="00071649" w:rsidRPr="00ED70E5" w:rsidRDefault="00071649"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ED70E5">
        <w:rPr>
          <w:rFonts w:ascii="Arial" w:hAnsi="Arial" w:cs="Arial"/>
          <w:bCs/>
          <w:sz w:val="24"/>
          <w:szCs w:val="24"/>
          <w:lang w:val="en-US"/>
        </w:rPr>
        <w:t>Applicants should submit, as part of their application, a summary explaining what they believe will be the key risks to delivering this project, and what contingencies they will put in place to deal with them.</w:t>
      </w:r>
    </w:p>
    <w:p w14:paraId="7DF4826D" w14:textId="14D3A055" w:rsidR="00071649" w:rsidRPr="00ED70E5" w:rsidRDefault="00071649"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ED70E5">
        <w:rPr>
          <w:rFonts w:ascii="Arial" w:hAnsi="Arial" w:cs="Arial"/>
          <w:bCs/>
          <w:sz w:val="24"/>
          <w:szCs w:val="24"/>
          <w:lang w:val="en-US"/>
        </w:rPr>
        <w:t>A risk is defined as any factor which may delay, disrupt or prevent the full achievement of a project objective</w:t>
      </w:r>
      <w:r w:rsidR="008722C8" w:rsidRPr="00ED70E5">
        <w:rPr>
          <w:rFonts w:ascii="Arial" w:hAnsi="Arial" w:cs="Arial"/>
          <w:bCs/>
          <w:sz w:val="24"/>
          <w:szCs w:val="24"/>
          <w:lang w:val="en-US"/>
        </w:rPr>
        <w:t xml:space="preserve">, which includes any potential </w:t>
      </w:r>
      <w:r w:rsidR="008722C8" w:rsidRPr="00ED70E5">
        <w:rPr>
          <w:rFonts w:ascii="Arial" w:hAnsi="Arial" w:cs="Arial"/>
          <w:b/>
          <w:bCs/>
          <w:sz w:val="24"/>
          <w:szCs w:val="24"/>
          <w:lang w:val="en-US"/>
        </w:rPr>
        <w:t>conflicts of interest</w:t>
      </w:r>
      <w:r w:rsidRPr="00ED70E5">
        <w:rPr>
          <w:rFonts w:ascii="Arial" w:hAnsi="Arial" w:cs="Arial"/>
          <w:bCs/>
          <w:sz w:val="24"/>
          <w:szCs w:val="24"/>
          <w:lang w:val="en-US"/>
        </w:rPr>
        <w:t xml:space="preserve">. All risks should be identified. The summary should include an assessment of each risk, together with a rating of the </w:t>
      </w:r>
      <w:proofErr w:type="gramStart"/>
      <w:r w:rsidRPr="00ED70E5">
        <w:rPr>
          <w:rFonts w:ascii="Arial" w:hAnsi="Arial" w:cs="Arial"/>
          <w:bCs/>
          <w:sz w:val="24"/>
          <w:szCs w:val="24"/>
          <w:lang w:val="en-US"/>
        </w:rPr>
        <w:t>risks</w:t>
      </w:r>
      <w:proofErr w:type="gramEnd"/>
      <w:r w:rsidRPr="00ED70E5">
        <w:rPr>
          <w:rFonts w:ascii="Arial" w:hAnsi="Arial" w:cs="Arial"/>
          <w:bCs/>
          <w:sz w:val="24"/>
          <w:szCs w:val="24"/>
          <w:lang w:val="en-US"/>
        </w:rPr>
        <w:t xml:space="preserve"> likelihood and its impact on a project </w:t>
      </w:r>
      <w:r w:rsidRPr="00ED70E5">
        <w:rPr>
          <w:rFonts w:ascii="Arial" w:hAnsi="Arial" w:cs="Arial"/>
          <w:bCs/>
          <w:sz w:val="24"/>
          <w:szCs w:val="24"/>
          <w:lang w:val="en-US"/>
        </w:rPr>
        <w:lastRenderedPageBreak/>
        <w:t>objective (using a high, medium or low classification for both). The risk assessment should also identify appropriate actions that would reduce or eliminate each risk, or its impact.</w:t>
      </w:r>
      <w:r w:rsidR="003E24C7" w:rsidRPr="00ED70E5">
        <w:rPr>
          <w:rFonts w:ascii="Arial" w:hAnsi="Arial" w:cs="Arial"/>
          <w:bCs/>
          <w:sz w:val="24"/>
          <w:szCs w:val="24"/>
          <w:lang w:val="en-US"/>
        </w:rPr>
        <w:t xml:space="preserve"> </w:t>
      </w:r>
    </w:p>
    <w:p w14:paraId="366B3CF6" w14:textId="4D8A0DF2" w:rsidR="00071649" w:rsidRPr="00ED70E5" w:rsidRDefault="00FD6F6D"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lang w:val="en-US"/>
        </w:rPr>
      </w:pPr>
      <w:r w:rsidRPr="00ED70E5">
        <w:rPr>
          <w:rFonts w:ascii="Arial" w:hAnsi="Arial" w:cs="Arial"/>
          <w:b/>
          <w:bCs/>
          <w:sz w:val="24"/>
          <w:szCs w:val="24"/>
          <w:lang w:val="en-US"/>
        </w:rPr>
        <w:t>Stakeholder</w:t>
      </w:r>
      <w:r w:rsidR="00071649" w:rsidRPr="00ED70E5">
        <w:rPr>
          <w:rFonts w:ascii="Arial" w:hAnsi="Arial" w:cs="Arial"/>
          <w:b/>
          <w:bCs/>
          <w:sz w:val="24"/>
          <w:szCs w:val="24"/>
          <w:lang w:val="en-US"/>
        </w:rPr>
        <w:t xml:space="preserve"> and Public Involvement </w:t>
      </w:r>
    </w:p>
    <w:p w14:paraId="38067818" w14:textId="786862E1" w:rsidR="00BC245C" w:rsidRPr="00ED70E5"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ED70E5">
        <w:rPr>
          <w:rFonts w:ascii="Arial" w:hAnsi="Arial" w:cs="Arial"/>
          <w:bCs/>
          <w:sz w:val="24"/>
          <w:szCs w:val="24"/>
          <w:lang w:val="en-US"/>
        </w:rPr>
        <w:t xml:space="preserve">The provider will be undertaking direct engagement with </w:t>
      </w:r>
      <w:r w:rsidR="003E24C7" w:rsidRPr="00ED70E5">
        <w:rPr>
          <w:rFonts w:ascii="Arial" w:hAnsi="Arial" w:cs="Arial"/>
          <w:bCs/>
          <w:sz w:val="24"/>
          <w:szCs w:val="24"/>
          <w:lang w:val="en-US"/>
        </w:rPr>
        <w:t>members of the public</w:t>
      </w:r>
      <w:r w:rsidRPr="00ED70E5">
        <w:rPr>
          <w:rFonts w:ascii="Arial" w:hAnsi="Arial" w:cs="Arial"/>
          <w:bCs/>
          <w:sz w:val="24"/>
          <w:szCs w:val="24"/>
          <w:lang w:val="en-US"/>
        </w:rPr>
        <w:t xml:space="preserve"> as </w:t>
      </w:r>
      <w:r w:rsidR="003E24C7" w:rsidRPr="00ED70E5">
        <w:rPr>
          <w:rFonts w:ascii="Arial" w:hAnsi="Arial" w:cs="Arial"/>
          <w:bCs/>
          <w:sz w:val="24"/>
          <w:szCs w:val="24"/>
          <w:lang w:val="en-US"/>
        </w:rPr>
        <w:t>part of the smoker user panel</w:t>
      </w:r>
      <w:r w:rsidRPr="00ED70E5">
        <w:rPr>
          <w:rFonts w:ascii="Arial" w:hAnsi="Arial" w:cs="Arial"/>
          <w:bCs/>
          <w:sz w:val="24"/>
          <w:szCs w:val="24"/>
          <w:lang w:val="en-US"/>
        </w:rPr>
        <w:t>. The provider will be expect</w:t>
      </w:r>
      <w:r w:rsidR="00FD6F6D" w:rsidRPr="00ED70E5">
        <w:rPr>
          <w:rFonts w:ascii="Arial" w:hAnsi="Arial" w:cs="Arial"/>
          <w:bCs/>
          <w:sz w:val="24"/>
          <w:szCs w:val="24"/>
          <w:lang w:val="en-US"/>
        </w:rPr>
        <w:t>ed</w:t>
      </w:r>
      <w:r w:rsidRPr="00ED70E5">
        <w:rPr>
          <w:rFonts w:ascii="Arial" w:hAnsi="Arial" w:cs="Arial"/>
          <w:bCs/>
          <w:sz w:val="24"/>
          <w:szCs w:val="24"/>
          <w:lang w:val="en-US"/>
        </w:rPr>
        <w:t xml:space="preserve"> to submit as part of their application their m</w:t>
      </w:r>
      <w:r w:rsidR="00FD6F6D" w:rsidRPr="00ED70E5">
        <w:rPr>
          <w:rFonts w:ascii="Arial" w:hAnsi="Arial" w:cs="Arial"/>
          <w:bCs/>
          <w:sz w:val="24"/>
          <w:szCs w:val="24"/>
          <w:lang w:val="en-US"/>
        </w:rPr>
        <w:t xml:space="preserve">echanism for engaging </w:t>
      </w:r>
      <w:r w:rsidR="006A57E5" w:rsidRPr="00ED70E5">
        <w:rPr>
          <w:rFonts w:ascii="Arial" w:hAnsi="Arial" w:cs="Arial"/>
          <w:bCs/>
          <w:sz w:val="24"/>
          <w:szCs w:val="24"/>
          <w:lang w:val="en-US"/>
        </w:rPr>
        <w:t xml:space="preserve">with </w:t>
      </w:r>
      <w:r w:rsidR="003E24C7" w:rsidRPr="00ED70E5">
        <w:rPr>
          <w:rFonts w:ascii="Arial" w:hAnsi="Arial" w:cs="Arial"/>
          <w:bCs/>
          <w:sz w:val="24"/>
          <w:szCs w:val="24"/>
          <w:lang w:val="en-US"/>
        </w:rPr>
        <w:t>such a panel.</w:t>
      </w:r>
    </w:p>
    <w:p w14:paraId="1CD1BA31" w14:textId="46F5746A" w:rsidR="006B7369" w:rsidRPr="00ED70E5" w:rsidRDefault="006B736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lang w:val="en-US"/>
        </w:rPr>
      </w:pPr>
      <w:r w:rsidRPr="00ED70E5">
        <w:rPr>
          <w:rFonts w:ascii="Arial" w:hAnsi="Arial" w:cs="Arial"/>
          <w:b/>
          <w:bCs/>
          <w:sz w:val="24"/>
          <w:szCs w:val="24"/>
          <w:lang w:val="en-US"/>
        </w:rPr>
        <w:t>Accessibility</w:t>
      </w:r>
    </w:p>
    <w:p w14:paraId="0D9EB9D8" w14:textId="0036E799" w:rsidR="006B7369" w:rsidRPr="00ED70E5" w:rsidRDefault="00EA2737"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hyperlink r:id="rId10" w:history="1">
        <w:r w:rsidR="006B7369" w:rsidRPr="00ED70E5">
          <w:rPr>
            <w:rStyle w:val="Hyperlink"/>
            <w:rFonts w:ascii="Arial" w:hAnsi="Arial" w:cs="Arial"/>
            <w:bCs/>
            <w:sz w:val="24"/>
            <w:szCs w:val="24"/>
          </w:rPr>
          <w:t>https://www.gov.uk/guidance/accessibility-requirements-for-public-sector-websites-and-apps</w:t>
        </w:r>
      </w:hyperlink>
    </w:p>
    <w:p w14:paraId="555F81B7" w14:textId="0E52CAC8" w:rsidR="006B7369" w:rsidRPr="00ED70E5" w:rsidRDefault="00EA2737"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hyperlink r:id="rId11" w:history="1">
        <w:r w:rsidR="006B7369" w:rsidRPr="00ED70E5">
          <w:rPr>
            <w:rStyle w:val="Hyperlink"/>
            <w:rFonts w:ascii="Arial" w:hAnsi="Arial" w:cs="Arial"/>
            <w:bCs/>
            <w:sz w:val="24"/>
            <w:szCs w:val="24"/>
          </w:rPr>
          <w:t>https://gds.blog.gov.uk/2018/06/20/creating-the-uk-governments-accessibility-empathy-lab/</w:t>
        </w:r>
      </w:hyperlink>
    </w:p>
    <w:p w14:paraId="28351C02" w14:textId="7AF612EB" w:rsidR="006B7369" w:rsidRPr="00ED70E5" w:rsidRDefault="00EA2737"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hyperlink r:id="rId12" w:history="1">
        <w:r w:rsidR="006B7369" w:rsidRPr="00ED70E5">
          <w:rPr>
            <w:rStyle w:val="Hyperlink"/>
            <w:rFonts w:ascii="Arial" w:hAnsi="Arial" w:cs="Arial"/>
            <w:bCs/>
            <w:sz w:val="24"/>
            <w:szCs w:val="24"/>
          </w:rPr>
          <w:t>https://www.gov.uk/service-manual/helping-people-to-use-your-service/getting-an-accessibility-audit</w:t>
        </w:r>
      </w:hyperlink>
    </w:p>
    <w:p w14:paraId="004F2F02" w14:textId="76A96E01" w:rsidR="00345DEA" w:rsidRPr="00ED70E5"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70E5">
        <w:rPr>
          <w:rFonts w:ascii="Arial" w:hAnsi="Arial" w:cs="Arial"/>
          <w:b/>
          <w:bCs/>
          <w:sz w:val="24"/>
          <w:szCs w:val="24"/>
        </w:rPr>
        <w:t>Delivery Timescale</w:t>
      </w:r>
    </w:p>
    <w:p w14:paraId="3E311315" w14:textId="135AB275" w:rsidR="008D7F38" w:rsidRDefault="00924162"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Lot 1: </w:t>
      </w:r>
      <w:r w:rsidR="00C27D7D" w:rsidRPr="00ED70E5">
        <w:rPr>
          <w:rFonts w:ascii="Arial" w:hAnsi="Arial" w:cs="Arial"/>
          <w:bCs/>
          <w:sz w:val="24"/>
          <w:szCs w:val="24"/>
        </w:rPr>
        <w:t xml:space="preserve">The provider </w:t>
      </w:r>
      <w:r>
        <w:rPr>
          <w:rFonts w:ascii="Arial" w:hAnsi="Arial" w:cs="Arial"/>
          <w:bCs/>
          <w:sz w:val="24"/>
          <w:szCs w:val="24"/>
        </w:rPr>
        <w:t xml:space="preserve">of </w:t>
      </w:r>
      <w:r w:rsidR="00C27D7D" w:rsidRPr="00ED70E5">
        <w:rPr>
          <w:rFonts w:ascii="Arial" w:hAnsi="Arial" w:cs="Arial"/>
          <w:bCs/>
          <w:sz w:val="24"/>
          <w:szCs w:val="24"/>
        </w:rPr>
        <w:t xml:space="preserve">will be expected to complete all </w:t>
      </w:r>
      <w:r>
        <w:rPr>
          <w:rFonts w:ascii="Arial" w:hAnsi="Arial" w:cs="Arial"/>
          <w:bCs/>
          <w:sz w:val="24"/>
          <w:szCs w:val="24"/>
        </w:rPr>
        <w:t xml:space="preserve">laboratory </w:t>
      </w:r>
      <w:r w:rsidR="00C27D7D" w:rsidRPr="00ED70E5">
        <w:rPr>
          <w:rFonts w:ascii="Arial" w:hAnsi="Arial" w:cs="Arial"/>
          <w:bCs/>
          <w:sz w:val="24"/>
          <w:szCs w:val="24"/>
        </w:rPr>
        <w:t>testing</w:t>
      </w:r>
      <w:r>
        <w:rPr>
          <w:rFonts w:ascii="Arial" w:hAnsi="Arial" w:cs="Arial"/>
          <w:bCs/>
          <w:sz w:val="24"/>
          <w:szCs w:val="24"/>
        </w:rPr>
        <w:t xml:space="preserve">, provide a written report and </w:t>
      </w:r>
      <w:r w:rsidR="008E79A6">
        <w:rPr>
          <w:rFonts w:ascii="Arial" w:hAnsi="Arial" w:cs="Arial"/>
          <w:bCs/>
          <w:sz w:val="24"/>
          <w:szCs w:val="24"/>
        </w:rPr>
        <w:t>host</w:t>
      </w:r>
      <w:r>
        <w:rPr>
          <w:rFonts w:ascii="Arial" w:hAnsi="Arial" w:cs="Arial"/>
          <w:bCs/>
          <w:sz w:val="24"/>
          <w:szCs w:val="24"/>
        </w:rPr>
        <w:t xml:space="preserve"> a virtual </w:t>
      </w:r>
      <w:r w:rsidR="003F5EDD">
        <w:rPr>
          <w:rFonts w:ascii="Arial" w:hAnsi="Arial" w:cs="Arial"/>
          <w:bCs/>
          <w:sz w:val="24"/>
          <w:szCs w:val="24"/>
        </w:rPr>
        <w:t xml:space="preserve">sign-off </w:t>
      </w:r>
      <w:r>
        <w:rPr>
          <w:rFonts w:ascii="Arial" w:hAnsi="Arial" w:cs="Arial"/>
          <w:bCs/>
          <w:sz w:val="24"/>
          <w:szCs w:val="24"/>
        </w:rPr>
        <w:t xml:space="preserve">meeting with PHE by </w:t>
      </w:r>
      <w:r w:rsidR="003F5EDD">
        <w:rPr>
          <w:rFonts w:ascii="Arial" w:hAnsi="Arial" w:cs="Arial"/>
          <w:bCs/>
          <w:sz w:val="24"/>
          <w:szCs w:val="24"/>
        </w:rPr>
        <w:t>24</w:t>
      </w:r>
      <w:r w:rsidRPr="00924162">
        <w:rPr>
          <w:rFonts w:ascii="Arial" w:hAnsi="Arial" w:cs="Arial"/>
          <w:bCs/>
          <w:sz w:val="24"/>
          <w:szCs w:val="24"/>
          <w:vertAlign w:val="superscript"/>
        </w:rPr>
        <w:t>th</w:t>
      </w:r>
      <w:r>
        <w:rPr>
          <w:rFonts w:ascii="Arial" w:hAnsi="Arial" w:cs="Arial"/>
          <w:bCs/>
          <w:sz w:val="24"/>
          <w:szCs w:val="24"/>
        </w:rPr>
        <w:t xml:space="preserve"> September 2021.</w:t>
      </w:r>
    </w:p>
    <w:p w14:paraId="0DFF1587" w14:textId="2DDAE0E5" w:rsidR="00924162" w:rsidRPr="00ED70E5" w:rsidRDefault="00924162"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Lot 2: The provider will be expected to complete the user panel testing, provide a written report and h</w:t>
      </w:r>
      <w:r w:rsidR="008E79A6">
        <w:rPr>
          <w:rFonts w:ascii="Arial" w:hAnsi="Arial" w:cs="Arial"/>
          <w:bCs/>
          <w:sz w:val="24"/>
          <w:szCs w:val="24"/>
        </w:rPr>
        <w:t xml:space="preserve">ost </w:t>
      </w:r>
      <w:r>
        <w:rPr>
          <w:rFonts w:ascii="Arial" w:hAnsi="Arial" w:cs="Arial"/>
          <w:bCs/>
          <w:sz w:val="24"/>
          <w:szCs w:val="24"/>
        </w:rPr>
        <w:t xml:space="preserve">a virtual sign-off meeting with PHE by </w:t>
      </w:r>
      <w:r w:rsidR="003F5EDD">
        <w:rPr>
          <w:rFonts w:ascii="Arial" w:hAnsi="Arial" w:cs="Arial"/>
          <w:bCs/>
          <w:sz w:val="24"/>
          <w:szCs w:val="24"/>
        </w:rPr>
        <w:t>5</w:t>
      </w:r>
      <w:r w:rsidRPr="00924162">
        <w:rPr>
          <w:rFonts w:ascii="Arial" w:hAnsi="Arial" w:cs="Arial"/>
          <w:bCs/>
          <w:sz w:val="24"/>
          <w:szCs w:val="24"/>
          <w:vertAlign w:val="superscript"/>
        </w:rPr>
        <w:t>th</w:t>
      </w:r>
      <w:r>
        <w:rPr>
          <w:rFonts w:ascii="Arial" w:hAnsi="Arial" w:cs="Arial"/>
          <w:bCs/>
          <w:sz w:val="24"/>
          <w:szCs w:val="24"/>
        </w:rPr>
        <w:t xml:space="preserve"> </w:t>
      </w:r>
      <w:r w:rsidR="003F5EDD">
        <w:rPr>
          <w:rFonts w:ascii="Arial" w:hAnsi="Arial" w:cs="Arial"/>
          <w:bCs/>
          <w:sz w:val="24"/>
          <w:szCs w:val="24"/>
        </w:rPr>
        <w:t>Novem</w:t>
      </w:r>
      <w:r>
        <w:rPr>
          <w:rFonts w:ascii="Arial" w:hAnsi="Arial" w:cs="Arial"/>
          <w:bCs/>
          <w:sz w:val="24"/>
          <w:szCs w:val="24"/>
        </w:rPr>
        <w:t>ber 2021.</w:t>
      </w:r>
    </w:p>
    <w:p w14:paraId="4B581C14" w14:textId="13982361" w:rsidR="008D7F38" w:rsidRDefault="003B01AE"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Lot 3: Deadlines as for Lots 1 and 2 above:</w:t>
      </w:r>
    </w:p>
    <w:p w14:paraId="4E91EF11" w14:textId="0D7482D1" w:rsidR="003B01AE" w:rsidRDefault="003B01AE"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Laboratory testing element by 24</w:t>
      </w:r>
      <w:r w:rsidRPr="004A3B42">
        <w:rPr>
          <w:rFonts w:ascii="Arial" w:hAnsi="Arial" w:cs="Arial"/>
          <w:bCs/>
          <w:sz w:val="24"/>
          <w:szCs w:val="24"/>
          <w:vertAlign w:val="superscript"/>
        </w:rPr>
        <w:t>th</w:t>
      </w:r>
      <w:r>
        <w:rPr>
          <w:rFonts w:ascii="Arial" w:hAnsi="Arial" w:cs="Arial"/>
          <w:bCs/>
          <w:sz w:val="24"/>
          <w:szCs w:val="24"/>
        </w:rPr>
        <w:t xml:space="preserve"> September 2021.</w:t>
      </w:r>
    </w:p>
    <w:p w14:paraId="21C1B85F" w14:textId="69195F93" w:rsidR="003B01AE" w:rsidRPr="00ED70E5" w:rsidRDefault="003B01AE"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User Panel testing element by 5</w:t>
      </w:r>
      <w:r w:rsidRPr="004A3B42">
        <w:rPr>
          <w:rFonts w:ascii="Arial" w:hAnsi="Arial" w:cs="Arial"/>
          <w:bCs/>
          <w:sz w:val="24"/>
          <w:szCs w:val="24"/>
          <w:vertAlign w:val="superscript"/>
        </w:rPr>
        <w:t>th</w:t>
      </w:r>
      <w:r>
        <w:rPr>
          <w:rFonts w:ascii="Arial" w:hAnsi="Arial" w:cs="Arial"/>
          <w:bCs/>
          <w:sz w:val="24"/>
          <w:szCs w:val="24"/>
        </w:rPr>
        <w:t xml:space="preserve"> November 2021.</w:t>
      </w:r>
    </w:p>
    <w:p w14:paraId="3BABD11A" w14:textId="77777777" w:rsidR="00FA5F71" w:rsidRDefault="00FA5F71"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14:paraId="24AC8C0A" w14:textId="40BD5D29" w:rsidR="00345DEA" w:rsidRPr="00ED70E5"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70E5">
        <w:rPr>
          <w:rFonts w:ascii="Arial" w:hAnsi="Arial" w:cs="Arial"/>
          <w:b/>
          <w:bCs/>
          <w:sz w:val="24"/>
          <w:szCs w:val="24"/>
        </w:rPr>
        <w:t>Contract Period</w:t>
      </w:r>
    </w:p>
    <w:p w14:paraId="0A050579" w14:textId="713757E9" w:rsidR="00BE4D3A" w:rsidRPr="00423010" w:rsidRDefault="00345DEA" w:rsidP="00423010">
      <w:pPr>
        <w:spacing w:before="120" w:after="240" w:line="240" w:lineRule="auto"/>
        <w:rPr>
          <w:rFonts w:ascii="Arial" w:hAnsi="Arial" w:cs="Arial"/>
          <w:sz w:val="24"/>
          <w:szCs w:val="24"/>
        </w:rPr>
      </w:pPr>
      <w:r w:rsidRPr="00ED70E5">
        <w:rPr>
          <w:rFonts w:ascii="Arial" w:hAnsi="Arial" w:cs="Arial"/>
          <w:sz w:val="24"/>
          <w:szCs w:val="24"/>
        </w:rPr>
        <w:t>The contract will</w:t>
      </w:r>
      <w:r w:rsidR="000F66E8" w:rsidRPr="00ED70E5">
        <w:rPr>
          <w:rFonts w:ascii="Arial" w:hAnsi="Arial" w:cs="Arial"/>
          <w:sz w:val="24"/>
          <w:szCs w:val="24"/>
        </w:rPr>
        <w:t xml:space="preserve"> begin on </w:t>
      </w:r>
      <w:r w:rsidR="003F5EDD">
        <w:rPr>
          <w:rFonts w:ascii="Arial" w:hAnsi="Arial" w:cs="Arial"/>
          <w:sz w:val="24"/>
          <w:szCs w:val="24"/>
        </w:rPr>
        <w:t>9</w:t>
      </w:r>
      <w:r w:rsidR="008E79A6" w:rsidRPr="00243948">
        <w:rPr>
          <w:rFonts w:ascii="Arial" w:hAnsi="Arial" w:cs="Arial"/>
          <w:sz w:val="24"/>
          <w:szCs w:val="24"/>
          <w:vertAlign w:val="superscript"/>
        </w:rPr>
        <w:t>th</w:t>
      </w:r>
      <w:r w:rsidR="008E79A6">
        <w:rPr>
          <w:rFonts w:ascii="Arial" w:hAnsi="Arial" w:cs="Arial"/>
          <w:sz w:val="24"/>
          <w:szCs w:val="24"/>
        </w:rPr>
        <w:t xml:space="preserve"> August </w:t>
      </w:r>
      <w:r w:rsidR="00006003" w:rsidRPr="00ED70E5">
        <w:rPr>
          <w:rFonts w:ascii="Arial" w:hAnsi="Arial" w:cs="Arial"/>
          <w:sz w:val="24"/>
          <w:szCs w:val="24"/>
        </w:rPr>
        <w:t>2021</w:t>
      </w:r>
      <w:r w:rsidRPr="00ED70E5">
        <w:rPr>
          <w:rFonts w:ascii="Arial" w:hAnsi="Arial" w:cs="Arial"/>
          <w:sz w:val="24"/>
          <w:szCs w:val="24"/>
        </w:rPr>
        <w:t xml:space="preserve"> </w:t>
      </w:r>
      <w:r w:rsidR="003F5EDD">
        <w:rPr>
          <w:rFonts w:ascii="Arial" w:hAnsi="Arial" w:cs="Arial"/>
          <w:sz w:val="24"/>
          <w:szCs w:val="24"/>
        </w:rPr>
        <w:t>and will conclude on 5</w:t>
      </w:r>
      <w:r w:rsidR="008E79A6" w:rsidRPr="00243948">
        <w:rPr>
          <w:rFonts w:ascii="Arial" w:hAnsi="Arial" w:cs="Arial"/>
          <w:sz w:val="24"/>
          <w:szCs w:val="24"/>
          <w:vertAlign w:val="superscript"/>
        </w:rPr>
        <w:t>th</w:t>
      </w:r>
      <w:r w:rsidR="008E79A6">
        <w:rPr>
          <w:rFonts w:ascii="Arial" w:hAnsi="Arial" w:cs="Arial"/>
          <w:sz w:val="24"/>
          <w:szCs w:val="24"/>
        </w:rPr>
        <w:t xml:space="preserve"> November </w:t>
      </w:r>
      <w:r w:rsidR="00006003" w:rsidRPr="00ED70E5">
        <w:rPr>
          <w:rFonts w:ascii="Arial" w:hAnsi="Arial" w:cs="Arial"/>
          <w:sz w:val="24"/>
          <w:szCs w:val="24"/>
        </w:rPr>
        <w:t xml:space="preserve">2021 </w:t>
      </w:r>
      <w:r w:rsidR="00FD6F6D" w:rsidRPr="00ED70E5">
        <w:rPr>
          <w:rFonts w:ascii="Arial" w:hAnsi="Arial" w:cs="Arial"/>
          <w:sz w:val="24"/>
          <w:szCs w:val="24"/>
        </w:rPr>
        <w:t xml:space="preserve">as per the commissioning timetable below. </w:t>
      </w:r>
    </w:p>
    <w:p w14:paraId="0BCFDFD2" w14:textId="77777777" w:rsidR="00FA5F71" w:rsidRDefault="00FA5F71"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14:paraId="26F82C4F" w14:textId="77777777" w:rsidR="00FA5F71" w:rsidRDefault="00FA5F71"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14:paraId="7DAF9977" w14:textId="40CA2B9E" w:rsidR="00345DEA" w:rsidRPr="00ED70E5"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70E5">
        <w:rPr>
          <w:rFonts w:ascii="Arial" w:hAnsi="Arial" w:cs="Arial"/>
          <w:b/>
          <w:bCs/>
          <w:sz w:val="24"/>
          <w:szCs w:val="24"/>
        </w:rPr>
        <w:lastRenderedPageBreak/>
        <w:t>Contact Point(s)</w:t>
      </w:r>
    </w:p>
    <w:p w14:paraId="549F785E" w14:textId="27BC019E" w:rsidR="00345DEA" w:rsidRPr="00ED70E5" w:rsidRDefault="00345DEA" w:rsidP="00A377E5">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Cambria" w:hAnsi="Arial" w:cs="Arial"/>
          <w:bCs/>
          <w:sz w:val="24"/>
          <w:szCs w:val="24"/>
        </w:rPr>
      </w:pPr>
      <w:r w:rsidRPr="00ED70E5">
        <w:rPr>
          <w:rFonts w:ascii="Arial" w:eastAsia="Calibri" w:hAnsi="Arial" w:cs="Arial"/>
          <w:sz w:val="24"/>
          <w:szCs w:val="24"/>
        </w:rPr>
        <w:t>It is expected that the supplier</w:t>
      </w:r>
      <w:r w:rsidR="003F5EDD">
        <w:rPr>
          <w:rFonts w:ascii="Arial" w:eastAsia="Calibri" w:hAnsi="Arial" w:cs="Arial"/>
          <w:sz w:val="24"/>
          <w:szCs w:val="24"/>
        </w:rPr>
        <w:t>(s)</w:t>
      </w:r>
      <w:r w:rsidRPr="00ED70E5">
        <w:rPr>
          <w:rFonts w:ascii="Arial" w:eastAsia="Calibri" w:hAnsi="Arial" w:cs="Arial"/>
          <w:sz w:val="24"/>
          <w:szCs w:val="24"/>
        </w:rPr>
        <w:t xml:space="preserve"> will appoint a n</w:t>
      </w:r>
      <w:r w:rsidR="008C01A6" w:rsidRPr="00ED70E5">
        <w:rPr>
          <w:rFonts w:ascii="Arial" w:eastAsia="Calibri" w:hAnsi="Arial" w:cs="Arial"/>
          <w:sz w:val="24"/>
          <w:szCs w:val="24"/>
        </w:rPr>
        <w:t>amed</w:t>
      </w:r>
      <w:r w:rsidR="00006003" w:rsidRPr="00ED70E5">
        <w:rPr>
          <w:rFonts w:ascii="Arial" w:eastAsia="Calibri" w:hAnsi="Arial" w:cs="Arial"/>
          <w:sz w:val="24"/>
          <w:szCs w:val="24"/>
        </w:rPr>
        <w:t xml:space="preserve"> L</w:t>
      </w:r>
      <w:r w:rsidR="008C01A6" w:rsidRPr="00ED70E5">
        <w:rPr>
          <w:rFonts w:ascii="Arial" w:eastAsia="Calibri" w:hAnsi="Arial" w:cs="Arial"/>
          <w:sz w:val="24"/>
          <w:szCs w:val="24"/>
        </w:rPr>
        <w:t>ead</w:t>
      </w:r>
      <w:r w:rsidRPr="00ED70E5">
        <w:rPr>
          <w:rFonts w:ascii="Arial" w:eastAsia="Calibri" w:hAnsi="Arial" w:cs="Arial"/>
          <w:sz w:val="24"/>
          <w:szCs w:val="24"/>
        </w:rPr>
        <w:t xml:space="preserve"> Manager who will be the main point of contact with Public Health England.  </w:t>
      </w:r>
    </w:p>
    <w:p w14:paraId="20087457" w14:textId="733469AC" w:rsidR="00BC245C" w:rsidRPr="00ED70E5" w:rsidRDefault="00345DEA" w:rsidP="00FD6F6D">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Cambria" w:hAnsi="Arial" w:cs="Arial"/>
          <w:bCs/>
          <w:sz w:val="24"/>
          <w:szCs w:val="24"/>
        </w:rPr>
      </w:pPr>
      <w:r w:rsidRPr="00ED70E5">
        <w:rPr>
          <w:rFonts w:ascii="Arial" w:eastAsia="Calibri" w:hAnsi="Arial" w:cs="Arial"/>
          <w:sz w:val="24"/>
          <w:szCs w:val="24"/>
        </w:rPr>
        <w:t xml:space="preserve">The key contact points at PHE will </w:t>
      </w:r>
      <w:r w:rsidR="008D7F38" w:rsidRPr="00ED70E5">
        <w:rPr>
          <w:rFonts w:ascii="Arial" w:eastAsia="Calibri" w:hAnsi="Arial" w:cs="Arial"/>
          <w:sz w:val="24"/>
          <w:szCs w:val="24"/>
        </w:rPr>
        <w:t xml:space="preserve">be </w:t>
      </w:r>
      <w:r w:rsidR="00006003" w:rsidRPr="00ED70E5">
        <w:rPr>
          <w:rFonts w:ascii="Arial" w:eastAsia="Calibri" w:hAnsi="Arial" w:cs="Arial"/>
          <w:sz w:val="24"/>
          <w:szCs w:val="24"/>
        </w:rPr>
        <w:t>Samantha Gordon, Martyn Willmore, and Martin Dockrell within the tobacco control team</w:t>
      </w:r>
      <w:r w:rsidR="008D7F38" w:rsidRPr="00ED70E5">
        <w:rPr>
          <w:rFonts w:ascii="Arial" w:eastAsia="Calibri" w:hAnsi="Arial" w:cs="Arial"/>
          <w:sz w:val="24"/>
          <w:szCs w:val="24"/>
        </w:rPr>
        <w:t xml:space="preserve">. </w:t>
      </w:r>
      <w:r w:rsidR="00FD6F6D" w:rsidRPr="00ED70E5">
        <w:rPr>
          <w:rFonts w:ascii="Arial" w:eastAsia="Calibri" w:hAnsi="Arial" w:cs="Arial"/>
          <w:sz w:val="24"/>
          <w:szCs w:val="24"/>
        </w:rPr>
        <w:t xml:space="preserve">All </w:t>
      </w:r>
      <w:r w:rsidRPr="00ED70E5">
        <w:rPr>
          <w:rFonts w:ascii="Arial" w:eastAsia="Calibri" w:hAnsi="Arial" w:cs="Arial"/>
          <w:sz w:val="24"/>
          <w:szCs w:val="24"/>
        </w:rPr>
        <w:t>members of staff will be available for telephone or face to face advice throughout the project lifetime.</w:t>
      </w:r>
      <w:r w:rsidR="00FD7500" w:rsidRPr="00ED70E5">
        <w:rPr>
          <w:rFonts w:ascii="Arial" w:eastAsia="Calibri" w:hAnsi="Arial" w:cs="Arial"/>
          <w:sz w:val="24"/>
          <w:szCs w:val="24"/>
        </w:rPr>
        <w:t xml:space="preserve"> </w:t>
      </w:r>
      <w:r w:rsidR="008C01A6" w:rsidRPr="00ED70E5">
        <w:rPr>
          <w:rFonts w:ascii="Arial" w:eastAsia="Calibri" w:hAnsi="Arial" w:cs="Arial"/>
          <w:color w:val="000000" w:themeColor="text1"/>
          <w:sz w:val="24"/>
          <w:szCs w:val="24"/>
        </w:rPr>
        <w:t>PHE can facilitate discussions with other t</w:t>
      </w:r>
      <w:r w:rsidR="00FD7500" w:rsidRPr="00ED70E5">
        <w:rPr>
          <w:rFonts w:ascii="Arial" w:eastAsia="Calibri" w:hAnsi="Arial" w:cs="Arial"/>
          <w:color w:val="000000" w:themeColor="text1"/>
          <w:sz w:val="24"/>
          <w:szCs w:val="24"/>
        </w:rPr>
        <w:t xml:space="preserve">opics experts from </w:t>
      </w:r>
      <w:r w:rsidR="008C01A6" w:rsidRPr="00ED70E5">
        <w:rPr>
          <w:rFonts w:ascii="Arial" w:eastAsia="Calibri" w:hAnsi="Arial" w:cs="Arial"/>
          <w:color w:val="000000" w:themeColor="text1"/>
          <w:sz w:val="24"/>
          <w:szCs w:val="24"/>
        </w:rPr>
        <w:t xml:space="preserve">within PHE and other key partners. </w:t>
      </w:r>
    </w:p>
    <w:p w14:paraId="49A6B760" w14:textId="71A4FDC1" w:rsidR="00433A29" w:rsidRPr="00ED70E5" w:rsidRDefault="00433A29" w:rsidP="00433A2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70E5">
        <w:rPr>
          <w:rFonts w:ascii="Arial" w:hAnsi="Arial" w:cs="Arial"/>
          <w:b/>
          <w:bCs/>
          <w:sz w:val="24"/>
          <w:szCs w:val="24"/>
        </w:rPr>
        <w:t>Costs</w:t>
      </w:r>
    </w:p>
    <w:p w14:paraId="1BD5A728" w14:textId="77777777" w:rsidR="00433A29" w:rsidRPr="00ED70E5" w:rsidRDefault="008E339C" w:rsidP="00433A29">
      <w:pPr>
        <w:spacing w:before="120" w:after="240" w:line="240" w:lineRule="auto"/>
        <w:rPr>
          <w:rFonts w:ascii="Arial" w:eastAsia="Calibri" w:hAnsi="Arial" w:cs="Arial"/>
          <w:sz w:val="24"/>
          <w:szCs w:val="24"/>
        </w:rPr>
      </w:pPr>
      <w:r w:rsidRPr="00ED70E5">
        <w:rPr>
          <w:rFonts w:ascii="Arial" w:eastAsia="Calibri" w:hAnsi="Arial" w:cs="Arial"/>
          <w:sz w:val="24"/>
          <w:szCs w:val="24"/>
        </w:rPr>
        <w:t xml:space="preserve">The provider </w:t>
      </w:r>
      <w:r w:rsidR="00433A29" w:rsidRPr="00ED70E5">
        <w:rPr>
          <w:rFonts w:ascii="Arial" w:eastAsia="Calibri" w:hAnsi="Arial" w:cs="Arial"/>
          <w:sz w:val="24"/>
          <w:szCs w:val="24"/>
        </w:rPr>
        <w:t>will need to give a detailed breakdown of their costs. Please note that applicants will need to demonstrate value for money.</w:t>
      </w:r>
    </w:p>
    <w:p w14:paraId="6E7A75BB" w14:textId="0F476EF1" w:rsidR="004F3A7D" w:rsidRPr="00ED70E5" w:rsidRDefault="00433A29" w:rsidP="00A56E29">
      <w:pPr>
        <w:spacing w:before="120" w:after="240" w:line="240" w:lineRule="auto"/>
        <w:rPr>
          <w:rFonts w:ascii="Arial" w:eastAsia="Calibri" w:hAnsi="Arial" w:cs="Arial"/>
          <w:sz w:val="24"/>
          <w:szCs w:val="24"/>
        </w:rPr>
      </w:pPr>
      <w:r w:rsidRPr="00ED70E5">
        <w:rPr>
          <w:rFonts w:ascii="Arial" w:eastAsia="Calibri" w:hAnsi="Arial" w:cs="Arial"/>
          <w:sz w:val="24"/>
          <w:szCs w:val="24"/>
        </w:rPr>
        <w:t>The overall contract va</w:t>
      </w:r>
      <w:r w:rsidR="008722C8" w:rsidRPr="00ED70E5">
        <w:rPr>
          <w:rFonts w:ascii="Arial" w:eastAsia="Calibri" w:hAnsi="Arial" w:cs="Arial"/>
          <w:sz w:val="24"/>
          <w:szCs w:val="24"/>
        </w:rPr>
        <w:t xml:space="preserve">lue </w:t>
      </w:r>
      <w:r w:rsidR="003F5EDD">
        <w:rPr>
          <w:rFonts w:ascii="Arial" w:eastAsia="Calibri" w:hAnsi="Arial" w:cs="Arial"/>
          <w:sz w:val="24"/>
          <w:szCs w:val="24"/>
        </w:rPr>
        <w:t xml:space="preserve">for completion of both lots </w:t>
      </w:r>
      <w:r w:rsidR="008722C8" w:rsidRPr="00ED70E5">
        <w:rPr>
          <w:rFonts w:ascii="Arial" w:eastAsia="Calibri" w:hAnsi="Arial" w:cs="Arial"/>
          <w:sz w:val="24"/>
          <w:szCs w:val="24"/>
        </w:rPr>
        <w:t>will be for a maximum</w:t>
      </w:r>
      <w:r w:rsidR="00574AA3" w:rsidRPr="00ED70E5">
        <w:rPr>
          <w:rFonts w:ascii="Arial" w:eastAsia="Calibri" w:hAnsi="Arial" w:cs="Arial"/>
          <w:sz w:val="24"/>
          <w:szCs w:val="24"/>
        </w:rPr>
        <w:t xml:space="preserve"> of £</w:t>
      </w:r>
      <w:r w:rsidR="00006003" w:rsidRPr="00ED70E5">
        <w:rPr>
          <w:rFonts w:ascii="Arial" w:eastAsia="Calibri" w:hAnsi="Arial" w:cs="Arial"/>
          <w:sz w:val="24"/>
          <w:szCs w:val="24"/>
        </w:rPr>
        <w:t>50</w:t>
      </w:r>
      <w:r w:rsidRPr="00ED70E5">
        <w:rPr>
          <w:rFonts w:ascii="Arial" w:eastAsia="Calibri" w:hAnsi="Arial" w:cs="Arial"/>
          <w:sz w:val="24"/>
          <w:szCs w:val="24"/>
        </w:rPr>
        <w:t xml:space="preserve">,000 </w:t>
      </w:r>
      <w:r w:rsidR="008E339C" w:rsidRPr="00ED70E5">
        <w:rPr>
          <w:rFonts w:ascii="Arial" w:eastAsia="Calibri" w:hAnsi="Arial" w:cs="Arial"/>
          <w:sz w:val="24"/>
          <w:szCs w:val="24"/>
        </w:rPr>
        <w:t>(</w:t>
      </w:r>
      <w:r w:rsidR="000F01E6" w:rsidRPr="00ED70E5">
        <w:rPr>
          <w:rFonts w:ascii="Arial" w:eastAsia="Calibri" w:hAnsi="Arial" w:cs="Arial"/>
          <w:sz w:val="24"/>
          <w:szCs w:val="24"/>
        </w:rPr>
        <w:t>excluding</w:t>
      </w:r>
      <w:r w:rsidR="00955A3A" w:rsidRPr="00ED70E5">
        <w:rPr>
          <w:rFonts w:ascii="Arial" w:eastAsia="Calibri" w:hAnsi="Arial" w:cs="Arial"/>
          <w:sz w:val="24"/>
          <w:szCs w:val="24"/>
        </w:rPr>
        <w:t xml:space="preserve"> VAT)</w:t>
      </w:r>
      <w:r w:rsidR="00107571" w:rsidRPr="00ED70E5">
        <w:rPr>
          <w:rFonts w:ascii="Arial" w:eastAsia="Calibri" w:hAnsi="Arial" w:cs="Arial"/>
          <w:sz w:val="24"/>
          <w:szCs w:val="24"/>
        </w:rPr>
        <w:t xml:space="preserve">. </w:t>
      </w:r>
      <w:r w:rsidR="003F5EDD">
        <w:rPr>
          <w:rFonts w:ascii="Arial" w:eastAsia="Calibri" w:hAnsi="Arial" w:cs="Arial"/>
          <w:sz w:val="24"/>
          <w:szCs w:val="24"/>
        </w:rPr>
        <w:t>It is expected that each lot will have a value of around £25,000 (excluding VAT).</w:t>
      </w:r>
    </w:p>
    <w:p w14:paraId="7FD48D5C" w14:textId="77777777" w:rsidR="00071649" w:rsidRPr="00ED70E5" w:rsidRDefault="00071649" w:rsidP="00071649">
      <w:pPr>
        <w:rPr>
          <w:rFonts w:ascii="Arial" w:hAnsi="Arial" w:cs="Arial"/>
          <w:b/>
          <w:bCs/>
          <w:sz w:val="24"/>
          <w:szCs w:val="24"/>
          <w:lang w:val="en-US"/>
        </w:rPr>
      </w:pPr>
      <w:r w:rsidRPr="00ED70E5">
        <w:rPr>
          <w:rFonts w:ascii="Arial" w:hAnsi="Arial" w:cs="Arial"/>
          <w:b/>
          <w:bCs/>
          <w:sz w:val="24"/>
          <w:szCs w:val="24"/>
          <w:lang w:val="en-US"/>
        </w:rPr>
        <w:t xml:space="preserve">Application Process </w:t>
      </w:r>
    </w:p>
    <w:p w14:paraId="183FFFA1" w14:textId="46BBA8BB" w:rsidR="00071649" w:rsidRPr="00ED70E5" w:rsidRDefault="00071649" w:rsidP="00071649">
      <w:pPr>
        <w:rPr>
          <w:rFonts w:ascii="Arial" w:hAnsi="Arial" w:cs="Arial"/>
          <w:bCs/>
          <w:sz w:val="24"/>
          <w:szCs w:val="24"/>
          <w:lang w:val="en-US"/>
        </w:rPr>
      </w:pPr>
      <w:r w:rsidRPr="00ED70E5">
        <w:rPr>
          <w:rFonts w:ascii="Arial" w:hAnsi="Arial" w:cs="Arial"/>
          <w:bCs/>
          <w:sz w:val="24"/>
          <w:szCs w:val="24"/>
          <w:lang w:val="en-US"/>
        </w:rPr>
        <w:t>Applications should be submitted electronically</w:t>
      </w:r>
      <w:r w:rsidR="003F5EDD">
        <w:rPr>
          <w:rFonts w:ascii="Arial" w:hAnsi="Arial" w:cs="Arial"/>
          <w:bCs/>
          <w:sz w:val="24"/>
          <w:szCs w:val="24"/>
          <w:lang w:val="en-US"/>
        </w:rPr>
        <w:t xml:space="preserve">, clearly setting out if the bidder wished to apply for Lots 1 or 2 (or </w:t>
      </w:r>
      <w:r w:rsidR="00BA3B33">
        <w:rPr>
          <w:rFonts w:ascii="Arial" w:hAnsi="Arial" w:cs="Arial"/>
          <w:bCs/>
          <w:sz w:val="24"/>
          <w:szCs w:val="24"/>
          <w:lang w:val="en-US"/>
        </w:rPr>
        <w:t xml:space="preserve">Lot 3, </w:t>
      </w:r>
      <w:r w:rsidR="003F5EDD">
        <w:rPr>
          <w:rFonts w:ascii="Arial" w:hAnsi="Arial" w:cs="Arial"/>
          <w:bCs/>
          <w:sz w:val="24"/>
          <w:szCs w:val="24"/>
          <w:lang w:val="en-US"/>
        </w:rPr>
        <w:t>both). Applicants should</w:t>
      </w:r>
      <w:r w:rsidRPr="00ED70E5">
        <w:rPr>
          <w:rFonts w:ascii="Arial" w:hAnsi="Arial" w:cs="Arial"/>
          <w:bCs/>
          <w:sz w:val="24"/>
          <w:szCs w:val="24"/>
          <w:lang w:val="en-US"/>
        </w:rPr>
        <w:t xml:space="preserve"> include the following documentation:</w:t>
      </w:r>
    </w:p>
    <w:p w14:paraId="6A3E8B0B" w14:textId="3D7CBEB9" w:rsidR="00071649" w:rsidRPr="00ED70E5" w:rsidRDefault="00071649" w:rsidP="00071649">
      <w:pPr>
        <w:numPr>
          <w:ilvl w:val="0"/>
          <w:numId w:val="20"/>
        </w:numPr>
        <w:rPr>
          <w:rFonts w:ascii="Arial" w:hAnsi="Arial" w:cs="Arial"/>
          <w:bCs/>
          <w:sz w:val="24"/>
          <w:szCs w:val="24"/>
          <w:lang w:val="en-US"/>
        </w:rPr>
      </w:pPr>
      <w:r w:rsidRPr="00ED70E5">
        <w:rPr>
          <w:rFonts w:ascii="Arial" w:hAnsi="Arial" w:cs="Arial"/>
          <w:bCs/>
          <w:sz w:val="24"/>
          <w:szCs w:val="24"/>
          <w:lang w:val="en-US"/>
        </w:rPr>
        <w:t>Supporting statement setting out</w:t>
      </w:r>
      <w:r w:rsidR="00434C3A" w:rsidRPr="00ED70E5">
        <w:rPr>
          <w:rFonts w:ascii="Arial" w:hAnsi="Arial" w:cs="Arial"/>
          <w:bCs/>
          <w:sz w:val="24"/>
          <w:szCs w:val="24"/>
          <w:lang w:val="en-US"/>
        </w:rPr>
        <w:t xml:space="preserve"> and</w:t>
      </w:r>
      <w:r w:rsidRPr="00ED70E5">
        <w:rPr>
          <w:rFonts w:ascii="Arial" w:hAnsi="Arial" w:cs="Arial"/>
          <w:bCs/>
          <w:sz w:val="24"/>
          <w:szCs w:val="24"/>
          <w:lang w:val="en-US"/>
        </w:rPr>
        <w:t xml:space="preserve"> establishing suitability to undertake the project, including evidence of </w:t>
      </w:r>
      <w:r w:rsidR="00094330" w:rsidRPr="00ED70E5">
        <w:rPr>
          <w:rFonts w:ascii="Arial" w:hAnsi="Arial" w:cs="Arial"/>
          <w:bCs/>
          <w:sz w:val="24"/>
          <w:szCs w:val="24"/>
          <w:lang w:val="en-US"/>
        </w:rPr>
        <w:t>carrying out work of a similar nature</w:t>
      </w:r>
      <w:r w:rsidR="008C01A6" w:rsidRPr="00ED70E5">
        <w:rPr>
          <w:rFonts w:ascii="Arial" w:hAnsi="Arial" w:cs="Arial"/>
          <w:bCs/>
          <w:sz w:val="24"/>
          <w:szCs w:val="24"/>
          <w:lang w:val="en-US"/>
        </w:rPr>
        <w:t xml:space="preserve"> </w:t>
      </w:r>
      <w:r w:rsidRPr="00ED70E5">
        <w:rPr>
          <w:rFonts w:ascii="Arial" w:hAnsi="Arial" w:cs="Arial"/>
          <w:bCs/>
          <w:sz w:val="24"/>
          <w:szCs w:val="24"/>
          <w:lang w:val="en-US"/>
        </w:rPr>
        <w:t xml:space="preserve"> </w:t>
      </w:r>
    </w:p>
    <w:p w14:paraId="7C6910BD" w14:textId="357FAAF2" w:rsidR="00071649" w:rsidRPr="00ED70E5" w:rsidRDefault="00FD2919" w:rsidP="00071649">
      <w:pPr>
        <w:numPr>
          <w:ilvl w:val="0"/>
          <w:numId w:val="20"/>
        </w:numPr>
        <w:rPr>
          <w:rFonts w:ascii="Arial" w:hAnsi="Arial" w:cs="Arial"/>
          <w:bCs/>
          <w:sz w:val="24"/>
          <w:szCs w:val="24"/>
          <w:lang w:val="en-US"/>
        </w:rPr>
      </w:pPr>
      <w:r w:rsidRPr="00ED70E5">
        <w:rPr>
          <w:rFonts w:ascii="Arial" w:hAnsi="Arial" w:cs="Arial"/>
          <w:bCs/>
          <w:sz w:val="24"/>
          <w:szCs w:val="24"/>
          <w:lang w:val="en-US"/>
        </w:rPr>
        <w:t>Project o</w:t>
      </w:r>
      <w:r w:rsidR="008C01A6" w:rsidRPr="00ED70E5">
        <w:rPr>
          <w:rFonts w:ascii="Arial" w:hAnsi="Arial" w:cs="Arial"/>
          <w:bCs/>
          <w:sz w:val="24"/>
          <w:szCs w:val="24"/>
          <w:lang w:val="en-US"/>
        </w:rPr>
        <w:t>utline</w:t>
      </w:r>
      <w:r w:rsidR="006A5E87" w:rsidRPr="00ED70E5">
        <w:rPr>
          <w:rFonts w:ascii="Arial" w:hAnsi="Arial" w:cs="Arial"/>
          <w:bCs/>
          <w:sz w:val="24"/>
          <w:szCs w:val="24"/>
          <w:lang w:val="en-US"/>
        </w:rPr>
        <w:t xml:space="preserve"> including, where appropriate,</w:t>
      </w:r>
      <w:r w:rsidRPr="00ED70E5">
        <w:rPr>
          <w:rFonts w:ascii="Arial" w:hAnsi="Arial" w:cs="Arial"/>
          <w:bCs/>
          <w:sz w:val="24"/>
          <w:szCs w:val="24"/>
          <w:lang w:val="en-US"/>
        </w:rPr>
        <w:t xml:space="preserve"> details of</w:t>
      </w:r>
      <w:r w:rsidR="008C01A6" w:rsidRPr="00ED70E5">
        <w:rPr>
          <w:rFonts w:ascii="Arial" w:hAnsi="Arial" w:cs="Arial"/>
          <w:bCs/>
          <w:sz w:val="24"/>
          <w:szCs w:val="24"/>
          <w:lang w:val="en-US"/>
        </w:rPr>
        <w:t xml:space="preserve"> evaluation </w:t>
      </w:r>
      <w:r w:rsidR="00071649" w:rsidRPr="00ED70E5">
        <w:rPr>
          <w:rFonts w:ascii="Arial" w:hAnsi="Arial" w:cs="Arial"/>
          <w:bCs/>
          <w:sz w:val="24"/>
          <w:szCs w:val="24"/>
          <w:lang w:val="en-US"/>
        </w:rPr>
        <w:t>plan</w:t>
      </w:r>
      <w:r w:rsidR="00676BC2" w:rsidRPr="00ED70E5">
        <w:rPr>
          <w:rFonts w:ascii="Arial" w:hAnsi="Arial" w:cs="Arial"/>
          <w:bCs/>
          <w:sz w:val="24"/>
          <w:szCs w:val="24"/>
          <w:lang w:val="en-US"/>
        </w:rPr>
        <w:t>, communications plan</w:t>
      </w:r>
      <w:r w:rsidR="00071649" w:rsidRPr="00ED70E5">
        <w:rPr>
          <w:rFonts w:ascii="Arial" w:hAnsi="Arial" w:cs="Arial"/>
          <w:bCs/>
          <w:sz w:val="24"/>
          <w:szCs w:val="24"/>
          <w:lang w:val="en-US"/>
        </w:rPr>
        <w:t xml:space="preserve"> &amp; methodology</w:t>
      </w:r>
      <w:r w:rsidR="006A5E87" w:rsidRPr="00ED70E5">
        <w:rPr>
          <w:rFonts w:ascii="Arial" w:hAnsi="Arial" w:cs="Arial"/>
          <w:bCs/>
          <w:sz w:val="24"/>
          <w:szCs w:val="24"/>
          <w:lang w:val="en-US"/>
        </w:rPr>
        <w:t>,</w:t>
      </w:r>
      <w:r w:rsidR="00071649" w:rsidRPr="00ED70E5">
        <w:rPr>
          <w:rFonts w:ascii="Arial" w:hAnsi="Arial" w:cs="Arial"/>
          <w:bCs/>
          <w:sz w:val="24"/>
          <w:szCs w:val="24"/>
          <w:lang w:val="en-US"/>
        </w:rPr>
        <w:t xml:space="preserve"> </w:t>
      </w:r>
      <w:r w:rsidR="00434C3A" w:rsidRPr="00ED70E5">
        <w:rPr>
          <w:rFonts w:ascii="Arial" w:hAnsi="Arial" w:cs="Arial"/>
          <w:bCs/>
          <w:sz w:val="24"/>
          <w:szCs w:val="24"/>
          <w:lang w:val="en-US"/>
        </w:rPr>
        <w:t>evaluation logic model, timescales and stakeholder engagement plan.</w:t>
      </w:r>
    </w:p>
    <w:p w14:paraId="65B42A81" w14:textId="0089D2F9" w:rsidR="00071649" w:rsidRPr="00ED70E5" w:rsidRDefault="00071649" w:rsidP="00071649">
      <w:pPr>
        <w:numPr>
          <w:ilvl w:val="0"/>
          <w:numId w:val="20"/>
        </w:numPr>
        <w:rPr>
          <w:rFonts w:ascii="Arial" w:hAnsi="Arial" w:cs="Arial"/>
          <w:bCs/>
          <w:sz w:val="24"/>
          <w:szCs w:val="24"/>
          <w:lang w:val="en-US"/>
        </w:rPr>
      </w:pPr>
      <w:r w:rsidRPr="00ED70E5">
        <w:rPr>
          <w:rFonts w:ascii="Arial" w:hAnsi="Arial" w:cs="Arial"/>
          <w:bCs/>
          <w:sz w:val="24"/>
          <w:szCs w:val="24"/>
          <w:lang w:val="en-US"/>
        </w:rPr>
        <w:t>Budget</w:t>
      </w:r>
      <w:r w:rsidR="00434C3A" w:rsidRPr="00ED70E5">
        <w:rPr>
          <w:rFonts w:ascii="Arial" w:hAnsi="Arial" w:cs="Arial"/>
          <w:bCs/>
          <w:sz w:val="24"/>
          <w:szCs w:val="24"/>
          <w:lang w:val="en-US"/>
        </w:rPr>
        <w:t xml:space="preserve"> (including </w:t>
      </w:r>
      <w:r w:rsidR="00F9641C" w:rsidRPr="00ED70E5">
        <w:rPr>
          <w:rFonts w:ascii="Arial" w:hAnsi="Arial" w:cs="Arial"/>
          <w:bCs/>
          <w:sz w:val="24"/>
          <w:szCs w:val="24"/>
          <w:lang w:val="en-US"/>
        </w:rPr>
        <w:t xml:space="preserve">detailed </w:t>
      </w:r>
      <w:r w:rsidR="00434C3A" w:rsidRPr="00ED70E5">
        <w:rPr>
          <w:rFonts w:ascii="Arial" w:hAnsi="Arial" w:cs="Arial"/>
          <w:bCs/>
          <w:sz w:val="24"/>
          <w:szCs w:val="24"/>
          <w:lang w:val="en-US"/>
        </w:rPr>
        <w:t>breakdown of spend)</w:t>
      </w:r>
    </w:p>
    <w:p w14:paraId="4BCF7CD7" w14:textId="25CFD482" w:rsidR="00071649" w:rsidRPr="00ED70E5" w:rsidRDefault="00434C3A" w:rsidP="00071649">
      <w:pPr>
        <w:numPr>
          <w:ilvl w:val="0"/>
          <w:numId w:val="20"/>
        </w:numPr>
        <w:rPr>
          <w:rFonts w:ascii="Arial" w:hAnsi="Arial" w:cs="Arial"/>
          <w:bCs/>
          <w:sz w:val="24"/>
          <w:szCs w:val="24"/>
          <w:lang w:val="en-US"/>
        </w:rPr>
      </w:pPr>
      <w:r w:rsidRPr="00ED70E5">
        <w:rPr>
          <w:rFonts w:ascii="Arial" w:hAnsi="Arial" w:cs="Arial"/>
          <w:bCs/>
          <w:sz w:val="24"/>
          <w:szCs w:val="24"/>
          <w:lang w:val="en-US"/>
        </w:rPr>
        <w:t>Risk mapping and associated risk register</w:t>
      </w:r>
      <w:r w:rsidR="006A5E87" w:rsidRPr="00ED70E5">
        <w:rPr>
          <w:rFonts w:ascii="Arial" w:hAnsi="Arial" w:cs="Arial"/>
          <w:bCs/>
          <w:sz w:val="24"/>
          <w:szCs w:val="24"/>
          <w:lang w:val="en-US"/>
        </w:rPr>
        <w:t>, including any potential conflicts of interest</w:t>
      </w:r>
    </w:p>
    <w:p w14:paraId="71F5261C" w14:textId="3CC6D835" w:rsidR="00071649" w:rsidRDefault="00434C3A" w:rsidP="00071649">
      <w:pPr>
        <w:numPr>
          <w:ilvl w:val="0"/>
          <w:numId w:val="20"/>
        </w:numPr>
        <w:rPr>
          <w:rFonts w:ascii="Arial" w:hAnsi="Arial" w:cs="Arial"/>
          <w:bCs/>
          <w:sz w:val="24"/>
          <w:szCs w:val="24"/>
          <w:lang w:val="en-US"/>
        </w:rPr>
      </w:pPr>
      <w:r w:rsidRPr="00ED70E5">
        <w:rPr>
          <w:rFonts w:ascii="Arial" w:hAnsi="Arial" w:cs="Arial"/>
          <w:bCs/>
          <w:sz w:val="24"/>
          <w:szCs w:val="24"/>
          <w:lang w:val="en-US"/>
        </w:rPr>
        <w:t xml:space="preserve">Evaluation and project </w:t>
      </w:r>
      <w:r w:rsidR="00071649" w:rsidRPr="00ED70E5">
        <w:rPr>
          <w:rFonts w:ascii="Arial" w:hAnsi="Arial" w:cs="Arial"/>
          <w:bCs/>
          <w:sz w:val="24"/>
          <w:szCs w:val="24"/>
          <w:lang w:val="en-US"/>
        </w:rPr>
        <w:t>team CVs</w:t>
      </w:r>
    </w:p>
    <w:p w14:paraId="64C3F07D" w14:textId="4B613F0B" w:rsidR="00071649" w:rsidRPr="00ED70E5" w:rsidRDefault="00071649" w:rsidP="00071649">
      <w:pPr>
        <w:rPr>
          <w:rFonts w:ascii="Arial" w:hAnsi="Arial" w:cs="Arial"/>
          <w:bCs/>
          <w:sz w:val="24"/>
          <w:szCs w:val="24"/>
          <w:lang w:val="en-US"/>
        </w:rPr>
      </w:pPr>
      <w:r w:rsidRPr="00ED70E5">
        <w:rPr>
          <w:rFonts w:ascii="Arial" w:hAnsi="Arial" w:cs="Arial"/>
          <w:bCs/>
          <w:sz w:val="24"/>
          <w:szCs w:val="24"/>
          <w:lang w:val="en-US"/>
        </w:rPr>
        <w:t>Word count (excluding Project</w:t>
      </w:r>
      <w:r w:rsidR="00FD6F6D" w:rsidRPr="00ED70E5">
        <w:rPr>
          <w:rFonts w:ascii="Arial" w:hAnsi="Arial" w:cs="Arial"/>
          <w:bCs/>
          <w:sz w:val="24"/>
          <w:szCs w:val="24"/>
          <w:lang w:val="en-US"/>
        </w:rPr>
        <w:t xml:space="preserve"> Team CVs) is a max</w:t>
      </w:r>
      <w:r w:rsidR="00FD2919" w:rsidRPr="00ED70E5">
        <w:rPr>
          <w:rFonts w:ascii="Arial" w:hAnsi="Arial" w:cs="Arial"/>
          <w:bCs/>
          <w:sz w:val="24"/>
          <w:szCs w:val="24"/>
          <w:lang w:val="en-US"/>
        </w:rPr>
        <w:t xml:space="preserve"> of 2</w:t>
      </w:r>
      <w:r w:rsidR="00F9641C" w:rsidRPr="00ED70E5">
        <w:rPr>
          <w:rFonts w:ascii="Arial" w:hAnsi="Arial" w:cs="Arial"/>
          <w:bCs/>
          <w:sz w:val="24"/>
          <w:szCs w:val="24"/>
          <w:lang w:val="en-US"/>
        </w:rPr>
        <w:t>,0</w:t>
      </w:r>
      <w:r w:rsidRPr="00ED70E5">
        <w:rPr>
          <w:rFonts w:ascii="Arial" w:hAnsi="Arial" w:cs="Arial"/>
          <w:bCs/>
          <w:sz w:val="24"/>
          <w:szCs w:val="24"/>
          <w:lang w:val="en-US"/>
        </w:rPr>
        <w:t>00 words</w:t>
      </w:r>
      <w:r w:rsidR="00FD2919" w:rsidRPr="00ED70E5">
        <w:rPr>
          <w:rFonts w:ascii="Arial" w:hAnsi="Arial" w:cs="Arial"/>
          <w:bCs/>
          <w:sz w:val="24"/>
          <w:szCs w:val="24"/>
          <w:lang w:val="en-US"/>
        </w:rPr>
        <w:t xml:space="preserve"> per document</w:t>
      </w:r>
      <w:r w:rsidRPr="00ED70E5">
        <w:rPr>
          <w:rFonts w:ascii="Arial" w:hAnsi="Arial" w:cs="Arial"/>
          <w:bCs/>
          <w:sz w:val="24"/>
          <w:szCs w:val="24"/>
          <w:lang w:val="en-US"/>
        </w:rPr>
        <w:t xml:space="preserve">. </w:t>
      </w:r>
    </w:p>
    <w:p w14:paraId="4BEDD00A" w14:textId="3361324F" w:rsidR="00071649" w:rsidRPr="00ED70E5" w:rsidRDefault="00071649" w:rsidP="00071649">
      <w:pPr>
        <w:rPr>
          <w:rFonts w:ascii="Arial" w:hAnsi="Arial" w:cs="Arial"/>
          <w:bCs/>
          <w:sz w:val="24"/>
          <w:szCs w:val="24"/>
          <w:lang w:val="en-US"/>
        </w:rPr>
      </w:pPr>
      <w:r w:rsidRPr="00ED70E5">
        <w:rPr>
          <w:rFonts w:ascii="Arial" w:hAnsi="Arial" w:cs="Arial"/>
          <w:bCs/>
          <w:sz w:val="24"/>
          <w:szCs w:val="24"/>
          <w:lang w:val="en-US"/>
        </w:rPr>
        <w:t xml:space="preserve">Applications will be reviewed by an internal PHE panel and </w:t>
      </w:r>
      <w:r w:rsidR="00013D79">
        <w:rPr>
          <w:rFonts w:ascii="Arial" w:hAnsi="Arial" w:cs="Arial"/>
          <w:bCs/>
          <w:sz w:val="24"/>
          <w:szCs w:val="24"/>
          <w:lang w:val="en-US"/>
        </w:rPr>
        <w:t>applicants</w:t>
      </w:r>
      <w:r w:rsidRPr="00ED70E5">
        <w:rPr>
          <w:rFonts w:ascii="Arial" w:hAnsi="Arial" w:cs="Arial"/>
          <w:bCs/>
          <w:sz w:val="24"/>
          <w:szCs w:val="24"/>
          <w:lang w:val="en-US"/>
        </w:rPr>
        <w:t xml:space="preserve"> will be informed electronically of the result.</w:t>
      </w:r>
    </w:p>
    <w:p w14:paraId="7D52E74C" w14:textId="1BA7FDE5" w:rsidR="00071649" w:rsidRPr="00ED70E5" w:rsidRDefault="00071649" w:rsidP="00071649">
      <w:pPr>
        <w:rPr>
          <w:rFonts w:ascii="Arial" w:hAnsi="Arial" w:cs="Arial"/>
          <w:bCs/>
          <w:sz w:val="24"/>
          <w:szCs w:val="24"/>
          <w:lang w:val="en-US"/>
        </w:rPr>
      </w:pPr>
      <w:r w:rsidRPr="00ED70E5">
        <w:rPr>
          <w:rFonts w:ascii="Arial" w:hAnsi="Arial" w:cs="Arial"/>
          <w:bCs/>
          <w:sz w:val="24"/>
          <w:szCs w:val="24"/>
          <w:lang w:val="en-US"/>
        </w:rPr>
        <w:lastRenderedPageBreak/>
        <w:t>If two applications are scored identically then both applicants will be invited to a verbal presentation</w:t>
      </w:r>
      <w:r w:rsidR="00FD6F6D" w:rsidRPr="00ED70E5">
        <w:rPr>
          <w:rFonts w:ascii="Arial" w:hAnsi="Arial" w:cs="Arial"/>
          <w:bCs/>
          <w:sz w:val="24"/>
          <w:szCs w:val="24"/>
          <w:lang w:val="en-US"/>
        </w:rPr>
        <w:t xml:space="preserve"> to decide the outcome</w:t>
      </w:r>
      <w:r w:rsidRPr="00ED70E5">
        <w:rPr>
          <w:rFonts w:ascii="Arial" w:hAnsi="Arial" w:cs="Arial"/>
          <w:bCs/>
          <w:sz w:val="24"/>
          <w:szCs w:val="24"/>
          <w:lang w:val="en-US"/>
        </w:rPr>
        <w:t>.</w:t>
      </w:r>
    </w:p>
    <w:p w14:paraId="02993321" w14:textId="77777777" w:rsidR="00071649" w:rsidRPr="00ED70E5" w:rsidRDefault="00071649" w:rsidP="00071649">
      <w:pPr>
        <w:rPr>
          <w:rFonts w:ascii="Arial" w:hAnsi="Arial" w:cs="Arial"/>
          <w:b/>
          <w:bCs/>
          <w:sz w:val="24"/>
          <w:szCs w:val="24"/>
          <w:lang w:val="en-US"/>
        </w:rPr>
      </w:pPr>
      <w:r w:rsidRPr="00ED70E5">
        <w:rPr>
          <w:rFonts w:ascii="Arial" w:hAnsi="Arial" w:cs="Arial"/>
          <w:b/>
          <w:bCs/>
          <w:sz w:val="24"/>
          <w:szCs w:val="24"/>
          <w:lang w:val="en-US"/>
        </w:rPr>
        <w:t>Selection Criteria</w:t>
      </w:r>
    </w:p>
    <w:p w14:paraId="3EA57D8C" w14:textId="33FD3175" w:rsidR="00071649" w:rsidRPr="00ED70E5" w:rsidRDefault="00071649" w:rsidP="00071649">
      <w:pPr>
        <w:rPr>
          <w:rFonts w:ascii="Arial" w:hAnsi="Arial" w:cs="Arial"/>
          <w:bCs/>
          <w:sz w:val="24"/>
          <w:szCs w:val="24"/>
          <w:lang w:val="en-US"/>
        </w:rPr>
      </w:pPr>
      <w:r w:rsidRPr="00ED70E5">
        <w:rPr>
          <w:rFonts w:ascii="Arial" w:hAnsi="Arial" w:cs="Arial"/>
          <w:bCs/>
          <w:sz w:val="24"/>
          <w:szCs w:val="24"/>
          <w:lang w:val="en-US"/>
        </w:rPr>
        <w:t>Criteria used by members of the PHE panel to assess applications for funding from the project include:</w:t>
      </w:r>
    </w:p>
    <w:p w14:paraId="6DCE32D5" w14:textId="135F3471" w:rsidR="00071649" w:rsidRPr="00ED70E5" w:rsidRDefault="00071649" w:rsidP="00071649">
      <w:pPr>
        <w:numPr>
          <w:ilvl w:val="0"/>
          <w:numId w:val="21"/>
        </w:numPr>
        <w:rPr>
          <w:rFonts w:ascii="Arial" w:hAnsi="Arial" w:cs="Arial"/>
          <w:sz w:val="24"/>
          <w:szCs w:val="24"/>
          <w:lang w:val="en-US"/>
        </w:rPr>
      </w:pPr>
      <w:r w:rsidRPr="00ED70E5">
        <w:rPr>
          <w:rFonts w:ascii="Arial" w:hAnsi="Arial" w:cs="Arial"/>
          <w:b/>
          <w:sz w:val="24"/>
          <w:szCs w:val="24"/>
          <w:lang w:val="en-US"/>
        </w:rPr>
        <w:t>RELEVANCE</w:t>
      </w:r>
      <w:r w:rsidRPr="00ED70E5">
        <w:rPr>
          <w:rFonts w:ascii="Arial" w:hAnsi="Arial" w:cs="Arial"/>
          <w:sz w:val="24"/>
          <w:szCs w:val="24"/>
          <w:lang w:val="en-US"/>
        </w:rPr>
        <w:t xml:space="preserve"> of the proposed project plan and </w:t>
      </w:r>
      <w:r w:rsidR="00434C3A" w:rsidRPr="00ED70E5">
        <w:rPr>
          <w:rFonts w:ascii="Arial" w:hAnsi="Arial" w:cs="Arial"/>
          <w:sz w:val="24"/>
          <w:szCs w:val="24"/>
          <w:lang w:val="en-US"/>
        </w:rPr>
        <w:t xml:space="preserve">evaluation </w:t>
      </w:r>
      <w:r w:rsidRPr="00ED70E5">
        <w:rPr>
          <w:rFonts w:ascii="Arial" w:hAnsi="Arial" w:cs="Arial"/>
          <w:sz w:val="24"/>
          <w:szCs w:val="24"/>
          <w:lang w:val="en-US"/>
        </w:rPr>
        <w:t xml:space="preserve">methodology to the aims and objectives of the project </w:t>
      </w:r>
    </w:p>
    <w:p w14:paraId="1A810074" w14:textId="77777777" w:rsidR="00071649" w:rsidRPr="00ED70E5" w:rsidRDefault="00071649" w:rsidP="00071649">
      <w:pPr>
        <w:numPr>
          <w:ilvl w:val="0"/>
          <w:numId w:val="21"/>
        </w:numPr>
        <w:rPr>
          <w:rFonts w:ascii="Arial" w:hAnsi="Arial" w:cs="Arial"/>
          <w:sz w:val="24"/>
          <w:szCs w:val="24"/>
          <w:lang w:val="en-US"/>
        </w:rPr>
      </w:pPr>
      <w:r w:rsidRPr="00ED70E5">
        <w:rPr>
          <w:rFonts w:ascii="Arial" w:hAnsi="Arial" w:cs="Arial"/>
          <w:b/>
          <w:sz w:val="24"/>
          <w:szCs w:val="24"/>
          <w:lang w:val="en-US"/>
        </w:rPr>
        <w:t>QUALITY</w:t>
      </w:r>
      <w:r w:rsidRPr="00ED70E5">
        <w:rPr>
          <w:rFonts w:ascii="Arial" w:hAnsi="Arial" w:cs="Arial"/>
          <w:sz w:val="24"/>
          <w:szCs w:val="24"/>
          <w:lang w:val="en-US"/>
        </w:rPr>
        <w:t xml:space="preserve"> of the work plan and proposed management arrangements</w:t>
      </w:r>
    </w:p>
    <w:p w14:paraId="61FB2B58" w14:textId="77777777" w:rsidR="00071649" w:rsidRPr="00ED70E5" w:rsidRDefault="00071649" w:rsidP="00071649">
      <w:pPr>
        <w:numPr>
          <w:ilvl w:val="0"/>
          <w:numId w:val="21"/>
        </w:numPr>
        <w:rPr>
          <w:rFonts w:ascii="Arial" w:hAnsi="Arial" w:cs="Arial"/>
          <w:sz w:val="24"/>
          <w:szCs w:val="24"/>
          <w:lang w:val="en-US"/>
        </w:rPr>
      </w:pPr>
      <w:r w:rsidRPr="00ED70E5">
        <w:rPr>
          <w:rFonts w:ascii="Arial" w:hAnsi="Arial" w:cs="Arial"/>
          <w:b/>
          <w:sz w:val="24"/>
          <w:szCs w:val="24"/>
          <w:lang w:val="en-US"/>
        </w:rPr>
        <w:t>STRENGTH</w:t>
      </w:r>
      <w:r w:rsidRPr="00ED70E5">
        <w:rPr>
          <w:rFonts w:ascii="Arial" w:hAnsi="Arial" w:cs="Arial"/>
          <w:sz w:val="24"/>
          <w:szCs w:val="24"/>
          <w:lang w:val="en-US"/>
        </w:rPr>
        <w:t xml:space="preserve"> of the project team</w:t>
      </w:r>
    </w:p>
    <w:p w14:paraId="7BBABA90" w14:textId="77777777" w:rsidR="00071649" w:rsidRPr="00ED70E5" w:rsidRDefault="00071649" w:rsidP="00071649">
      <w:pPr>
        <w:numPr>
          <w:ilvl w:val="0"/>
          <w:numId w:val="21"/>
        </w:numPr>
        <w:rPr>
          <w:rFonts w:ascii="Arial" w:hAnsi="Arial" w:cs="Arial"/>
          <w:sz w:val="24"/>
          <w:szCs w:val="24"/>
          <w:lang w:val="en-US"/>
        </w:rPr>
      </w:pPr>
      <w:r w:rsidRPr="00ED70E5">
        <w:rPr>
          <w:rFonts w:ascii="Arial" w:hAnsi="Arial" w:cs="Arial"/>
          <w:b/>
          <w:sz w:val="24"/>
          <w:szCs w:val="24"/>
          <w:lang w:val="en-US"/>
        </w:rPr>
        <w:t>IMPACT</w:t>
      </w:r>
      <w:r w:rsidRPr="00ED70E5">
        <w:rPr>
          <w:rFonts w:ascii="Arial" w:hAnsi="Arial" w:cs="Arial"/>
          <w:sz w:val="24"/>
          <w:szCs w:val="24"/>
          <w:lang w:val="en-US"/>
        </w:rPr>
        <w:t xml:space="preserve"> of the proposed work </w:t>
      </w:r>
    </w:p>
    <w:p w14:paraId="45942039" w14:textId="77777777" w:rsidR="00071649" w:rsidRPr="00ED70E5" w:rsidRDefault="00071649" w:rsidP="00071649">
      <w:pPr>
        <w:numPr>
          <w:ilvl w:val="0"/>
          <w:numId w:val="21"/>
        </w:numPr>
        <w:rPr>
          <w:rFonts w:ascii="Arial" w:hAnsi="Arial" w:cs="Arial"/>
          <w:sz w:val="24"/>
          <w:szCs w:val="24"/>
          <w:lang w:val="en-US"/>
        </w:rPr>
      </w:pPr>
      <w:r w:rsidRPr="00ED70E5">
        <w:rPr>
          <w:rFonts w:ascii="Arial" w:hAnsi="Arial" w:cs="Arial"/>
          <w:b/>
          <w:sz w:val="24"/>
          <w:szCs w:val="24"/>
          <w:lang w:val="en-US"/>
        </w:rPr>
        <w:t xml:space="preserve">VALUE </w:t>
      </w:r>
      <w:r w:rsidRPr="00ED70E5">
        <w:rPr>
          <w:rFonts w:ascii="Arial" w:hAnsi="Arial" w:cs="Arial"/>
          <w:sz w:val="24"/>
          <w:szCs w:val="24"/>
          <w:lang w:val="en-US"/>
        </w:rPr>
        <w:t xml:space="preserve">for money (justification of the proposed costs) </w:t>
      </w:r>
    </w:p>
    <w:p w14:paraId="3831350A" w14:textId="04A4E1B2" w:rsidR="00071649" w:rsidRPr="00ED70E5" w:rsidRDefault="00071649" w:rsidP="00071649">
      <w:pPr>
        <w:numPr>
          <w:ilvl w:val="0"/>
          <w:numId w:val="21"/>
        </w:numPr>
        <w:rPr>
          <w:rFonts w:ascii="Arial" w:hAnsi="Arial" w:cs="Arial"/>
          <w:sz w:val="24"/>
          <w:szCs w:val="24"/>
          <w:lang w:val="en-US"/>
        </w:rPr>
      </w:pPr>
      <w:r w:rsidRPr="00ED70E5">
        <w:rPr>
          <w:rFonts w:ascii="Arial" w:hAnsi="Arial" w:cs="Arial"/>
          <w:b/>
          <w:sz w:val="24"/>
          <w:szCs w:val="24"/>
          <w:lang w:val="en-US"/>
        </w:rPr>
        <w:t>INVOLVEMENT</w:t>
      </w:r>
      <w:r w:rsidR="00C809DE" w:rsidRPr="00ED70E5">
        <w:rPr>
          <w:rFonts w:ascii="Arial" w:hAnsi="Arial" w:cs="Arial"/>
          <w:sz w:val="24"/>
          <w:szCs w:val="24"/>
          <w:lang w:val="en-US"/>
        </w:rPr>
        <w:t xml:space="preserve"> of key partners </w:t>
      </w:r>
      <w:r w:rsidRPr="00ED70E5">
        <w:rPr>
          <w:rFonts w:ascii="Arial" w:hAnsi="Arial" w:cs="Arial"/>
          <w:sz w:val="24"/>
          <w:szCs w:val="24"/>
          <w:lang w:val="en-US"/>
        </w:rPr>
        <w:t>and the public</w:t>
      </w:r>
    </w:p>
    <w:p w14:paraId="44731DBD" w14:textId="77777777" w:rsidR="00C809DE" w:rsidRPr="00ED70E5" w:rsidRDefault="00C809DE" w:rsidP="00C809DE">
      <w:pPr>
        <w:ind w:left="1080"/>
        <w:rPr>
          <w:rFonts w:ascii="Arial" w:hAnsi="Arial" w:cs="Arial"/>
          <w:sz w:val="24"/>
          <w:szCs w:val="24"/>
          <w:lang w:val="en-US"/>
        </w:rPr>
      </w:pPr>
    </w:p>
    <w:p w14:paraId="52CC81BF" w14:textId="77777777" w:rsidR="00071649" w:rsidRPr="00ED70E5" w:rsidRDefault="00071649" w:rsidP="00071649">
      <w:pPr>
        <w:rPr>
          <w:rFonts w:ascii="Arial" w:hAnsi="Arial" w:cs="Arial"/>
          <w:b/>
          <w:bCs/>
          <w:sz w:val="24"/>
          <w:szCs w:val="24"/>
          <w:lang w:val="en-US"/>
        </w:rPr>
      </w:pPr>
      <w:r w:rsidRPr="00ED70E5">
        <w:rPr>
          <w:rFonts w:ascii="Arial" w:hAnsi="Arial" w:cs="Arial"/>
          <w:b/>
          <w:bCs/>
          <w:sz w:val="24"/>
          <w:szCs w:val="24"/>
          <w:lang w:val="en-US"/>
        </w:rPr>
        <w:t>Commissioning Timetable</w:t>
      </w:r>
    </w:p>
    <w:p w14:paraId="3B739B30" w14:textId="5D154A3E" w:rsidR="00423010" w:rsidRPr="00ED70E5" w:rsidRDefault="00071649" w:rsidP="00071649">
      <w:pPr>
        <w:rPr>
          <w:rFonts w:ascii="Arial" w:hAnsi="Arial" w:cs="Arial"/>
          <w:bCs/>
          <w:sz w:val="24"/>
          <w:szCs w:val="24"/>
          <w:lang w:val="en-US"/>
        </w:rPr>
      </w:pPr>
      <w:r w:rsidRPr="00ED70E5">
        <w:rPr>
          <w:rFonts w:ascii="Arial" w:hAnsi="Arial" w:cs="Arial"/>
          <w:bCs/>
          <w:sz w:val="24"/>
          <w:szCs w:val="24"/>
          <w:lang w:val="en-US"/>
        </w:rPr>
        <w:t>It is anticipated that commissioning of this project will occur to the following approximate timetable: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423"/>
      </w:tblGrid>
      <w:tr w:rsidR="00071649" w:rsidRPr="00ED70E5" w14:paraId="63CF7AB6" w14:textId="77777777" w:rsidTr="00194F60">
        <w:tc>
          <w:tcPr>
            <w:tcW w:w="1418" w:type="dxa"/>
            <w:shd w:val="clear" w:color="auto" w:fill="BFBFBF"/>
          </w:tcPr>
          <w:p w14:paraId="5D07AAF5" w14:textId="77777777" w:rsidR="00071649" w:rsidRPr="00ED70E5" w:rsidRDefault="00071649" w:rsidP="00071649">
            <w:pPr>
              <w:rPr>
                <w:rFonts w:ascii="Arial" w:hAnsi="Arial" w:cs="Arial"/>
                <w:b/>
                <w:sz w:val="24"/>
                <w:szCs w:val="24"/>
              </w:rPr>
            </w:pPr>
            <w:r w:rsidRPr="00ED70E5">
              <w:rPr>
                <w:rFonts w:ascii="Arial" w:hAnsi="Arial" w:cs="Arial"/>
                <w:b/>
                <w:sz w:val="24"/>
                <w:szCs w:val="24"/>
              </w:rPr>
              <w:t>Date</w:t>
            </w:r>
          </w:p>
        </w:tc>
        <w:tc>
          <w:tcPr>
            <w:tcW w:w="6423" w:type="dxa"/>
            <w:shd w:val="clear" w:color="auto" w:fill="BFBFBF"/>
          </w:tcPr>
          <w:p w14:paraId="0A36650E" w14:textId="77777777" w:rsidR="00071649" w:rsidRPr="00ED70E5" w:rsidRDefault="00071649" w:rsidP="00071649">
            <w:pPr>
              <w:rPr>
                <w:rFonts w:ascii="Arial" w:hAnsi="Arial" w:cs="Arial"/>
                <w:b/>
                <w:sz w:val="24"/>
                <w:szCs w:val="24"/>
              </w:rPr>
            </w:pPr>
            <w:r w:rsidRPr="00ED70E5">
              <w:rPr>
                <w:rFonts w:ascii="Arial" w:hAnsi="Arial" w:cs="Arial"/>
                <w:b/>
                <w:sz w:val="24"/>
                <w:szCs w:val="24"/>
              </w:rPr>
              <w:t>Action</w:t>
            </w:r>
          </w:p>
        </w:tc>
      </w:tr>
      <w:tr w:rsidR="00071649" w:rsidRPr="00ED70E5" w14:paraId="23AF47B6" w14:textId="77777777" w:rsidTr="00194F60">
        <w:tc>
          <w:tcPr>
            <w:tcW w:w="1418" w:type="dxa"/>
            <w:shd w:val="clear" w:color="auto" w:fill="auto"/>
          </w:tcPr>
          <w:p w14:paraId="29A393E7" w14:textId="37F2F3A4" w:rsidR="00071649" w:rsidRPr="00ED70E5" w:rsidRDefault="00BA3B33" w:rsidP="00071649">
            <w:pPr>
              <w:rPr>
                <w:rFonts w:ascii="Arial" w:hAnsi="Arial" w:cs="Arial"/>
                <w:b/>
                <w:sz w:val="24"/>
                <w:szCs w:val="24"/>
              </w:rPr>
            </w:pPr>
            <w:r>
              <w:rPr>
                <w:rFonts w:ascii="Arial" w:hAnsi="Arial" w:cs="Arial"/>
                <w:b/>
                <w:sz w:val="24"/>
                <w:szCs w:val="24"/>
              </w:rPr>
              <w:t>09</w:t>
            </w:r>
            <w:r w:rsidR="003F5EDD">
              <w:rPr>
                <w:rFonts w:ascii="Arial" w:hAnsi="Arial" w:cs="Arial"/>
                <w:b/>
                <w:sz w:val="24"/>
                <w:szCs w:val="24"/>
              </w:rPr>
              <w:t>.</w:t>
            </w:r>
            <w:r w:rsidR="00013D79">
              <w:rPr>
                <w:rFonts w:ascii="Arial" w:hAnsi="Arial" w:cs="Arial"/>
                <w:b/>
                <w:sz w:val="24"/>
                <w:szCs w:val="24"/>
              </w:rPr>
              <w:t>0</w:t>
            </w:r>
            <w:r w:rsidR="003F5EDD">
              <w:rPr>
                <w:rFonts w:ascii="Arial" w:hAnsi="Arial" w:cs="Arial"/>
                <w:b/>
                <w:sz w:val="24"/>
                <w:szCs w:val="24"/>
              </w:rPr>
              <w:t>7</w:t>
            </w:r>
            <w:r w:rsidR="00013D79">
              <w:rPr>
                <w:rFonts w:ascii="Arial" w:hAnsi="Arial" w:cs="Arial"/>
                <w:b/>
                <w:sz w:val="24"/>
                <w:szCs w:val="24"/>
              </w:rPr>
              <w:t>.20</w:t>
            </w:r>
            <w:r w:rsidR="00006003" w:rsidRPr="00ED70E5">
              <w:rPr>
                <w:rFonts w:ascii="Arial" w:hAnsi="Arial" w:cs="Arial"/>
                <w:b/>
                <w:sz w:val="24"/>
                <w:szCs w:val="24"/>
              </w:rPr>
              <w:t>21</w:t>
            </w:r>
          </w:p>
        </w:tc>
        <w:tc>
          <w:tcPr>
            <w:tcW w:w="6423" w:type="dxa"/>
            <w:shd w:val="clear" w:color="auto" w:fill="auto"/>
          </w:tcPr>
          <w:p w14:paraId="036DBB18" w14:textId="7E79AC65" w:rsidR="00071649" w:rsidRPr="00ED70E5" w:rsidRDefault="00071649" w:rsidP="00071649">
            <w:pPr>
              <w:rPr>
                <w:rFonts w:ascii="Arial" w:hAnsi="Arial" w:cs="Arial"/>
                <w:sz w:val="24"/>
                <w:szCs w:val="24"/>
                <w:lang w:val="en-US"/>
              </w:rPr>
            </w:pPr>
            <w:r w:rsidRPr="00ED70E5">
              <w:rPr>
                <w:rFonts w:ascii="Arial" w:hAnsi="Arial" w:cs="Arial"/>
                <w:sz w:val="24"/>
                <w:szCs w:val="24"/>
                <w:lang w:val="en-US"/>
              </w:rPr>
              <w:t xml:space="preserve">Issue of invitation to tender via </w:t>
            </w:r>
            <w:proofErr w:type="spellStart"/>
            <w:r w:rsidR="00BA3B33">
              <w:rPr>
                <w:rFonts w:ascii="Arial" w:hAnsi="Arial" w:cs="Arial"/>
                <w:sz w:val="24"/>
                <w:szCs w:val="24"/>
                <w:lang w:val="en-US"/>
              </w:rPr>
              <w:t>Atamis</w:t>
            </w:r>
            <w:proofErr w:type="spellEnd"/>
          </w:p>
        </w:tc>
      </w:tr>
      <w:tr w:rsidR="00071649" w:rsidRPr="00ED70E5" w14:paraId="37D6C571" w14:textId="77777777" w:rsidTr="00194F60">
        <w:tc>
          <w:tcPr>
            <w:tcW w:w="1418" w:type="dxa"/>
            <w:shd w:val="clear" w:color="auto" w:fill="auto"/>
          </w:tcPr>
          <w:p w14:paraId="165EC93E" w14:textId="45ADC8CF" w:rsidR="00071649" w:rsidRPr="00ED70E5" w:rsidRDefault="003F5EDD" w:rsidP="00071649">
            <w:pPr>
              <w:rPr>
                <w:rFonts w:ascii="Arial" w:hAnsi="Arial" w:cs="Arial"/>
                <w:b/>
                <w:sz w:val="24"/>
                <w:szCs w:val="24"/>
              </w:rPr>
            </w:pPr>
            <w:r>
              <w:rPr>
                <w:rFonts w:ascii="Arial" w:hAnsi="Arial" w:cs="Arial"/>
                <w:b/>
                <w:sz w:val="24"/>
                <w:szCs w:val="24"/>
              </w:rPr>
              <w:t>30</w:t>
            </w:r>
            <w:r w:rsidR="00006003" w:rsidRPr="00ED70E5">
              <w:rPr>
                <w:rFonts w:ascii="Arial" w:hAnsi="Arial" w:cs="Arial"/>
                <w:b/>
                <w:sz w:val="24"/>
                <w:szCs w:val="24"/>
              </w:rPr>
              <w:t>.</w:t>
            </w:r>
            <w:r w:rsidR="00013D79">
              <w:rPr>
                <w:rFonts w:ascii="Arial" w:hAnsi="Arial" w:cs="Arial"/>
                <w:b/>
                <w:sz w:val="24"/>
                <w:szCs w:val="24"/>
              </w:rPr>
              <w:t>0</w:t>
            </w:r>
            <w:r>
              <w:rPr>
                <w:rFonts w:ascii="Arial" w:hAnsi="Arial" w:cs="Arial"/>
                <w:b/>
                <w:sz w:val="24"/>
                <w:szCs w:val="24"/>
              </w:rPr>
              <w:t>7</w:t>
            </w:r>
            <w:r w:rsidR="00006003" w:rsidRPr="00ED70E5">
              <w:rPr>
                <w:rFonts w:ascii="Arial" w:hAnsi="Arial" w:cs="Arial"/>
                <w:b/>
                <w:sz w:val="24"/>
                <w:szCs w:val="24"/>
              </w:rPr>
              <w:t>.</w:t>
            </w:r>
            <w:r w:rsidR="00013D79">
              <w:rPr>
                <w:rFonts w:ascii="Arial" w:hAnsi="Arial" w:cs="Arial"/>
                <w:b/>
                <w:sz w:val="24"/>
                <w:szCs w:val="24"/>
              </w:rPr>
              <w:t>20</w:t>
            </w:r>
            <w:r w:rsidR="00006003" w:rsidRPr="00ED70E5">
              <w:rPr>
                <w:rFonts w:ascii="Arial" w:hAnsi="Arial" w:cs="Arial"/>
                <w:b/>
                <w:sz w:val="24"/>
                <w:szCs w:val="24"/>
              </w:rPr>
              <w:t>21</w:t>
            </w:r>
          </w:p>
        </w:tc>
        <w:tc>
          <w:tcPr>
            <w:tcW w:w="6423" w:type="dxa"/>
            <w:shd w:val="clear" w:color="auto" w:fill="auto"/>
          </w:tcPr>
          <w:p w14:paraId="4D5B04DF" w14:textId="77777777" w:rsidR="00071649" w:rsidRPr="00ED70E5" w:rsidRDefault="00071649" w:rsidP="00071649">
            <w:pPr>
              <w:rPr>
                <w:rFonts w:ascii="Arial" w:hAnsi="Arial" w:cs="Arial"/>
                <w:sz w:val="24"/>
                <w:szCs w:val="24"/>
              </w:rPr>
            </w:pPr>
            <w:r w:rsidRPr="00ED70E5">
              <w:rPr>
                <w:rFonts w:ascii="Arial" w:hAnsi="Arial" w:cs="Arial"/>
                <w:sz w:val="24"/>
                <w:szCs w:val="24"/>
              </w:rPr>
              <w:t>Deadline for receipt of applications</w:t>
            </w:r>
          </w:p>
        </w:tc>
      </w:tr>
      <w:tr w:rsidR="006A5E87" w:rsidRPr="00ED70E5" w14:paraId="15B17991" w14:textId="77777777" w:rsidTr="00194F60">
        <w:tc>
          <w:tcPr>
            <w:tcW w:w="1418" w:type="dxa"/>
            <w:shd w:val="clear" w:color="auto" w:fill="auto"/>
          </w:tcPr>
          <w:p w14:paraId="5E8C32D1" w14:textId="7EB3B1D4" w:rsidR="006A5E87" w:rsidRPr="00ED70E5" w:rsidRDefault="00013D79" w:rsidP="00071649">
            <w:pPr>
              <w:rPr>
                <w:rFonts w:ascii="Arial" w:hAnsi="Arial" w:cs="Arial"/>
                <w:b/>
                <w:sz w:val="24"/>
                <w:szCs w:val="24"/>
              </w:rPr>
            </w:pPr>
            <w:r>
              <w:rPr>
                <w:rFonts w:ascii="Arial" w:hAnsi="Arial" w:cs="Arial"/>
                <w:b/>
                <w:sz w:val="24"/>
                <w:szCs w:val="24"/>
              </w:rPr>
              <w:t>0</w:t>
            </w:r>
            <w:r w:rsidR="003F5EDD">
              <w:rPr>
                <w:rFonts w:ascii="Arial" w:hAnsi="Arial" w:cs="Arial"/>
                <w:b/>
                <w:sz w:val="24"/>
                <w:szCs w:val="24"/>
              </w:rPr>
              <w:t>4</w:t>
            </w:r>
            <w:r w:rsidR="00006003" w:rsidRPr="00ED70E5">
              <w:rPr>
                <w:rFonts w:ascii="Arial" w:hAnsi="Arial" w:cs="Arial"/>
                <w:b/>
                <w:sz w:val="24"/>
                <w:szCs w:val="24"/>
              </w:rPr>
              <w:t>.</w:t>
            </w:r>
            <w:r>
              <w:rPr>
                <w:rFonts w:ascii="Arial" w:hAnsi="Arial" w:cs="Arial"/>
                <w:b/>
                <w:sz w:val="24"/>
                <w:szCs w:val="24"/>
              </w:rPr>
              <w:t>0</w:t>
            </w:r>
            <w:r w:rsidR="003F5EDD">
              <w:rPr>
                <w:rFonts w:ascii="Arial" w:hAnsi="Arial" w:cs="Arial"/>
                <w:b/>
                <w:sz w:val="24"/>
                <w:szCs w:val="24"/>
              </w:rPr>
              <w:t>8</w:t>
            </w:r>
            <w:r w:rsidR="00006003" w:rsidRPr="00ED70E5">
              <w:rPr>
                <w:rFonts w:ascii="Arial" w:hAnsi="Arial" w:cs="Arial"/>
                <w:b/>
                <w:sz w:val="24"/>
                <w:szCs w:val="24"/>
              </w:rPr>
              <w:t>.</w:t>
            </w:r>
            <w:r>
              <w:rPr>
                <w:rFonts w:ascii="Arial" w:hAnsi="Arial" w:cs="Arial"/>
                <w:b/>
                <w:sz w:val="24"/>
                <w:szCs w:val="24"/>
              </w:rPr>
              <w:t>20</w:t>
            </w:r>
            <w:r w:rsidR="00006003" w:rsidRPr="00ED70E5">
              <w:rPr>
                <w:rFonts w:ascii="Arial" w:hAnsi="Arial" w:cs="Arial"/>
                <w:b/>
                <w:sz w:val="24"/>
                <w:szCs w:val="24"/>
              </w:rPr>
              <w:t>21</w:t>
            </w:r>
          </w:p>
        </w:tc>
        <w:tc>
          <w:tcPr>
            <w:tcW w:w="6423" w:type="dxa"/>
            <w:shd w:val="clear" w:color="auto" w:fill="auto"/>
          </w:tcPr>
          <w:p w14:paraId="438663DA" w14:textId="3FB7A260" w:rsidR="006A5E87" w:rsidRPr="00ED70E5" w:rsidRDefault="006A5E87" w:rsidP="00071649">
            <w:pPr>
              <w:rPr>
                <w:rFonts w:ascii="Arial" w:hAnsi="Arial" w:cs="Arial"/>
                <w:sz w:val="24"/>
                <w:szCs w:val="24"/>
              </w:rPr>
            </w:pPr>
            <w:r w:rsidRPr="00ED70E5">
              <w:rPr>
                <w:rFonts w:ascii="Arial" w:hAnsi="Arial" w:cs="Arial"/>
                <w:sz w:val="24"/>
                <w:szCs w:val="24"/>
              </w:rPr>
              <w:t>Dates for potential clarification meetings</w:t>
            </w:r>
          </w:p>
        </w:tc>
      </w:tr>
      <w:tr w:rsidR="00071649" w:rsidRPr="00ED70E5" w14:paraId="6B8BC9EC" w14:textId="77777777" w:rsidTr="00194F60">
        <w:tc>
          <w:tcPr>
            <w:tcW w:w="1418" w:type="dxa"/>
            <w:shd w:val="clear" w:color="auto" w:fill="auto"/>
          </w:tcPr>
          <w:p w14:paraId="45613F24" w14:textId="7A57F8DE" w:rsidR="00071649" w:rsidRPr="00ED70E5" w:rsidRDefault="00013D79" w:rsidP="00FD6F6D">
            <w:pPr>
              <w:rPr>
                <w:rFonts w:ascii="Arial" w:hAnsi="Arial" w:cs="Arial"/>
                <w:b/>
                <w:sz w:val="24"/>
                <w:szCs w:val="24"/>
              </w:rPr>
            </w:pPr>
            <w:r>
              <w:rPr>
                <w:rFonts w:ascii="Arial" w:hAnsi="Arial" w:cs="Arial"/>
                <w:b/>
                <w:sz w:val="24"/>
                <w:szCs w:val="24"/>
              </w:rPr>
              <w:t>0</w:t>
            </w:r>
            <w:r w:rsidR="003F5EDD">
              <w:rPr>
                <w:rFonts w:ascii="Arial" w:hAnsi="Arial" w:cs="Arial"/>
                <w:b/>
                <w:sz w:val="24"/>
                <w:szCs w:val="24"/>
              </w:rPr>
              <w:t>6</w:t>
            </w:r>
            <w:r w:rsidR="00006003" w:rsidRPr="00ED70E5">
              <w:rPr>
                <w:rFonts w:ascii="Arial" w:hAnsi="Arial" w:cs="Arial"/>
                <w:b/>
                <w:sz w:val="24"/>
                <w:szCs w:val="24"/>
              </w:rPr>
              <w:t>.</w:t>
            </w:r>
            <w:r>
              <w:rPr>
                <w:rFonts w:ascii="Arial" w:hAnsi="Arial" w:cs="Arial"/>
                <w:b/>
                <w:sz w:val="24"/>
                <w:szCs w:val="24"/>
              </w:rPr>
              <w:t>0</w:t>
            </w:r>
            <w:r w:rsidR="001524DE">
              <w:rPr>
                <w:rFonts w:ascii="Arial" w:hAnsi="Arial" w:cs="Arial"/>
                <w:b/>
                <w:sz w:val="24"/>
                <w:szCs w:val="24"/>
              </w:rPr>
              <w:t>8.</w:t>
            </w:r>
            <w:r>
              <w:rPr>
                <w:rFonts w:ascii="Arial" w:hAnsi="Arial" w:cs="Arial"/>
                <w:b/>
                <w:sz w:val="24"/>
                <w:szCs w:val="24"/>
              </w:rPr>
              <w:t>20</w:t>
            </w:r>
            <w:r w:rsidR="00006003" w:rsidRPr="00ED70E5">
              <w:rPr>
                <w:rFonts w:ascii="Arial" w:hAnsi="Arial" w:cs="Arial"/>
                <w:b/>
                <w:sz w:val="24"/>
                <w:szCs w:val="24"/>
              </w:rPr>
              <w:t>21</w:t>
            </w:r>
          </w:p>
        </w:tc>
        <w:tc>
          <w:tcPr>
            <w:tcW w:w="6423" w:type="dxa"/>
            <w:shd w:val="clear" w:color="auto" w:fill="auto"/>
          </w:tcPr>
          <w:p w14:paraId="3EC01FAB" w14:textId="77777777" w:rsidR="00071649" w:rsidRPr="00ED70E5" w:rsidRDefault="00071649" w:rsidP="00071649">
            <w:pPr>
              <w:rPr>
                <w:rFonts w:ascii="Arial" w:hAnsi="Arial" w:cs="Arial"/>
                <w:sz w:val="24"/>
                <w:szCs w:val="24"/>
              </w:rPr>
            </w:pPr>
            <w:r w:rsidRPr="00ED70E5">
              <w:rPr>
                <w:rFonts w:ascii="Arial" w:hAnsi="Arial" w:cs="Arial"/>
                <w:sz w:val="24"/>
                <w:szCs w:val="24"/>
              </w:rPr>
              <w:t>Notification of outcome of applications review</w:t>
            </w:r>
          </w:p>
        </w:tc>
      </w:tr>
      <w:tr w:rsidR="00071649" w:rsidRPr="00ED70E5" w14:paraId="1CDF2F6E" w14:textId="77777777" w:rsidTr="00BC245C">
        <w:trPr>
          <w:trHeight w:val="487"/>
        </w:trPr>
        <w:tc>
          <w:tcPr>
            <w:tcW w:w="1418" w:type="dxa"/>
            <w:shd w:val="clear" w:color="auto" w:fill="auto"/>
          </w:tcPr>
          <w:p w14:paraId="6CCE44AA" w14:textId="0C6E0B9B" w:rsidR="00071649" w:rsidRPr="00ED70E5" w:rsidRDefault="00013D79" w:rsidP="00071649">
            <w:pPr>
              <w:rPr>
                <w:rFonts w:ascii="Arial" w:hAnsi="Arial" w:cs="Arial"/>
                <w:b/>
                <w:sz w:val="24"/>
                <w:szCs w:val="24"/>
              </w:rPr>
            </w:pPr>
            <w:r>
              <w:rPr>
                <w:rFonts w:ascii="Arial" w:hAnsi="Arial" w:cs="Arial"/>
                <w:b/>
                <w:sz w:val="24"/>
                <w:szCs w:val="24"/>
              </w:rPr>
              <w:t>0</w:t>
            </w:r>
            <w:r w:rsidR="003F5EDD">
              <w:rPr>
                <w:rFonts w:ascii="Arial" w:hAnsi="Arial" w:cs="Arial"/>
                <w:b/>
                <w:sz w:val="24"/>
                <w:szCs w:val="24"/>
              </w:rPr>
              <w:t>9</w:t>
            </w:r>
            <w:r w:rsidR="00006003" w:rsidRPr="00ED70E5">
              <w:rPr>
                <w:rFonts w:ascii="Arial" w:hAnsi="Arial" w:cs="Arial"/>
                <w:b/>
                <w:sz w:val="24"/>
                <w:szCs w:val="24"/>
              </w:rPr>
              <w:t>.</w:t>
            </w:r>
            <w:r>
              <w:rPr>
                <w:rFonts w:ascii="Arial" w:hAnsi="Arial" w:cs="Arial"/>
                <w:b/>
                <w:sz w:val="24"/>
                <w:szCs w:val="24"/>
              </w:rPr>
              <w:t>0</w:t>
            </w:r>
            <w:r w:rsidR="001524DE">
              <w:rPr>
                <w:rFonts w:ascii="Arial" w:hAnsi="Arial" w:cs="Arial"/>
                <w:b/>
                <w:sz w:val="24"/>
                <w:szCs w:val="24"/>
              </w:rPr>
              <w:t>8</w:t>
            </w:r>
            <w:r w:rsidR="00006003" w:rsidRPr="00ED70E5">
              <w:rPr>
                <w:rFonts w:ascii="Arial" w:hAnsi="Arial" w:cs="Arial"/>
                <w:b/>
                <w:sz w:val="24"/>
                <w:szCs w:val="24"/>
              </w:rPr>
              <w:t>.</w:t>
            </w:r>
            <w:r>
              <w:rPr>
                <w:rFonts w:ascii="Arial" w:hAnsi="Arial" w:cs="Arial"/>
                <w:b/>
                <w:sz w:val="24"/>
                <w:szCs w:val="24"/>
              </w:rPr>
              <w:t>20</w:t>
            </w:r>
            <w:r w:rsidR="00006003" w:rsidRPr="00ED70E5">
              <w:rPr>
                <w:rFonts w:ascii="Arial" w:hAnsi="Arial" w:cs="Arial"/>
                <w:b/>
                <w:sz w:val="24"/>
                <w:szCs w:val="24"/>
              </w:rPr>
              <w:t>21</w:t>
            </w:r>
          </w:p>
        </w:tc>
        <w:tc>
          <w:tcPr>
            <w:tcW w:w="6423" w:type="dxa"/>
            <w:shd w:val="clear" w:color="auto" w:fill="auto"/>
          </w:tcPr>
          <w:p w14:paraId="402D172F" w14:textId="77777777" w:rsidR="00071649" w:rsidRPr="00ED70E5" w:rsidRDefault="00071649" w:rsidP="00071649">
            <w:pPr>
              <w:rPr>
                <w:rFonts w:ascii="Arial" w:hAnsi="Arial" w:cs="Arial"/>
                <w:sz w:val="24"/>
                <w:szCs w:val="24"/>
              </w:rPr>
            </w:pPr>
            <w:r w:rsidRPr="00ED70E5">
              <w:rPr>
                <w:rFonts w:ascii="Arial" w:hAnsi="Arial" w:cs="Arial"/>
                <w:sz w:val="24"/>
                <w:szCs w:val="24"/>
              </w:rPr>
              <w:t>Award of contract</w:t>
            </w:r>
          </w:p>
        </w:tc>
      </w:tr>
      <w:tr w:rsidR="00071649" w:rsidRPr="00071649" w14:paraId="20C15E90" w14:textId="77777777" w:rsidTr="00423010">
        <w:trPr>
          <w:trHeight w:val="420"/>
        </w:trPr>
        <w:tc>
          <w:tcPr>
            <w:tcW w:w="1418" w:type="dxa"/>
            <w:shd w:val="clear" w:color="auto" w:fill="auto"/>
          </w:tcPr>
          <w:p w14:paraId="392B6222" w14:textId="37550B71" w:rsidR="00071649" w:rsidRPr="00ED70E5" w:rsidRDefault="00013D79" w:rsidP="00FD6F6D">
            <w:pPr>
              <w:rPr>
                <w:rFonts w:ascii="Arial" w:hAnsi="Arial" w:cs="Arial"/>
                <w:b/>
                <w:sz w:val="24"/>
                <w:szCs w:val="24"/>
              </w:rPr>
            </w:pPr>
            <w:r>
              <w:rPr>
                <w:rFonts w:ascii="Arial" w:hAnsi="Arial" w:cs="Arial"/>
                <w:b/>
                <w:sz w:val="24"/>
                <w:szCs w:val="24"/>
              </w:rPr>
              <w:t>0</w:t>
            </w:r>
            <w:r w:rsidR="003F5EDD">
              <w:rPr>
                <w:rFonts w:ascii="Arial" w:hAnsi="Arial" w:cs="Arial"/>
                <w:b/>
                <w:sz w:val="24"/>
                <w:szCs w:val="24"/>
              </w:rPr>
              <w:t>5.11</w:t>
            </w:r>
            <w:r w:rsidR="00006003" w:rsidRPr="00ED70E5">
              <w:rPr>
                <w:rFonts w:ascii="Arial" w:hAnsi="Arial" w:cs="Arial"/>
                <w:b/>
                <w:sz w:val="24"/>
                <w:szCs w:val="24"/>
              </w:rPr>
              <w:t>.</w:t>
            </w:r>
            <w:r>
              <w:rPr>
                <w:rFonts w:ascii="Arial" w:hAnsi="Arial" w:cs="Arial"/>
                <w:b/>
                <w:sz w:val="24"/>
                <w:szCs w:val="24"/>
              </w:rPr>
              <w:t>20</w:t>
            </w:r>
            <w:r w:rsidR="00006003" w:rsidRPr="00ED70E5">
              <w:rPr>
                <w:rFonts w:ascii="Arial" w:hAnsi="Arial" w:cs="Arial"/>
                <w:b/>
                <w:sz w:val="24"/>
                <w:szCs w:val="24"/>
              </w:rPr>
              <w:t>21</w:t>
            </w:r>
          </w:p>
        </w:tc>
        <w:tc>
          <w:tcPr>
            <w:tcW w:w="6423" w:type="dxa"/>
            <w:shd w:val="clear" w:color="auto" w:fill="auto"/>
          </w:tcPr>
          <w:p w14:paraId="50607DA7" w14:textId="77777777" w:rsidR="00071649" w:rsidRPr="00071649" w:rsidRDefault="00071649" w:rsidP="00071649">
            <w:pPr>
              <w:rPr>
                <w:rFonts w:ascii="Arial" w:hAnsi="Arial" w:cs="Arial"/>
                <w:sz w:val="24"/>
                <w:szCs w:val="24"/>
              </w:rPr>
            </w:pPr>
            <w:r w:rsidRPr="00ED70E5">
              <w:rPr>
                <w:rFonts w:ascii="Arial" w:hAnsi="Arial" w:cs="Arial"/>
                <w:sz w:val="24"/>
                <w:szCs w:val="24"/>
              </w:rPr>
              <w:t>Project completion</w:t>
            </w:r>
          </w:p>
        </w:tc>
      </w:tr>
    </w:tbl>
    <w:p w14:paraId="2E247939" w14:textId="77777777" w:rsidR="00071649" w:rsidRPr="00071649" w:rsidRDefault="00071649" w:rsidP="00071649">
      <w:pPr>
        <w:rPr>
          <w:rFonts w:ascii="Arial" w:hAnsi="Arial" w:cs="Arial"/>
          <w:sz w:val="24"/>
          <w:szCs w:val="24"/>
        </w:rPr>
      </w:pPr>
    </w:p>
    <w:sectPr w:rsidR="00071649" w:rsidRPr="00071649" w:rsidSect="00423010">
      <w:headerReference w:type="default" r:id="rId13"/>
      <w:footerReference w:type="default" r:id="rId14"/>
      <w:endnotePr>
        <w:numFmt w:val="decimal"/>
      </w:endnotePr>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BF9B1" w14:textId="77777777" w:rsidR="00BE2975" w:rsidRDefault="00BE2975" w:rsidP="000D6E1B">
      <w:pPr>
        <w:spacing w:after="0" w:line="240" w:lineRule="auto"/>
      </w:pPr>
      <w:r>
        <w:separator/>
      </w:r>
    </w:p>
  </w:endnote>
  <w:endnote w:type="continuationSeparator" w:id="0">
    <w:p w14:paraId="27F5E26A" w14:textId="77777777" w:rsidR="00BE2975" w:rsidRDefault="00BE2975" w:rsidP="000D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014566"/>
      <w:docPartObj>
        <w:docPartGallery w:val="Page Numbers (Bottom of Page)"/>
        <w:docPartUnique/>
      </w:docPartObj>
    </w:sdtPr>
    <w:sdtEndPr>
      <w:rPr>
        <w:noProof/>
      </w:rPr>
    </w:sdtEndPr>
    <w:sdtContent>
      <w:p w14:paraId="037161B6" w14:textId="77777777" w:rsidR="00EB5104" w:rsidRDefault="00EB5104">
        <w:pPr>
          <w:pStyle w:val="Footer"/>
          <w:jc w:val="right"/>
        </w:pPr>
        <w:r>
          <w:fldChar w:fldCharType="begin"/>
        </w:r>
        <w:r>
          <w:instrText xml:space="preserve"> PAGE   \* MERGEFORMAT </w:instrText>
        </w:r>
        <w:r>
          <w:fldChar w:fldCharType="separate"/>
        </w:r>
        <w:r w:rsidR="00431732">
          <w:rPr>
            <w:noProof/>
          </w:rPr>
          <w:t>3</w:t>
        </w:r>
        <w:r>
          <w:rPr>
            <w:noProof/>
          </w:rPr>
          <w:fldChar w:fldCharType="end"/>
        </w:r>
      </w:p>
    </w:sdtContent>
  </w:sdt>
  <w:p w14:paraId="2FBE26DC" w14:textId="77777777" w:rsidR="00EB5104" w:rsidRDefault="00EB5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D5D1F" w14:textId="77777777" w:rsidR="00BE2975" w:rsidRDefault="00BE2975" w:rsidP="000D6E1B">
      <w:pPr>
        <w:spacing w:after="0" w:line="240" w:lineRule="auto"/>
      </w:pPr>
      <w:r>
        <w:separator/>
      </w:r>
    </w:p>
  </w:footnote>
  <w:footnote w:type="continuationSeparator" w:id="0">
    <w:p w14:paraId="276DEE95" w14:textId="77777777" w:rsidR="00BE2975" w:rsidRDefault="00BE2975" w:rsidP="000D6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39047" w14:textId="77777777" w:rsidR="00EB5104" w:rsidRDefault="00EB5104">
    <w:pPr>
      <w:pStyle w:val="Header"/>
    </w:pPr>
    <w:r>
      <w:rPr>
        <w:noProof/>
        <w:lang w:eastAsia="en-GB"/>
      </w:rPr>
      <w:drawing>
        <wp:anchor distT="0" distB="0" distL="114300" distR="114300" simplePos="0" relativeHeight="251657216" behindDoc="0" locked="0" layoutInCell="1" allowOverlap="1" wp14:anchorId="4A3941FD" wp14:editId="11A55D75">
          <wp:simplePos x="0" y="0"/>
          <wp:positionH relativeFrom="column">
            <wp:posOffset>-650240</wp:posOffset>
          </wp:positionH>
          <wp:positionV relativeFrom="paragraph">
            <wp:posOffset>-429260</wp:posOffset>
          </wp:positionV>
          <wp:extent cx="4065270" cy="2007870"/>
          <wp:effectExtent l="0" t="0" r="0" b="0"/>
          <wp:wrapTopAndBottom/>
          <wp:docPr id="17" name="Picture 17"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5270" cy="2007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3774"/>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B1AAA"/>
    <w:multiLevelType w:val="hybridMultilevel"/>
    <w:tmpl w:val="2D08E6AA"/>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D691C0C"/>
    <w:multiLevelType w:val="hybridMultilevel"/>
    <w:tmpl w:val="37E846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CF7795"/>
    <w:multiLevelType w:val="hybridMultilevel"/>
    <w:tmpl w:val="EB907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D11EF5"/>
    <w:multiLevelType w:val="hybridMultilevel"/>
    <w:tmpl w:val="DE261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321ED"/>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83387E"/>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63EEA"/>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343032"/>
    <w:multiLevelType w:val="hybridMultilevel"/>
    <w:tmpl w:val="A8507582"/>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1173"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A604E3"/>
    <w:multiLevelType w:val="multilevel"/>
    <w:tmpl w:val="42E4A83A"/>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1713"/>
        </w:tabs>
        <w:ind w:left="1713" w:hanging="720"/>
      </w:pPr>
      <w:rPr>
        <w:rFonts w:ascii="Arial" w:hAnsi="Arial" w:cs="Times New Roman" w:hint="default"/>
        <w:b w:val="0"/>
        <w:sz w:val="22"/>
        <w:szCs w:val="22"/>
        <w:u w:val="none"/>
      </w:rPr>
    </w:lvl>
    <w:lvl w:ilvl="2">
      <w:start w:val="1"/>
      <w:numFmt w:val="decimal"/>
      <w:lvlText w:val="%1.%2.%3"/>
      <w:lvlJc w:val="left"/>
      <w:pPr>
        <w:tabs>
          <w:tab w:val="num" w:pos="1800"/>
        </w:tabs>
        <w:ind w:left="1800" w:hanging="1080"/>
      </w:pPr>
      <w:rPr>
        <w:rFonts w:ascii="Arial" w:hAnsi="Arial" w:cs="Times New Roman" w:hint="default"/>
        <w:b w:val="0"/>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1CF4BAD"/>
    <w:multiLevelType w:val="hybridMultilevel"/>
    <w:tmpl w:val="E6A4A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3B7668D"/>
    <w:multiLevelType w:val="hybridMultilevel"/>
    <w:tmpl w:val="EB907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2125B3"/>
    <w:multiLevelType w:val="hybridMultilevel"/>
    <w:tmpl w:val="F208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6F5B81"/>
    <w:multiLevelType w:val="hybridMultilevel"/>
    <w:tmpl w:val="6B2AC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7701B"/>
    <w:multiLevelType w:val="hybridMultilevel"/>
    <w:tmpl w:val="2E165FE4"/>
    <w:lvl w:ilvl="0" w:tplc="08090017">
      <w:start w:val="1"/>
      <w:numFmt w:val="lowerLetter"/>
      <w:lvlText w:val="%1)"/>
      <w:lvlJc w:val="left"/>
      <w:pPr>
        <w:ind w:left="1211" w:hanging="360"/>
      </w:pPr>
    </w:lvl>
    <w:lvl w:ilvl="1" w:tplc="08090017">
      <w:start w:val="1"/>
      <w:numFmt w:val="lowerLetter"/>
      <w:lvlText w:val="%2)"/>
      <w:lvlJc w:val="left"/>
      <w:pPr>
        <w:ind w:left="1931" w:hanging="360"/>
      </w:pPr>
    </w:lvl>
    <w:lvl w:ilvl="2" w:tplc="08090017">
      <w:start w:val="1"/>
      <w:numFmt w:val="lowerLetter"/>
      <w:lvlText w:val="%3)"/>
      <w:lvlJc w:val="left"/>
      <w:pPr>
        <w:ind w:left="1664"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3F142923"/>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A308F9"/>
    <w:multiLevelType w:val="hybridMultilevel"/>
    <w:tmpl w:val="29B8D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BA4592"/>
    <w:multiLevelType w:val="hybridMultilevel"/>
    <w:tmpl w:val="73F63638"/>
    <w:lvl w:ilvl="0" w:tplc="2EBEA8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22E02D2"/>
    <w:multiLevelType w:val="hybridMultilevel"/>
    <w:tmpl w:val="E5800FB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40A598C"/>
    <w:multiLevelType w:val="hybridMultilevel"/>
    <w:tmpl w:val="5EF8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BE6B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284288"/>
    <w:multiLevelType w:val="hybridMultilevel"/>
    <w:tmpl w:val="43523378"/>
    <w:lvl w:ilvl="0" w:tplc="83C23A74">
      <w:numFmt w:val="bullet"/>
      <w:lvlText w:val="•"/>
      <w:lvlJc w:val="left"/>
      <w:pPr>
        <w:ind w:left="852" w:hanging="852"/>
      </w:pPr>
      <w:rPr>
        <w:rFonts w:ascii="Arial" w:eastAsiaTheme="maj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5333F1"/>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53255C"/>
    <w:multiLevelType w:val="hybridMultilevel"/>
    <w:tmpl w:val="95044BD0"/>
    <w:lvl w:ilvl="0" w:tplc="09404C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E724A9A"/>
    <w:multiLevelType w:val="hybridMultilevel"/>
    <w:tmpl w:val="8A00B556"/>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E8956F3"/>
    <w:multiLevelType w:val="hybridMultilevel"/>
    <w:tmpl w:val="F0603E4E"/>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7">
      <w:start w:val="1"/>
      <w:numFmt w:val="lowerLetter"/>
      <w:lvlText w:val="%3)"/>
      <w:lvlJc w:val="left"/>
      <w:pPr>
        <w:ind w:left="1533"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EBE4590"/>
    <w:multiLevelType w:val="hybridMultilevel"/>
    <w:tmpl w:val="72F81252"/>
    <w:lvl w:ilvl="0" w:tplc="C71634B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5706F2"/>
    <w:multiLevelType w:val="hybridMultilevel"/>
    <w:tmpl w:val="34760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BD2032"/>
    <w:multiLevelType w:val="hybridMultilevel"/>
    <w:tmpl w:val="9904D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8F18D5"/>
    <w:multiLevelType w:val="hybridMultilevel"/>
    <w:tmpl w:val="1E5E5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98613B"/>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8B5ADB"/>
    <w:multiLevelType w:val="hybridMultilevel"/>
    <w:tmpl w:val="A446944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962339"/>
    <w:multiLevelType w:val="hybridMultilevel"/>
    <w:tmpl w:val="AB5C5896"/>
    <w:lvl w:ilvl="0" w:tplc="FC2270E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EC3BE6"/>
    <w:multiLevelType w:val="hybridMultilevel"/>
    <w:tmpl w:val="59BE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2C6E61"/>
    <w:multiLevelType w:val="multilevel"/>
    <w:tmpl w:val="638C837E"/>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9A516A"/>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A601F0"/>
    <w:multiLevelType w:val="hybridMultilevel"/>
    <w:tmpl w:val="0A32A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EA729D3"/>
    <w:multiLevelType w:val="hybridMultilevel"/>
    <w:tmpl w:val="7B725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1"/>
  </w:num>
  <w:num w:numId="2">
    <w:abstractNumId w:val="28"/>
  </w:num>
  <w:num w:numId="3">
    <w:abstractNumId w:val="2"/>
  </w:num>
  <w:num w:numId="4">
    <w:abstractNumId w:val="32"/>
  </w:num>
  <w:num w:numId="5">
    <w:abstractNumId w:val="15"/>
  </w:num>
  <w:num w:numId="6">
    <w:abstractNumId w:val="31"/>
  </w:num>
  <w:num w:numId="7">
    <w:abstractNumId w:val="0"/>
  </w:num>
  <w:num w:numId="8">
    <w:abstractNumId w:val="5"/>
  </w:num>
  <w:num w:numId="9">
    <w:abstractNumId w:val="8"/>
  </w:num>
  <w:num w:numId="10">
    <w:abstractNumId w:val="14"/>
  </w:num>
  <w:num w:numId="11">
    <w:abstractNumId w:val="1"/>
  </w:num>
  <w:num w:numId="12">
    <w:abstractNumId w:val="35"/>
  </w:num>
  <w:num w:numId="13">
    <w:abstractNumId w:val="33"/>
  </w:num>
  <w:num w:numId="14">
    <w:abstractNumId w:val="25"/>
  </w:num>
  <w:num w:numId="15">
    <w:abstractNumId w:val="11"/>
  </w:num>
  <w:num w:numId="16">
    <w:abstractNumId w:val="3"/>
  </w:num>
  <w:num w:numId="17">
    <w:abstractNumId w:val="19"/>
  </w:num>
  <w:num w:numId="18">
    <w:abstractNumId w:val="12"/>
  </w:num>
  <w:num w:numId="19">
    <w:abstractNumId w:val="34"/>
  </w:num>
  <w:num w:numId="20">
    <w:abstractNumId w:val="37"/>
  </w:num>
  <w:num w:numId="21">
    <w:abstractNumId w:val="24"/>
  </w:num>
  <w:num w:numId="22">
    <w:abstractNumId w:val="18"/>
  </w:num>
  <w:num w:numId="23">
    <w:abstractNumId w:val="20"/>
  </w:num>
  <w:num w:numId="24">
    <w:abstractNumId w:val="10"/>
  </w:num>
  <w:num w:numId="25">
    <w:abstractNumId w:val="17"/>
  </w:num>
  <w:num w:numId="26">
    <w:abstractNumId w:val="4"/>
  </w:num>
  <w:num w:numId="27">
    <w:abstractNumId w:val="9"/>
  </w:num>
  <w:num w:numId="28">
    <w:abstractNumId w:val="26"/>
  </w:num>
  <w:num w:numId="29">
    <w:abstractNumId w:val="7"/>
  </w:num>
  <w:num w:numId="30">
    <w:abstractNumId w:val="30"/>
  </w:num>
  <w:num w:numId="31">
    <w:abstractNumId w:val="22"/>
  </w:num>
  <w:num w:numId="32">
    <w:abstractNumId w:val="6"/>
  </w:num>
  <w:num w:numId="33">
    <w:abstractNumId w:val="16"/>
  </w:num>
  <w:num w:numId="34">
    <w:abstractNumId w:val="29"/>
  </w:num>
  <w:num w:numId="35">
    <w:abstractNumId w:val="36"/>
  </w:num>
  <w:num w:numId="36">
    <w:abstractNumId w:val="13"/>
  </w:num>
  <w:num w:numId="37">
    <w:abstractNumId w:val="23"/>
  </w:num>
  <w:num w:numId="38">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D8"/>
    <w:rsid w:val="00001642"/>
    <w:rsid w:val="0000262A"/>
    <w:rsid w:val="00006003"/>
    <w:rsid w:val="00006702"/>
    <w:rsid w:val="00013D79"/>
    <w:rsid w:val="00013DD6"/>
    <w:rsid w:val="00044057"/>
    <w:rsid w:val="000512CF"/>
    <w:rsid w:val="00066768"/>
    <w:rsid w:val="00067E8C"/>
    <w:rsid w:val="00071649"/>
    <w:rsid w:val="0008318C"/>
    <w:rsid w:val="00084547"/>
    <w:rsid w:val="0008516D"/>
    <w:rsid w:val="0008763D"/>
    <w:rsid w:val="00090464"/>
    <w:rsid w:val="00094330"/>
    <w:rsid w:val="000A61BA"/>
    <w:rsid w:val="000B26D3"/>
    <w:rsid w:val="000B33B2"/>
    <w:rsid w:val="000B4476"/>
    <w:rsid w:val="000C0D06"/>
    <w:rsid w:val="000C1183"/>
    <w:rsid w:val="000C35B2"/>
    <w:rsid w:val="000C757F"/>
    <w:rsid w:val="000D4791"/>
    <w:rsid w:val="000D6E1B"/>
    <w:rsid w:val="000E0421"/>
    <w:rsid w:val="000E1C2C"/>
    <w:rsid w:val="000E266F"/>
    <w:rsid w:val="000E3728"/>
    <w:rsid w:val="000F01E6"/>
    <w:rsid w:val="000F0925"/>
    <w:rsid w:val="000F4C0E"/>
    <w:rsid w:val="000F66E8"/>
    <w:rsid w:val="0010303A"/>
    <w:rsid w:val="00106080"/>
    <w:rsid w:val="00107571"/>
    <w:rsid w:val="001238F3"/>
    <w:rsid w:val="001241C9"/>
    <w:rsid w:val="00124C56"/>
    <w:rsid w:val="001253AF"/>
    <w:rsid w:val="00132554"/>
    <w:rsid w:val="0013549B"/>
    <w:rsid w:val="00135739"/>
    <w:rsid w:val="00135D7E"/>
    <w:rsid w:val="001524DE"/>
    <w:rsid w:val="00153245"/>
    <w:rsid w:val="00156FBF"/>
    <w:rsid w:val="00180679"/>
    <w:rsid w:val="00184528"/>
    <w:rsid w:val="00185445"/>
    <w:rsid w:val="00185E31"/>
    <w:rsid w:val="00190C77"/>
    <w:rsid w:val="001929FE"/>
    <w:rsid w:val="00193EFC"/>
    <w:rsid w:val="00194F60"/>
    <w:rsid w:val="001A6908"/>
    <w:rsid w:val="001B0C33"/>
    <w:rsid w:val="001B694C"/>
    <w:rsid w:val="001C6391"/>
    <w:rsid w:val="001C72EB"/>
    <w:rsid w:val="001C7752"/>
    <w:rsid w:val="001E0A4E"/>
    <w:rsid w:val="001E1728"/>
    <w:rsid w:val="001E17F0"/>
    <w:rsid w:val="001E1A35"/>
    <w:rsid w:val="001E3F42"/>
    <w:rsid w:val="001E63EB"/>
    <w:rsid w:val="001E7413"/>
    <w:rsid w:val="001F0CC0"/>
    <w:rsid w:val="001F54CA"/>
    <w:rsid w:val="00207660"/>
    <w:rsid w:val="00212267"/>
    <w:rsid w:val="002226AF"/>
    <w:rsid w:val="00222AFC"/>
    <w:rsid w:val="002230A3"/>
    <w:rsid w:val="00232D48"/>
    <w:rsid w:val="0023359B"/>
    <w:rsid w:val="00243948"/>
    <w:rsid w:val="002555BA"/>
    <w:rsid w:val="00263095"/>
    <w:rsid w:val="002662B4"/>
    <w:rsid w:val="00270CD7"/>
    <w:rsid w:val="00273F87"/>
    <w:rsid w:val="00275CAC"/>
    <w:rsid w:val="00276410"/>
    <w:rsid w:val="00277A5A"/>
    <w:rsid w:val="00280781"/>
    <w:rsid w:val="0028237B"/>
    <w:rsid w:val="002A0B58"/>
    <w:rsid w:val="002A643E"/>
    <w:rsid w:val="002B1392"/>
    <w:rsid w:val="002B35A0"/>
    <w:rsid w:val="002B7431"/>
    <w:rsid w:val="002B7906"/>
    <w:rsid w:val="002C561D"/>
    <w:rsid w:val="002D247D"/>
    <w:rsid w:val="002D70E8"/>
    <w:rsid w:val="002D726B"/>
    <w:rsid w:val="002D7898"/>
    <w:rsid w:val="002E3156"/>
    <w:rsid w:val="002E4E05"/>
    <w:rsid w:val="002E601A"/>
    <w:rsid w:val="002F4EEB"/>
    <w:rsid w:val="00315071"/>
    <w:rsid w:val="00316C8D"/>
    <w:rsid w:val="00320158"/>
    <w:rsid w:val="003212F2"/>
    <w:rsid w:val="003326DA"/>
    <w:rsid w:val="00332B1C"/>
    <w:rsid w:val="00342B7E"/>
    <w:rsid w:val="0034339C"/>
    <w:rsid w:val="00345A3B"/>
    <w:rsid w:val="00345DEA"/>
    <w:rsid w:val="00346C05"/>
    <w:rsid w:val="00347249"/>
    <w:rsid w:val="00357695"/>
    <w:rsid w:val="00361DE1"/>
    <w:rsid w:val="00363324"/>
    <w:rsid w:val="00365DBD"/>
    <w:rsid w:val="00370B93"/>
    <w:rsid w:val="00376B8B"/>
    <w:rsid w:val="00383E92"/>
    <w:rsid w:val="00385459"/>
    <w:rsid w:val="00390D60"/>
    <w:rsid w:val="003A3FB1"/>
    <w:rsid w:val="003B01AE"/>
    <w:rsid w:val="003B0E2E"/>
    <w:rsid w:val="003B657B"/>
    <w:rsid w:val="003B67F5"/>
    <w:rsid w:val="003D2BB2"/>
    <w:rsid w:val="003E24C7"/>
    <w:rsid w:val="003E35D4"/>
    <w:rsid w:val="003E77A6"/>
    <w:rsid w:val="003F29AC"/>
    <w:rsid w:val="003F5065"/>
    <w:rsid w:val="003F5EDD"/>
    <w:rsid w:val="003F7216"/>
    <w:rsid w:val="00400C6E"/>
    <w:rsid w:val="00402856"/>
    <w:rsid w:val="004125A9"/>
    <w:rsid w:val="00417F74"/>
    <w:rsid w:val="00417FC3"/>
    <w:rsid w:val="00423010"/>
    <w:rsid w:val="0042716F"/>
    <w:rsid w:val="00431732"/>
    <w:rsid w:val="00433A29"/>
    <w:rsid w:val="004349D1"/>
    <w:rsid w:val="00434C3A"/>
    <w:rsid w:val="004461A9"/>
    <w:rsid w:val="0044687B"/>
    <w:rsid w:val="004515CA"/>
    <w:rsid w:val="00454A8C"/>
    <w:rsid w:val="00457805"/>
    <w:rsid w:val="00460EF3"/>
    <w:rsid w:val="0046126C"/>
    <w:rsid w:val="004626F9"/>
    <w:rsid w:val="004764DA"/>
    <w:rsid w:val="00481DBE"/>
    <w:rsid w:val="0048274B"/>
    <w:rsid w:val="00484543"/>
    <w:rsid w:val="00484803"/>
    <w:rsid w:val="00490FA2"/>
    <w:rsid w:val="00491D86"/>
    <w:rsid w:val="00494961"/>
    <w:rsid w:val="00494D61"/>
    <w:rsid w:val="004964F2"/>
    <w:rsid w:val="004A3B42"/>
    <w:rsid w:val="004B32EA"/>
    <w:rsid w:val="004B7ABA"/>
    <w:rsid w:val="004D1CD7"/>
    <w:rsid w:val="004D6666"/>
    <w:rsid w:val="004D6A37"/>
    <w:rsid w:val="004E18A3"/>
    <w:rsid w:val="004E7C9A"/>
    <w:rsid w:val="004F3A7D"/>
    <w:rsid w:val="004F72EF"/>
    <w:rsid w:val="0050131F"/>
    <w:rsid w:val="00502AB1"/>
    <w:rsid w:val="005116B3"/>
    <w:rsid w:val="00512193"/>
    <w:rsid w:val="0051459F"/>
    <w:rsid w:val="005241E7"/>
    <w:rsid w:val="00534DC9"/>
    <w:rsid w:val="00545B9D"/>
    <w:rsid w:val="0054612C"/>
    <w:rsid w:val="00546628"/>
    <w:rsid w:val="00553CE7"/>
    <w:rsid w:val="00557A6B"/>
    <w:rsid w:val="00560575"/>
    <w:rsid w:val="005649DF"/>
    <w:rsid w:val="00565A5A"/>
    <w:rsid w:val="00570EB7"/>
    <w:rsid w:val="00570F79"/>
    <w:rsid w:val="00572ECC"/>
    <w:rsid w:val="00574AA3"/>
    <w:rsid w:val="00581AEA"/>
    <w:rsid w:val="00591E08"/>
    <w:rsid w:val="00591F4A"/>
    <w:rsid w:val="00593BC5"/>
    <w:rsid w:val="00593E3A"/>
    <w:rsid w:val="00594AF7"/>
    <w:rsid w:val="005A2E81"/>
    <w:rsid w:val="005A5F23"/>
    <w:rsid w:val="005B178A"/>
    <w:rsid w:val="005B1A3A"/>
    <w:rsid w:val="005B2C41"/>
    <w:rsid w:val="005B6148"/>
    <w:rsid w:val="005C638B"/>
    <w:rsid w:val="005D4F9B"/>
    <w:rsid w:val="005E15B9"/>
    <w:rsid w:val="005E30D6"/>
    <w:rsid w:val="005E3FCF"/>
    <w:rsid w:val="006066DE"/>
    <w:rsid w:val="00612D60"/>
    <w:rsid w:val="00626EFB"/>
    <w:rsid w:val="00633D5D"/>
    <w:rsid w:val="00651D69"/>
    <w:rsid w:val="00653A4D"/>
    <w:rsid w:val="00654D38"/>
    <w:rsid w:val="00660D0F"/>
    <w:rsid w:val="00667AE3"/>
    <w:rsid w:val="0067239D"/>
    <w:rsid w:val="00676BC2"/>
    <w:rsid w:val="006921F3"/>
    <w:rsid w:val="00694AA8"/>
    <w:rsid w:val="006A57E5"/>
    <w:rsid w:val="006A5E87"/>
    <w:rsid w:val="006B15D0"/>
    <w:rsid w:val="006B6556"/>
    <w:rsid w:val="006B7369"/>
    <w:rsid w:val="006C2058"/>
    <w:rsid w:val="006C6351"/>
    <w:rsid w:val="006D2804"/>
    <w:rsid w:val="006E167B"/>
    <w:rsid w:val="006E44E9"/>
    <w:rsid w:val="006E4E94"/>
    <w:rsid w:val="006E52EA"/>
    <w:rsid w:val="006F056E"/>
    <w:rsid w:val="006F2D00"/>
    <w:rsid w:val="006F7214"/>
    <w:rsid w:val="00701617"/>
    <w:rsid w:val="00701B57"/>
    <w:rsid w:val="0071352A"/>
    <w:rsid w:val="007327F4"/>
    <w:rsid w:val="00743D68"/>
    <w:rsid w:val="007475FD"/>
    <w:rsid w:val="0075158B"/>
    <w:rsid w:val="00753DFE"/>
    <w:rsid w:val="007570EF"/>
    <w:rsid w:val="007645BD"/>
    <w:rsid w:val="007748D8"/>
    <w:rsid w:val="0078798E"/>
    <w:rsid w:val="00792B8B"/>
    <w:rsid w:val="007A3021"/>
    <w:rsid w:val="007B7E55"/>
    <w:rsid w:val="007C0DDE"/>
    <w:rsid w:val="007C1243"/>
    <w:rsid w:val="007C1576"/>
    <w:rsid w:val="007C1E16"/>
    <w:rsid w:val="007C3763"/>
    <w:rsid w:val="007C3F93"/>
    <w:rsid w:val="007D32BC"/>
    <w:rsid w:val="007D3748"/>
    <w:rsid w:val="007F3EC5"/>
    <w:rsid w:val="007F5390"/>
    <w:rsid w:val="00801C5D"/>
    <w:rsid w:val="0080432B"/>
    <w:rsid w:val="008162F4"/>
    <w:rsid w:val="008204D6"/>
    <w:rsid w:val="00820D56"/>
    <w:rsid w:val="008214BA"/>
    <w:rsid w:val="00827D6F"/>
    <w:rsid w:val="00834BD9"/>
    <w:rsid w:val="00837B7C"/>
    <w:rsid w:val="008502B9"/>
    <w:rsid w:val="008528ED"/>
    <w:rsid w:val="00852B04"/>
    <w:rsid w:val="00854E68"/>
    <w:rsid w:val="00867AAE"/>
    <w:rsid w:val="008705A5"/>
    <w:rsid w:val="008722C8"/>
    <w:rsid w:val="00874247"/>
    <w:rsid w:val="00890E26"/>
    <w:rsid w:val="008A5BB9"/>
    <w:rsid w:val="008B74B0"/>
    <w:rsid w:val="008C01A6"/>
    <w:rsid w:val="008C27D3"/>
    <w:rsid w:val="008C3553"/>
    <w:rsid w:val="008C382F"/>
    <w:rsid w:val="008C3F93"/>
    <w:rsid w:val="008D2688"/>
    <w:rsid w:val="008D3AA8"/>
    <w:rsid w:val="008D7F38"/>
    <w:rsid w:val="008E339C"/>
    <w:rsid w:val="008E79A6"/>
    <w:rsid w:val="008F12DC"/>
    <w:rsid w:val="009004E1"/>
    <w:rsid w:val="00905667"/>
    <w:rsid w:val="00907343"/>
    <w:rsid w:val="0090767C"/>
    <w:rsid w:val="00913484"/>
    <w:rsid w:val="0091477F"/>
    <w:rsid w:val="00916408"/>
    <w:rsid w:val="00924162"/>
    <w:rsid w:val="00931DB4"/>
    <w:rsid w:val="00931F24"/>
    <w:rsid w:val="0093358C"/>
    <w:rsid w:val="00935069"/>
    <w:rsid w:val="009409F5"/>
    <w:rsid w:val="0095157A"/>
    <w:rsid w:val="00955A3A"/>
    <w:rsid w:val="00962E25"/>
    <w:rsid w:val="0097305F"/>
    <w:rsid w:val="0098201E"/>
    <w:rsid w:val="00987488"/>
    <w:rsid w:val="0099072C"/>
    <w:rsid w:val="009924D2"/>
    <w:rsid w:val="00993FF1"/>
    <w:rsid w:val="009956FA"/>
    <w:rsid w:val="00996E91"/>
    <w:rsid w:val="009A25EB"/>
    <w:rsid w:val="009A7965"/>
    <w:rsid w:val="009B0341"/>
    <w:rsid w:val="009B0BF1"/>
    <w:rsid w:val="009B10E1"/>
    <w:rsid w:val="009B6EAA"/>
    <w:rsid w:val="009E44F6"/>
    <w:rsid w:val="009F453C"/>
    <w:rsid w:val="00A025AB"/>
    <w:rsid w:val="00A17585"/>
    <w:rsid w:val="00A206BD"/>
    <w:rsid w:val="00A21F7A"/>
    <w:rsid w:val="00A24118"/>
    <w:rsid w:val="00A377E5"/>
    <w:rsid w:val="00A42F01"/>
    <w:rsid w:val="00A44545"/>
    <w:rsid w:val="00A458F2"/>
    <w:rsid w:val="00A46F17"/>
    <w:rsid w:val="00A55215"/>
    <w:rsid w:val="00A557A9"/>
    <w:rsid w:val="00A566E2"/>
    <w:rsid w:val="00A56E29"/>
    <w:rsid w:val="00A57E00"/>
    <w:rsid w:val="00A6555B"/>
    <w:rsid w:val="00A6593D"/>
    <w:rsid w:val="00A704CF"/>
    <w:rsid w:val="00A80A07"/>
    <w:rsid w:val="00A90D8E"/>
    <w:rsid w:val="00A960BA"/>
    <w:rsid w:val="00A966C7"/>
    <w:rsid w:val="00AA2E61"/>
    <w:rsid w:val="00AA6F1B"/>
    <w:rsid w:val="00AB43B1"/>
    <w:rsid w:val="00AB79D8"/>
    <w:rsid w:val="00AC07B1"/>
    <w:rsid w:val="00AC3F65"/>
    <w:rsid w:val="00AC4AE4"/>
    <w:rsid w:val="00AD48E3"/>
    <w:rsid w:val="00AD704C"/>
    <w:rsid w:val="00AE2AEF"/>
    <w:rsid w:val="00AE3278"/>
    <w:rsid w:val="00AF3CAB"/>
    <w:rsid w:val="00AF4A8D"/>
    <w:rsid w:val="00B01457"/>
    <w:rsid w:val="00B0650C"/>
    <w:rsid w:val="00B06C4B"/>
    <w:rsid w:val="00B1110E"/>
    <w:rsid w:val="00B11C85"/>
    <w:rsid w:val="00B2042A"/>
    <w:rsid w:val="00B2480C"/>
    <w:rsid w:val="00B3013D"/>
    <w:rsid w:val="00B43B8A"/>
    <w:rsid w:val="00B46675"/>
    <w:rsid w:val="00B620A4"/>
    <w:rsid w:val="00B74B40"/>
    <w:rsid w:val="00B76423"/>
    <w:rsid w:val="00B7675E"/>
    <w:rsid w:val="00B82F78"/>
    <w:rsid w:val="00B8394B"/>
    <w:rsid w:val="00B85F13"/>
    <w:rsid w:val="00B9417D"/>
    <w:rsid w:val="00B97B53"/>
    <w:rsid w:val="00BA3B33"/>
    <w:rsid w:val="00BB36F2"/>
    <w:rsid w:val="00BC10FA"/>
    <w:rsid w:val="00BC121F"/>
    <w:rsid w:val="00BC245C"/>
    <w:rsid w:val="00BD32B8"/>
    <w:rsid w:val="00BE2975"/>
    <w:rsid w:val="00BE4D3A"/>
    <w:rsid w:val="00BE61C5"/>
    <w:rsid w:val="00BF0A72"/>
    <w:rsid w:val="00BF3F8D"/>
    <w:rsid w:val="00C125DC"/>
    <w:rsid w:val="00C261DD"/>
    <w:rsid w:val="00C26FEC"/>
    <w:rsid w:val="00C2721F"/>
    <w:rsid w:val="00C27D7D"/>
    <w:rsid w:val="00C35BC8"/>
    <w:rsid w:val="00C41A6F"/>
    <w:rsid w:val="00C503C9"/>
    <w:rsid w:val="00C56888"/>
    <w:rsid w:val="00C67DF2"/>
    <w:rsid w:val="00C73AF8"/>
    <w:rsid w:val="00C8058C"/>
    <w:rsid w:val="00C809DE"/>
    <w:rsid w:val="00C872DC"/>
    <w:rsid w:val="00C912F7"/>
    <w:rsid w:val="00C915C3"/>
    <w:rsid w:val="00C939AD"/>
    <w:rsid w:val="00CA0BA9"/>
    <w:rsid w:val="00CB378B"/>
    <w:rsid w:val="00CC36DF"/>
    <w:rsid w:val="00CC3D5A"/>
    <w:rsid w:val="00CC41AD"/>
    <w:rsid w:val="00CC77A8"/>
    <w:rsid w:val="00CC78E8"/>
    <w:rsid w:val="00CC7EF7"/>
    <w:rsid w:val="00CE0652"/>
    <w:rsid w:val="00CE2573"/>
    <w:rsid w:val="00CE3B32"/>
    <w:rsid w:val="00CE531E"/>
    <w:rsid w:val="00CF080C"/>
    <w:rsid w:val="00D04086"/>
    <w:rsid w:val="00D10F2B"/>
    <w:rsid w:val="00D12AF1"/>
    <w:rsid w:val="00D16D7B"/>
    <w:rsid w:val="00D2456C"/>
    <w:rsid w:val="00D345AD"/>
    <w:rsid w:val="00D41F46"/>
    <w:rsid w:val="00D43576"/>
    <w:rsid w:val="00D50CFA"/>
    <w:rsid w:val="00D5442F"/>
    <w:rsid w:val="00D611FF"/>
    <w:rsid w:val="00D61A68"/>
    <w:rsid w:val="00D631E1"/>
    <w:rsid w:val="00D700A8"/>
    <w:rsid w:val="00D72CEB"/>
    <w:rsid w:val="00D73C7A"/>
    <w:rsid w:val="00D73D6F"/>
    <w:rsid w:val="00D742F0"/>
    <w:rsid w:val="00D847C9"/>
    <w:rsid w:val="00D92855"/>
    <w:rsid w:val="00D95245"/>
    <w:rsid w:val="00DA769F"/>
    <w:rsid w:val="00DC0374"/>
    <w:rsid w:val="00DC0AD1"/>
    <w:rsid w:val="00DC3EDC"/>
    <w:rsid w:val="00DC67D7"/>
    <w:rsid w:val="00DD022B"/>
    <w:rsid w:val="00DE4E4B"/>
    <w:rsid w:val="00DE648D"/>
    <w:rsid w:val="00DF2D0C"/>
    <w:rsid w:val="00E00DC0"/>
    <w:rsid w:val="00E02FB3"/>
    <w:rsid w:val="00E04EC9"/>
    <w:rsid w:val="00E060D5"/>
    <w:rsid w:val="00E35663"/>
    <w:rsid w:val="00E3638E"/>
    <w:rsid w:val="00E44D32"/>
    <w:rsid w:val="00E47130"/>
    <w:rsid w:val="00E47E0F"/>
    <w:rsid w:val="00E530A2"/>
    <w:rsid w:val="00E6058C"/>
    <w:rsid w:val="00E662D1"/>
    <w:rsid w:val="00E70152"/>
    <w:rsid w:val="00E705DE"/>
    <w:rsid w:val="00E72583"/>
    <w:rsid w:val="00E7296B"/>
    <w:rsid w:val="00E821B1"/>
    <w:rsid w:val="00E916B6"/>
    <w:rsid w:val="00EA2737"/>
    <w:rsid w:val="00EA3D50"/>
    <w:rsid w:val="00EB0E85"/>
    <w:rsid w:val="00EB49D3"/>
    <w:rsid w:val="00EB5104"/>
    <w:rsid w:val="00EC0351"/>
    <w:rsid w:val="00EC31C2"/>
    <w:rsid w:val="00EC43BC"/>
    <w:rsid w:val="00EC618E"/>
    <w:rsid w:val="00ED4F61"/>
    <w:rsid w:val="00ED70E5"/>
    <w:rsid w:val="00EE2E0A"/>
    <w:rsid w:val="00EF360F"/>
    <w:rsid w:val="00EF632B"/>
    <w:rsid w:val="00F06BE3"/>
    <w:rsid w:val="00F1535D"/>
    <w:rsid w:val="00F179B6"/>
    <w:rsid w:val="00F230E9"/>
    <w:rsid w:val="00F434C7"/>
    <w:rsid w:val="00F52E31"/>
    <w:rsid w:val="00F62CC4"/>
    <w:rsid w:val="00F66C4E"/>
    <w:rsid w:val="00F6783F"/>
    <w:rsid w:val="00F73C4B"/>
    <w:rsid w:val="00F7758D"/>
    <w:rsid w:val="00F80A07"/>
    <w:rsid w:val="00F82551"/>
    <w:rsid w:val="00F82713"/>
    <w:rsid w:val="00F8435A"/>
    <w:rsid w:val="00F85354"/>
    <w:rsid w:val="00F9083D"/>
    <w:rsid w:val="00F9641C"/>
    <w:rsid w:val="00FA1388"/>
    <w:rsid w:val="00FA229D"/>
    <w:rsid w:val="00FA5F71"/>
    <w:rsid w:val="00FB36BA"/>
    <w:rsid w:val="00FB5352"/>
    <w:rsid w:val="00FB7B30"/>
    <w:rsid w:val="00FC336E"/>
    <w:rsid w:val="00FC4059"/>
    <w:rsid w:val="00FC74B7"/>
    <w:rsid w:val="00FD2919"/>
    <w:rsid w:val="00FD6F6D"/>
    <w:rsid w:val="00FD7340"/>
    <w:rsid w:val="00FD7500"/>
    <w:rsid w:val="00FE5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7006DF"/>
  <w15:docId w15:val="{738465EE-8931-4CE2-A0CF-8B8708AD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 w:type="character" w:styleId="UnresolvedMention">
    <w:name w:val="Unresolved Mention"/>
    <w:basedOn w:val="DefaultParagraphFont"/>
    <w:uiPriority w:val="99"/>
    <w:semiHidden/>
    <w:unhideWhenUsed/>
    <w:rsid w:val="006B7369"/>
    <w:rPr>
      <w:color w:val="808080"/>
      <w:shd w:val="clear" w:color="auto" w:fill="E6E6E6"/>
    </w:rPr>
  </w:style>
  <w:style w:type="character" w:styleId="FollowedHyperlink">
    <w:name w:val="FollowedHyperlink"/>
    <w:basedOn w:val="DefaultParagraphFont"/>
    <w:uiPriority w:val="99"/>
    <w:semiHidden/>
    <w:unhideWhenUsed/>
    <w:rsid w:val="00370B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4225">
      <w:bodyDiv w:val="1"/>
      <w:marLeft w:val="0"/>
      <w:marRight w:val="0"/>
      <w:marTop w:val="0"/>
      <w:marBottom w:val="0"/>
      <w:divBdr>
        <w:top w:val="none" w:sz="0" w:space="0" w:color="auto"/>
        <w:left w:val="none" w:sz="0" w:space="0" w:color="auto"/>
        <w:bottom w:val="none" w:sz="0" w:space="0" w:color="auto"/>
        <w:right w:val="none" w:sz="0" w:space="0" w:color="auto"/>
      </w:divBdr>
    </w:div>
    <w:div w:id="164830069">
      <w:bodyDiv w:val="1"/>
      <w:marLeft w:val="0"/>
      <w:marRight w:val="0"/>
      <w:marTop w:val="0"/>
      <w:marBottom w:val="0"/>
      <w:divBdr>
        <w:top w:val="none" w:sz="0" w:space="0" w:color="auto"/>
        <w:left w:val="none" w:sz="0" w:space="0" w:color="auto"/>
        <w:bottom w:val="none" w:sz="0" w:space="0" w:color="auto"/>
        <w:right w:val="none" w:sz="0" w:space="0" w:color="auto"/>
      </w:divBdr>
    </w:div>
    <w:div w:id="194462457">
      <w:bodyDiv w:val="1"/>
      <w:marLeft w:val="0"/>
      <w:marRight w:val="0"/>
      <w:marTop w:val="0"/>
      <w:marBottom w:val="0"/>
      <w:divBdr>
        <w:top w:val="none" w:sz="0" w:space="0" w:color="auto"/>
        <w:left w:val="none" w:sz="0" w:space="0" w:color="auto"/>
        <w:bottom w:val="none" w:sz="0" w:space="0" w:color="auto"/>
        <w:right w:val="none" w:sz="0" w:space="0" w:color="auto"/>
      </w:divBdr>
    </w:div>
    <w:div w:id="201602955">
      <w:bodyDiv w:val="1"/>
      <w:marLeft w:val="0"/>
      <w:marRight w:val="0"/>
      <w:marTop w:val="0"/>
      <w:marBottom w:val="0"/>
      <w:divBdr>
        <w:top w:val="none" w:sz="0" w:space="0" w:color="auto"/>
        <w:left w:val="none" w:sz="0" w:space="0" w:color="auto"/>
        <w:bottom w:val="none" w:sz="0" w:space="0" w:color="auto"/>
        <w:right w:val="none" w:sz="0" w:space="0" w:color="auto"/>
      </w:divBdr>
    </w:div>
    <w:div w:id="277881370">
      <w:bodyDiv w:val="1"/>
      <w:marLeft w:val="0"/>
      <w:marRight w:val="0"/>
      <w:marTop w:val="0"/>
      <w:marBottom w:val="0"/>
      <w:divBdr>
        <w:top w:val="none" w:sz="0" w:space="0" w:color="auto"/>
        <w:left w:val="none" w:sz="0" w:space="0" w:color="auto"/>
        <w:bottom w:val="none" w:sz="0" w:space="0" w:color="auto"/>
        <w:right w:val="none" w:sz="0" w:space="0" w:color="auto"/>
      </w:divBdr>
    </w:div>
    <w:div w:id="390814306">
      <w:bodyDiv w:val="1"/>
      <w:marLeft w:val="0"/>
      <w:marRight w:val="0"/>
      <w:marTop w:val="0"/>
      <w:marBottom w:val="0"/>
      <w:divBdr>
        <w:top w:val="none" w:sz="0" w:space="0" w:color="auto"/>
        <w:left w:val="none" w:sz="0" w:space="0" w:color="auto"/>
        <w:bottom w:val="none" w:sz="0" w:space="0" w:color="auto"/>
        <w:right w:val="none" w:sz="0" w:space="0" w:color="auto"/>
      </w:divBdr>
    </w:div>
    <w:div w:id="396785629">
      <w:bodyDiv w:val="1"/>
      <w:marLeft w:val="0"/>
      <w:marRight w:val="0"/>
      <w:marTop w:val="0"/>
      <w:marBottom w:val="0"/>
      <w:divBdr>
        <w:top w:val="none" w:sz="0" w:space="0" w:color="auto"/>
        <w:left w:val="none" w:sz="0" w:space="0" w:color="auto"/>
        <w:bottom w:val="none" w:sz="0" w:space="0" w:color="auto"/>
        <w:right w:val="none" w:sz="0" w:space="0" w:color="auto"/>
      </w:divBdr>
    </w:div>
    <w:div w:id="505948178">
      <w:bodyDiv w:val="1"/>
      <w:marLeft w:val="0"/>
      <w:marRight w:val="0"/>
      <w:marTop w:val="0"/>
      <w:marBottom w:val="0"/>
      <w:divBdr>
        <w:top w:val="none" w:sz="0" w:space="0" w:color="auto"/>
        <w:left w:val="none" w:sz="0" w:space="0" w:color="auto"/>
        <w:bottom w:val="none" w:sz="0" w:space="0" w:color="auto"/>
        <w:right w:val="none" w:sz="0" w:space="0" w:color="auto"/>
      </w:divBdr>
    </w:div>
    <w:div w:id="1109352894">
      <w:bodyDiv w:val="1"/>
      <w:marLeft w:val="0"/>
      <w:marRight w:val="0"/>
      <w:marTop w:val="0"/>
      <w:marBottom w:val="0"/>
      <w:divBdr>
        <w:top w:val="none" w:sz="0" w:space="0" w:color="auto"/>
        <w:left w:val="none" w:sz="0" w:space="0" w:color="auto"/>
        <w:bottom w:val="none" w:sz="0" w:space="0" w:color="auto"/>
        <w:right w:val="none" w:sz="0" w:space="0" w:color="auto"/>
      </w:divBdr>
    </w:div>
    <w:div w:id="1194613393">
      <w:bodyDiv w:val="1"/>
      <w:marLeft w:val="0"/>
      <w:marRight w:val="0"/>
      <w:marTop w:val="0"/>
      <w:marBottom w:val="0"/>
      <w:divBdr>
        <w:top w:val="none" w:sz="0" w:space="0" w:color="auto"/>
        <w:left w:val="none" w:sz="0" w:space="0" w:color="auto"/>
        <w:bottom w:val="none" w:sz="0" w:space="0" w:color="auto"/>
        <w:right w:val="none" w:sz="0" w:space="0" w:color="auto"/>
      </w:divBdr>
    </w:div>
    <w:div w:id="1233152484">
      <w:bodyDiv w:val="1"/>
      <w:marLeft w:val="0"/>
      <w:marRight w:val="0"/>
      <w:marTop w:val="0"/>
      <w:marBottom w:val="0"/>
      <w:divBdr>
        <w:top w:val="none" w:sz="0" w:space="0" w:color="auto"/>
        <w:left w:val="none" w:sz="0" w:space="0" w:color="auto"/>
        <w:bottom w:val="none" w:sz="0" w:space="0" w:color="auto"/>
        <w:right w:val="none" w:sz="0" w:space="0" w:color="auto"/>
      </w:divBdr>
    </w:div>
    <w:div w:id="1273324882">
      <w:bodyDiv w:val="1"/>
      <w:marLeft w:val="0"/>
      <w:marRight w:val="0"/>
      <w:marTop w:val="0"/>
      <w:marBottom w:val="0"/>
      <w:divBdr>
        <w:top w:val="none" w:sz="0" w:space="0" w:color="auto"/>
        <w:left w:val="none" w:sz="0" w:space="0" w:color="auto"/>
        <w:bottom w:val="none" w:sz="0" w:space="0" w:color="auto"/>
        <w:right w:val="none" w:sz="0" w:space="0" w:color="auto"/>
      </w:divBdr>
    </w:div>
    <w:div w:id="1479835118">
      <w:bodyDiv w:val="1"/>
      <w:marLeft w:val="0"/>
      <w:marRight w:val="0"/>
      <w:marTop w:val="0"/>
      <w:marBottom w:val="0"/>
      <w:divBdr>
        <w:top w:val="none" w:sz="0" w:space="0" w:color="auto"/>
        <w:left w:val="none" w:sz="0" w:space="0" w:color="auto"/>
        <w:bottom w:val="none" w:sz="0" w:space="0" w:color="auto"/>
        <w:right w:val="none" w:sz="0" w:space="0" w:color="auto"/>
      </w:divBdr>
    </w:div>
    <w:div w:id="1566644769">
      <w:bodyDiv w:val="1"/>
      <w:marLeft w:val="0"/>
      <w:marRight w:val="0"/>
      <w:marTop w:val="0"/>
      <w:marBottom w:val="0"/>
      <w:divBdr>
        <w:top w:val="none" w:sz="0" w:space="0" w:color="auto"/>
        <w:left w:val="none" w:sz="0" w:space="0" w:color="auto"/>
        <w:bottom w:val="none" w:sz="0" w:space="0" w:color="auto"/>
        <w:right w:val="none" w:sz="0" w:space="0" w:color="auto"/>
      </w:divBdr>
    </w:div>
    <w:div w:id="1744184732">
      <w:bodyDiv w:val="1"/>
      <w:marLeft w:val="0"/>
      <w:marRight w:val="0"/>
      <w:marTop w:val="0"/>
      <w:marBottom w:val="0"/>
      <w:divBdr>
        <w:top w:val="none" w:sz="0" w:space="0" w:color="auto"/>
        <w:left w:val="none" w:sz="0" w:space="0" w:color="auto"/>
        <w:bottom w:val="none" w:sz="0" w:space="0" w:color="auto"/>
        <w:right w:val="none" w:sz="0" w:space="0" w:color="auto"/>
      </w:divBdr>
    </w:div>
    <w:div w:id="21416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6/507/regulation/15/ma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service-manual/helping-people-to-use-your-service/getting-an-accessibility-aud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ds.blog.gov.uk/2018/06/20/creating-the-uk-governments-accessibility-empathy-la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uidance/accessibility-requirements-for-public-sector-websites-and-apps" TargetMode="External"/><Relationship Id="rId4" Type="http://schemas.openxmlformats.org/officeDocument/2006/relationships/settings" Target="settings.xml"/><Relationship Id="rId9" Type="http://schemas.openxmlformats.org/officeDocument/2006/relationships/hyperlink" Target="http://www.legislation.gov.uk/uksi/2016/507/regulation/15/ma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23F24-C00F-40E4-BAFB-0F98E7A0B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2182</Words>
  <Characters>12439</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E. Guerra</dc:creator>
  <cp:lastModifiedBy>Jade Palmer</cp:lastModifiedBy>
  <cp:revision>2</cp:revision>
  <cp:lastPrinted>2017-02-08T11:23:00Z</cp:lastPrinted>
  <dcterms:created xsi:type="dcterms:W3CDTF">2021-07-13T10:44:00Z</dcterms:created>
  <dcterms:modified xsi:type="dcterms:W3CDTF">2021-07-13T10:44:00Z</dcterms:modified>
</cp:coreProperties>
</file>