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08A" w:rsidRDefault="005D608A" w:rsidP="006F1A7F">
      <w:pPr>
        <w:pStyle w:val="GPSL1Guidance"/>
      </w:pPr>
      <w:r w:rsidRPr="00892399">
        <w:rPr>
          <w:b w:val="0"/>
          <w:noProof/>
          <w:lang w:eastAsia="en-GB"/>
        </w:rPr>
        <w:drawing>
          <wp:inline distT="0" distB="0" distL="0" distR="0" wp14:anchorId="439C6F18" wp14:editId="635EB9B8">
            <wp:extent cx="1021218" cy="850973"/>
            <wp:effectExtent l="0" t="0" r="7620" b="6350"/>
            <wp:docPr id="1" name="Picture 1" descr="http://rlbvs08/MBD/BrandCentral/2013%20GPS%20Logos/Colou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lbvs08/MBD/BrandCentral/2013%20GPS%20Logos/Colour/CCS_2935_SML_AW_72dpi.jpg"/>
                    <pic:cNvPicPr>
                      <a:picLocks noChangeAspect="1" noChangeArrowheads="1"/>
                    </pic:cNvPicPr>
                  </pic:nvPicPr>
                  <pic:blipFill>
                    <a:blip r:embed="rId8" cstate="print"/>
                    <a:srcRect/>
                    <a:stretch>
                      <a:fillRect/>
                    </a:stretch>
                  </pic:blipFill>
                  <pic:spPr bwMode="auto">
                    <a:xfrm>
                      <a:off x="0" y="0"/>
                      <a:ext cx="1048324" cy="873560"/>
                    </a:xfrm>
                    <a:prstGeom prst="rect">
                      <a:avLst/>
                    </a:prstGeom>
                    <a:noFill/>
                    <a:ln w="9525">
                      <a:noFill/>
                      <a:miter lim="800000"/>
                      <a:headEnd/>
                      <a:tailEnd/>
                    </a:ln>
                  </pic:spPr>
                </pic:pic>
              </a:graphicData>
            </a:graphic>
          </wp:inline>
        </w:drawing>
      </w:r>
    </w:p>
    <w:p w:rsidR="005D608A" w:rsidRDefault="005D608A" w:rsidP="006F1A7F">
      <w:pPr>
        <w:pStyle w:val="GPSL1Guidance"/>
      </w:pPr>
    </w:p>
    <w:p w:rsidR="005D608A" w:rsidRDefault="005D608A" w:rsidP="006F1A7F">
      <w:pPr>
        <w:pStyle w:val="GPSL1Guidance"/>
      </w:pPr>
    </w:p>
    <w:p w:rsidR="00DE2B8D" w:rsidRPr="004B2201" w:rsidRDefault="00DE2B8D" w:rsidP="00DE2B8D">
      <w:pPr>
        <w:spacing w:before="240" w:after="120"/>
        <w:ind w:left="426"/>
        <w:rPr>
          <w:rFonts w:ascii="Arial" w:hAnsi="Arial"/>
          <w:b/>
          <w:i/>
        </w:rPr>
      </w:pPr>
    </w:p>
    <w:p w:rsidR="00DE2B8D" w:rsidRPr="004B2201" w:rsidRDefault="00DE2B8D" w:rsidP="00DE2B8D">
      <w:pPr>
        <w:spacing w:before="240" w:after="120"/>
        <w:ind w:left="426"/>
        <w:rPr>
          <w:rFonts w:ascii="Arial" w:hAnsi="Arial"/>
          <w:b/>
          <w:i/>
        </w:rPr>
      </w:pPr>
    </w:p>
    <w:p w:rsidR="00177ABF" w:rsidRPr="00177ABF" w:rsidRDefault="00177ABF" w:rsidP="00177ABF">
      <w:pPr>
        <w:spacing w:before="240" w:after="120"/>
        <w:ind w:left="426"/>
        <w:rPr>
          <w:b/>
          <w:i/>
        </w:rPr>
      </w:pPr>
    </w:p>
    <w:p w:rsidR="002E5A02" w:rsidRPr="002E5A02" w:rsidRDefault="002E5A02" w:rsidP="002E5A02">
      <w:pPr>
        <w:jc w:val="center"/>
        <w:rPr>
          <w:b/>
        </w:rPr>
      </w:pPr>
      <w:r w:rsidRPr="002E5A02">
        <w:rPr>
          <w:b/>
        </w:rPr>
        <w:t>CROWN COMMERCIAL SERVICE</w:t>
      </w:r>
    </w:p>
    <w:p w:rsidR="002E5A02" w:rsidRPr="002E5A02" w:rsidRDefault="002E5A02" w:rsidP="002E5A02">
      <w:pPr>
        <w:jc w:val="center"/>
        <w:rPr>
          <w:b/>
        </w:rPr>
      </w:pPr>
    </w:p>
    <w:p w:rsidR="002E5A02" w:rsidRPr="002E5A02" w:rsidRDefault="002E5A02" w:rsidP="002E5A02">
      <w:pPr>
        <w:jc w:val="center"/>
        <w:rPr>
          <w:b/>
        </w:rPr>
      </w:pPr>
      <w:r w:rsidRPr="002E5A02">
        <w:rPr>
          <w:b/>
        </w:rPr>
        <w:t>and</w:t>
      </w:r>
    </w:p>
    <w:p w:rsidR="002E5A02" w:rsidRPr="002E5A02" w:rsidRDefault="002E5A02" w:rsidP="002E5A02">
      <w:pPr>
        <w:jc w:val="center"/>
        <w:rPr>
          <w:b/>
          <w:highlight w:val="yellow"/>
        </w:rPr>
      </w:pPr>
    </w:p>
    <w:p w:rsidR="00BB4AA6" w:rsidRPr="00C46A69" w:rsidRDefault="00BB4AA6" w:rsidP="00BB4AA6">
      <w:pPr>
        <w:jc w:val="center"/>
        <w:rPr>
          <w:rFonts w:ascii="Arial" w:hAnsi="Arial"/>
          <w:b/>
        </w:rPr>
      </w:pPr>
      <w:r w:rsidRPr="00194071">
        <w:rPr>
          <w:rFonts w:ascii="Arial" w:hAnsi="Arial"/>
          <w:b/>
          <w:noProof/>
          <w:highlight w:val="yellow"/>
          <w:u w:val="single"/>
        </w:rPr>
        <w:t>&lt;SUPPLIER NAME&gt;</w:t>
      </w:r>
    </w:p>
    <w:p w:rsidR="002E5A02" w:rsidRPr="002E5A02" w:rsidRDefault="002E5A02" w:rsidP="002E5A02">
      <w:pPr>
        <w:rPr>
          <w:b/>
          <w:highlight w:val="yellow"/>
        </w:rPr>
      </w:pPr>
    </w:p>
    <w:p w:rsidR="002E5A02" w:rsidRPr="002E5A02" w:rsidRDefault="002E5A02" w:rsidP="002E5A02">
      <w:pPr>
        <w:jc w:val="center"/>
        <w:rPr>
          <w:b/>
        </w:rPr>
      </w:pPr>
      <w:r w:rsidRPr="002E5A02">
        <w:rPr>
          <w:b/>
        </w:rPr>
        <w:t xml:space="preserve">FRAMEWORK AGREEMENT FOR THE PROVISION </w:t>
      </w:r>
    </w:p>
    <w:p w:rsidR="002E5A02" w:rsidRPr="002E5A02" w:rsidRDefault="002E5A02" w:rsidP="002E5A02">
      <w:pPr>
        <w:jc w:val="center"/>
        <w:rPr>
          <w:b/>
        </w:rPr>
      </w:pPr>
      <w:r w:rsidRPr="002E5A02">
        <w:rPr>
          <w:b/>
        </w:rPr>
        <w:t xml:space="preserve">OF </w:t>
      </w:r>
    </w:p>
    <w:p w:rsidR="002E5A02" w:rsidRPr="002E5A02" w:rsidRDefault="002E5A02" w:rsidP="002E5A02">
      <w:pPr>
        <w:jc w:val="center"/>
        <w:rPr>
          <w:b/>
        </w:rPr>
      </w:pPr>
      <w:r w:rsidRPr="002E5A02">
        <w:rPr>
          <w:b/>
        </w:rPr>
        <w:t>APPRENTICESHIP TRAINING AND RELATED SERVICES – Lot A</w:t>
      </w:r>
    </w:p>
    <w:p w:rsidR="002E5A02" w:rsidRPr="002E5A02" w:rsidRDefault="002E5A02" w:rsidP="002E5A02">
      <w:pPr>
        <w:jc w:val="center"/>
        <w:rPr>
          <w:b/>
        </w:rPr>
      </w:pPr>
    </w:p>
    <w:p w:rsidR="002E5A02" w:rsidRPr="002E5A02" w:rsidRDefault="002E5A02" w:rsidP="002E5A02">
      <w:pPr>
        <w:jc w:val="center"/>
        <w:rPr>
          <w:b/>
        </w:rPr>
      </w:pPr>
      <w:r w:rsidRPr="002E5A02">
        <w:rPr>
          <w:b/>
        </w:rPr>
        <w:t>Agreement Ref: RM3823</w:t>
      </w:r>
    </w:p>
    <w:p w:rsidR="00581ECE" w:rsidRPr="004B2201" w:rsidRDefault="00581ECE" w:rsidP="00200A17">
      <w:pPr>
        <w:pStyle w:val="MarginText"/>
        <w:jc w:val="left"/>
        <w:rPr>
          <w:rFonts w:ascii="Arial" w:hAnsi="Arial" w:cs="Arial"/>
          <w:b/>
          <w:szCs w:val="22"/>
        </w:rPr>
      </w:pPr>
    </w:p>
    <w:p w:rsidR="009108EE" w:rsidRPr="004B2201" w:rsidRDefault="009108EE" w:rsidP="00926B1D">
      <w:pPr>
        <w:pStyle w:val="MarginText"/>
        <w:ind w:left="0"/>
        <w:jc w:val="left"/>
        <w:rPr>
          <w:rFonts w:ascii="Arial" w:hAnsi="Arial" w:cs="Arial"/>
          <w:b/>
          <w:szCs w:val="22"/>
        </w:rPr>
      </w:pPr>
      <w:r w:rsidRPr="004B2201">
        <w:rPr>
          <w:rFonts w:ascii="Arial" w:hAnsi="Arial" w:cs="Arial"/>
          <w:b/>
          <w:szCs w:val="22"/>
        </w:rPr>
        <w:br w:type="page"/>
      </w:r>
    </w:p>
    <w:p w:rsidR="00A026E9" w:rsidRPr="004B2201" w:rsidRDefault="009F36FE" w:rsidP="00747D6D">
      <w:pPr>
        <w:jc w:val="center"/>
        <w:rPr>
          <w:rFonts w:ascii="Arial" w:hAnsi="Arial"/>
          <w:b/>
        </w:rPr>
      </w:pPr>
      <w:bookmarkStart w:id="0" w:name="_Toc348635898"/>
      <w:bookmarkStart w:id="1" w:name="_Toc348964733"/>
      <w:bookmarkStart w:id="2" w:name="_Toc348635907"/>
      <w:bookmarkStart w:id="3" w:name="_Toc348964742"/>
      <w:bookmarkEnd w:id="0"/>
      <w:bookmarkEnd w:id="1"/>
      <w:bookmarkEnd w:id="2"/>
      <w:bookmarkEnd w:id="3"/>
      <w:r w:rsidRPr="004B2201">
        <w:rPr>
          <w:rFonts w:ascii="Arial" w:hAnsi="Arial"/>
          <w:b/>
        </w:rPr>
        <w:lastRenderedPageBreak/>
        <w:t>TABLE OF CONTENT</w:t>
      </w:r>
    </w:p>
    <w:bookmarkStart w:id="4" w:name="TOCAppendicesField"/>
    <w:bookmarkEnd w:id="4"/>
    <w:p w:rsidR="005D6C09" w:rsidRPr="005D6C09" w:rsidRDefault="00044569">
      <w:pPr>
        <w:pStyle w:val="TOC1"/>
        <w:tabs>
          <w:tab w:val="left" w:pos="709"/>
        </w:tabs>
        <w:rPr>
          <w:rFonts w:ascii="Arial" w:eastAsiaTheme="minorEastAsia" w:hAnsi="Arial"/>
          <w:b w:val="0"/>
          <w:bCs w:val="0"/>
          <w:caps w:val="0"/>
        </w:rPr>
      </w:pPr>
      <w:r w:rsidRPr="004B2201">
        <w:rPr>
          <w:rFonts w:ascii="Arial" w:hAnsi="Arial"/>
          <w:highlight w:val="lightGray"/>
        </w:rPr>
        <w:fldChar w:fldCharType="begin"/>
      </w:r>
      <w:r w:rsidRPr="004B2201">
        <w:rPr>
          <w:rFonts w:ascii="Arial" w:hAnsi="Arial"/>
          <w:highlight w:val="lightGray"/>
        </w:rPr>
        <w:instrText xml:space="preserve"> TOC \o "1-3" \h \z \u </w:instrText>
      </w:r>
      <w:r w:rsidRPr="004B2201">
        <w:rPr>
          <w:rFonts w:ascii="Arial" w:hAnsi="Arial"/>
          <w:highlight w:val="lightGray"/>
        </w:rPr>
        <w:fldChar w:fldCharType="separate"/>
      </w:r>
      <w:hyperlink w:anchor="_Toc492462868" w:history="1">
        <w:r w:rsidR="005D6C09" w:rsidRPr="005D6C09">
          <w:rPr>
            <w:rStyle w:val="Hyperlink"/>
            <w:rFonts w:ascii="Arial" w:eastAsia="STZhongsong" w:hAnsi="Arial"/>
          </w:rPr>
          <w:t>A.</w:t>
        </w:r>
        <w:r w:rsidR="005D6C09" w:rsidRPr="005D6C09">
          <w:rPr>
            <w:rFonts w:ascii="Arial" w:eastAsiaTheme="minorEastAsia" w:hAnsi="Arial"/>
            <w:b w:val="0"/>
            <w:bCs w:val="0"/>
            <w:caps w:val="0"/>
          </w:rPr>
          <w:tab/>
        </w:r>
        <w:r w:rsidR="005D6C09" w:rsidRPr="005D6C09">
          <w:rPr>
            <w:rStyle w:val="Hyperlink"/>
            <w:rFonts w:ascii="Arial" w:eastAsia="STZhongsong" w:hAnsi="Arial"/>
          </w:rPr>
          <w:t>PRELIMINARIES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_Toc492462868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5</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69" w:history="1">
        <w:r w:rsidR="005D6C09" w:rsidRPr="005D6C09">
          <w:rPr>
            <w:rStyle w:val="Hyperlink"/>
            <w:rFonts w:ascii="Arial" w:eastAsia="STZhongsong" w:hAnsi="Arial"/>
            <w:lang w:eastAsia="zh-CN"/>
          </w:rPr>
          <w:t>1.</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DEFINITIONS AND INTERPRETATION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_Toc492462869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6</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0" w:history="1">
        <w:r w:rsidR="005D6C09" w:rsidRPr="005D6C09">
          <w:rPr>
            <w:rStyle w:val="Hyperlink"/>
            <w:rFonts w:ascii="Arial" w:eastAsia="STZhongsong" w:hAnsi="Arial"/>
            <w:lang w:eastAsia="zh-CN"/>
          </w:rPr>
          <w:t>2.</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DUE DILIGENCE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1" w:history="1">
        <w:r w:rsidR="005D6C09" w:rsidRPr="005D6C09">
          <w:rPr>
            <w:rStyle w:val="Hyperlink"/>
            <w:rFonts w:ascii="Arial" w:eastAsia="STZhongsong" w:hAnsi="Arial"/>
            <w:lang w:eastAsia="zh-CN"/>
          </w:rPr>
          <w:t>3.</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SUPPLIER'S APPOINTMENT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2" w:history="1">
        <w:r w:rsidR="005D6C09" w:rsidRPr="005D6C09">
          <w:rPr>
            <w:rStyle w:val="Hyperlink"/>
            <w:rFonts w:ascii="Arial" w:eastAsia="STZhongsong" w:hAnsi="Arial"/>
            <w:lang w:eastAsia="zh-CN"/>
          </w:rPr>
          <w:t>4.</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SCOPE OF FRAMEWORK AGREEMENT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3" w:history="1">
        <w:r w:rsidR="005D6C09" w:rsidRPr="005D6C09">
          <w:rPr>
            <w:rStyle w:val="Hyperlink"/>
            <w:rFonts w:ascii="Arial" w:eastAsia="STZhongsong" w:hAnsi="Arial"/>
            <w:lang w:eastAsia="zh-CN"/>
          </w:rPr>
          <w:t>5.</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CALL OFF PROCEDURE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4" w:history="1">
        <w:r w:rsidR="005D6C09" w:rsidRPr="005D6C09">
          <w:rPr>
            <w:rStyle w:val="Hyperlink"/>
            <w:rFonts w:ascii="Arial" w:eastAsia="STZhongsong" w:hAnsi="Arial"/>
            <w:lang w:eastAsia="zh-CN"/>
          </w:rPr>
          <w:t>6.</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ASSISTANCE IN RELATED PROCUREMENTS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5" w:history="1">
        <w:r w:rsidR="005D6C09" w:rsidRPr="005D6C09">
          <w:rPr>
            <w:rStyle w:val="Hyperlink"/>
            <w:rFonts w:ascii="Arial" w:eastAsia="STZhongsong" w:hAnsi="Arial"/>
            <w:lang w:eastAsia="zh-CN"/>
          </w:rPr>
          <w:t>7.</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REPRESENTATIONS AND WARRANTIES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9</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6" w:history="1">
        <w:r w:rsidR="005D6C09" w:rsidRPr="005D6C09">
          <w:rPr>
            <w:rStyle w:val="Hyperlink"/>
            <w:rFonts w:ascii="Arial" w:eastAsia="STZhongsong" w:hAnsi="Arial"/>
            <w:lang w:eastAsia="zh-CN"/>
          </w:rPr>
          <w:t>8.</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GUARANTEE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11</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7" w:history="1">
        <w:r w:rsidR="005D6C09" w:rsidRPr="005D6C09">
          <w:rPr>
            <w:rStyle w:val="Hyperlink"/>
            <w:rFonts w:ascii="Arial" w:eastAsia="STZhongsong" w:hAnsi="Arial"/>
            <w:lang w:eastAsia="zh-CN"/>
          </w:rPr>
          <w:t>9.</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CYBER ESSENTIALS SCHEME CONDITION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11</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878" w:history="1">
        <w:r w:rsidR="005D6C09" w:rsidRPr="005D6C09">
          <w:rPr>
            <w:rStyle w:val="Hyperlink"/>
            <w:rFonts w:ascii="Arial" w:eastAsia="STZhongsong" w:hAnsi="Arial"/>
          </w:rPr>
          <w:t>B.</w:t>
        </w:r>
        <w:r w:rsidR="005D6C09" w:rsidRPr="005D6C09">
          <w:rPr>
            <w:rFonts w:ascii="Arial" w:eastAsiaTheme="minorEastAsia" w:hAnsi="Arial"/>
            <w:b w:val="0"/>
            <w:bCs w:val="0"/>
            <w:caps w:val="0"/>
          </w:rPr>
          <w:tab/>
        </w:r>
        <w:r w:rsidR="005D6C09" w:rsidRPr="005D6C09">
          <w:rPr>
            <w:rStyle w:val="Hyperlink"/>
            <w:rFonts w:ascii="Arial" w:eastAsia="STZhongsong" w:hAnsi="Arial"/>
          </w:rPr>
          <w:t>DURATION OF FRAMEWORK AGREEMENT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79" w:history="1">
        <w:r w:rsidR="005D6C09" w:rsidRPr="005D6C09">
          <w:rPr>
            <w:rStyle w:val="Hyperlink"/>
            <w:rFonts w:ascii="Arial" w:eastAsia="STZhongsong" w:hAnsi="Arial"/>
            <w:lang w:eastAsia="zh-CN"/>
          </w:rPr>
          <w:t>10.</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FRAMEWORK PERIOD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_Toc492462879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880" w:history="1">
        <w:r w:rsidR="005D6C09" w:rsidRPr="005D6C09">
          <w:rPr>
            <w:rStyle w:val="Hyperlink"/>
            <w:rFonts w:ascii="Arial" w:eastAsia="STZhongsong" w:hAnsi="Arial"/>
          </w:rPr>
          <w:t>C.</w:t>
        </w:r>
        <w:r w:rsidR="005D6C09" w:rsidRPr="005D6C09">
          <w:rPr>
            <w:rFonts w:ascii="Arial" w:eastAsiaTheme="minorEastAsia" w:hAnsi="Arial"/>
            <w:b w:val="0"/>
            <w:bCs w:val="0"/>
            <w:caps w:val="0"/>
          </w:rPr>
          <w:tab/>
        </w:r>
        <w:r w:rsidR="005D6C09" w:rsidRPr="005D6C09">
          <w:rPr>
            <w:rStyle w:val="Hyperlink"/>
            <w:rFonts w:ascii="Arial" w:eastAsia="STZhongsong" w:hAnsi="Arial"/>
          </w:rPr>
          <w:t>FRAMEWORK AGREEMENT PERFORMANCE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1" w:history="1">
        <w:r w:rsidR="005D6C09" w:rsidRPr="005D6C09">
          <w:rPr>
            <w:rStyle w:val="Hyperlink"/>
            <w:rFonts w:ascii="Arial" w:eastAsia="STZhongsong" w:hAnsi="Arial"/>
            <w:lang w:eastAsia="zh-CN"/>
          </w:rPr>
          <w:t>11.</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FRAMEWORK AGREEMENT PERFORMANCE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2" w:history="1">
        <w:r w:rsidR="005D6C09" w:rsidRPr="005D6C09">
          <w:rPr>
            <w:rStyle w:val="Hyperlink"/>
            <w:rFonts w:ascii="Arial" w:eastAsia="STZhongsong" w:hAnsi="Arial"/>
            <w:lang w:eastAsia="zh-CN"/>
          </w:rPr>
          <w:t>12.</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KEY PERFORMANCE INDICATORS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3" w:history="1">
        <w:r w:rsidR="005D6C09" w:rsidRPr="005D6C09">
          <w:rPr>
            <w:rStyle w:val="Hyperlink"/>
            <w:rFonts w:ascii="Arial" w:eastAsia="STZhongsong" w:hAnsi="Arial"/>
            <w:lang w:eastAsia="zh-CN"/>
          </w:rPr>
          <w:t>13.</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STANDARDS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4" w:history="1">
        <w:r w:rsidR="005D6C09" w:rsidRPr="005D6C09">
          <w:rPr>
            <w:rStyle w:val="Hyperlink"/>
            <w:rFonts w:ascii="Arial" w:eastAsia="STZhongsong" w:hAnsi="Arial"/>
            <w:lang w:eastAsia="zh-CN"/>
          </w:rPr>
          <w:t>14.</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minimum standards of reliability - NOT USED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5" w:history="1">
        <w:r w:rsidR="005D6C09" w:rsidRPr="005D6C09">
          <w:rPr>
            <w:rStyle w:val="Hyperlink"/>
            <w:rFonts w:ascii="Arial" w:eastAsia="STZhongsong" w:hAnsi="Arial"/>
            <w:lang w:eastAsia="zh-CN"/>
          </w:rPr>
          <w:t>15.</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CONTINUOUS IMPROVEMENT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6" w:history="1">
        <w:r w:rsidR="005D6C09" w:rsidRPr="005D6C09">
          <w:rPr>
            <w:rStyle w:val="Hyperlink"/>
            <w:rFonts w:ascii="Arial" w:eastAsia="STZhongsong" w:hAnsi="Arial"/>
            <w:lang w:eastAsia="zh-CN"/>
          </w:rPr>
          <w:t>16.</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CALL OFF PERFORMANCE UNDER FRAMEWORK AGREEMENT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887" w:history="1">
        <w:r w:rsidR="005D6C09" w:rsidRPr="005D6C09">
          <w:rPr>
            <w:rStyle w:val="Hyperlink"/>
            <w:rFonts w:ascii="Arial" w:eastAsia="STZhongsong" w:hAnsi="Arial"/>
          </w:rPr>
          <w:t>D.</w:t>
        </w:r>
        <w:r w:rsidR="005D6C09" w:rsidRPr="005D6C09">
          <w:rPr>
            <w:rFonts w:ascii="Arial" w:eastAsiaTheme="minorEastAsia" w:hAnsi="Arial"/>
            <w:b w:val="0"/>
            <w:bCs w:val="0"/>
            <w:caps w:val="0"/>
          </w:rPr>
          <w:tab/>
        </w:r>
        <w:r w:rsidR="005D6C09" w:rsidRPr="005D6C09">
          <w:rPr>
            <w:rStyle w:val="Hyperlink"/>
            <w:rFonts w:ascii="Arial" w:eastAsia="STZhongsong" w:hAnsi="Arial"/>
          </w:rPr>
          <w:t>FRAMEWORK AGREEMENT GOVERNANCE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8" w:history="1">
        <w:r w:rsidR="005D6C09" w:rsidRPr="005D6C09">
          <w:rPr>
            <w:rStyle w:val="Hyperlink"/>
            <w:rFonts w:ascii="Arial" w:eastAsia="STZhongsong" w:hAnsi="Arial"/>
            <w:lang w:eastAsia="zh-CN"/>
          </w:rPr>
          <w:t>17.</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FRAMEWORK AGREEMENT MANAGEMENT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89" w:history="1">
        <w:r w:rsidR="005D6C09" w:rsidRPr="005D6C09">
          <w:rPr>
            <w:rStyle w:val="Hyperlink"/>
            <w:rFonts w:ascii="Arial" w:eastAsia="STZhongsong" w:hAnsi="Arial"/>
            <w:lang w:eastAsia="zh-CN"/>
          </w:rPr>
          <w:t>18.</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RECORDS, AUDIT ACCESS AND OPEN BOOK DATA</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_Toc492462889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0" w:history="1">
        <w:r w:rsidR="005D6C09" w:rsidRPr="005D6C09">
          <w:rPr>
            <w:rStyle w:val="Hyperlink"/>
            <w:rFonts w:ascii="Arial" w:eastAsia="STZhongsong" w:hAnsi="Arial"/>
            <w:lang w:eastAsia="zh-CN"/>
          </w:rPr>
          <w:t>19.</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CHANGE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16</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891" w:history="1">
        <w:r w:rsidR="005D6C09" w:rsidRPr="005D6C09">
          <w:rPr>
            <w:rStyle w:val="Hyperlink"/>
            <w:rFonts w:ascii="Arial" w:eastAsia="STZhongsong" w:hAnsi="Arial"/>
          </w:rPr>
          <w:t>E.</w:t>
        </w:r>
        <w:r w:rsidR="005D6C09" w:rsidRPr="005D6C09">
          <w:rPr>
            <w:rFonts w:ascii="Arial" w:eastAsiaTheme="minorEastAsia" w:hAnsi="Arial"/>
            <w:b w:val="0"/>
            <w:bCs w:val="0"/>
            <w:caps w:val="0"/>
          </w:rPr>
          <w:tab/>
        </w:r>
        <w:r w:rsidR="005D6C09" w:rsidRPr="005D6C09">
          <w:rPr>
            <w:rStyle w:val="Hyperlink"/>
            <w:rFonts w:ascii="Arial" w:eastAsia="STZhongsong" w:hAnsi="Arial"/>
          </w:rPr>
          <w:t>MANAGEMENT CHARGE, TAXATION AND VALUE FOR MONEY PROVISIONS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17</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2" w:history="1">
        <w:r w:rsidR="005D6C09" w:rsidRPr="005D6C09">
          <w:rPr>
            <w:rStyle w:val="Hyperlink"/>
            <w:rFonts w:ascii="Arial" w:eastAsia="STZhongsong" w:hAnsi="Arial"/>
            <w:lang w:eastAsia="zh-CN"/>
          </w:rPr>
          <w:t>20.</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MANAGEMENT CHARGE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17</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3" w:history="1">
        <w:r w:rsidR="005D6C09" w:rsidRPr="005D6C09">
          <w:rPr>
            <w:rStyle w:val="Hyperlink"/>
            <w:rFonts w:ascii="Arial" w:eastAsia="STZhongsong" w:hAnsi="Arial"/>
            <w:lang w:eastAsia="zh-CN"/>
          </w:rPr>
          <w:t>21.</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PROMOTING TAX COMPLIANCE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4" w:history="1">
        <w:r w:rsidR="005D6C09" w:rsidRPr="005D6C09">
          <w:rPr>
            <w:rStyle w:val="Hyperlink"/>
            <w:rFonts w:ascii="Arial" w:eastAsia="STZhongsong" w:hAnsi="Arial"/>
            <w:lang w:eastAsia="zh-CN"/>
          </w:rPr>
          <w:t>22.</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BENCHMARKING</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19</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5" w:history="1">
        <w:r w:rsidR="005D6C09" w:rsidRPr="005D6C09">
          <w:rPr>
            <w:rStyle w:val="Hyperlink"/>
            <w:rFonts w:ascii="Arial" w:eastAsia="STZhongsong" w:hAnsi="Arial"/>
            <w:lang w:eastAsia="zh-CN"/>
          </w:rPr>
          <w:t>23.</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FINANCIAL DISTRESS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19</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896" w:history="1">
        <w:r w:rsidR="005D6C09" w:rsidRPr="005D6C09">
          <w:rPr>
            <w:rStyle w:val="Hyperlink"/>
            <w:rFonts w:ascii="Arial" w:eastAsia="STZhongsong" w:hAnsi="Arial"/>
          </w:rPr>
          <w:t>F.</w:t>
        </w:r>
        <w:r w:rsidR="005D6C09" w:rsidRPr="005D6C09">
          <w:rPr>
            <w:rFonts w:ascii="Arial" w:eastAsiaTheme="minorEastAsia" w:hAnsi="Arial"/>
            <w:b w:val="0"/>
            <w:bCs w:val="0"/>
            <w:caps w:val="0"/>
          </w:rPr>
          <w:tab/>
        </w:r>
        <w:r w:rsidR="005D6C09" w:rsidRPr="005D6C09">
          <w:rPr>
            <w:rStyle w:val="Hyperlink"/>
            <w:rFonts w:ascii="Arial" w:eastAsia="STZhongsong" w:hAnsi="Arial"/>
          </w:rPr>
          <w:t>SUPPLIER PERSONNEL AND SUPPLY CHAIN MATTERS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19</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7" w:history="1">
        <w:r w:rsidR="005D6C09" w:rsidRPr="005D6C09">
          <w:rPr>
            <w:rStyle w:val="Hyperlink"/>
            <w:rFonts w:ascii="Arial" w:eastAsia="STZhongsong" w:hAnsi="Arial"/>
            <w:lang w:eastAsia="zh-CN"/>
          </w:rPr>
          <w:t>24.</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staff transfer - NOT USED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19</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898" w:history="1">
        <w:r w:rsidR="005D6C09" w:rsidRPr="005D6C09">
          <w:rPr>
            <w:rStyle w:val="Hyperlink"/>
            <w:rFonts w:ascii="Arial" w:eastAsia="STZhongsong" w:hAnsi="Arial"/>
            <w:lang w:eastAsia="zh-CN"/>
          </w:rPr>
          <w:t>25.</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SUPPLY CHAIN RIGHTS AND PROTECTION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19</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899" w:history="1">
        <w:r w:rsidR="005D6C09" w:rsidRPr="005D6C09">
          <w:rPr>
            <w:rStyle w:val="Hyperlink"/>
            <w:rFonts w:ascii="Arial" w:eastAsia="STZhongsong" w:hAnsi="Arial"/>
          </w:rPr>
          <w:t>G.</w:t>
        </w:r>
        <w:r w:rsidR="005D6C09" w:rsidRPr="005D6C09">
          <w:rPr>
            <w:rFonts w:ascii="Arial" w:eastAsiaTheme="minorEastAsia" w:hAnsi="Arial"/>
            <w:b w:val="0"/>
            <w:bCs w:val="0"/>
            <w:caps w:val="0"/>
          </w:rPr>
          <w:tab/>
        </w:r>
        <w:r w:rsidR="005D6C09" w:rsidRPr="005D6C09">
          <w:rPr>
            <w:rStyle w:val="Hyperlink"/>
            <w:rFonts w:ascii="Arial" w:eastAsia="STZhongsong" w:hAnsi="Arial"/>
          </w:rPr>
          <w:t>INTELLECTUAL PROPERTY AND INFORMATION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_Toc492462899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23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0" w:history="1">
        <w:r w:rsidR="005D6C09" w:rsidRPr="005D6C09">
          <w:rPr>
            <w:rStyle w:val="Hyperlink"/>
            <w:rFonts w:ascii="Arial" w:eastAsia="STZhongsong" w:hAnsi="Arial"/>
            <w:lang w:eastAsia="zh-CN"/>
          </w:rPr>
          <w:t>26.</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INTELLECTUAL PROPERTY RIGHTS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23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1" w:history="1">
        <w:r w:rsidR="005D6C09" w:rsidRPr="005D6C09">
          <w:rPr>
            <w:rStyle w:val="Hyperlink"/>
            <w:rFonts w:ascii="Arial" w:eastAsia="STZhongsong" w:hAnsi="Arial"/>
            <w:lang w:eastAsia="zh-CN"/>
          </w:rPr>
          <w:t>27.</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PROVISION AND PROTECTION OF INFORMATION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24</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2" w:history="1">
        <w:r w:rsidR="005D6C09" w:rsidRPr="005D6C09">
          <w:rPr>
            <w:rStyle w:val="Hyperlink"/>
            <w:rFonts w:ascii="Arial" w:eastAsia="STZhongsong" w:hAnsi="Arial"/>
            <w:lang w:eastAsia="zh-CN"/>
          </w:rPr>
          <w:t>28.</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PUBLICITY AND BRANDING</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31</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3" w:history="1">
        <w:r w:rsidR="005D6C09" w:rsidRPr="005D6C09">
          <w:rPr>
            <w:rStyle w:val="Hyperlink"/>
            <w:rFonts w:ascii="Arial" w:eastAsia="STZhongsong" w:hAnsi="Arial"/>
            <w:lang w:eastAsia="zh-CN"/>
          </w:rPr>
          <w:t>29.</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MARKETING</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31</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904" w:history="1">
        <w:r w:rsidR="005D6C09" w:rsidRPr="005D6C09">
          <w:rPr>
            <w:rStyle w:val="Hyperlink"/>
            <w:rFonts w:ascii="Arial" w:eastAsia="STZhongsong" w:hAnsi="Arial"/>
          </w:rPr>
          <w:t>H.</w:t>
        </w:r>
        <w:r w:rsidR="005D6C09" w:rsidRPr="005D6C09">
          <w:rPr>
            <w:rFonts w:ascii="Arial" w:eastAsiaTheme="minorEastAsia" w:hAnsi="Arial"/>
            <w:b w:val="0"/>
            <w:bCs w:val="0"/>
            <w:caps w:val="0"/>
          </w:rPr>
          <w:tab/>
        </w:r>
        <w:r w:rsidR="005D6C09" w:rsidRPr="005D6C09">
          <w:rPr>
            <w:rStyle w:val="Hyperlink"/>
            <w:rFonts w:ascii="Arial" w:eastAsia="STZhongsong" w:hAnsi="Arial"/>
          </w:rPr>
          <w:t>LIABILITY AND INSURANCE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5" w:history="1">
        <w:r w:rsidR="005D6C09" w:rsidRPr="005D6C09">
          <w:rPr>
            <w:rStyle w:val="Hyperlink"/>
            <w:rFonts w:ascii="Arial" w:eastAsia="STZhongsong" w:hAnsi="Arial"/>
            <w:lang w:eastAsia="zh-CN"/>
          </w:rPr>
          <w:t>30.</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LIABILITY</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6" w:history="1">
        <w:r w:rsidR="005D6C09" w:rsidRPr="005D6C09">
          <w:rPr>
            <w:rStyle w:val="Hyperlink"/>
            <w:rFonts w:ascii="Arial" w:eastAsia="STZhongsong" w:hAnsi="Arial"/>
            <w:lang w:eastAsia="zh-CN"/>
          </w:rPr>
          <w:t>31.</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INSURANCE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33</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907" w:history="1">
        <w:r w:rsidR="005D6C09" w:rsidRPr="005D6C09">
          <w:rPr>
            <w:rStyle w:val="Hyperlink"/>
            <w:rFonts w:ascii="Arial" w:eastAsia="STZhongsong" w:hAnsi="Arial"/>
          </w:rPr>
          <w:t>I.</w:t>
        </w:r>
        <w:r w:rsidR="005D6C09" w:rsidRPr="005D6C09">
          <w:rPr>
            <w:rFonts w:ascii="Arial" w:eastAsiaTheme="minorEastAsia" w:hAnsi="Arial"/>
            <w:b w:val="0"/>
            <w:bCs w:val="0"/>
            <w:caps w:val="0"/>
          </w:rPr>
          <w:tab/>
        </w:r>
        <w:r w:rsidR="005D6C09" w:rsidRPr="005D6C09">
          <w:rPr>
            <w:rStyle w:val="Hyperlink"/>
            <w:rFonts w:ascii="Arial" w:eastAsia="STZhongsong" w:hAnsi="Arial"/>
          </w:rPr>
          <w:t>REMEDIES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08" w:history="1">
        <w:r w:rsidR="005D6C09" w:rsidRPr="005D6C09">
          <w:rPr>
            <w:rStyle w:val="Hyperlink"/>
            <w:rFonts w:ascii="Arial" w:eastAsia="STZhongsong" w:hAnsi="Arial"/>
            <w:lang w:eastAsia="zh-CN"/>
          </w:rPr>
          <w:t>32.</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AUTHORITY REMEDIES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33</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909" w:history="1">
        <w:r w:rsidR="005D6C09" w:rsidRPr="005D6C09">
          <w:rPr>
            <w:rStyle w:val="Hyperlink"/>
            <w:rFonts w:ascii="Arial" w:eastAsia="STZhongsong" w:hAnsi="Arial"/>
          </w:rPr>
          <w:t>J.</w:t>
        </w:r>
        <w:r w:rsidR="005D6C09" w:rsidRPr="005D6C09">
          <w:rPr>
            <w:rFonts w:ascii="Arial" w:eastAsiaTheme="minorEastAsia" w:hAnsi="Arial"/>
            <w:b w:val="0"/>
            <w:bCs w:val="0"/>
            <w:caps w:val="0"/>
          </w:rPr>
          <w:tab/>
        </w:r>
        <w:r w:rsidR="005D6C09" w:rsidRPr="005D6C09">
          <w:rPr>
            <w:rStyle w:val="Hyperlink"/>
            <w:rFonts w:ascii="Arial" w:eastAsia="STZhongsong" w:hAnsi="Arial"/>
          </w:rPr>
          <w:t>TERMINATION AND SUSPENSION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_Toc492462909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34</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0" w:history="1">
        <w:r w:rsidR="005D6C09" w:rsidRPr="005D6C09">
          <w:rPr>
            <w:rStyle w:val="Hyperlink"/>
            <w:rFonts w:ascii="Arial" w:eastAsia="STZhongsong" w:hAnsi="Arial"/>
            <w:lang w:eastAsia="zh-CN"/>
          </w:rPr>
          <w:t>33.</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AUTHORITY TERMINATION RIGHTS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34</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1" w:history="1">
        <w:r w:rsidR="005D6C09" w:rsidRPr="005D6C09">
          <w:rPr>
            <w:rStyle w:val="Hyperlink"/>
            <w:rFonts w:ascii="Arial" w:eastAsia="STZhongsong" w:hAnsi="Arial"/>
            <w:lang w:eastAsia="zh-CN"/>
          </w:rPr>
          <w:t>34.</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SUSPENSION OF SUPPLIER'S APPOINTMENT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37</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2" w:history="1">
        <w:r w:rsidR="005D6C09" w:rsidRPr="005D6C09">
          <w:rPr>
            <w:rStyle w:val="Hyperlink"/>
            <w:rFonts w:ascii="Arial" w:eastAsia="STZhongsong" w:hAnsi="Arial"/>
            <w:lang w:eastAsia="zh-CN"/>
          </w:rPr>
          <w:t>35.</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CONSEQUENCES OF EXPIRY OR TERMINATION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38</w:t>
        </w:r>
        <w:r w:rsidR="005D6C09" w:rsidRPr="005D6C09">
          <w:rPr>
            <w:rFonts w:ascii="Arial" w:hAnsi="Arial"/>
            <w:webHidden/>
          </w:rPr>
          <w:fldChar w:fldCharType="end"/>
        </w:r>
      </w:hyperlink>
    </w:p>
    <w:p w:rsidR="005D6C09" w:rsidRPr="005D6C09" w:rsidRDefault="002E457F">
      <w:pPr>
        <w:pStyle w:val="TOC1"/>
        <w:tabs>
          <w:tab w:val="left" w:pos="709"/>
        </w:tabs>
        <w:rPr>
          <w:rFonts w:ascii="Arial" w:eastAsiaTheme="minorEastAsia" w:hAnsi="Arial"/>
          <w:b w:val="0"/>
          <w:bCs w:val="0"/>
          <w:caps w:val="0"/>
        </w:rPr>
      </w:pPr>
      <w:hyperlink w:anchor="_Toc492462913" w:history="1">
        <w:r w:rsidR="005D6C09" w:rsidRPr="005D6C09">
          <w:rPr>
            <w:rStyle w:val="Hyperlink"/>
            <w:rFonts w:ascii="Arial" w:eastAsia="STZhongsong" w:hAnsi="Arial"/>
          </w:rPr>
          <w:t>K.</w:t>
        </w:r>
        <w:r w:rsidR="005D6C09" w:rsidRPr="005D6C09">
          <w:rPr>
            <w:rFonts w:ascii="Arial" w:eastAsiaTheme="minorEastAsia" w:hAnsi="Arial"/>
            <w:b w:val="0"/>
            <w:bCs w:val="0"/>
            <w:caps w:val="0"/>
          </w:rPr>
          <w:tab/>
        </w:r>
        <w:r w:rsidR="005D6C09" w:rsidRPr="005D6C09">
          <w:rPr>
            <w:rStyle w:val="Hyperlink"/>
            <w:rFonts w:ascii="Arial" w:eastAsia="STZhongsong" w:hAnsi="Arial"/>
          </w:rPr>
          <w:t>MISCELLANEOUS AND GOVERNING LAW</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39</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4" w:history="1">
        <w:r w:rsidR="005D6C09" w:rsidRPr="005D6C09">
          <w:rPr>
            <w:rStyle w:val="Hyperlink"/>
            <w:rFonts w:ascii="Arial" w:eastAsia="STZhongsong" w:hAnsi="Arial"/>
            <w:lang w:eastAsia="zh-CN"/>
          </w:rPr>
          <w:t>36.</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COMPLIANCE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39</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5" w:history="1">
        <w:r w:rsidR="005D6C09" w:rsidRPr="005D6C09">
          <w:rPr>
            <w:rStyle w:val="Hyperlink"/>
            <w:rFonts w:ascii="Arial" w:eastAsia="STZhongsong" w:hAnsi="Arial"/>
            <w:lang w:eastAsia="zh-CN"/>
          </w:rPr>
          <w:t>37.</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ASSIGNMENT AND NOVATION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40</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6" w:history="1">
        <w:r w:rsidR="005D6C09" w:rsidRPr="005D6C09">
          <w:rPr>
            <w:rStyle w:val="Hyperlink"/>
            <w:rFonts w:ascii="Arial" w:eastAsia="STZhongsong" w:hAnsi="Arial"/>
            <w:lang w:eastAsia="zh-CN"/>
          </w:rPr>
          <w:t>38.</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WAIVER AND CUMULATIVE REMEDIES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40</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7" w:history="1">
        <w:r w:rsidR="005D6C09" w:rsidRPr="005D6C09">
          <w:rPr>
            <w:rStyle w:val="Hyperlink"/>
            <w:rFonts w:ascii="Arial" w:eastAsia="STZhongsong" w:hAnsi="Arial"/>
            <w:lang w:eastAsia="zh-CN"/>
          </w:rPr>
          <w:t>39.</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RELATIONSHIP OF THE PARTIES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40</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8" w:history="1">
        <w:r w:rsidR="005D6C09" w:rsidRPr="005D6C09">
          <w:rPr>
            <w:rStyle w:val="Hyperlink"/>
            <w:rFonts w:ascii="Arial" w:eastAsia="STZhongsong" w:hAnsi="Arial"/>
            <w:lang w:eastAsia="zh-CN"/>
          </w:rPr>
          <w:t>40.</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PREVENTION OF FRAUD AND BRIBERY</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41</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19" w:history="1">
        <w:r w:rsidR="005D6C09" w:rsidRPr="005D6C09">
          <w:rPr>
            <w:rStyle w:val="Hyperlink"/>
            <w:rFonts w:ascii="Arial" w:eastAsia="STZhongsong" w:hAnsi="Arial"/>
            <w:lang w:eastAsia="zh-CN"/>
          </w:rPr>
          <w:t>41.</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CONFLICTS OF INTEREST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_Toc492462919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0" w:history="1">
        <w:r w:rsidR="005D6C09" w:rsidRPr="005D6C09">
          <w:rPr>
            <w:rStyle w:val="Hyperlink"/>
            <w:rFonts w:ascii="Arial" w:eastAsia="STZhongsong" w:hAnsi="Arial"/>
            <w:lang w:eastAsia="zh-CN"/>
          </w:rPr>
          <w:t>42.</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SEVERANCE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1" w:history="1">
        <w:r w:rsidR="005D6C09" w:rsidRPr="005D6C09">
          <w:rPr>
            <w:rStyle w:val="Hyperlink"/>
            <w:rFonts w:ascii="Arial" w:eastAsia="STZhongsong" w:hAnsi="Arial"/>
            <w:lang w:eastAsia="zh-CN"/>
          </w:rPr>
          <w:t>43.</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FURTHER ASSURANCES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2" w:history="1">
        <w:r w:rsidR="005D6C09" w:rsidRPr="005D6C09">
          <w:rPr>
            <w:rStyle w:val="Hyperlink"/>
            <w:rFonts w:ascii="Arial" w:eastAsia="STZhongsong" w:hAnsi="Arial"/>
            <w:lang w:eastAsia="zh-CN"/>
          </w:rPr>
          <w:t>44.</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ENTIRE AGREEMENT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3" w:history="1">
        <w:r w:rsidR="005D6C09" w:rsidRPr="005D6C09">
          <w:rPr>
            <w:rStyle w:val="Hyperlink"/>
            <w:rFonts w:ascii="Arial" w:eastAsia="STZhongsong" w:hAnsi="Arial"/>
            <w:lang w:eastAsia="zh-CN"/>
          </w:rPr>
          <w:t>45.</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THIRD PARTY RIGHTS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4" w:history="1">
        <w:r w:rsidR="005D6C09" w:rsidRPr="005D6C09">
          <w:rPr>
            <w:rStyle w:val="Hyperlink"/>
            <w:rFonts w:ascii="Arial" w:eastAsia="STZhongsong" w:hAnsi="Arial"/>
            <w:lang w:eastAsia="zh-CN"/>
          </w:rPr>
          <w:t>46.</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NOTICES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44</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5" w:history="1">
        <w:r w:rsidR="005D6C09" w:rsidRPr="005D6C09">
          <w:rPr>
            <w:rStyle w:val="Hyperlink"/>
            <w:rFonts w:ascii="Arial" w:eastAsia="STZhongsong" w:hAnsi="Arial"/>
            <w:lang w:eastAsia="zh-CN"/>
          </w:rPr>
          <w:t>47.</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COMPLAINTS HANDLING</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46</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6" w:history="1">
        <w:r w:rsidR="005D6C09" w:rsidRPr="005D6C09">
          <w:rPr>
            <w:rStyle w:val="Hyperlink"/>
            <w:rFonts w:ascii="Arial" w:eastAsia="STZhongsong" w:hAnsi="Arial"/>
            <w:lang w:eastAsia="zh-CN"/>
          </w:rPr>
          <w:t>48.</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DISPUTE RESOLUTION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46</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27" w:history="1">
        <w:r w:rsidR="005D6C09" w:rsidRPr="005D6C09">
          <w:rPr>
            <w:rStyle w:val="Hyperlink"/>
            <w:rFonts w:ascii="Arial" w:eastAsia="STZhongsong" w:hAnsi="Arial"/>
            <w:lang w:eastAsia="zh-CN"/>
          </w:rPr>
          <w:t>49.</w:t>
        </w:r>
        <w:r w:rsidR="005D6C09" w:rsidRPr="005D6C09">
          <w:rPr>
            <w:rFonts w:ascii="Arial" w:eastAsiaTheme="minorEastAsia" w:hAnsi="Arial"/>
            <w:b w:val="0"/>
            <w:bCs w:val="0"/>
            <w:lang w:eastAsia="en-GB"/>
          </w:rPr>
          <w:tab/>
        </w:r>
        <w:r w:rsidR="005D6C09" w:rsidRPr="005D6C09">
          <w:rPr>
            <w:rStyle w:val="Hyperlink"/>
            <w:rFonts w:ascii="Arial" w:eastAsia="STZhongsong" w:hAnsi="Arial"/>
            <w:caps/>
            <w:lang w:eastAsia="zh-CN"/>
          </w:rPr>
          <w:t>GOVERNING LAW AND JURISDICTION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46</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28" w:history="1">
        <w:r w:rsidR="005D6C09" w:rsidRPr="005D6C09">
          <w:rPr>
            <w:rStyle w:val="Hyperlink"/>
            <w:rFonts w:ascii="Arial" w:eastAsia="STZhongsong" w:hAnsi="Arial"/>
            <w:lang w:eastAsia="zh-CN"/>
          </w:rPr>
          <w:t>FRAMEWORK SCHEDULE 1: DEFINITIONS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48</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29" w:history="1">
        <w:r w:rsidR="005D6C09" w:rsidRPr="005D6C09">
          <w:rPr>
            <w:rStyle w:val="Hyperlink"/>
            <w:rFonts w:ascii="Arial" w:eastAsia="STZhongsong" w:hAnsi="Arial"/>
            <w:lang w:eastAsia="zh-CN"/>
          </w:rPr>
          <w:t>FRAMEWORK SCHEDULE 2: GOODS AND/or SERVICES and Key Performance Indicators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_Toc492462929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65</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30" w:history="1">
        <w:r w:rsidR="005D6C09" w:rsidRPr="005D6C09">
          <w:rPr>
            <w:rStyle w:val="Hyperlink"/>
            <w:rFonts w:ascii="Arial" w:eastAsia="STZhongsong" w:hAnsi="Arial"/>
            <w:lang w:eastAsia="zh-CN"/>
          </w:rPr>
          <w:t>FRAMEWORK SCHEDULE 3: FRAMEWORK prices AND CHARGING STRUCTURE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68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31" w:history="1">
        <w:r w:rsidR="005D6C09" w:rsidRPr="005D6C09">
          <w:rPr>
            <w:rStyle w:val="Hyperlink"/>
            <w:rFonts w:ascii="Arial" w:eastAsia="STZhongsong" w:hAnsi="Arial"/>
            <w:caps/>
            <w:lang w:eastAsia="zh-CN"/>
          </w:rPr>
          <w:t>ANNEX 1: PRICING MECHANISM</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71</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32" w:history="1">
        <w:r w:rsidR="005D6C09" w:rsidRPr="005D6C09">
          <w:rPr>
            <w:rStyle w:val="Hyperlink"/>
            <w:rFonts w:ascii="Arial" w:eastAsia="STZhongsong" w:hAnsi="Arial"/>
            <w:caps/>
            <w:lang w:eastAsia="zh-CN"/>
          </w:rPr>
          <w:t>ANNEX 2: RATES AND PRICES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72</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33" w:history="1">
        <w:r w:rsidR="005D6C09" w:rsidRPr="005D6C09">
          <w:rPr>
            <w:rStyle w:val="Hyperlink"/>
            <w:rFonts w:ascii="Arial" w:eastAsia="STZhongsong" w:hAnsi="Arial"/>
            <w:caps/>
            <w:lang w:eastAsia="zh-CN"/>
          </w:rPr>
          <w:t>ANNEX 3: FRAMEWORK PRICES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73</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34" w:history="1">
        <w:r w:rsidR="005D6C09" w:rsidRPr="005D6C09">
          <w:rPr>
            <w:rStyle w:val="Hyperlink"/>
            <w:rFonts w:ascii="Arial" w:eastAsia="STZhongsong" w:hAnsi="Arial"/>
            <w:lang w:eastAsia="zh-CN"/>
          </w:rPr>
          <w:t>FRAMEWORK SCHEDULE 4: TEMPLATE ORDER FORM AND TEMPLATE CALL OFF TERMS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77</w:t>
        </w:r>
        <w:r w:rsidR="005D6C09" w:rsidRPr="005D6C09">
          <w:rPr>
            <w:rFonts w:ascii="Arial" w:hAnsi="Arial"/>
            <w:webHidden/>
          </w:rPr>
          <w:fldChar w:fldCharType="end"/>
        </w:r>
      </w:hyperlink>
    </w:p>
    <w:p w:rsidR="005D6C09" w:rsidRPr="005D6C09" w:rsidRDefault="002E457F" w:rsidP="005D6C09">
      <w:pPr>
        <w:pStyle w:val="TOC2"/>
        <w:rPr>
          <w:rFonts w:ascii="Arial" w:eastAsiaTheme="minorEastAsia" w:hAnsi="Arial"/>
          <w:b w:val="0"/>
          <w:bCs w:val="0"/>
          <w:lang w:eastAsia="en-GB"/>
        </w:rPr>
      </w:pPr>
      <w:hyperlink w:anchor="_Toc492462935" w:history="1">
        <w:r w:rsidR="005D6C09" w:rsidRPr="005D6C09">
          <w:rPr>
            <w:rStyle w:val="Hyperlink"/>
            <w:rFonts w:ascii="Arial" w:eastAsia="STZhongsong" w:hAnsi="Arial"/>
            <w:caps/>
            <w:lang w:eastAsia="zh-CN"/>
          </w:rPr>
          <w:t>ANNEX 1: TEMPLATE ORDER FORM and call off forms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77</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37" w:history="1">
        <w:r w:rsidR="005D6C09" w:rsidRPr="005D6C09">
          <w:rPr>
            <w:rStyle w:val="Hyperlink"/>
            <w:rFonts w:ascii="Arial" w:eastAsia="STZhongsong" w:hAnsi="Arial"/>
            <w:caps/>
            <w:lang w:eastAsia="zh-CN"/>
          </w:rPr>
          <w:t>ANNEX 2: NOT USED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78</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38" w:history="1">
        <w:r w:rsidR="005D6C09" w:rsidRPr="005D6C09">
          <w:rPr>
            <w:rStyle w:val="Hyperlink"/>
            <w:rFonts w:ascii="Arial" w:eastAsia="STZhongsong" w:hAnsi="Arial"/>
            <w:lang w:eastAsia="zh-CN"/>
          </w:rPr>
          <w:t>FRAMEWORK SCHEDULE 5: CALL OFF PROCEDURE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79</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39" w:history="1">
        <w:r w:rsidR="005D6C09" w:rsidRPr="005D6C09">
          <w:rPr>
            <w:rStyle w:val="Hyperlink"/>
            <w:rFonts w:ascii="Arial" w:eastAsia="STZhongsong" w:hAnsi="Arial"/>
            <w:lang w:eastAsia="zh-CN"/>
          </w:rPr>
          <w:t>FRAMEWORK SCHEDULE 6: NOT USED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_Toc492462939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81</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0" w:history="1">
        <w:r w:rsidR="005D6C09" w:rsidRPr="005D6C09">
          <w:rPr>
            <w:rStyle w:val="Hyperlink"/>
            <w:rFonts w:ascii="Arial" w:eastAsia="STZhongsong" w:hAnsi="Arial"/>
            <w:lang w:eastAsia="zh-CN"/>
          </w:rPr>
          <w:t>FRAMEWORK SCHEDULE 7: KEY SUB-CONTRACTORS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82</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1" w:history="1">
        <w:r w:rsidR="005D6C09" w:rsidRPr="005D6C09">
          <w:rPr>
            <w:rStyle w:val="Hyperlink"/>
            <w:rFonts w:ascii="Arial" w:eastAsia="STZhongsong" w:hAnsi="Arial"/>
            <w:lang w:eastAsia="zh-CN"/>
          </w:rPr>
          <w:t>FRAMEWORK SCHEDULE 8: FRAMEWORK MANAGEMENT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83</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2" w:history="1">
        <w:r w:rsidR="005D6C09" w:rsidRPr="005D6C09">
          <w:rPr>
            <w:rStyle w:val="Hyperlink"/>
            <w:rFonts w:ascii="Arial" w:eastAsia="STZhongsong" w:hAnsi="Arial"/>
            <w:lang w:eastAsia="zh-CN"/>
          </w:rPr>
          <w:t>FRAMEWORK SCHEDULE 9: MANAGEMENT INFORMATION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86</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43" w:history="1">
        <w:r w:rsidR="005D6C09" w:rsidRPr="005D6C09">
          <w:rPr>
            <w:rStyle w:val="Hyperlink"/>
            <w:rFonts w:ascii="Arial" w:eastAsia="STZhongsong" w:hAnsi="Arial"/>
            <w:caps/>
            <w:lang w:eastAsia="zh-CN"/>
          </w:rPr>
          <w:t xml:space="preserve">ANNEX 1: </w:t>
        </w:r>
        <w:r w:rsidR="005D6C09" w:rsidRPr="0006376E">
          <w:rPr>
            <w:rStyle w:val="Hyperlink"/>
            <w:rFonts w:ascii="Arial" w:eastAsia="STZhongsong" w:hAnsi="Arial"/>
            <w:caps/>
            <w:lang w:eastAsia="zh-CN"/>
          </w:rPr>
          <w:t>MI REPORTING TEMPLATe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90</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4" w:history="1">
        <w:r w:rsidR="005D6C09" w:rsidRPr="005D6C09">
          <w:rPr>
            <w:rStyle w:val="Hyperlink"/>
            <w:rFonts w:ascii="Arial" w:eastAsia="STZhongsong" w:hAnsi="Arial"/>
            <w:lang w:eastAsia="zh-CN"/>
          </w:rPr>
          <w:t>FRAMEWORK SCHEDULE 11: MARKETING</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93</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5" w:history="1">
        <w:r w:rsidR="005D6C09" w:rsidRPr="005D6C09">
          <w:rPr>
            <w:rStyle w:val="Hyperlink"/>
            <w:rFonts w:ascii="Arial" w:eastAsia="STZhongsong" w:hAnsi="Arial"/>
            <w:lang w:eastAsia="zh-CN"/>
          </w:rPr>
          <w:t>FRAMEWORK SCHEDULE 12: CONTINUOUS IMPROVEMENT AND BENCHMARKING</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94</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6" w:history="1">
        <w:r w:rsidR="005D6C09" w:rsidRPr="005D6C09">
          <w:rPr>
            <w:rStyle w:val="Hyperlink"/>
            <w:rFonts w:ascii="Arial" w:eastAsia="STZhongsong" w:hAnsi="Arial"/>
            <w:lang w:eastAsia="zh-CN"/>
          </w:rPr>
          <w:t>FRAMEWORK SCHEDULE 13: GUARANTEE – NOT USED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99</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7" w:history="1">
        <w:r w:rsidR="005D6C09" w:rsidRPr="005D6C09">
          <w:rPr>
            <w:rStyle w:val="Hyperlink"/>
            <w:rFonts w:ascii="Arial" w:eastAsia="STZhongsong" w:hAnsi="Arial"/>
            <w:lang w:eastAsia="zh-CN"/>
          </w:rPr>
          <w:t>FRAMEWORK SCHEDULE 14: INSURANCE REQUIREMENTS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100</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48" w:history="1">
        <w:r w:rsidR="005D6C09" w:rsidRPr="005D6C09">
          <w:rPr>
            <w:rStyle w:val="Hyperlink"/>
            <w:rFonts w:ascii="Arial" w:eastAsia="STZhongsong" w:hAnsi="Arial"/>
            <w:caps/>
            <w:lang w:eastAsia="zh-CN"/>
          </w:rPr>
          <w:t>ANNEX 1: REQUIRED INSURANCES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103</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49" w:history="1">
        <w:r w:rsidR="005D6C09" w:rsidRPr="005D6C09">
          <w:rPr>
            <w:rStyle w:val="Hyperlink"/>
            <w:rFonts w:ascii="Arial" w:eastAsia="STZhongsong" w:hAnsi="Arial"/>
            <w:lang w:eastAsia="zh-CN"/>
          </w:rPr>
          <w:t>FRAMEWORK SCHEDULE 15: staff transfer - NOT USED</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_Toc492462949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107</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50" w:history="1">
        <w:r w:rsidR="005D6C09" w:rsidRPr="005D6C09">
          <w:rPr>
            <w:rStyle w:val="Hyperlink"/>
            <w:rFonts w:ascii="Arial" w:eastAsia="STZhongsong" w:hAnsi="Arial"/>
            <w:lang w:eastAsia="zh-CN"/>
          </w:rPr>
          <w:t>FRAMEWORK SCHEDULE 16: FINANCIAL DISTRESS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108</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51" w:history="1">
        <w:r w:rsidR="005D6C09" w:rsidRPr="005D6C09">
          <w:rPr>
            <w:rStyle w:val="Hyperlink"/>
            <w:rFonts w:ascii="Arial" w:eastAsia="STZhongsong" w:hAnsi="Arial"/>
            <w:caps/>
            <w:lang w:eastAsia="zh-CN"/>
          </w:rPr>
          <w:t>ANNEX 1: RATING AGENCIES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113</w:t>
        </w:r>
        <w:r w:rsidR="005D6C09" w:rsidRPr="005D6C09">
          <w:rPr>
            <w:rFonts w:ascii="Arial" w:hAnsi="Arial"/>
            <w:webHidden/>
          </w:rPr>
          <w:fldChar w:fldCharType="end"/>
        </w:r>
      </w:hyperlink>
    </w:p>
    <w:p w:rsidR="005D6C09" w:rsidRPr="005D6C09" w:rsidRDefault="002E457F">
      <w:pPr>
        <w:pStyle w:val="TOC2"/>
        <w:rPr>
          <w:rFonts w:ascii="Arial" w:eastAsiaTheme="minorEastAsia" w:hAnsi="Arial"/>
          <w:b w:val="0"/>
          <w:bCs w:val="0"/>
          <w:lang w:eastAsia="en-GB"/>
        </w:rPr>
      </w:pPr>
      <w:hyperlink w:anchor="_Toc492462952" w:history="1">
        <w:r w:rsidR="005D6C09" w:rsidRPr="005D6C09">
          <w:rPr>
            <w:rStyle w:val="Hyperlink"/>
            <w:rFonts w:ascii="Arial" w:eastAsia="STZhongsong" w:hAnsi="Arial"/>
            <w:caps/>
            <w:lang w:eastAsia="zh-CN"/>
          </w:rPr>
          <w:t>ANNEX 2: CREDIT RATINGS &amp; CREDIT RATING THRESHOLDS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_Toc492462952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114</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53" w:history="1">
        <w:r w:rsidR="005D6C09" w:rsidRPr="005D6C09">
          <w:rPr>
            <w:rStyle w:val="Hyperlink"/>
            <w:rFonts w:ascii="Arial" w:eastAsia="STZhongsong" w:hAnsi="Arial"/>
            <w:lang w:eastAsia="zh-CN"/>
          </w:rPr>
          <w:t>FRAMEWORK SCHEDULE 17: COMMERCIALLY SENSITIVE INFORMATION</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_Toc492462953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115</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54" w:history="1">
        <w:r w:rsidR="005D6C09" w:rsidRPr="005D6C09">
          <w:rPr>
            <w:rStyle w:val="Hyperlink"/>
            <w:rFonts w:ascii="Arial" w:eastAsia="STZhongsong" w:hAnsi="Arial"/>
            <w:lang w:eastAsia="zh-CN"/>
          </w:rPr>
          <w:t>FRAMEWORK SCHEDULE 18: DISPUTE RESOLUTION PROCEDURE</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_Toc492462954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117</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55" w:history="1">
        <w:r w:rsidR="005D6C09" w:rsidRPr="005D6C09">
          <w:rPr>
            <w:rStyle w:val="Hyperlink"/>
            <w:rFonts w:ascii="Arial" w:eastAsia="STZhongsong" w:hAnsi="Arial"/>
            <w:lang w:eastAsia="zh-CN"/>
          </w:rPr>
          <w:t>FRAMEWORK SCHEDULE 19: VARIATION FORM</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_Toc492462955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124</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56" w:history="1">
        <w:r w:rsidR="005D6C09" w:rsidRPr="005D6C09">
          <w:rPr>
            <w:rStyle w:val="Hyperlink"/>
            <w:rFonts w:ascii="Arial" w:eastAsia="STZhongsong" w:hAnsi="Arial"/>
            <w:lang w:eastAsia="zh-CN"/>
          </w:rPr>
          <w:t>FRAMEWORK SCHEDULE 20: CONDUCT OF CLAIMS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_Toc492462956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125</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57" w:history="1">
        <w:r w:rsidR="005D6C09" w:rsidRPr="005D6C09">
          <w:rPr>
            <w:rStyle w:val="Hyperlink"/>
            <w:rFonts w:ascii="Arial" w:eastAsia="STZhongsong" w:hAnsi="Arial"/>
            <w:lang w:eastAsia="zh-CN"/>
          </w:rPr>
          <w:t>FRAMEWORK SCHEDULE 21: TENDER</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_Toc492462957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127</w:t>
        </w:r>
        <w:r w:rsidR="005D6C09" w:rsidRPr="005D6C09">
          <w:rPr>
            <w:rFonts w:ascii="Arial" w:hAnsi="Arial"/>
            <w:webHidden/>
          </w:rPr>
          <w:fldChar w:fldCharType="end"/>
        </w:r>
      </w:hyperlink>
    </w:p>
    <w:p w:rsidR="005D6C09" w:rsidRPr="005D6C09" w:rsidRDefault="002E457F" w:rsidP="005D6C09">
      <w:pPr>
        <w:pStyle w:val="TOC1"/>
        <w:rPr>
          <w:rFonts w:ascii="Arial" w:eastAsiaTheme="minorEastAsia" w:hAnsi="Arial"/>
          <w:b w:val="0"/>
          <w:bCs w:val="0"/>
          <w:caps w:val="0"/>
        </w:rPr>
      </w:pPr>
      <w:hyperlink w:anchor="_Toc492462958" w:history="1">
        <w:r w:rsidR="005D6C09" w:rsidRPr="005D6C09">
          <w:rPr>
            <w:rStyle w:val="Hyperlink"/>
            <w:rFonts w:ascii="Arial" w:eastAsia="STZhongsong" w:hAnsi="Arial"/>
            <w:lang w:eastAsia="zh-CN"/>
          </w:rPr>
          <w:t>FRAMEWORK Schedule 22: Transparency reports</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_Toc492462958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130</w:t>
        </w:r>
        <w:r w:rsidR="005D6C09" w:rsidRPr="005D6C09">
          <w:rPr>
            <w:rFonts w:ascii="Arial" w:hAnsi="Arial"/>
            <w:webHidden/>
          </w:rPr>
          <w:fldChar w:fldCharType="end"/>
        </w:r>
      </w:hyperlink>
    </w:p>
    <w:p w:rsidR="005D6C09" w:rsidRPr="005D6C09" w:rsidRDefault="002E457F">
      <w:pPr>
        <w:pStyle w:val="TOC1"/>
        <w:rPr>
          <w:rFonts w:ascii="Arial" w:eastAsiaTheme="minorEastAsia" w:hAnsi="Arial"/>
          <w:b w:val="0"/>
          <w:bCs w:val="0"/>
          <w:caps w:val="0"/>
        </w:rPr>
      </w:pPr>
      <w:hyperlink w:anchor="_Toc492462960" w:history="1">
        <w:r w:rsidR="005D6C09" w:rsidRPr="005D6C09">
          <w:rPr>
            <w:rStyle w:val="Hyperlink"/>
            <w:rFonts w:ascii="Arial" w:eastAsia="STZhongsong" w:hAnsi="Arial"/>
            <w:lang w:eastAsia="zh-CN"/>
          </w:rPr>
          <w:t>FRAMEWORK Schedule 23: SECURITY MANAGEMENT</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_Toc492462960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132</w:t>
        </w:r>
        <w:r w:rsidR="005D6C09" w:rsidRPr="005D6C09">
          <w:rPr>
            <w:rFonts w:ascii="Arial" w:hAnsi="Arial"/>
            <w:webHidden/>
          </w:rPr>
          <w:fldChar w:fldCharType="end"/>
        </w:r>
      </w:hyperlink>
    </w:p>
    <w:p w:rsidR="005D6C09" w:rsidRDefault="002E457F">
      <w:pPr>
        <w:pStyle w:val="TOC2"/>
        <w:rPr>
          <w:rFonts w:asciiTheme="minorHAnsi" w:eastAsiaTheme="minorEastAsia" w:hAnsiTheme="minorHAnsi" w:cstheme="minorBidi"/>
          <w:b w:val="0"/>
          <w:bCs w:val="0"/>
          <w:lang w:eastAsia="en-GB"/>
        </w:rPr>
      </w:pPr>
      <w:hyperlink w:anchor="_Toc492462961" w:history="1">
        <w:r w:rsidR="005D6C09" w:rsidRPr="005D6C09">
          <w:rPr>
            <w:rStyle w:val="Hyperlink"/>
            <w:rFonts w:ascii="Arial" w:eastAsia="STZhongsong" w:hAnsi="Arial"/>
            <w:caps/>
            <w:lang w:eastAsia="zh-CN"/>
          </w:rPr>
          <w:t>ANNEX 1: Security Policy</w:t>
        </w:r>
        <w:r w:rsidR="005D6C09" w:rsidRPr="005D6C09">
          <w:rPr>
            <w:rFonts w:ascii="Arial" w:hAnsi="Arial"/>
            <w:webHidden/>
          </w:rPr>
          <w:tab/>
        </w:r>
        <w:r w:rsidR="005D6C09" w:rsidRPr="005D6C09">
          <w:rPr>
            <w:rFonts w:ascii="Arial" w:hAnsi="Arial"/>
            <w:webHidden/>
          </w:rPr>
          <w:fldChar w:fldCharType="begin"/>
        </w:r>
        <w:r w:rsidR="005D6C09" w:rsidRPr="005D6C09">
          <w:rPr>
            <w:rFonts w:ascii="Arial" w:hAnsi="Arial"/>
            <w:webHidden/>
          </w:rPr>
          <w:instrText xml:space="preserve"> PAGEREF _Toc492462961 \h </w:instrText>
        </w:r>
        <w:r w:rsidR="005D6C09" w:rsidRPr="005D6C09">
          <w:rPr>
            <w:rFonts w:ascii="Arial" w:hAnsi="Arial"/>
            <w:webHidden/>
          </w:rPr>
        </w:r>
        <w:r w:rsidR="005D6C09" w:rsidRPr="005D6C09">
          <w:rPr>
            <w:rFonts w:ascii="Arial" w:hAnsi="Arial"/>
            <w:webHidden/>
          </w:rPr>
          <w:fldChar w:fldCharType="separate"/>
        </w:r>
        <w:r w:rsidR="005D6C09" w:rsidRPr="005D6C09">
          <w:rPr>
            <w:rFonts w:ascii="Arial" w:hAnsi="Arial"/>
            <w:webHidden/>
          </w:rPr>
          <w:t>147</w:t>
        </w:r>
        <w:r w:rsidR="005D6C09" w:rsidRPr="005D6C09">
          <w:rPr>
            <w:rFonts w:ascii="Arial" w:hAnsi="Arial"/>
            <w:webHidden/>
          </w:rPr>
          <w:fldChar w:fldCharType="end"/>
        </w:r>
      </w:hyperlink>
    </w:p>
    <w:p w:rsidR="00EF1354" w:rsidRDefault="00044569" w:rsidP="00871477">
      <w:pPr>
        <w:rPr>
          <w:rFonts w:ascii="Arial" w:hAnsi="Arial"/>
          <w:b/>
        </w:rPr>
      </w:pPr>
      <w:r w:rsidRPr="004B2201">
        <w:rPr>
          <w:rFonts w:ascii="Arial" w:hAnsi="Arial"/>
          <w:highlight w:val="lightGray"/>
        </w:rPr>
        <w:fldChar w:fldCharType="end"/>
      </w:r>
      <w:r w:rsidR="00DE2B8D" w:rsidRPr="004B2201">
        <w:rPr>
          <w:rFonts w:ascii="Arial" w:hAnsi="Arial"/>
          <w:b/>
        </w:rPr>
        <w:t xml:space="preserve"> </w:t>
      </w:r>
    </w:p>
    <w:p w:rsidR="00EF1354" w:rsidRPr="00EF1354" w:rsidRDefault="00EF1354" w:rsidP="00EF1354">
      <w:pPr>
        <w:rPr>
          <w:rFonts w:ascii="Arial" w:hAnsi="Arial"/>
        </w:rPr>
      </w:pPr>
    </w:p>
    <w:p w:rsidR="00EF1354" w:rsidRPr="00EF1354" w:rsidRDefault="00EF1354" w:rsidP="00EF1354">
      <w:pPr>
        <w:rPr>
          <w:rFonts w:ascii="Arial" w:hAnsi="Arial"/>
        </w:rPr>
      </w:pPr>
    </w:p>
    <w:p w:rsidR="00EF1354" w:rsidRPr="00EF1354" w:rsidRDefault="00EF1354" w:rsidP="00EF1354">
      <w:pPr>
        <w:rPr>
          <w:rFonts w:ascii="Arial" w:hAnsi="Arial"/>
        </w:rPr>
      </w:pPr>
    </w:p>
    <w:p w:rsidR="00EF1354" w:rsidRPr="00EF1354" w:rsidRDefault="00EF1354" w:rsidP="00EF1354">
      <w:pPr>
        <w:rPr>
          <w:rFonts w:ascii="Arial" w:hAnsi="Arial"/>
        </w:rPr>
      </w:pPr>
    </w:p>
    <w:p w:rsidR="00EF1354" w:rsidRPr="00EF1354" w:rsidRDefault="00EF1354" w:rsidP="00EF1354">
      <w:pPr>
        <w:rPr>
          <w:rFonts w:ascii="Arial" w:hAnsi="Arial"/>
        </w:rPr>
      </w:pPr>
    </w:p>
    <w:p w:rsidR="00EF1354" w:rsidRDefault="001A2978" w:rsidP="001A2978">
      <w:pPr>
        <w:tabs>
          <w:tab w:val="left" w:pos="6578"/>
        </w:tabs>
        <w:rPr>
          <w:rFonts w:ascii="Arial" w:hAnsi="Arial"/>
        </w:rPr>
      </w:pPr>
      <w:r>
        <w:rPr>
          <w:rFonts w:ascii="Arial" w:hAnsi="Arial"/>
        </w:rPr>
        <w:tab/>
      </w:r>
    </w:p>
    <w:p w:rsidR="00EF1354" w:rsidRDefault="00EF1354" w:rsidP="00EF1354">
      <w:pPr>
        <w:tabs>
          <w:tab w:val="left" w:pos="5160"/>
        </w:tabs>
        <w:rPr>
          <w:rFonts w:ascii="Arial" w:hAnsi="Arial"/>
        </w:rPr>
      </w:pPr>
      <w:r>
        <w:rPr>
          <w:rFonts w:ascii="Arial" w:hAnsi="Arial"/>
        </w:rPr>
        <w:tab/>
      </w:r>
    </w:p>
    <w:p w:rsidR="00871477" w:rsidRPr="0006376E" w:rsidRDefault="004F67FD" w:rsidP="00871477">
      <w:pPr>
        <w:rPr>
          <w:b/>
        </w:rPr>
      </w:pPr>
      <w:r w:rsidRPr="00EF1354">
        <w:rPr>
          <w:rFonts w:ascii="Arial" w:hAnsi="Arial"/>
        </w:rPr>
        <w:br w:type="page"/>
      </w:r>
      <w:r w:rsidR="00871477" w:rsidRPr="00871477">
        <w:lastRenderedPageBreak/>
        <w:t xml:space="preserve">This </w:t>
      </w:r>
      <w:r w:rsidR="00871477" w:rsidRPr="0006376E">
        <w:t xml:space="preserve">Agreement is made on </w:t>
      </w:r>
      <w:r w:rsidR="00871477" w:rsidRPr="0006376E">
        <w:rPr>
          <w:b/>
          <w:i/>
        </w:rPr>
        <w:t>1</w:t>
      </w:r>
      <w:r w:rsidR="005A27DF" w:rsidRPr="0006376E">
        <w:rPr>
          <w:b/>
          <w:i/>
        </w:rPr>
        <w:t>2</w:t>
      </w:r>
      <w:r w:rsidR="00871477" w:rsidRPr="0006376E">
        <w:rPr>
          <w:b/>
          <w:i/>
        </w:rPr>
        <w:t>/09/2017</w:t>
      </w:r>
    </w:p>
    <w:p w:rsidR="00871477" w:rsidRPr="0006376E" w:rsidRDefault="00871477" w:rsidP="00871477">
      <w:r w:rsidRPr="0006376E">
        <w:rPr>
          <w:b/>
        </w:rPr>
        <w:t xml:space="preserve">BETWEEN: </w:t>
      </w:r>
    </w:p>
    <w:p w:rsidR="00871477" w:rsidRPr="0006376E" w:rsidRDefault="00871477" w:rsidP="00871477">
      <w:pPr>
        <w:ind w:left="567" w:hanging="567"/>
      </w:pPr>
      <w:r w:rsidRPr="0006376E">
        <w:t xml:space="preserve">(1) </w:t>
      </w:r>
      <w:r w:rsidRPr="0006376E">
        <w:tab/>
        <w:t>the Minister for the Cabinet Office ("</w:t>
      </w:r>
      <w:r w:rsidRPr="0006376E">
        <w:rPr>
          <w:b/>
        </w:rPr>
        <w:t>Cabinet Office</w:t>
      </w:r>
      <w:r w:rsidRPr="0006376E">
        <w:t>") as represented by Crown Commercial Service, which is an executive agency and operates as a trading fund of the Cabinet Office, whose offices are located at 9th Floor, The Capital, Old Hall Street, Liverpool L3 9PP (the "</w:t>
      </w:r>
      <w:r w:rsidRPr="0006376E">
        <w:rPr>
          <w:b/>
        </w:rPr>
        <w:t>Authority</w:t>
      </w:r>
      <w:r w:rsidRPr="0006376E">
        <w:t>"); and</w:t>
      </w:r>
    </w:p>
    <w:p w:rsidR="00871477" w:rsidRPr="0006376E" w:rsidRDefault="00871477" w:rsidP="00871477">
      <w:pPr>
        <w:ind w:left="567" w:hanging="567"/>
      </w:pPr>
      <w:r w:rsidRPr="0006376E">
        <w:t xml:space="preserve">(2) </w:t>
      </w:r>
      <w:r w:rsidRPr="0006376E">
        <w:tab/>
      </w:r>
      <w:r w:rsidR="008F3FF9" w:rsidRPr="00194071">
        <w:rPr>
          <w:rFonts w:ascii="Arial" w:hAnsi="Arial"/>
          <w:sz w:val="20"/>
          <w:szCs w:val="20"/>
          <w:highlight w:val="yellow"/>
        </w:rPr>
        <w:t>&lt;SUPPLIER NAME&gt;</w:t>
      </w:r>
      <w:r w:rsidR="008F3FF9" w:rsidRPr="00CF3916">
        <w:rPr>
          <w:rFonts w:ascii="Arial" w:hAnsi="Arial"/>
          <w:sz w:val="20"/>
          <w:szCs w:val="20"/>
        </w:rPr>
        <w:t xml:space="preserve"> which is a company registered in </w:t>
      </w:r>
      <w:r w:rsidR="008F3FF9" w:rsidRPr="00194071">
        <w:rPr>
          <w:rFonts w:ascii="Arial" w:hAnsi="Arial"/>
          <w:sz w:val="20"/>
          <w:szCs w:val="20"/>
          <w:highlight w:val="yellow"/>
        </w:rPr>
        <w:t>&lt;PLACE OF REGISTRATION&gt;</w:t>
      </w:r>
      <w:r w:rsidR="008F3FF9" w:rsidRPr="00CF3916">
        <w:rPr>
          <w:rFonts w:ascii="Arial" w:hAnsi="Arial"/>
          <w:sz w:val="20"/>
          <w:szCs w:val="20"/>
        </w:rPr>
        <w:t xml:space="preserve"> under company number </w:t>
      </w:r>
      <w:r w:rsidR="008F3FF9" w:rsidRPr="00194071">
        <w:rPr>
          <w:rFonts w:ascii="Arial" w:hAnsi="Arial"/>
          <w:sz w:val="20"/>
          <w:szCs w:val="20"/>
          <w:highlight w:val="yellow"/>
        </w:rPr>
        <w:t>&lt;REGISTERED COMPANY NUMBER&gt;</w:t>
      </w:r>
      <w:r w:rsidR="008F3FF9" w:rsidRPr="00001A00">
        <w:rPr>
          <w:rFonts w:ascii="Arial" w:hAnsi="Arial"/>
          <w:sz w:val="20"/>
          <w:szCs w:val="20"/>
        </w:rPr>
        <w:t xml:space="preserve"> </w:t>
      </w:r>
      <w:r w:rsidR="008F3FF9" w:rsidRPr="00CF3916">
        <w:rPr>
          <w:rFonts w:ascii="Arial" w:hAnsi="Arial"/>
          <w:sz w:val="20"/>
          <w:szCs w:val="20"/>
        </w:rPr>
        <w:t xml:space="preserve">and whose registered office is at </w:t>
      </w:r>
      <w:r w:rsidR="008F3FF9" w:rsidRPr="00194071">
        <w:rPr>
          <w:rFonts w:ascii="Arial" w:hAnsi="Arial"/>
          <w:sz w:val="20"/>
          <w:szCs w:val="20"/>
          <w:highlight w:val="yellow"/>
        </w:rPr>
        <w:t>&lt;SUPPLIER ADDRESS&gt;</w:t>
      </w:r>
      <w:r w:rsidR="008F3FF9">
        <w:rPr>
          <w:rFonts w:ascii="Arial" w:hAnsi="Arial"/>
          <w:sz w:val="20"/>
          <w:szCs w:val="20"/>
        </w:rPr>
        <w:t xml:space="preserve"> </w:t>
      </w:r>
      <w:r w:rsidR="008F3FF9" w:rsidRPr="00CF3916">
        <w:rPr>
          <w:rFonts w:ascii="Arial" w:hAnsi="Arial"/>
          <w:sz w:val="20"/>
          <w:szCs w:val="20"/>
        </w:rPr>
        <w:t>(the "</w:t>
      </w:r>
      <w:r w:rsidR="008F3FF9" w:rsidRPr="008F3FF9">
        <w:rPr>
          <w:rFonts w:ascii="Arial" w:hAnsi="Arial"/>
          <w:b/>
          <w:sz w:val="20"/>
          <w:szCs w:val="20"/>
        </w:rPr>
        <w:t>Supplier</w:t>
      </w:r>
      <w:r w:rsidR="008F3FF9" w:rsidRPr="00CF3916">
        <w:rPr>
          <w:rFonts w:ascii="Arial" w:hAnsi="Arial"/>
          <w:sz w:val="20"/>
          <w:szCs w:val="20"/>
        </w:rPr>
        <w:t>").</w:t>
      </w:r>
    </w:p>
    <w:p w:rsidR="00871477" w:rsidRPr="0006376E" w:rsidRDefault="00871477" w:rsidP="00871477">
      <w:r w:rsidRPr="0006376E">
        <w:rPr>
          <w:b/>
        </w:rPr>
        <w:t>RECITALS:</w:t>
      </w:r>
    </w:p>
    <w:p w:rsidR="00871477" w:rsidRPr="0006376E" w:rsidRDefault="00871477" w:rsidP="00871477">
      <w:pPr>
        <w:numPr>
          <w:ilvl w:val="0"/>
          <w:numId w:val="2"/>
        </w:numPr>
        <w:tabs>
          <w:tab w:val="num" w:pos="567"/>
        </w:tabs>
        <w:overflowPunct/>
        <w:autoSpaceDE/>
        <w:autoSpaceDN/>
        <w:ind w:left="567" w:hanging="567"/>
        <w:textAlignment w:val="auto"/>
        <w:rPr>
          <w:rFonts w:cs="Times New Roman"/>
          <w:i/>
          <w:lang w:eastAsia="zh-CN"/>
        </w:rPr>
      </w:pPr>
      <w:r w:rsidRPr="0006376E">
        <w:rPr>
          <w:rFonts w:cs="Times New Roman"/>
          <w:lang w:eastAsia="zh-CN"/>
        </w:rPr>
        <w:t xml:space="preserve">The Authority placed a contract notice </w:t>
      </w:r>
      <w:r w:rsidRPr="0006376E">
        <w:rPr>
          <w:rFonts w:cs="Times New Roman"/>
          <w:b/>
          <w:lang w:eastAsia="zh-CN"/>
        </w:rPr>
        <w:t>2017/S 113-227736 on 15/06/2017 (t</w:t>
      </w:r>
      <w:r w:rsidRPr="0006376E">
        <w:rPr>
          <w:rFonts w:cs="Times New Roman"/>
          <w:lang w:eastAsia="zh-CN"/>
        </w:rPr>
        <w:t xml:space="preserve">he </w:t>
      </w:r>
      <w:r w:rsidRPr="0006376E">
        <w:rPr>
          <w:rFonts w:cs="Times New Roman"/>
          <w:b/>
          <w:lang w:eastAsia="zh-CN"/>
        </w:rPr>
        <w:t>"OJEU Notice"</w:t>
      </w:r>
      <w:r w:rsidRPr="0006376E">
        <w:rPr>
          <w:rFonts w:cs="Times New Roman"/>
          <w:lang w:eastAsia="zh-CN"/>
        </w:rPr>
        <w:t>) in the Official Journal of the European Union seeking tenders</w:t>
      </w:r>
      <w:r w:rsidRPr="0006376E">
        <w:rPr>
          <w:rFonts w:cs="Times New Roman"/>
          <w:b/>
          <w:lang w:eastAsia="zh-CN"/>
        </w:rPr>
        <w:t xml:space="preserve"> </w:t>
      </w:r>
      <w:r w:rsidRPr="0006376E">
        <w:rPr>
          <w:rFonts w:cs="Times New Roman"/>
          <w:lang w:eastAsia="zh-CN"/>
        </w:rPr>
        <w:t xml:space="preserve">from providers of apprenticeship training and related services interested in entering into a framework arrangement for the supply of such Goods and/or Services to Contracting Authorities. </w:t>
      </w:r>
    </w:p>
    <w:p w:rsidR="00871477" w:rsidRPr="0006376E" w:rsidRDefault="00871477" w:rsidP="00871477">
      <w:pPr>
        <w:numPr>
          <w:ilvl w:val="0"/>
          <w:numId w:val="2"/>
        </w:numPr>
        <w:tabs>
          <w:tab w:val="num" w:pos="567"/>
        </w:tabs>
        <w:overflowPunct/>
        <w:autoSpaceDE/>
        <w:autoSpaceDN/>
        <w:ind w:left="567" w:hanging="567"/>
        <w:textAlignment w:val="auto"/>
        <w:rPr>
          <w:rFonts w:cs="Times New Roman"/>
          <w:b/>
          <w:i/>
          <w:lang w:eastAsia="zh-CN"/>
        </w:rPr>
      </w:pPr>
      <w:r w:rsidRPr="0006376E">
        <w:rPr>
          <w:rFonts w:cs="Times New Roman"/>
          <w:b/>
          <w:lang w:eastAsia="zh-CN"/>
        </w:rPr>
        <w:t>Not Used</w:t>
      </w:r>
    </w:p>
    <w:p w:rsidR="00871477" w:rsidRPr="0006376E" w:rsidRDefault="00871477" w:rsidP="00871477">
      <w:pPr>
        <w:numPr>
          <w:ilvl w:val="0"/>
          <w:numId w:val="2"/>
        </w:numPr>
        <w:tabs>
          <w:tab w:val="num" w:pos="567"/>
        </w:tabs>
        <w:overflowPunct/>
        <w:autoSpaceDE/>
        <w:autoSpaceDN/>
        <w:ind w:left="567" w:hanging="567"/>
        <w:textAlignment w:val="auto"/>
        <w:rPr>
          <w:rFonts w:cs="Times New Roman"/>
          <w:lang w:eastAsia="zh-CN"/>
        </w:rPr>
      </w:pPr>
      <w:r w:rsidRPr="0006376E">
        <w:rPr>
          <w:rFonts w:cs="Times New Roman"/>
          <w:b/>
          <w:lang w:eastAsia="zh-CN"/>
        </w:rPr>
        <w:t>On 15/07/2017</w:t>
      </w:r>
      <w:r w:rsidRPr="0006376E">
        <w:rPr>
          <w:rFonts w:cs="Times New Roman"/>
          <w:lang w:eastAsia="zh-CN"/>
        </w:rPr>
        <w:t xml:space="preserve"> the Authority issued an invitation to tender (the "</w:t>
      </w:r>
      <w:r w:rsidRPr="0006376E">
        <w:rPr>
          <w:rFonts w:cs="Times New Roman"/>
          <w:b/>
          <w:lang w:eastAsia="zh-CN"/>
        </w:rPr>
        <w:t>Invitation to Tender</w:t>
      </w:r>
      <w:r w:rsidRPr="0006376E">
        <w:rPr>
          <w:rFonts w:cs="Times New Roman"/>
          <w:lang w:eastAsia="zh-CN"/>
        </w:rPr>
        <w:t>") for the provision of apprenticeship training and related services.</w:t>
      </w:r>
      <w:r w:rsidRPr="0006376E">
        <w:rPr>
          <w:rFonts w:cs="Times New Roman"/>
          <w:i/>
          <w:lang w:eastAsia="zh-CN"/>
        </w:rPr>
        <w:t xml:space="preserve">  </w:t>
      </w:r>
    </w:p>
    <w:p w:rsidR="00871477" w:rsidRPr="0006376E" w:rsidRDefault="00871477" w:rsidP="00871477">
      <w:pPr>
        <w:numPr>
          <w:ilvl w:val="0"/>
          <w:numId w:val="2"/>
        </w:numPr>
        <w:tabs>
          <w:tab w:val="num" w:pos="567"/>
        </w:tabs>
        <w:overflowPunct/>
        <w:autoSpaceDE/>
        <w:autoSpaceDN/>
        <w:ind w:left="567" w:hanging="567"/>
        <w:textAlignment w:val="auto"/>
        <w:rPr>
          <w:rFonts w:cs="Times New Roman"/>
          <w:lang w:eastAsia="zh-CN"/>
        </w:rPr>
      </w:pPr>
      <w:r w:rsidRPr="0006376E">
        <w:rPr>
          <w:rFonts w:cs="Times New Roman"/>
          <w:lang w:eastAsia="zh-CN"/>
        </w:rPr>
        <w:t xml:space="preserve">In response to the Invitation to Tender, the Supplier submitted a tender to the Authority on </w:t>
      </w:r>
      <w:r w:rsidRPr="0006376E">
        <w:rPr>
          <w:rFonts w:cs="Times New Roman"/>
          <w:b/>
          <w:lang w:eastAsia="zh-CN"/>
        </w:rPr>
        <w:t>03/07/2017</w:t>
      </w:r>
      <w:r w:rsidRPr="0006376E">
        <w:rPr>
          <w:rFonts w:cs="Times New Roman"/>
          <w:lang w:eastAsia="zh-CN"/>
        </w:rPr>
        <w:t xml:space="preserve"> (set out in Framework Schedule 21 (Tender)) (the “</w:t>
      </w:r>
      <w:r w:rsidRPr="0006376E">
        <w:rPr>
          <w:rFonts w:cs="Times New Roman"/>
          <w:b/>
          <w:lang w:eastAsia="zh-CN"/>
        </w:rPr>
        <w:t>Tender</w:t>
      </w:r>
      <w:r w:rsidRPr="0006376E">
        <w:rPr>
          <w:rFonts w:cs="Times New Roman"/>
          <w:lang w:eastAsia="zh-CN"/>
        </w:rPr>
        <w:t>”) through which it represented to the Authority that it is capable of delivering the Goods and/or Services in accordance with the Authority's requirements as set out in the Invitation to Tender and, in particular, the Supplier made representations to the Authority in the Tender in relation to its competence, professionalism and ability to provide the Goods and/or Services in an efficient and cost effective manner.</w:t>
      </w:r>
    </w:p>
    <w:p w:rsidR="00871477" w:rsidRPr="00871477" w:rsidRDefault="00871477" w:rsidP="00871477">
      <w:pPr>
        <w:numPr>
          <w:ilvl w:val="0"/>
          <w:numId w:val="2"/>
        </w:numPr>
        <w:tabs>
          <w:tab w:val="num" w:pos="567"/>
        </w:tabs>
        <w:overflowPunct/>
        <w:autoSpaceDE/>
        <w:autoSpaceDN/>
        <w:ind w:left="567" w:hanging="567"/>
        <w:textAlignment w:val="auto"/>
        <w:rPr>
          <w:rFonts w:cs="Times New Roman"/>
          <w:lang w:eastAsia="zh-CN"/>
        </w:rPr>
      </w:pPr>
      <w:r w:rsidRPr="0006376E">
        <w:rPr>
          <w:rFonts w:cs="Times New Roman"/>
          <w:lang w:eastAsia="zh-CN"/>
        </w:rPr>
        <w:t xml:space="preserve">On the basis of the Tender, the Authority selected the Supplier to enter into a framework agreement for </w:t>
      </w:r>
      <w:r w:rsidRPr="0006376E">
        <w:rPr>
          <w:rFonts w:cs="Times New Roman"/>
          <w:b/>
          <w:lang w:eastAsia="zh-CN"/>
        </w:rPr>
        <w:t>Lot(s)</w:t>
      </w:r>
      <w:r w:rsidR="008F3FF9">
        <w:rPr>
          <w:rFonts w:cs="Times New Roman"/>
          <w:b/>
          <w:lang w:eastAsia="zh-CN"/>
        </w:rPr>
        <w:t xml:space="preserve"> </w:t>
      </w:r>
      <w:r w:rsidR="00857908" w:rsidRPr="00857908">
        <w:rPr>
          <w:rFonts w:cs="Times New Roman"/>
          <w:b/>
          <w:highlight w:val="yellow"/>
          <w:lang w:eastAsia="zh-CN"/>
        </w:rPr>
        <w:t>&lt;</w:t>
      </w:r>
      <w:r w:rsidR="00857908" w:rsidRPr="00857908">
        <w:rPr>
          <w:rFonts w:ascii="Arial" w:hAnsi="Arial"/>
          <w:sz w:val="20"/>
          <w:szCs w:val="20"/>
          <w:highlight w:val="yellow"/>
          <w:lang w:eastAsia="zh-CN"/>
        </w:rPr>
        <w:t>1a, 2a, 3a, 4a, 5a, 6a, 7a, 8a, 9a, 10a and 11a&gt;</w:t>
      </w:r>
      <w:r w:rsidR="00857908">
        <w:rPr>
          <w:rFonts w:ascii="Arial" w:hAnsi="Arial"/>
          <w:sz w:val="20"/>
          <w:szCs w:val="20"/>
          <w:lang w:eastAsia="zh-CN"/>
        </w:rPr>
        <w:t xml:space="preserve"> </w:t>
      </w:r>
      <w:r w:rsidRPr="0006376E">
        <w:rPr>
          <w:rFonts w:cs="Times New Roman"/>
          <w:lang w:eastAsia="zh-CN"/>
        </w:rPr>
        <w:t>to</w:t>
      </w:r>
      <w:r w:rsidRPr="00871477">
        <w:rPr>
          <w:rFonts w:cs="Times New Roman"/>
          <w:lang w:eastAsia="zh-CN"/>
        </w:rPr>
        <w:t xml:space="preserve"> provide the Goods and/or Services to CSL from time to time on a call off basis in accordance with this Framework Agreement.</w:t>
      </w:r>
    </w:p>
    <w:p w:rsidR="00871477" w:rsidRPr="00871477" w:rsidRDefault="00871477" w:rsidP="00871477">
      <w:pPr>
        <w:numPr>
          <w:ilvl w:val="0"/>
          <w:numId w:val="2"/>
        </w:numPr>
        <w:tabs>
          <w:tab w:val="num" w:pos="567"/>
        </w:tabs>
        <w:overflowPunct/>
        <w:autoSpaceDE/>
        <w:autoSpaceDN/>
        <w:ind w:left="567" w:hanging="567"/>
        <w:textAlignment w:val="auto"/>
        <w:rPr>
          <w:rFonts w:cs="Times New Roman"/>
          <w:lang w:eastAsia="zh-CN"/>
        </w:rPr>
      </w:pPr>
      <w:r w:rsidRPr="00871477">
        <w:rPr>
          <w:rFonts w:cs="Times New Roman"/>
          <w:lang w:eastAsia="zh-CN"/>
        </w:rPr>
        <w:t xml:space="preserve">This Framework Agreement sets out the award and calling-off ordering procedure for purchasing the Goods and/or Services which may be required by the Authority or CSL and its Service Recipients, the template terms and conditions for any Call Off Contract which  CSL  may enter into and the obligations of the Supplier during and after the Framework Period. For the avoidance of doubt, the Supplier is not permitted to enter into a Call Off Contract under this Framework Agreement with a Service Recipient or any Other Contracting Authority directly. </w:t>
      </w:r>
    </w:p>
    <w:p w:rsidR="00871477" w:rsidRPr="00871477" w:rsidRDefault="00871477" w:rsidP="00871477">
      <w:pPr>
        <w:numPr>
          <w:ilvl w:val="0"/>
          <w:numId w:val="2"/>
        </w:numPr>
        <w:tabs>
          <w:tab w:val="num" w:pos="567"/>
        </w:tabs>
        <w:overflowPunct/>
        <w:autoSpaceDE/>
        <w:autoSpaceDN/>
        <w:ind w:left="567" w:hanging="567"/>
        <w:textAlignment w:val="auto"/>
        <w:rPr>
          <w:rFonts w:cs="Times New Roman"/>
          <w:lang w:eastAsia="zh-CN"/>
        </w:rPr>
      </w:pPr>
      <w:r w:rsidRPr="00871477">
        <w:rPr>
          <w:rFonts w:cs="Times New Roman"/>
          <w:lang w:eastAsia="zh-CN"/>
        </w:rPr>
        <w:t>It is the Parties' intention that there will be no obligation for CSL to award any Call Off Contracts under this Framework Agreement during the Framework Period.</w:t>
      </w:r>
    </w:p>
    <w:p w:rsidR="00871477" w:rsidRPr="00871477" w:rsidRDefault="00871477" w:rsidP="00871477">
      <w:pPr>
        <w:overflowPunct/>
        <w:autoSpaceDE/>
        <w:autoSpaceDN/>
        <w:ind w:left="567"/>
        <w:textAlignment w:val="auto"/>
        <w:rPr>
          <w:rFonts w:cs="Times New Roman"/>
          <w:lang w:eastAsia="zh-CN"/>
        </w:rPr>
      </w:pP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5" w:name="_Toc492462868"/>
      <w:r w:rsidRPr="00871477">
        <w:rPr>
          <w:rFonts w:cs="Times New Roman"/>
          <w:b/>
          <w:caps/>
          <w:color w:val="C00000"/>
          <w:u w:val="single"/>
        </w:rPr>
        <w:t>PRELIMINARIES</w:t>
      </w:r>
      <w:bookmarkEnd w:id="5"/>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6" w:name="_Toc492462869"/>
      <w:r w:rsidRPr="00871477">
        <w:rPr>
          <w:rFonts w:eastAsia="STZhongsong"/>
          <w:b/>
          <w:caps/>
          <w:lang w:eastAsia="zh-CN"/>
        </w:rPr>
        <w:lastRenderedPageBreak/>
        <w:t>DEFINITIONS AND INTERPRETATION</w:t>
      </w:r>
      <w:bookmarkEnd w:id="6"/>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Definitions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In this Framework Agreement, unless the context otherwise requires, capitalised expressions shall have the meanings set out in Framework Schedule 1 (Definitions) or the relevant Framework Schedule in which that capitalised expression appears.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Interpretation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this Framework Agreement, unless the context otherwise requires: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the singular includes the plural and vice versa;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reference to a gender includes the other gender and the neuter;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references to a person include an individual, company, body corporate, corporation, unincorporated association, firm, partnership or other legal entity or Crown Body;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reference to any Law includes a reference to that Law as amended, extended, consolidated or re-enacted from time to time;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words "</w:t>
      </w:r>
      <w:r w:rsidRPr="00871477">
        <w:rPr>
          <w:b/>
          <w:lang w:eastAsia="zh-CN"/>
        </w:rPr>
        <w:t>including</w:t>
      </w:r>
      <w:r w:rsidRPr="00871477">
        <w:rPr>
          <w:lang w:eastAsia="zh-CN"/>
        </w:rPr>
        <w:t>", "</w:t>
      </w:r>
      <w:r w:rsidRPr="00871477">
        <w:rPr>
          <w:b/>
          <w:lang w:eastAsia="zh-CN"/>
        </w:rPr>
        <w:t>other</w:t>
      </w:r>
      <w:r w:rsidRPr="00871477">
        <w:rPr>
          <w:lang w:eastAsia="zh-CN"/>
        </w:rPr>
        <w:t>", "</w:t>
      </w:r>
      <w:r w:rsidRPr="00871477">
        <w:rPr>
          <w:b/>
          <w:lang w:eastAsia="zh-CN"/>
        </w:rPr>
        <w:t>in particular</w:t>
      </w:r>
      <w:r w:rsidRPr="00871477">
        <w:rPr>
          <w:lang w:eastAsia="zh-CN"/>
        </w:rPr>
        <w:t>", "</w:t>
      </w:r>
      <w:r w:rsidRPr="00871477">
        <w:rPr>
          <w:b/>
          <w:lang w:eastAsia="zh-CN"/>
        </w:rPr>
        <w:t>for example</w:t>
      </w:r>
      <w:r w:rsidRPr="00871477">
        <w:rPr>
          <w:lang w:eastAsia="zh-CN"/>
        </w:rPr>
        <w:t>" and similar words shall not limit the generality of the preceding words and shall be construed as if they were immediately followed by the words "without limitation";</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references to “</w:t>
      </w:r>
      <w:r w:rsidRPr="00871477">
        <w:rPr>
          <w:b/>
          <w:lang w:eastAsia="zh-CN"/>
        </w:rPr>
        <w:t>writing</w:t>
      </w:r>
      <w:r w:rsidRPr="00871477">
        <w:rPr>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references to “</w:t>
      </w:r>
      <w:r w:rsidRPr="00871477">
        <w:rPr>
          <w:b/>
          <w:lang w:eastAsia="zh-CN"/>
        </w:rPr>
        <w:t>representations</w:t>
      </w:r>
      <w:r w:rsidRPr="00871477">
        <w:rPr>
          <w:lang w:eastAsia="zh-CN"/>
        </w:rPr>
        <w:t>” shall be construed as references to present facts;  to “</w:t>
      </w:r>
      <w:r w:rsidRPr="00871477">
        <w:rPr>
          <w:b/>
          <w:lang w:eastAsia="zh-CN"/>
        </w:rPr>
        <w:t>warranties</w:t>
      </w:r>
      <w:r w:rsidRPr="00871477">
        <w:rPr>
          <w:lang w:eastAsia="zh-CN"/>
        </w:rPr>
        <w:t>” as references to present and future facts; and to “</w:t>
      </w:r>
      <w:r w:rsidRPr="00871477">
        <w:rPr>
          <w:b/>
          <w:lang w:eastAsia="zh-CN"/>
        </w:rPr>
        <w:t>undertakings</w:t>
      </w:r>
      <w:r w:rsidRPr="00871477">
        <w:rPr>
          <w:lang w:eastAsia="zh-CN"/>
        </w:rPr>
        <w:t>” as references to obligations under this Framework Agreement;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references to “</w:t>
      </w:r>
      <w:r w:rsidRPr="00871477">
        <w:rPr>
          <w:b/>
          <w:lang w:eastAsia="zh-CN"/>
        </w:rPr>
        <w:t>Clauses</w:t>
      </w:r>
      <w:r w:rsidRPr="00871477">
        <w:rPr>
          <w:lang w:eastAsia="zh-CN"/>
        </w:rPr>
        <w:t>” and “</w:t>
      </w:r>
      <w:r w:rsidRPr="00871477">
        <w:rPr>
          <w:b/>
          <w:lang w:eastAsia="zh-CN"/>
        </w:rPr>
        <w:t>Framework Schedules</w:t>
      </w:r>
      <w:r w:rsidRPr="00871477">
        <w:rPr>
          <w:lang w:eastAsia="zh-CN"/>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any reference to this Framework Agreement includes Framework Schedule 1 (Definitions) and the Framework Schedules;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the headings in this Framework Agreement are for ease of reference only and shall not affect the interpretation or construction of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Subject to Clauses 1.2.3 and 1.2.4, in the event and to the extent only of a conflict between any of the provisions of this Framework Agreement, the conflict shall be resolved, in accordance with the following descending order of precedence: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Clauses and Framework Schedule 1 (Definitions);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Framework Schedules 2 to 20 and 22 to 23 inclusive;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Framework Schedule 21 (Tender).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If there is any conflict between the provisions of this Framework Agreement and provisions of any Call Off Contract, the provisions of this Framework Agreement shall prevail over those of the Call Off Contract save that: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any refinement to the Template Order Form and Template Call Off Terms permitted for the purposes of a Call Off Contract  under Clause 4 and Framework Schedule 5 (Call Off Procedure) shall prevail over Framework Schedule 4 (Template Order Form and Template Call Off Terms);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subject to Clause 1.2.4, the Call Off Contract shall prevail over Framework Schedule 21 (Tender).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Framework Schedule 21 (Tender) contains provisions which are more favourable to the Authority in relation to the rest of the Framework Agreement, such provisions of the Tender shall prevail. The Authority shall in its absolute and sole discretion determine whether any provision in the Tender is more favourable to it in relation to this Framework Agreement.</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7" w:name="_Toc492462870"/>
      <w:r w:rsidRPr="00871477">
        <w:rPr>
          <w:rFonts w:eastAsia="STZhongsong"/>
          <w:b/>
          <w:caps/>
          <w:lang w:eastAsia="zh-CN"/>
        </w:rPr>
        <w:t>DUE DILIGENCE</w:t>
      </w:r>
      <w:bookmarkEnd w:id="7"/>
      <w:r w:rsidRPr="00871477">
        <w:rPr>
          <w:rFonts w:eastAsia="STZhongsong"/>
          <w:b/>
          <w:caps/>
          <w:lang w:eastAsia="zh-CN"/>
        </w:rPr>
        <w:t xml:space="preserve"> </w:t>
      </w:r>
    </w:p>
    <w:p w:rsidR="00871477" w:rsidRPr="00871477" w:rsidRDefault="00871477" w:rsidP="00871477">
      <w:pPr>
        <w:numPr>
          <w:ilvl w:val="1"/>
          <w:numId w:val="8"/>
        </w:numPr>
        <w:tabs>
          <w:tab w:val="left" w:pos="1134"/>
        </w:tabs>
        <w:overflowPunct/>
        <w:autoSpaceDE/>
        <w:autoSpaceDN/>
        <w:spacing w:before="120" w:after="120"/>
        <w:textAlignment w:val="auto"/>
        <w:rPr>
          <w:lang w:eastAsia="zh-CN"/>
        </w:rPr>
      </w:pPr>
      <w:r w:rsidRPr="00871477">
        <w:rPr>
          <w:lang w:eastAsia="zh-CN"/>
        </w:rPr>
        <w:t>The Supplier acknowledges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Authority has delivered or made available to the Supplier all of the information and documents that the Supplier considers necessary or relevant for the performance or its obligations under this Framework Agreement;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has made its own enquiries to satisfy itself as to the accuracy of the Due Diligence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has raised all relevant due diligence questions with the Authority before the Framework Commencement Date, has undertaken all necessary due diligence and has entered into this Call Off Contract in reliance on its own due diligence alone;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shall not be excused from the performance of any of its obligations under this Framework Agreement on the grounds of, nor shall the Supplier by entitled to recover any additional costs or charges, arising as a result of any: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misrepresentation of the requirements of the Supplier in the Invitation to Tender or elsewhere;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failure by the Supplier to satisfy itself as to the accuracy and/or adequacy of the Due Diligence Information;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failure by the Supplier to undertake its own due diligence.</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8" w:name="_Toc492462871"/>
      <w:r w:rsidRPr="00871477">
        <w:rPr>
          <w:rFonts w:eastAsia="STZhongsong"/>
          <w:b/>
          <w:caps/>
          <w:lang w:eastAsia="zh-CN"/>
        </w:rPr>
        <w:t>SUPPLIER'S APPOINTMENT</w:t>
      </w:r>
      <w:bookmarkEnd w:id="8"/>
    </w:p>
    <w:p w:rsidR="00871477" w:rsidRPr="00871477" w:rsidRDefault="00871477" w:rsidP="00871477">
      <w:pPr>
        <w:numPr>
          <w:ilvl w:val="1"/>
          <w:numId w:val="8"/>
        </w:numPr>
        <w:tabs>
          <w:tab w:val="left" w:pos="1134"/>
        </w:tabs>
        <w:overflowPunct/>
        <w:autoSpaceDE/>
        <w:autoSpaceDN/>
        <w:spacing w:before="120" w:after="120"/>
        <w:textAlignment w:val="auto"/>
        <w:rPr>
          <w:lang w:eastAsia="zh-CN"/>
        </w:rPr>
      </w:pPr>
      <w:r w:rsidRPr="00871477">
        <w:rPr>
          <w:lang w:eastAsia="zh-CN"/>
        </w:rPr>
        <w:t>The Authority hereby appoints the Supplier as a potential provider of the Goods and/or Services and the Supplier shall be eligible to be considered for the award of Call Off Contracts by CSL during the Framework Period.</w:t>
      </w:r>
    </w:p>
    <w:p w:rsidR="00871477" w:rsidRPr="00871477" w:rsidRDefault="00871477" w:rsidP="00871477">
      <w:pPr>
        <w:numPr>
          <w:ilvl w:val="1"/>
          <w:numId w:val="8"/>
        </w:numPr>
        <w:tabs>
          <w:tab w:val="left" w:pos="1134"/>
        </w:tabs>
        <w:overflowPunct/>
        <w:autoSpaceDE/>
        <w:autoSpaceDN/>
        <w:spacing w:before="120" w:after="120"/>
        <w:textAlignment w:val="auto"/>
        <w:rPr>
          <w:lang w:eastAsia="zh-CN"/>
        </w:rPr>
      </w:pPr>
      <w:r w:rsidRPr="00871477">
        <w:rPr>
          <w:lang w:eastAsia="zh-CN"/>
        </w:rPr>
        <w:t>In consideration of the Supplier agreeing to enter into this Framework Agreement and to perform its obligations under it the Authority agrees to pay and the Supplier agrees to accept on the signing of this Framework Agreement the sum of one pound (£1.00) sterling (receipt of which is hereby acknowledged by the Supplier).</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9" w:name="_Toc492462872"/>
      <w:r w:rsidRPr="00871477">
        <w:rPr>
          <w:rFonts w:eastAsia="STZhongsong"/>
          <w:b/>
          <w:caps/>
          <w:lang w:eastAsia="zh-CN"/>
        </w:rPr>
        <w:t>SCOPE OF FRAMEWORK AGREEMENT</w:t>
      </w:r>
      <w:bookmarkEnd w:id="9"/>
    </w:p>
    <w:p w:rsidR="00871477" w:rsidRPr="00871477" w:rsidRDefault="00871477" w:rsidP="00871477">
      <w:pPr>
        <w:numPr>
          <w:ilvl w:val="1"/>
          <w:numId w:val="8"/>
        </w:numPr>
        <w:tabs>
          <w:tab w:val="left" w:pos="1134"/>
        </w:tabs>
        <w:overflowPunct/>
        <w:autoSpaceDE/>
        <w:autoSpaceDN/>
        <w:spacing w:before="120" w:after="120"/>
        <w:textAlignment w:val="auto"/>
        <w:rPr>
          <w:lang w:eastAsia="zh-CN"/>
        </w:rPr>
      </w:pPr>
      <w:r w:rsidRPr="00871477">
        <w:rPr>
          <w:lang w:eastAsia="zh-CN"/>
        </w:rPr>
        <w:t>Without prejudice to Clause 45 (Third Party Rights), this Framework Agreement governs the relationship between the Authority and the Supplier in respect of the provision of the Goods and/or Services by the Supplier.</w:t>
      </w:r>
    </w:p>
    <w:p w:rsidR="00871477" w:rsidRPr="00871477" w:rsidRDefault="00871477" w:rsidP="00871477">
      <w:pPr>
        <w:numPr>
          <w:ilvl w:val="1"/>
          <w:numId w:val="8"/>
        </w:numPr>
        <w:tabs>
          <w:tab w:val="left" w:pos="1134"/>
        </w:tabs>
        <w:overflowPunct/>
        <w:autoSpaceDE/>
        <w:autoSpaceDN/>
        <w:spacing w:before="120" w:after="120"/>
        <w:textAlignment w:val="auto"/>
        <w:rPr>
          <w:lang w:eastAsia="zh-CN"/>
        </w:rPr>
      </w:pPr>
      <w:r w:rsidRPr="00871477">
        <w:rPr>
          <w:lang w:eastAsia="zh-CN"/>
        </w:rPr>
        <w:t>The Supplier acknowledges and agrees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there is no obligation whatsoever on  CSL to invite or select the Supplier to provide any Goods and/or Services and/or to purchase any Goods and/or Services under this Framework Agreement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entering into this Framework Agreement no form of exclusivity has been conferred on the Supplier nor volume or value guarantee granted by CSL in relation to the provision of the Goods and/or Services by the Supplier and that the CSL are at all times entitled to enter into other contracts and agreements with other suppliers for the provision of any or all goods and/or services which are the same as or similar to the Goods and/or Services.</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0" w:name="_Toc492462873"/>
      <w:r w:rsidRPr="00871477">
        <w:rPr>
          <w:rFonts w:eastAsia="STZhongsong"/>
          <w:b/>
          <w:caps/>
          <w:lang w:eastAsia="zh-CN"/>
        </w:rPr>
        <w:t>CALL OFF PROCEDURE</w:t>
      </w:r>
      <w:bookmarkEnd w:id="10"/>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Authority or CSL decides to source any of the Goods and/or Services through this Framework Agreement, then it shall be entitled at any time in its absolute and sole discretion during the Framework Period to award Call Off Contracts for the Goods and/or Services from the Supplier by following Framework Schedule 5 (Call Off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comply with the relevant provisions in Framework Schedule 5</w:t>
      </w:r>
      <w:r w:rsidRPr="00871477" w:rsidDel="00215F4E">
        <w:rPr>
          <w:lang w:eastAsia="zh-CN"/>
        </w:rPr>
        <w:t xml:space="preserve"> </w:t>
      </w:r>
      <w:r w:rsidRPr="00871477">
        <w:rPr>
          <w:lang w:eastAsia="zh-CN"/>
        </w:rPr>
        <w:t>(Call Off Procedure).</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1" w:name="_Toc492462874"/>
      <w:r w:rsidRPr="00871477">
        <w:rPr>
          <w:rFonts w:eastAsia="STZhongsong"/>
          <w:b/>
          <w:caps/>
          <w:lang w:eastAsia="zh-CN"/>
        </w:rPr>
        <w:t>ASSISTANCE IN RELATED PROCUREMENTS</w:t>
      </w:r>
      <w:bookmarkEnd w:id="11"/>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a Relevant Supplier is bidding to provide New Goods and/or Services in circumstances where the Supplier or an Affiliate of the Supplier is already providing (or due to provide) Legacy Goods and/or Services to or CSL, the Supplier shall promptly provide or CSL and/or the Relevant Supplier with all reasonable information and assistance as may be required from time to time to enable or CSL and/or the Relevant Supplier, as appropriate, to:</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carry out appropriate due diligence with respect to the provision of the New Goods and/or Services;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effect a smooth transfer and/or inter-operation (as the case may be) between the Legacy Goods and/or Services and the New Goods and/or Services;</w:t>
      </w:r>
    </w:p>
    <w:p w:rsidR="00871477" w:rsidRPr="00E64A54" w:rsidRDefault="00E64A54" w:rsidP="00E64A54">
      <w:pPr>
        <w:numPr>
          <w:ilvl w:val="2"/>
          <w:numId w:val="8"/>
        </w:numPr>
        <w:tabs>
          <w:tab w:val="left" w:pos="1985"/>
        </w:tabs>
        <w:overflowPunct/>
        <w:autoSpaceDE/>
        <w:autoSpaceDN/>
        <w:spacing w:before="120" w:after="120"/>
        <w:ind w:left="1985" w:hanging="851"/>
        <w:textAlignment w:val="auto"/>
        <w:rPr>
          <w:lang w:eastAsia="zh-CN"/>
        </w:rPr>
      </w:pPr>
      <w:r w:rsidRPr="0006376E">
        <w:rPr>
          <w:lang w:eastAsia="zh-CN"/>
        </w:rPr>
        <w:t>carry out a fair Further Competition</w:t>
      </w:r>
      <w:r w:rsidRPr="00871477">
        <w:rPr>
          <w:lang w:eastAsia="zh-CN"/>
        </w:rPr>
        <w:t xml:space="preserve"> Procedure for the New Goods and/or Services;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make a proper assessment as to the risk related to the New Goods and/or Services.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When performing its obligations in Clause 6.1 the Supplier shall act consistently, applying principles of equal treatment and non-discrimination, with regard to requests for assistance from and dealings with each Relevant Supplier.</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2" w:name="_Toc492462875"/>
      <w:r w:rsidRPr="00871477">
        <w:rPr>
          <w:rFonts w:eastAsia="STZhongsong"/>
          <w:b/>
          <w:caps/>
          <w:lang w:eastAsia="zh-CN"/>
        </w:rPr>
        <w:t>REPRESENTATIONS AND WARRANTIES</w:t>
      </w:r>
      <w:bookmarkEnd w:id="12"/>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Each Party represents and warrants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it has full capacity and authority to enter into and to perform this Framework Agreement;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this Framework Agreement is executed by its duly authorised representative;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Framework Agreement;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represents and warrants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it is validly incorporated, organised and subsisting in accordance with the Laws of its place of incorporation;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has obtained and will maintain all licences, authorisations, permits, necessary consents (including, where its procedures so require, the consent of its Parent Company) and regulatory approvals to enter into and perform its obligations under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Framework Commencement Date;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as at the Framework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the Charges payable under this Framework Agreement exceed or are likely to exceed five (5) million pounds, as at the Framework Commencement Date, it has notified the Authority in writing of any Occasions of Tax Non-Compliance</w:t>
      </w:r>
      <w:r w:rsidRPr="00871477">
        <w:rPr>
          <w:bCs/>
          <w:lang w:eastAsia="zh-CN"/>
        </w:rPr>
        <w:t xml:space="preserve"> or any litigation that it is involved in connection with any Occasions of Tax Non Compliance</w:t>
      </w:r>
      <w:r w:rsidRPr="00871477">
        <w:rPr>
          <w:lang w:eastAsia="zh-CN"/>
        </w:rPr>
        <w: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has and shall continue to have all necessary Intellectual Property Rights including in and to any materials made available by the Supplier (and/or any Sub-Contractor) to the Authority which are necessary</w:t>
      </w:r>
      <w:r w:rsidRPr="00871477">
        <w:rPr>
          <w:b/>
          <w:i/>
          <w:lang w:eastAsia="zh-CN"/>
        </w:rPr>
        <w:t xml:space="preserve"> </w:t>
      </w:r>
      <w:r w:rsidRPr="00871477">
        <w:rPr>
          <w:lang w:eastAsia="zh-CN"/>
        </w:rPr>
        <w:t>for the performance of the Supplier’s obligations under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it is not subject to any contractual obligation, compliance with which is likely to have a material adverse effect on its ability to perform its obligations under this Framework Agreement;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for the duration of this Framework Agreement and any Call Off Contracts and for a period of twelve (12) Months after the termination or expiry of this Framework Agreement or, if later, any Call Off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in performing its obligations under this Framework Agreement and any Call Off Contract, the Supplier shall not (to the extent possible in the circumstances) discriminate between Contracting Authorities on the basis of their respective sizes;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it is registered on the Register of Apprenticeship Training Providers;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 it will comply with the Funding Rules.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Each of the representations and warranties set out in Clauses 7.1 and 7.2 shall be construed as a separate representation and warranty and shall not be limited or restricted by reference to, </w:t>
      </w:r>
      <w:r w:rsidRPr="00871477">
        <w:rPr>
          <w:lang w:eastAsia="zh-CN"/>
        </w:rPr>
        <w:lastRenderedPageBreak/>
        <w:t>or inference from, the terms of any other representation, warranty or any undertaking in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at any time a Party becomes aware that a representation or warranty given by it under Clauses 7.1 and 7.2 has been breached, is untrue or is misleading, it shall immediately notify the other Party of the relevant occurrence in sufficient detail to enable the other Party to make an accurate assessment of the situation.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For the avoidance of doubt, the fact that any provision within this Framework Agreement is expressed as a warranty shall not preclude any right of termination the Authority may have in respect of the breach of that provision by the Supplier which constitutes a material Default of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Each time that a Call Off Contract is entered into, the warranties and representations in Clauses 7.1 and 7.2 shall be deemed to be repeated by the Supplier with reference to the circumstances existing at the time.</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3" w:name="_Toc492462876"/>
      <w:r w:rsidRPr="00871477">
        <w:rPr>
          <w:rFonts w:eastAsia="STZhongsong"/>
          <w:b/>
          <w:caps/>
          <w:lang w:eastAsia="zh-CN"/>
        </w:rPr>
        <w:t>GUARANTEE</w:t>
      </w:r>
      <w:bookmarkEnd w:id="13"/>
    </w:p>
    <w:p w:rsidR="008C2005" w:rsidRPr="0006376E" w:rsidRDefault="008C2005" w:rsidP="00871477">
      <w:pPr>
        <w:numPr>
          <w:ilvl w:val="1"/>
          <w:numId w:val="8"/>
        </w:numPr>
        <w:tabs>
          <w:tab w:val="left" w:pos="709"/>
          <w:tab w:val="left" w:pos="1134"/>
        </w:tabs>
        <w:overflowPunct/>
        <w:autoSpaceDE/>
        <w:autoSpaceDN/>
        <w:spacing w:before="120" w:after="120"/>
        <w:textAlignment w:val="auto"/>
        <w:rPr>
          <w:b/>
          <w:lang w:eastAsia="zh-CN"/>
        </w:rPr>
      </w:pPr>
      <w:r w:rsidRPr="0006376E">
        <w:rPr>
          <w:b/>
          <w:lang w:eastAsia="zh-CN"/>
        </w:rPr>
        <w:t>NOT USED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Where CSL has notified the Supplier that the award of a Call Off Contract by  CSL shall be conditional upon receipt of a valid Call Off Guarantee, then, on or prior to the execution of that Call Off Contract, as a condition for the award of this Framework Agreement, the Supplier must have delivered to CSL: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 executed Call Off Guarantee from a Call Off Guarantor;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 certified copy extract of the board minutes and/or resolution of the Call Off Guarantor approving the execution of the Call Off Guarantee.</w:t>
      </w:r>
    </w:p>
    <w:p w:rsidR="00871477" w:rsidRPr="00871477" w:rsidRDefault="00871477" w:rsidP="00871477">
      <w:pPr>
        <w:tabs>
          <w:tab w:val="left" w:pos="709"/>
          <w:tab w:val="left" w:pos="1134"/>
        </w:tabs>
        <w:overflowPunct/>
        <w:autoSpaceDE/>
        <w:autoSpaceDN/>
        <w:spacing w:before="120" w:after="120"/>
        <w:textAlignment w:val="auto"/>
        <w:rPr>
          <w:b/>
          <w:i/>
          <w:lang w:eastAsia="zh-CN"/>
        </w:rPr>
      </w:pP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4" w:name="_Toc492462877"/>
      <w:r w:rsidRPr="00871477">
        <w:rPr>
          <w:rFonts w:eastAsia="STZhongsong"/>
          <w:b/>
          <w:caps/>
          <w:lang w:eastAsia="zh-CN"/>
        </w:rPr>
        <w:t>CYBER ESSENTIALS SCHEME CONDITION</w:t>
      </w:r>
      <w:bookmarkEnd w:id="14"/>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the Authority has notified the Supplier that prior to the execution of the first Call Off Contract the Supplier shall provide a valid Cyber Essentials Scheme Basic Certificate or equivalent, then on or prior to the execution of the first Call Off Contract, as a condition for the award of this Framework Agreement, the Supplier must have delivered to the Authority evidence of the same.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the Supplier continues to Process Cyber Essentials Scheme Data during the Framework Period or the contract period of any Call Off Contract the Supplier shall deliver to the Authority evidence of renewal of a valid Cyber Essentials Scheme Basic Certificate or equivalent on each anniversary of the first applicable certificate obtained by the Supplier under Clause 9.1.</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the Supplier is due to Process Cyber Essentials Scheme Data after the commencement date of the first Call Off Contract but before the end of the Framework Period or contact period of the last Call Off Contract, the Supplier shall deliver to the Authority evidence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 valid Cyber Essentials Scheme Basic Certificate or equivalent (before the Supplier Processes any such Cyber Essentials Scheme Data);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renewal of a valid Cyber Essentials Scheme Basic Certificate or equivalent on each anniversary of the first Cyber Essentials Scheme certificate obtained by the Supplier under Clause 9.3.1.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In the event that the Supplier fails to comply with Clauses 9.2 or 9.3 (as applicable), the Authority reserves the right to terminate this Framework Agreement for material Default.</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15" w:name="_Toc492462878"/>
      <w:r w:rsidRPr="00871477">
        <w:rPr>
          <w:rFonts w:cs="Times New Roman"/>
          <w:b/>
          <w:caps/>
          <w:color w:val="C00000"/>
          <w:u w:val="single"/>
        </w:rPr>
        <w:t>DURATION OF FRAMEWORK AGREEMENT</w:t>
      </w:r>
      <w:bookmarkEnd w:id="15"/>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6" w:name="_Toc492462879"/>
      <w:r w:rsidRPr="00871477">
        <w:rPr>
          <w:rFonts w:eastAsia="STZhongsong"/>
          <w:b/>
          <w:caps/>
          <w:lang w:eastAsia="zh-CN"/>
        </w:rPr>
        <w:t>FRAMEWORK PERIOD</w:t>
      </w:r>
      <w:bookmarkEnd w:id="16"/>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Framework Agreement shall take effect on the Framework Commencement Date and shall expire, unless it is terminated earlier in accordance with the terms of this Framework Agreement or otherwise by operation of Law, either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at the end of the Initial Framework Period;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the Authority elects to extend the Initial Framework Period in accordance with Clause 10.2 below, at the end of the Extension Framework Period.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may extend the duration of this Framework Agreement for any period or periods up to a maximum of two (2) years in total from the expiry of the Initial Framework Period by giving the Supplier no less than three (3) Months' written notice.</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17" w:name="_Toc492462880"/>
      <w:r w:rsidRPr="00871477">
        <w:rPr>
          <w:rFonts w:cs="Times New Roman"/>
          <w:b/>
          <w:caps/>
          <w:color w:val="C00000"/>
          <w:u w:val="single"/>
        </w:rPr>
        <w:t>FRAMEWORK AGREEMENT PERFORMANCE</w:t>
      </w:r>
      <w:bookmarkEnd w:id="17"/>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8" w:name="_Toc492462881"/>
      <w:r w:rsidRPr="00871477">
        <w:rPr>
          <w:rFonts w:eastAsia="STZhongsong"/>
          <w:b/>
          <w:caps/>
          <w:lang w:eastAsia="zh-CN"/>
        </w:rPr>
        <w:t>FRAMEWORK AGREEMENT PERFORMANCE</w:t>
      </w:r>
      <w:bookmarkEnd w:id="18"/>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perform its obligations under this Framework Agreement in accordance with:</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requirements of this Framework Agreement, including Framework Schedule 8 (Framework Management);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terms and conditions of the respective Call Off Contracts;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Good Industry Practice;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all applicable Standards;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compliance with all applicable Law.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bring to the attention of the Authority any conflict between any of the requirements of Clause 11.1 and shall comply with the Authority's decision on the resolution of any such conflict.</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19" w:name="_Toc492462882"/>
      <w:r w:rsidRPr="00871477">
        <w:rPr>
          <w:rFonts w:eastAsia="STZhongsong"/>
          <w:b/>
          <w:caps/>
          <w:lang w:eastAsia="zh-CN"/>
        </w:rPr>
        <w:t>KEY PERFORMANCE INDICATORS</w:t>
      </w:r>
      <w:bookmarkEnd w:id="19"/>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at all times during the Framework Period comply with the Key Performance Indicators and achieve the KPI Targets set out in Part B of Framework Schedule 2 (Goods and/or Services and Key Performance Indicators).</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0" w:name="_Toc492462883"/>
      <w:r w:rsidRPr="00871477">
        <w:rPr>
          <w:rFonts w:eastAsia="STZhongsong"/>
          <w:b/>
          <w:caps/>
          <w:lang w:eastAsia="zh-CN"/>
        </w:rPr>
        <w:t>STANDARDS</w:t>
      </w:r>
      <w:bookmarkEnd w:id="20"/>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bCs/>
          <w:u w:val="single"/>
          <w:lang w:eastAsia="zh-CN"/>
        </w:rPr>
      </w:pPr>
      <w:r w:rsidRPr="00871477">
        <w:rPr>
          <w:lang w:eastAsia="zh-CN"/>
        </w:rPr>
        <w:t xml:space="preserve">The Supplier shall comply with the Standards at all times during the performance by the Supplier of the Framework Agreement and any Call Off Contract, including any Standards set out in Part A of Framework Schedule 2 (Goods and/or Services and Key Performance Indicators).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bCs/>
          <w:u w:val="single"/>
          <w:lang w:eastAsia="zh-CN"/>
        </w:rPr>
      </w:pPr>
      <w:r w:rsidRPr="00871477">
        <w:rPr>
          <w:lang w:eastAsia="zh-CN"/>
        </w:rPr>
        <w:lastRenderedPageBreak/>
        <w:t>Throughout the Framework Period, the Parties shall notify each other of any new or emergent standards which could affect the Supplier’s provision, or the receipt by CSL under a Call Off Contract, of the Goods and/or Services. The adoption of any such new or emergent standard, or changes to existing Standards, shall be agreed in accordance with the Variation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bCs/>
          <w:u w:val="single"/>
          <w:lang w:eastAsia="zh-CN"/>
        </w:rPr>
      </w:pPr>
      <w:r w:rsidRPr="00871477">
        <w:rPr>
          <w:lang w:eastAsia="zh-CN"/>
        </w:rPr>
        <w:t>Where a new or emergent standard is to be developed or introduced by the Authority, the Supplier shall be responsible for ensuring that the potential impact on the Supplier’s provision, or CSL’s receipt under a Call Off Contract, of the Goods and/or Services is explained to the Authority and CSL (within a reasonable timeframe), prior to the implementation of the new or emergent Standard.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bCs/>
          <w:u w:val="single"/>
          <w:lang w:eastAsia="zh-CN"/>
        </w:rPr>
      </w:pPr>
      <w:r w:rsidRPr="00871477">
        <w:rPr>
          <w:lang w:eastAsia="zh-CN"/>
        </w:rPr>
        <w:t>Where Standards referenced conflict with each other or with best professional or industry practice adopted after the Framework Commencement Date, then the later Standard or best practice shall be adopted by the Supplier. Any such alteration to any Standard(s) shall require Approval and shall be implemented within an agreed timescale.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Where a standard, policy or document is referred to in Framework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 </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1" w:name="_Toc492462884"/>
      <w:r>
        <w:rPr>
          <w:rFonts w:eastAsia="STZhongsong"/>
          <w:b/>
          <w:caps/>
          <w:lang w:eastAsia="zh-CN"/>
        </w:rPr>
        <w:t xml:space="preserve">minimum standards of reliability - </w:t>
      </w:r>
      <w:r w:rsidRPr="00871477">
        <w:rPr>
          <w:rFonts w:eastAsia="STZhongsong"/>
          <w:b/>
          <w:caps/>
          <w:lang w:eastAsia="zh-CN"/>
        </w:rPr>
        <w:t>NOT USED</w:t>
      </w:r>
      <w:bookmarkEnd w:id="21"/>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2" w:name="_Toc492462885"/>
      <w:r w:rsidRPr="00871477">
        <w:rPr>
          <w:rFonts w:eastAsia="STZhongsong"/>
          <w:b/>
          <w:caps/>
          <w:lang w:eastAsia="zh-CN"/>
        </w:rPr>
        <w:t>CONTINUOUS IMPROVEMENT</w:t>
      </w:r>
      <w:bookmarkEnd w:id="22"/>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at all times during the Framework Period comply with its obligations to continually improve the Goods and/or Services and the manner in which it provides the Goods and/or Services as set out in Framework Schedule 12 (Continuous Improvement and Benchmarking).</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3" w:name="_Toc492462886"/>
      <w:r w:rsidRPr="00871477">
        <w:rPr>
          <w:rFonts w:eastAsia="STZhongsong"/>
          <w:b/>
          <w:caps/>
          <w:lang w:eastAsia="zh-CN"/>
        </w:rPr>
        <w:t>CALL OFF PERFORMANCE UNDER FRAMEWORK AGREEMENT</w:t>
      </w:r>
      <w:bookmarkEnd w:id="23"/>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perform all its obligations under all Call Off Contracts: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accordance with the requirements of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accordance with the terms and conditions of the respective Call Off Contracts.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draw any conflict in the application of any of the requirements of Clauses 16.1.1 and 16.1.2 to the attention of the Authority and shall comply with the Authority's decision on the resolution of any such conflict.</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24" w:name="_Toc492462887"/>
      <w:r w:rsidRPr="00871477">
        <w:rPr>
          <w:rFonts w:cs="Times New Roman"/>
          <w:b/>
          <w:caps/>
          <w:color w:val="C00000"/>
          <w:u w:val="single"/>
        </w:rPr>
        <w:t>FRAMEWORK AGREEMENT GOVERNANCE</w:t>
      </w:r>
      <w:bookmarkEnd w:id="24"/>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5" w:name="_Toc492462888"/>
      <w:r w:rsidRPr="00871477">
        <w:rPr>
          <w:rFonts w:eastAsia="STZhongsong"/>
          <w:b/>
          <w:caps/>
          <w:lang w:eastAsia="zh-CN"/>
        </w:rPr>
        <w:t>FRAMEWORK AGREEMENT MANAGEMENT</w:t>
      </w:r>
      <w:bookmarkEnd w:id="25"/>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shall manage this Framework Agreement in accordance with Framework Schedule 8 (Framework Management).</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6" w:name="_Toc492462889"/>
      <w:r w:rsidRPr="00871477">
        <w:rPr>
          <w:rFonts w:eastAsia="STZhongsong"/>
          <w:b/>
          <w:caps/>
          <w:lang w:eastAsia="zh-CN"/>
        </w:rPr>
        <w:t>RECORDS, AUDIT ACCESS AND OPEN BOOK DATA</w:t>
      </w:r>
      <w:bookmarkEnd w:id="26"/>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keep and maintain, until the later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seven (7) years after the date of termination or expiry of this Framework Agreement;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seven (7) years after the date of termination or expiry of the last Call Off Contract to expire or terminate;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such other date as may be agreed between the Parties, </w:t>
      </w:r>
    </w:p>
    <w:p w:rsidR="00871477" w:rsidRPr="00871477" w:rsidRDefault="00871477" w:rsidP="00871477">
      <w:pPr>
        <w:tabs>
          <w:tab w:val="left" w:pos="3402"/>
        </w:tabs>
        <w:spacing w:after="220"/>
        <w:ind w:left="1134"/>
        <w:rPr>
          <w:szCs w:val="24"/>
        </w:rPr>
      </w:pPr>
      <w:r w:rsidRPr="00871477">
        <w:rPr>
          <w:szCs w:val="24"/>
        </w:rPr>
        <w:t>full and accurate records and accounts of the operation of this Framework Agreement, including the Call Off Contracts entered into with Contracting Authorities, the Goods and/or Services provided pursuant to the Call Off Contracts, and the amounts paid by each Contracting Authority under the Call Off Contracts and those supporting tests and evidence that underpin the provision of the annual Self Audit Certificate and supporting Audit Report.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keep the records and accounts referred to in Clause 18.1 in accordance with Good Industry Practice and Law.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w:t>
      </w:r>
      <w:r w:rsidRPr="00871477">
        <w:rPr>
          <w:bCs/>
          <w:iCs/>
          <w:lang w:eastAsia="zh-CN"/>
        </w:rPr>
        <w:t xml:space="preserve"> and the signatory must be professionally qualified in a relevant audit or financial discipline</w:t>
      </w:r>
      <w:r w:rsidRPr="00871477">
        <w:rPr>
          <w:lang w:eastAsia="zh-CN"/>
        </w:rPr>
        <w:t xml:space="preserv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Each Self Audit Certificate should be based on tests completed against a representative sample of 10% of transactions carried out during the period of being audited or 100 transactions (whichever is less) and should provide assurance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Orders are clearly identified as such in the order processing and invoicing systems and, where required, Orders are correctly reported in the MI Reports;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all related invoices are completely and accurately included in the MI Reports;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all Charges to CSL comply with any requirements under this Framework Agreement on maximum mark-ups, discounts, charge rates, fixed quotes (as applicable);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 additional sample of twenty (20)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Each Self Audit Certificate should be supported by an Audit Report that provides details of the methodology applied to complete the review, the sampling techniques applied, details of any issues identified and remedial action taken.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 shall afford any Auditor access to the records and accounts referred to in Clause 18.1 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in order to: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verify the accuracy of the Charges and any other amounts payable by CSL under a Call Off Contract (including proposed or actual variations to them in accordance with this Framework Agreement);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verify the costs of the Supplier (including the costs of all Sub-Contractors and any third party suppliers) in connection with the provision of the Services;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verify the Open Book Data;</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verify the Supplier’s and each Sub-Contractor’s compliance with the applicable Law;</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identify or investigate any circumstances which may impact upon the financial </w:t>
      </w:r>
      <w:r w:rsidR="008C2005">
        <w:rPr>
          <w:lang w:eastAsia="zh-CN"/>
        </w:rPr>
        <w:t>stability of the Supplier ,the</w:t>
      </w:r>
      <w:r w:rsidRPr="00871477">
        <w:rPr>
          <w:lang w:eastAsia="zh-CN"/>
        </w:rPr>
        <w:t xml:space="preserve"> Call Off Guarantor and/or any Sub-Contractors or their ability to perform the Services;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obtain such information as is necessary to fulfil the Authority’s obligations to supply information for parliamentary, ministerial, judicial or administrative purposes including the supply of information to the Comptroller and Auditor General;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review any books of account and the internal contract management accounts kept by the Supplier in connection with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carry out the Authority’s internal and statutory audits and to prepare, examine and/or certify the Authority's annual and interim reports and accounts;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enable the National Audit Office to carry out an examination pursuant to Section 6(1) of the National Audit Act 1983 of the economy, efficiency and effectiveness with which the Authority has used its resources;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verify the accuracy and completeness of any Management Information delivered or required by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review any MI Reports and/or other records relating to the Supplier’s performance of the Services and to verify that these reflect the Supplier’s own internal reports and records;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review the integrity, confidentiality and security of the Authority Personal Data; and/or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receive from the Supplier on request summaries of all central government public sector expenditure placed with the Supplier including through routes outside the Framework in order to verify that the Supplier’s practice is consistent with the Government’s transparency agenda which requires all public sector bodies to publish details of expenditure on common goods and services.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shall use reasonable endeavours to ensure that the conduct of each Audit does not unreasonably disrupt the Supplier or delay the provision of the Goods and/or Services pursuant to the Call Off Contracts, save insofar as the Supplier accepts and acknowledges that control over the conduct of Audits carried out by the Auditors</w:t>
      </w:r>
      <w:r w:rsidRPr="00871477" w:rsidDel="00C84FE7">
        <w:rPr>
          <w:lang w:eastAsia="zh-CN"/>
        </w:rPr>
        <w:t xml:space="preserve"> </w:t>
      </w:r>
      <w:r w:rsidRPr="00871477">
        <w:rPr>
          <w:lang w:eastAsia="zh-CN"/>
        </w:rPr>
        <w:t>is outside of the control of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the Authority's obligations of confidentiality, the Supplier shall on demand provide the Auditors with all reasonable co-operation and assistance in relation to each Audit, including by providing:</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all information within the scope of the Audit requested by the Auditor;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reasonable access to any sites controlled by the Supplier and to equipment used in the provision of the Goods and/or Services;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access to the Supplier Personnel.</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an Audit reveals that the Supplier has underpaid an amount equal to or greater than one per cent (1%) of the Management Charge due in respect of any one Contract Year or year of any Call Off Contracts then, without prejudice to the Authority’s other rights under this Framework Agreement, the Supplier shall reimburse the Authority its reasonable costs incurred in relation to the Audit.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If an Audit reveals that: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that the Supplier has underpaid an amount equal to or greater than five per cent (5%) of the Management Charge due during any Contract Year of this Framework Agreement and any Call Off Contract; and/or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 material Default has been committed by the Supplier;</w:t>
      </w:r>
    </w:p>
    <w:p w:rsidR="00871477" w:rsidRPr="00871477" w:rsidRDefault="00871477" w:rsidP="00871477">
      <w:pPr>
        <w:tabs>
          <w:tab w:val="left" w:pos="3402"/>
        </w:tabs>
        <w:spacing w:after="220"/>
        <w:ind w:left="1134"/>
        <w:rPr>
          <w:szCs w:val="24"/>
        </w:rPr>
      </w:pPr>
      <w:r w:rsidRPr="00871477">
        <w:rPr>
          <w:szCs w:val="24"/>
        </w:rPr>
        <w:t xml:space="preserve"> then the Authority shall be entitled to terminate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agree that they shall bear their own respective costs and expenses incurred in respect of compliance with their obligations under this Clause, save as specified in Clause 18.9.</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7" w:name="_Toc492462890"/>
      <w:r w:rsidRPr="00871477">
        <w:rPr>
          <w:rFonts w:eastAsia="STZhongsong"/>
          <w:b/>
          <w:caps/>
          <w:lang w:eastAsia="zh-CN"/>
        </w:rPr>
        <w:t>CHANGE</w:t>
      </w:r>
      <w:bookmarkEnd w:id="27"/>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Variation Procedure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Subject to the provisions of this Clause 19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Supplier, request a variation to this Framework Agreement provided always that such variation does not amount to a material change of this Framework Agreement within the meaning of the Regulations and the Law. Such a change once implemented is hereinafter called a </w:t>
      </w:r>
      <w:r w:rsidRPr="00871477">
        <w:rPr>
          <w:b/>
          <w:lang w:eastAsia="zh-CN"/>
        </w:rPr>
        <w:t>"Variation</w:t>
      </w:r>
      <w:r w:rsidRPr="00871477">
        <w:rPr>
          <w:lang w:eastAsia="zh-CN"/>
        </w:rPr>
        <w: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may request a Variation by completing, signing and sending the Variation Form as set out in Framework Schedule 19 (Variation Form) to the Supplier giving sufficient information for the Supplier to assess the extent of the proposed Variation and any additional cost that may be incurred.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respond to the Authority’s request pursuant to Clause 19.1.2 within the time limits specified in the Variation Form. Such time limits shall be reasonable and ultimately at the discretion of the Authority having regard to the nature of the proposed Variation.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the event that: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is unable to agree to or provide the Variation;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Parties are unable to agree a change to the Framework Prices that may be included in a request for a Variation or response to it as a consequence thereof,</w:t>
      </w:r>
      <w:r w:rsidRPr="00871477">
        <w:rPr>
          <w:b/>
          <w:i/>
          <w:lang w:eastAsia="zh-CN"/>
        </w:rPr>
        <w:t xml:space="preserve"> </w:t>
      </w:r>
    </w:p>
    <w:p w:rsidR="00871477" w:rsidRPr="00871477" w:rsidRDefault="00871477" w:rsidP="00871477">
      <w:p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the Authority may:</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agree to continue to perform its obligations under this Framework Agreement without the Variation; or</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terminate this Framework Agreement with immediate effect.</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Legislative Change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neither be relieved of its obligations under this Framework Agreement nor be entitled to an increase the Framework Prices as the result of:</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General Change in Law;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Specific Change in Law where the effect of that Specific Change in Law on the Goods and/or Services is reasonably foreseeable at the Framework Commencement Date.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a Specific Change in Law occurs or will occur during the Framework  Period (other than as referred to in Clause 19.2.1(b)), the Supplier shall:</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notify the Authority as soon as reasonably practicable of the likely effects of that change including whether any Variation is required to the Goods and/or Services, the Framework Prices or this Framework Agreement;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provide the Authority with evidence: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that the Supplier has minimised any increase in costs or maximised any reduction in costs, including in respect of the costs of its Sub-Contractors;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as to how the Specific Change in Law has affected the cost of providing the Goods and/or Services;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change in the Framework Prices or relief from the Supplier's obligations resulting from a Specific Change in Law (other than as referred to in Clause 19.2.1(b) shall be implemented in accordance with Clause 19.1(Variation Procedure).</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28" w:name="_Toc492462891"/>
      <w:r w:rsidRPr="00871477">
        <w:rPr>
          <w:rFonts w:cs="Times New Roman"/>
          <w:b/>
          <w:caps/>
          <w:color w:val="C00000"/>
          <w:u w:val="single"/>
        </w:rPr>
        <w:t>MANAGEMENT CHARGE, TAXATION AND VALUE FOR MONEY PROVISIONS</w:t>
      </w:r>
      <w:bookmarkEnd w:id="28"/>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29" w:name="_Toc492462892"/>
      <w:r w:rsidRPr="00871477">
        <w:rPr>
          <w:rFonts w:eastAsia="STZhongsong"/>
          <w:b/>
          <w:caps/>
          <w:lang w:eastAsia="zh-CN"/>
        </w:rPr>
        <w:t>MANAGEMENT CHARGE</w:t>
      </w:r>
      <w:bookmarkEnd w:id="29"/>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Authority may, in its sole discretion, and by giving one (1) Months’ notice in writing, notify the Supplier that the Management Charge will become payable from the date specified in the notice.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agrees to pay the Management Charge where notice under Clause 20.1 is given and the following provisions shall apply:</w:t>
      </w:r>
    </w:p>
    <w:p w:rsidR="00871477" w:rsidRPr="00871477" w:rsidRDefault="00871477" w:rsidP="00871477">
      <w:pPr>
        <w:tabs>
          <w:tab w:val="left" w:pos="709"/>
          <w:tab w:val="left" w:pos="1134"/>
        </w:tabs>
        <w:overflowPunct/>
        <w:autoSpaceDE/>
        <w:autoSpaceDN/>
        <w:spacing w:before="120" w:after="120"/>
        <w:ind w:left="284"/>
        <w:textAlignment w:val="auto"/>
        <w:rPr>
          <w:lang w:eastAsia="zh-CN"/>
        </w:rPr>
      </w:pP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The Authority shall be entitled to submit invoices to the Supplier in respect of the Management Charge due each Month based on the Management Information provided pursuant to Framework Schedule 9 (Management Information), and adjusted: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in accordance with paragraphs 5.4 to 5.7 of Framework Schedule 9 (Management Information) to take into account of any Admin Fee(s) that may have accrued in respect of the late provision of Management Information;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in accordance with paragraph 6 of Framework Schedule 9 (Management Information)to take into account of any underpayment or overpayment as a result of the application of the Default Management Charge.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Unless otherwise agreed in writing, the Supplier shall pay by BACS (or by such other means as the Authority may from time to time reasonably require)) the amount stated in any invoice submitted under Clause 20.2.1  to such account as shall be stated in the invoice (or otherwise notified from time to time by the Authority to the Supplier) within thirty (30) calendar days of the date of issue of the invoice.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Management Charge shall apply to the full Charges as specified in each and every Call Off Contract and shall not be varied as a result of any discount or any reduction in the Charges due to any deductions made under any Call Off Contract.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not pass through or recharge to, or otherwise recover from CSL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Interest shall be payable on any late payments of the Management Charge under this Framework Agreement in accordance with the Late Payment of Commercial Debts (Interest) Act 1998.</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0" w:name="_Toc492462893"/>
      <w:r w:rsidRPr="00871477">
        <w:rPr>
          <w:rFonts w:eastAsia="STZhongsong"/>
          <w:b/>
          <w:caps/>
          <w:lang w:eastAsia="zh-CN"/>
        </w:rPr>
        <w:t>PROMOTING TAX COMPLIANCE</w:t>
      </w:r>
      <w:bookmarkEnd w:id="30"/>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 This Clause 21 shall apply if the Charges payable under this Framework Agreement are or are likely to exceed five (5) million pounds during the Framework Period.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at any point during the Framework Period, an Occasion of Tax Non-Compliance occurs, the Supplier shall: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notify the Authority in writing of such fact within five (5) Working Days of its occurrence;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promptly provide to the Authority: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details of the steps that the Supplier is taking to address the Occasion of Tax Non-Compliance, together with any mitigating factors that it considers relevant;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such other information in relation to the Occasion of Tax Non-Compliance as the Authority may reasonably require.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 xml:space="preserve">In the event that the Supplier fails to comply with this Clause 21 and/or does not provide details of proposed mitigating factors which in the reasonable opinion of the Authority are acceptable, then the Authority reserves the right to terminate this Framework Agreement for material Default. </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1" w:name="_Toc492462894"/>
      <w:r w:rsidRPr="00871477">
        <w:rPr>
          <w:rFonts w:eastAsia="STZhongsong"/>
          <w:b/>
          <w:caps/>
          <w:lang w:eastAsia="zh-CN"/>
        </w:rPr>
        <w:t>BENCHMARKING</w:t>
      </w:r>
      <w:bookmarkEnd w:id="31"/>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shall comply with the provisions of Framework Schedule 12 (Continuous Improvement and Benchmarking) in relation to the benchmarking of any or all of the Goods and/or Services.</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2" w:name="_Toc492462895"/>
      <w:r w:rsidRPr="00871477">
        <w:rPr>
          <w:rFonts w:eastAsia="STZhongsong"/>
          <w:b/>
          <w:caps/>
          <w:lang w:eastAsia="zh-CN"/>
        </w:rPr>
        <w:t>FINANCIAL DISTRESS</w:t>
      </w:r>
      <w:bookmarkEnd w:id="32"/>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shall comply with the provisions of Framework Schedule 16 (Financial Distress) in relation to the assessment of the financial standing of the Supplier and the consequences of a change to that financial standing.</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33" w:name="_Toc492462896"/>
      <w:r w:rsidRPr="00871477">
        <w:rPr>
          <w:rFonts w:cs="Times New Roman"/>
          <w:b/>
          <w:caps/>
          <w:color w:val="C00000"/>
          <w:u w:val="single"/>
        </w:rPr>
        <w:t>SUPPLIER PERSONNEL AND SUPPLY CHAIN MATTERS</w:t>
      </w:r>
      <w:bookmarkEnd w:id="33"/>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4" w:name="_Toc492462897"/>
      <w:r>
        <w:rPr>
          <w:rFonts w:eastAsia="STZhongsong"/>
          <w:b/>
          <w:caps/>
          <w:lang w:eastAsia="zh-CN"/>
        </w:rPr>
        <w:t xml:space="preserve">staff transfer - </w:t>
      </w:r>
      <w:r w:rsidRPr="00871477">
        <w:rPr>
          <w:rFonts w:eastAsia="STZhongsong"/>
          <w:b/>
          <w:caps/>
          <w:lang w:eastAsia="zh-CN"/>
        </w:rPr>
        <w:t>NOT USED</w:t>
      </w:r>
      <w:bookmarkEnd w:id="34"/>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5" w:name="_Toc492462898"/>
      <w:r w:rsidRPr="00871477">
        <w:rPr>
          <w:rFonts w:eastAsia="STZhongsong"/>
          <w:b/>
          <w:caps/>
          <w:lang w:eastAsia="zh-CN"/>
        </w:rPr>
        <w:t>SUPPLY CHAIN RIGHTS AND PROTECTION</w:t>
      </w:r>
      <w:bookmarkEnd w:id="35"/>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Appointment of Key Sub-Contractors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has consented to the engagement of the Key Sub-Contractors listed in Framework Schedule 7 (Key Sub-Contractors).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during the Framework Period the Supplier wishes to enter into a new Key Sub-Contract or replace a Key Sub-Contractor, it must obtain the prior written consent of the Authority and CSL with whom it has entered into a Call Off Contract and shall at the time of requesting such consent, provide the Authority with the information detailed in Clause 25.1.3. The decision of the Authority to consent or not will not be unreasonably withheld or delayed. The Authority and/or CSL may reasonably withhold their consent to the appointment of a Key Sub-Contractor if either of them considers that: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appointment of a proposed Key Sub-Contractor may prejudice the provision of the Goods and/or Services or may be contrary to its interests;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proposed Key Sub-Contractor is unreliable and/or has not provided reliable goods and or reasonable services to its other customers;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proposed Key Sub-Contractor</w:t>
      </w:r>
      <w:r w:rsidRPr="00871477">
        <w:rPr>
          <w:spacing w:val="-3"/>
          <w:lang w:val="en-US" w:eastAsia="zh-CN"/>
        </w:rPr>
        <w:t xml:space="preserve"> employs unfit persons.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provide the Authority and CSL with whom the Supplier has entered into a Call Off Contract with the following information in respect of the proposed Key Sub-Contractor: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proposed Key Sub-Contractor’s name, registered office and company registration number;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 xml:space="preserve">the scope/description of any Goods and/or Services to be provided by the proposed Key Sub-Contractor;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where the proposed Key Sub-Contractor is an Affiliate of the Supplier, evidence that demonstrates to the reasonable satisfaction of the Authority that the proposed Key Sub-Contract has been agreed on "arm’s-length" terms;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Key Sub-Contract price expressed as a percentage of the total projected Framework Price over the Framework Period;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Credit Rating Threshold (as defined in Framework Schedule 16 (Financial Distress)) of the Key Sub-Contractor.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requested by the Authority and/or CSL with whom the Supplier has entered into a Call Off Contract, within ten (10) Working Days of receipt of the information provided by the Supplier  pursuant to Clause 25.1.3, the Supplier shall also provide: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 copy of the proposed Key Sub-Contract; and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any further information reasonably requested by the Authority and/or the Contracting Authority with whom the Supplier has entered into a Call Off Contract.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shall ensure that each new or replacement Key Sub-Contract shall include: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provisions which will enable the Supplier to discharge its obligations under this Framework Agreement;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right under CRTPA for the Authority to enforce any provisions under the Key Sub-Contract which confer a benefit upon the Authority;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 provision enabling the Authority to enforce the Key Sub-Contract as if it were the Supplier;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 provision enabling the Supplier to assign, novate or otherwise transfer any of its rights and/or obligations under the Key Sub-Contract to the Authority;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obligations no less onerous on the Key Sub-Contractor than those imposed on the Supplier under this Framework Agreement in respect of:</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data protection requirements set out in Clause 27.4 (Protection of Personal Data);</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FOIA requirements set out in Clause 27.3  (Transparency and Freedom of Information);</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the obligation not to embarrass the Authority or otherwise bring the Authority into disrepute set out in Clause 28 (Publicity and Branding);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keeping of records in respect of the goods and/or services being provided under the Key Sub-Contract, including the maintenance of Open Book Data;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lastRenderedPageBreak/>
        <w:t>the conduct of audits set out in Clause 18 (Records, Audit Access and Open Book Data);</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provisions enabling the Supplier to terminate the Key Sub-Contract on notice on terms no more onerous on the Supplier than those imposed on the Authority under Clauses 33 (Authority Termination Rights) and 35 (Consequences of Expiry or Termination) of this Framework Agreement;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 provision restricting the ability of the Key Sub-Contractor to Sub-Contract all or any part of the provision of the Goods and/or Services provided to the Supplier under the Key Sub-Contract without first seeking the written consent of the Authority; </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Supply Chain Protection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ensure that all Sub-Contracts contain a provision:</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requiring the Supplier to pay any undisputed sums which are due from the Supplier to the Sub-Contractor within a specified period not exceeding thirty (30) days from the receipt of a valid invoice;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requiring that </w:t>
      </w:r>
      <w:r w:rsidRPr="00871477">
        <w:rPr>
          <w:lang w:val="en" w:eastAsia="zh-CN"/>
        </w:rPr>
        <w:t xml:space="preserve">any invoices submitted by a Sub-Contractor shall be considered and verified by the Supplier in a timely fashion and that undue delay in doing so shall not be sufficient justification for failing to regard an invoice as valid and undisputed;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conferring a right to the Authority and CSL with whom the Supplier has entered a Call Off Contract to publish the Supplier’s compliance with its obligation to pay undisputed invoices within the specified payment period.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giving the Supplier a right to terminate the Sub-Contract if the Sub-Contractor fails to comply in the performance of the Sub-Contract with legal obligations in the fields of environmental, social or labour law; and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val="en" w:eastAsia="zh-CN"/>
        </w:rPr>
        <w:t>requiring the Sub-Contractor to include in any Sub-Contract which it in turn awards suitable provisions to impose, as between the parties to that Sub-Contract, requirements to the same effect as those required by this Clause 25.2.1.</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pay any undisputed sums which are due from the Supplier to a Sub-Contractor within thirty (30) days from the receipt of a valid invoice.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val="en" w:eastAsia="zh-C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Notwithstanding any provision of Clauses  27.2 (Confidentiality) and 28 (Publicity and Branding) if the Supplier notifies the Authority that the Supplier has failed to pay an undisputed Sub-Contractor’s invoice within thirty (30) days of receipt, or the Authority otherwise discovers the same, the Authority shall </w:t>
      </w:r>
      <w:r w:rsidRPr="00871477">
        <w:rPr>
          <w:lang w:eastAsia="zh-CN"/>
        </w:rPr>
        <w:lastRenderedPageBreak/>
        <w:t xml:space="preserve">be entitled to publish the details of the late payment or non-payment (including on government websites and in the press). </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Termination of Sub-Contracts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may require the Supplier to terminate: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Sub-Contract where:</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acts or omissions of the relevant Sub-Contractor have caused or materially contributed to the Authority's right of termination pursuant to any of the termination events in Clause 33 (Authority Termination Rights) except Clause 33.7 (Termination Without Cause); and/or</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Key Sub-Contract where there is a Change of Control of the relevant Key Sub-contractor, unless: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Authority has given its prior written consent to the particular Change of Control, which subsequently takes place as proposed; or</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Authority has not served its notice of objection within six (6) months of the later of the date the Change of Control took place or the date on which the Authority was given notice of the Change of Control.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Where the Authority requires the Supplier to terminate a Sub-Contract or a Key Sub-Contract pursuant to Clause 25.3.1 above, the Supplier shall remain responsible for fulfilling all its obligations under this Framework Agreement including the provision of the Goods and/or Services. </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Competitive Terms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the Authority is able to obtain from any Sub-Contractor or any other third party more favourable commercial terms with respect to the supply of any materials, equipment, software, goods or services used by the Supplier or the Supplier Personnel in the supply of the Goods and/or Services, then the Authority may: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require the Supplier to replace its existing commercial terms with its Sub-Contractor with the more favourable commercial terms obtained by the Authority in respect of the relevant item;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subject to Clause 25.3 (Termination of Sub-Contracts), enter into a direct agreement with that Sub-Contractor or third party in respect of the relevant item.</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the Authority exercises either option pursuant to Clause 25.4.1, then the Framework Prices shall be reduced by an amount that is agreed in accordance with Clause 19.1 (Variation Procedure).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The Authority's right to enter into a direct agreement for the supply of the relevant items is subject to:</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Authority shall make the relevant item available to the Supplier where this is necessary for the Supplier to provide the Goods and/or Services;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any reduction in the Framework Prices taking into account any unavoidable costs payable by the Supplier in respect of the substituted item, including in respect of any licence fees or early termination charges.</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Retention of Legal Obligations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b/>
          <w:lang w:eastAsia="zh-CN"/>
        </w:rPr>
      </w:pPr>
      <w:r w:rsidRPr="00871477">
        <w:rPr>
          <w:lang w:val="en-US" w:eastAsia="zh-CN"/>
        </w:rPr>
        <w:t xml:space="preserve">Notwithstanding the Supplier's right to sub-contract pursuant to this Clause 25, the Supplier shall remain responsible for all acts and omissions of its Sub-Contractors and the </w:t>
      </w:r>
      <w:r w:rsidRPr="00871477">
        <w:rPr>
          <w:lang w:eastAsia="zh-CN"/>
        </w:rPr>
        <w:t>acts</w:t>
      </w:r>
      <w:r w:rsidRPr="00871477">
        <w:rPr>
          <w:lang w:val="en-US" w:eastAsia="zh-CN"/>
        </w:rPr>
        <w:t xml:space="preserve"> and omissions of those employed or engaged by the Sub-Contractors as if they were its own. </w:t>
      </w:r>
      <w:r w:rsidRPr="00871477" w:rsidDel="00AB79F8">
        <w:rPr>
          <w:lang w:eastAsia="zh-CN"/>
        </w:rPr>
        <w:t xml:space="preserve"> </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36" w:name="_Toc492462899"/>
      <w:r w:rsidRPr="00871477">
        <w:rPr>
          <w:rFonts w:cs="Times New Roman"/>
          <w:b/>
          <w:caps/>
          <w:color w:val="C00000"/>
          <w:u w:val="single"/>
        </w:rPr>
        <w:t>INTELLECTUAL PROPERTY AND INFORMATION</w:t>
      </w:r>
      <w:bookmarkEnd w:id="36"/>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7" w:name="_Toc492462900"/>
      <w:r w:rsidRPr="00871477">
        <w:rPr>
          <w:rFonts w:eastAsia="STZhongsong"/>
          <w:b/>
          <w:caps/>
          <w:lang w:eastAsia="zh-CN"/>
        </w:rPr>
        <w:t>INTELLECTUAL PROPERTY RIGHTS</w:t>
      </w:r>
      <w:bookmarkEnd w:id="37"/>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Allocation of title to IPR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Save as granted under this Framework Agreement, neither Party shall acquire any right, title or interest in or to the Intellectual Property Rights of the other Party.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either Party acquires, by operation of Law, title to Intellectual Property Rights that is inconsistent with the allocation of title set out in Clause 26.1.1, it shall assign in writing such Intellectual Property Rights as it has acquired to the other Party on the request of the other Party (whenever made).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Subject to Clause 26.1.4, neither Party shall have any right to use any of the other Party's names, logos or trademarks on any of its products or services without the other Party's prior written consent.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Subject to full compliance with the Branding Guidance, the Supplier shall be entitled to use the Authority’s</w:t>
      </w:r>
      <w:r w:rsidRPr="00871477" w:rsidDel="00DE28D6">
        <w:rPr>
          <w:lang w:eastAsia="zh-CN"/>
        </w:rPr>
        <w:t xml:space="preserve"> </w:t>
      </w:r>
      <w:r w:rsidRPr="00871477">
        <w:rPr>
          <w:lang w:eastAsia="zh-CN"/>
        </w:rPr>
        <w:t>logo exclusively in connection with the provision of the Goods and/or Services during the Framework Period and for no other purpose.</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IPR Indemnity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ensure and procure that the availability, provision and use of the Goods and/or Services and the performance of the Supplier's responsibilities and obligations hereunder shall not infringe any Intellectual Property Rights of any third party.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shall, during and after the Framework Period, on written demand, indemnify the Authority against all Losses incurred by, awarded against, or agreed to be paid by the Authority (whether before or after the making of the demand pursuant to the indemnity hereunder) arising from an IPR Claim.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an IPR Claim is made, or the Supplier anticipates that an IPR Claim might be made, the Supplier may, at its own expense and sole option, either: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procure for the Authority the right to continue using the relevant item which is subject to the IPR Claim;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replace or modify the relevant item with non-infringing substitutes provided that:</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performance and functionality of the replaced or modified item is at least equivalent to the performance and functionality of the original item;</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replaced or modified item does not have an adverse effect on any other Goods and/or Services;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there is no additional cost to the Authority;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terms and conditions of this Framework Agreement shall apply to the replaced or modified Goods and/or Services.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the Supplier elects to procure a licence in accordance with Clause  26.2.3(a) or to modify or replace an item pursuant to Clause 26.2.3(b), but this has not avoided or resolved the IPR Claim, then:</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Authority may terminate this Framework Agreement by written notice with immediate effect;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without prejudice to the indemnity set out in Clause 26.2.2, the Supplier shall be liable for all reasonable and unavoidable costs of the substitute items and/or services including the additional costs of procuring, implementing and maintaining the substitute items.</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8" w:name="_Toc492462901"/>
      <w:r w:rsidRPr="00871477">
        <w:rPr>
          <w:rFonts w:eastAsia="STZhongsong"/>
          <w:b/>
          <w:caps/>
          <w:lang w:eastAsia="zh-CN"/>
        </w:rPr>
        <w:t>PROVISION AND PROTECTION OF INFORMATION</w:t>
      </w:r>
      <w:bookmarkEnd w:id="38"/>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Provision of Management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at no charge to the Authority, submit to the Authority complete and accurate Management Information in accordance with the provisions of Framework Schedule 9 (Management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grants the Authority a non-exclusive, transferable, perpetual, irrevocable, royalty free licence to: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use and to share with any Other Contracting Authority and Relevant Person;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publish (subject to any information that is exempt from disclosure in accordance with the provisions of FOIA being redacted),</w:t>
      </w:r>
    </w:p>
    <w:p w:rsidR="00871477" w:rsidRPr="00871477" w:rsidRDefault="00871477" w:rsidP="00871477">
      <w:pPr>
        <w:overflowPunct/>
        <w:autoSpaceDE/>
        <w:autoSpaceDN/>
        <w:spacing w:before="120" w:after="120"/>
        <w:ind w:left="1985"/>
        <w:textAlignment w:val="auto"/>
        <w:rPr>
          <w:lang w:val="en-US" w:eastAsia="zh-CN"/>
        </w:rPr>
      </w:pPr>
      <w:r w:rsidRPr="00871477">
        <w:rPr>
          <w:lang w:val="en-US" w:eastAsia="zh-CN"/>
        </w:rPr>
        <w:t>any Management Information supplied to the Authority for the Authority's normal operational activities including but not limited to administering this Framework Agreement and/or all Call Off Contracts, monitoring public sector expenditure, identifying savings or potential savings and planning future procurement activity.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shall in its absolute and sole discretion determine whether any Management Information is exempt from disclosure in accordance with the provisions of the FOIA.</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Authority may consult with the Supplier to help with its decision regarding any exemptions under Clause 27.1.3 but, for the purpose of this Framework </w:t>
      </w:r>
      <w:r w:rsidRPr="00871477">
        <w:rPr>
          <w:lang w:eastAsia="zh-CN"/>
        </w:rPr>
        <w:lastRenderedPageBreak/>
        <w:t>Agreement, the Authority shall have the final decision in its absolute and sole discretion.</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Confidentiality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For the purposes of this Clause 27.2, the term </w:t>
      </w:r>
      <w:r w:rsidRPr="00871477">
        <w:rPr>
          <w:b/>
          <w:lang w:eastAsia="zh-CN"/>
        </w:rPr>
        <w:t>“Disclosing Party”</w:t>
      </w:r>
      <w:r w:rsidRPr="00871477">
        <w:rPr>
          <w:lang w:eastAsia="zh-CN"/>
        </w:rPr>
        <w:t xml:space="preserve"> shall mean a Party which discloses or makes available directly or indirectly its Confidential Information and </w:t>
      </w:r>
      <w:r w:rsidRPr="00871477">
        <w:rPr>
          <w:b/>
          <w:lang w:eastAsia="zh-CN"/>
        </w:rPr>
        <w:t>“Recipient”</w:t>
      </w:r>
      <w:r w:rsidRPr="00871477">
        <w:rPr>
          <w:lang w:eastAsia="zh-CN"/>
        </w:rPr>
        <w:t xml:space="preserve"> shall mean the Party which receives or obtains directly or indirectly Confidential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Except to the extent set out in this Clause 27.2 or where disclosure is expressly permitted elsewhere in this Framework Agreement, the Recipient shall:</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not disclose the Disclosing Party's Confidential Information to any other person except as expressly set out in this Framework Agreement or without obtaining the Disclosing Party's prior written consent;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not use or exploit the Disclosing Party’s Confidential Information in any way except for the purposes anticipated under this Framework Agreement;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immediately notify the Disclosing Party if it suspects or becomes aware of any unauthorised access, copying, use or disclosure in any form of any of the Disclosing Party’s Confidential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Recipient shall be entitled to disclose the Confidential Information of the Disclosing Party where: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Recipient is required to disclose the Confidential Information by Law, provided that Clause 27.3 (Transparency and Freedom of Information) shall apply to disclosures required under the FOIA or the EIRs;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need for such disclosure arises out of or in connection with:</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any legal challenge or potential legal challenge against the Authority arising out of or in connection with this Framework Agreement;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conduct of a Central Government Body review in respect of this Framework Agreement;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Recipient has reasonable grounds to believe that the Disclosing Party is involved in activity that may constitute a criminal offence under the Bribery Act 2010 and the disclosure is being made to the Serious Fraud Office;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such information was in the possession of the Disclosing Party without obligation of confidentiality prior to its disclosure by the information owner;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such information was obtained from a third party without obligation of confidentiality;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such information was already in the public domain at the time of disclosure otherwise than by a breach of this Framework Agreement or breach of a duty of confidentiality;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information is independently developed without access to the Disclosing Party's Confidential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Subject to Clauses 27.2.2 and 27.2.3, the Supplier may only disclose the Confidential Information of the Authority on a confidential basis to:</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Supplier Personnel who are directly involved in the provision of the</w:t>
      </w:r>
      <w:r w:rsidRPr="00871477">
        <w:rPr>
          <w:b/>
          <w:i/>
          <w:lang w:eastAsia="zh-CN"/>
        </w:rPr>
        <w:t xml:space="preserve"> </w:t>
      </w:r>
      <w:r w:rsidRPr="00871477">
        <w:rPr>
          <w:lang w:eastAsia="zh-CN"/>
        </w:rPr>
        <w:t>Goods and/or Services and need to know the Confidential Information to enable the performance of the Supplier’s obligations under this Framework Agreement;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its professional advisers for the purposes of obtaining advice in relation to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the Supplier discloses the Confidential Information of the Authority pursuant to Clause 27.2.5, it shall remain responsible at all times for compliance with the confidentiality obligations set out in this Framework Agreement by the persons to whom disclosure has been made.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may disclose the Confidential Information of the Supplier: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to any Central Government Body or Other Contracting Authority on the basis that the information may only be further disclosed to Central Government Bodies or Other Contracting Authorities;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to the British Parliament and any committees of the British Parliament or if required by any British Parliamentary reporting requirement;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to the extent that the Authority (acting reasonably) deems disclosure necessary or appropriate in the course of carrying out its public functions;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on a confidential basis to a professional adviser, consultant, supplier or other person engaged by any of the entities described in Clause 27.2.7(a) (including any benchmarking organisation) for any purpose relating to or connected with this Framework Agreement;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on a confidential basis for the purpose of the exercise of its rights under this Framework Agreement;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to a proposed transferee, assignee or novatee of, or successor in title to the Authority,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and for the purposes of the foregoing, references to disclosure on a confidential basis shall mean disclosure subject to a confidentiality agreement or arrangement containing terms no less stringent than those placed on the Authority under this Clause 27.2.7.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For the avoidance of doubt, the Confidential Information that the Authority may disclose under Clause 27.2.7 shall include information relating to Call Off </w:t>
      </w:r>
      <w:r w:rsidRPr="0006376E">
        <w:rPr>
          <w:lang w:eastAsia="zh-CN"/>
        </w:rPr>
        <w:t>Contracts, including service levels, pricing information (which includes information on prices tendered in a Further Competition Procedure, even where such a Further Competition Procedure does not result in the award of a Call Off Contract) and the terms of any Call Off Contract may</w:t>
      </w:r>
      <w:r w:rsidRPr="00871477">
        <w:rPr>
          <w:lang w:eastAsia="zh-CN"/>
        </w:rPr>
        <w:t xml:space="preserve"> be shared with any Central Government Body or Other Contracting Authority from time to time.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Nothing in this Clause 27.2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the event that the Supplier fails to comply with Clauses 27.2.2 to 27.2.5, the Authority reserves the right to terminate this Framework Agreement for material Default.</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Transparency and Freedom of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Parties acknowledge that</w:t>
      </w:r>
    </w:p>
    <w:p w:rsidR="00871477" w:rsidRPr="00871477" w:rsidRDefault="00871477" w:rsidP="00871477">
      <w:pPr>
        <w:tabs>
          <w:tab w:val="left" w:pos="1985"/>
        </w:tabs>
        <w:overflowPunct/>
        <w:autoSpaceDE/>
        <w:autoSpaceDN/>
        <w:spacing w:before="120" w:after="120"/>
        <w:ind w:left="1985"/>
        <w:textAlignment w:val="auto"/>
        <w:rPr>
          <w:lang w:eastAsia="zh-CN"/>
        </w:rPr>
      </w:pPr>
      <w:r w:rsidRPr="00871477">
        <w:rPr>
          <w:lang w:eastAsia="zh-CN"/>
        </w:rPr>
        <w:t>(a)</w:t>
      </w:r>
      <w:r w:rsidRPr="00871477">
        <w:rPr>
          <w:lang w:eastAsia="zh-CN"/>
        </w:rPr>
        <w:tab/>
        <w:t xml:space="preserve"> the Transparency Reports; and</w:t>
      </w:r>
    </w:p>
    <w:p w:rsidR="00871477" w:rsidRPr="00871477" w:rsidRDefault="00871477" w:rsidP="00871477">
      <w:pPr>
        <w:tabs>
          <w:tab w:val="left" w:pos="1985"/>
        </w:tabs>
        <w:overflowPunct/>
        <w:autoSpaceDE/>
        <w:autoSpaceDN/>
        <w:spacing w:before="120" w:after="120"/>
        <w:ind w:left="1985"/>
        <w:textAlignment w:val="auto"/>
        <w:rPr>
          <w:lang w:eastAsia="zh-CN"/>
        </w:rPr>
      </w:pPr>
      <w:r w:rsidRPr="00871477">
        <w:rPr>
          <w:lang w:eastAsia="zh-CN"/>
        </w:rPr>
        <w:t>(b)</w:t>
      </w:r>
      <w:r w:rsidRPr="00871477">
        <w:rPr>
          <w:lang w:eastAsia="zh-CN"/>
        </w:rPr>
        <w:tab/>
        <w:t xml:space="preserve">the content of this Framework Agreement, including any changes to this Framework Agreement agreed from time to time, except for – </w:t>
      </w:r>
    </w:p>
    <w:p w:rsidR="00871477" w:rsidRPr="00871477" w:rsidRDefault="00871477" w:rsidP="00871477">
      <w:pPr>
        <w:tabs>
          <w:tab w:val="left" w:pos="1985"/>
        </w:tabs>
        <w:overflowPunct/>
        <w:autoSpaceDE/>
        <w:autoSpaceDN/>
        <w:spacing w:before="120" w:after="120"/>
        <w:ind w:left="3600" w:hanging="1615"/>
        <w:textAlignment w:val="auto"/>
        <w:rPr>
          <w:lang w:eastAsia="zh-CN"/>
        </w:rPr>
      </w:pPr>
      <w:r w:rsidRPr="00871477">
        <w:rPr>
          <w:lang w:eastAsia="zh-CN"/>
        </w:rPr>
        <w:t xml:space="preserve">                   (i)</w:t>
      </w:r>
      <w:r w:rsidRPr="00871477">
        <w:rPr>
          <w:lang w:eastAsia="zh-CN"/>
        </w:rPr>
        <w:tab/>
        <w:t>any information which is exempt from disclosure in accordance with the provisions of the FOIA, which shall be determined by the Authority; and</w:t>
      </w:r>
    </w:p>
    <w:p w:rsidR="00871477" w:rsidRPr="00871477" w:rsidRDefault="00871477" w:rsidP="00871477">
      <w:pPr>
        <w:tabs>
          <w:tab w:val="left" w:pos="1985"/>
        </w:tabs>
        <w:overflowPunct/>
        <w:autoSpaceDE/>
        <w:autoSpaceDN/>
        <w:spacing w:before="120" w:after="120"/>
        <w:ind w:left="1985"/>
        <w:textAlignment w:val="auto"/>
        <w:rPr>
          <w:lang w:eastAsia="zh-CN"/>
        </w:rPr>
      </w:pPr>
      <w:r w:rsidRPr="00871477">
        <w:rPr>
          <w:lang w:eastAsia="zh-CN"/>
        </w:rPr>
        <w:tab/>
      </w:r>
      <w:r w:rsidRPr="00871477">
        <w:rPr>
          <w:lang w:eastAsia="zh-CN"/>
        </w:rPr>
        <w:tab/>
        <w:t>(ii)</w:t>
      </w:r>
      <w:r w:rsidRPr="00871477">
        <w:rPr>
          <w:lang w:eastAsia="zh-CN"/>
        </w:rPr>
        <w:tab/>
        <w:t>Commercially Sensitive Information;</w:t>
      </w:r>
    </w:p>
    <w:p w:rsidR="00871477" w:rsidRPr="00871477" w:rsidRDefault="00871477" w:rsidP="00871477">
      <w:pPr>
        <w:tabs>
          <w:tab w:val="left" w:pos="1985"/>
        </w:tabs>
        <w:overflowPunct/>
        <w:autoSpaceDE/>
        <w:autoSpaceDN/>
        <w:spacing w:before="120" w:after="120"/>
        <w:ind w:left="1985"/>
        <w:textAlignment w:val="auto"/>
        <w:rPr>
          <w:lang w:eastAsia="zh-CN"/>
        </w:rPr>
      </w:pPr>
      <w:r w:rsidRPr="00871477">
        <w:rPr>
          <w:lang w:eastAsia="zh-CN"/>
        </w:rPr>
        <w:t xml:space="preserve">(together the “Transparency Information”) are not  Confidential Information.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Notwithstanding any other provision of this Framework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assist and co-operate with the Authority to enable the Authority to publish the Transparency Information, including the preparation of the Transparency Reports in accordance with Schedule 22 (Transparency Reports).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If the Authority believes that publication of any element of the Transparency Information would be contrary to the public interest, the Authority shall be </w:t>
      </w:r>
      <w:r w:rsidRPr="00871477">
        <w:rPr>
          <w:lang w:eastAsia="zh-CN"/>
        </w:rPr>
        <w:lastRenderedPageBreak/>
        <w:t>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27.2.7(c)) and Open Book Data) publish such Information. The Supplier shall provide to the Authority within 5 working days (or such other period as the Authority may reasonably specify) any such Information requested by the Authority.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acknowledges that the Authority is subject to the requirements of the FOIA and the EIRs. The Supplier shall: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provide all necessary assistance and cooperation as reasonably requested by the Authority to enable the Authority to comply with its Information disclosure obligations under the FOIA and EIRs;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transfer to the Authority all Requests for Information relating to this Framework Agreement that it receives as soon as practicable and in any event within two (2) Working Days of receipt;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provide the Authority with a copy of all Information held on behalf of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not respond directly to a Request for Information addressed to the Authority unless authorised in writing to do so by the Authority.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w:t>
      </w:r>
      <w:r w:rsidRPr="00871477">
        <w:rPr>
          <w:lang w:eastAsia="zh-CN"/>
        </w:rPr>
        <w:lastRenderedPageBreak/>
        <w:t>determining in its absolute discretion whether any Commercially Sensitive Information and/or any other information is exempt from disclosure in accordance with the FOIA and EIRs.</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 xml:space="preserve">Protection of Personal Data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any Personal Data are processed in connection with the exercise of the Parties’ rights and obligations under this Framework Agreement, the Parties acknowledge that the Authority is the Data Controller and that the Supplier is the Data Processor.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Process the Personal Data only in accordance with instructions from the Authority to perform its obligations under this Framework Agreement;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ensure that at all times it has in place appropriate technical and organisational measures to guard against unauthorised or unlawful Processing of the Personal Data and/or accidental loss, destruction, or damage to the Personal Data;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not disclose or transfer the Personal Data to any third party or Supplier Personnel unless necessary for the provision of the Goods and/or Services and, for any disclosure or transfer of Personal Data to any third party, obtain the prior written consent of the Authority (save where such disclosure or transfer is specifically authorised under this Framework Agreement);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take reasonable steps to ensure the reliability and integrity of any Supplier Personnel who have access to the Personal Data and ensure that the Supplier Personnel:</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are aware of and comply with the Supplier’s duties under this Clause 27.4.2 and Clause 27.2 (Confidentiality);</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are informed of the confidential nature of the Personal Data and do not publish, disclose or divulge any of the Personal Data to any third party unless directed in writing to do so by the Authority or as otherwise permitted by this Framework Agreement;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have undergone adequate training in the use, care, protection and handling of personal data (as defined in the DPA);</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notify the Authority within five (5) Working Days if it receives: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any communication from the Information Commissioner or any other regulatory authority in connection with Personal Data; or</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 request from any third party for disclosure of Personal Data where compliance with such request is required or purported to be required by Law;</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provide the Authority with full cooperation and assistance (within the timescales reasonably required by the Authority) in relation to any complaint, communication or request made (as referred to at Clause 27.4.2(e), including by promptly providing:</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Authority with full details and copies of the complaint, communication or request;</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where applicable, such assistance as is reasonably requested by the Authority to enable the Authority to comply with the Data Subject Access Request within the relevant timescales set out in the  DPA;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Authority, on request by the Authority, with any Personal Data it holds in relation to a Data Subject;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if requested by the Authority, provide a written description of the measures that the Supplier has taken and technical and organisational security measures in place, for the purpose of compliance with its obligations pursuant to this Clause 27.4.2  and provide to the Authority copies of all documentation relevant to such compliance including, protocols, procedures, guidance, training and manuals.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not Process or otherwise transfer any Personal Data in or to a Restricted Country. If, after the Framework Commencement Date, the Supplier or any Sub-Contractor wishes to Process and/or transfer any Personal Data in or to anywhere outside the European Economic Area, the following provisions shall apply: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shall propose a variation to the Authority which, if it is agreed by the Authority, shall be dealt with in accordance with Clause 19.1 (Variation Procedure) and Clauses 27.4.3(b) to 27.4.3(d);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shall set out in its proposal to the Authority for a Variation, details of the following:</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Personal Data which will be transferred to and/or Processed in or to any Restricted Countries;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Restricted Countries to which the Personal Data will be transferred and/or Processed;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any Sub-Contractors or other third parties who will be Processing and/or receiving Personal Data in Restricted Countries;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how the Supplier will ensure an adequate level of protection and adequate safeguards in respect of the Personal Data that will be Processed in and/or transferred to Restricted Countries so as to ensure the Authority’s compliance with the  DPA;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in providing and evaluating the Variation, the Parties shall ensure that they have regard to and comply with the Authority, Central Government Bodies and Information Commissioner Office policies, procedures, guidance and codes of practice on, and any approvals processes in connection with, the Processing in and/or transfers of Personal Data to any Restricted Countries;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the Supplier shall comply with such other instructions and shall carry out such other actions as the Authority may notify in writing, including:</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incorporating standard and/or model clauses (which are approved by the European Commission as offering adequate safeguards under the  DPA) into this Framework Agreement or a separate data processing agreement between the Parties;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procuring that any Sub-Contractor or other third party who will be Processing and/or receiving or accessing the Personal Data in any Restricted Countries either enters into:</w:t>
      </w:r>
    </w:p>
    <w:p w:rsidR="00871477" w:rsidRPr="00871477" w:rsidRDefault="00871477" w:rsidP="00871477">
      <w:pPr>
        <w:numPr>
          <w:ilvl w:val="5"/>
          <w:numId w:val="8"/>
        </w:numPr>
        <w:tabs>
          <w:tab w:val="left" w:pos="1985"/>
          <w:tab w:val="left" w:pos="2552"/>
          <w:tab w:val="left" w:pos="3119"/>
          <w:tab w:val="left" w:pos="3686"/>
        </w:tabs>
        <w:overflowPunct/>
        <w:autoSpaceDE/>
        <w:autoSpaceDN/>
        <w:spacing w:before="120" w:after="120"/>
        <w:ind w:left="3686" w:hanging="567"/>
        <w:textAlignment w:val="auto"/>
        <w:rPr>
          <w:lang w:eastAsia="zh-CN"/>
        </w:rPr>
      </w:pPr>
      <w:r w:rsidRPr="00871477">
        <w:rPr>
          <w:lang w:eastAsia="zh-CN"/>
        </w:rPr>
        <w:t>a direct data processing agreement with the Authority on such terms as may be required by the Authority; or</w:t>
      </w:r>
    </w:p>
    <w:p w:rsidR="00871477" w:rsidRPr="00871477" w:rsidRDefault="00871477" w:rsidP="00871477">
      <w:pPr>
        <w:numPr>
          <w:ilvl w:val="5"/>
          <w:numId w:val="8"/>
        </w:numPr>
        <w:tabs>
          <w:tab w:val="left" w:pos="1985"/>
          <w:tab w:val="left" w:pos="2552"/>
          <w:tab w:val="left" w:pos="3119"/>
          <w:tab w:val="left" w:pos="3686"/>
        </w:tabs>
        <w:overflowPunct/>
        <w:autoSpaceDE/>
        <w:autoSpaceDN/>
        <w:spacing w:before="120" w:after="120"/>
        <w:ind w:left="3686" w:hanging="567"/>
        <w:textAlignment w:val="auto"/>
        <w:rPr>
          <w:lang w:eastAsia="zh-CN"/>
        </w:rPr>
      </w:pPr>
      <w:r w:rsidRPr="00871477">
        <w:rPr>
          <w:lang w:eastAsia="zh-CN"/>
        </w:rPr>
        <w:t xml:space="preserve">a data processing agreement with the Supplier on terms which are equivalent to those agreed between the Authority and the Supplier relating to the relevant Personal Data transfer, </w:t>
      </w:r>
    </w:p>
    <w:p w:rsidR="00871477" w:rsidRPr="00871477" w:rsidRDefault="00871477" w:rsidP="00871477">
      <w:pPr>
        <w:tabs>
          <w:tab w:val="left" w:pos="1985"/>
          <w:tab w:val="left" w:pos="2552"/>
        </w:tabs>
        <w:overflowPunct/>
        <w:autoSpaceDE/>
        <w:autoSpaceDN/>
        <w:spacing w:before="120" w:after="120"/>
        <w:ind w:left="3119"/>
        <w:textAlignment w:val="auto"/>
        <w:rPr>
          <w:lang w:eastAsia="zh-CN"/>
        </w:rPr>
      </w:pPr>
      <w:r w:rsidRPr="00871477">
        <w:rPr>
          <w:lang w:eastAsia="zh-CN"/>
        </w:rPr>
        <w:t>and the Supplier acknowledges that in each case, this may include the incorporation of model contract provisions (which are approved by the European Commission as offering adequate safeguards under the DPA) and technical and organisation measures which the Authority deems necessary for the purpose of protecting Personal Data.</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39" w:name="_Toc492462902"/>
      <w:r w:rsidRPr="00871477">
        <w:rPr>
          <w:rFonts w:eastAsia="STZhongsong"/>
          <w:b/>
          <w:caps/>
          <w:lang w:eastAsia="zh-CN"/>
        </w:rPr>
        <w:t>PUBLICITY AND BRANDING</w:t>
      </w:r>
      <w:bookmarkEnd w:id="39"/>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 29 (Marketing), the Supplier shall not: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make any press announcements or publicise this Framework Agreement in any way;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use the Authority's name or brand in any promotion or marketing or announcement of Orders, </w:t>
      </w:r>
    </w:p>
    <w:p w:rsidR="00871477" w:rsidRPr="00871477" w:rsidRDefault="00871477" w:rsidP="00871477">
      <w:pPr>
        <w:tabs>
          <w:tab w:val="left" w:pos="3402"/>
        </w:tabs>
        <w:spacing w:after="220"/>
        <w:ind w:left="1134"/>
        <w:rPr>
          <w:szCs w:val="24"/>
        </w:rPr>
      </w:pPr>
      <w:r w:rsidRPr="00871477">
        <w:rPr>
          <w:szCs w:val="24"/>
        </w:rPr>
        <w:t>without Approval (the decision of the Authority to Approve or not shall not be unreasonably withheld or delayed).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Each Party acknowledges to the other that nothing in this Framework Agreement either expressly or by implication constitutes an approval and/or endorsement of any products or services of the other Party (including the Goods and/or Services) and each Party agrees not to conduct itself in such a way as to imply or express any such approval and/or endorsement.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0" w:name="_Toc492462903"/>
      <w:r w:rsidRPr="00871477">
        <w:rPr>
          <w:rFonts w:eastAsia="STZhongsong"/>
          <w:b/>
          <w:caps/>
          <w:lang w:eastAsia="zh-CN"/>
        </w:rPr>
        <w:t>MARKETING</w:t>
      </w:r>
      <w:bookmarkEnd w:id="40"/>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The Supplier shall undertake marketing of this Framework Agreement and the Goods and/or Services on behalf of the Authority to Other Contracting Authorities in accordance with the provisions of Framework Schedule 11 (Marketing).</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41" w:name="_Toc492462904"/>
      <w:r w:rsidRPr="00871477">
        <w:rPr>
          <w:rFonts w:cs="Times New Roman"/>
          <w:b/>
          <w:caps/>
          <w:color w:val="C00000"/>
          <w:u w:val="single"/>
        </w:rPr>
        <w:t>LIABILITY AND INSURANCE</w:t>
      </w:r>
      <w:bookmarkEnd w:id="41"/>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2" w:name="_Toc492462905"/>
      <w:r w:rsidRPr="00871477">
        <w:rPr>
          <w:rFonts w:eastAsia="STZhongsong"/>
          <w:b/>
          <w:caps/>
          <w:lang w:eastAsia="zh-CN"/>
        </w:rPr>
        <w:t>LIABILITY</w:t>
      </w:r>
      <w:bookmarkEnd w:id="42"/>
      <w:r w:rsidRPr="00871477">
        <w:rPr>
          <w:rFonts w:eastAsia="STZhongsong"/>
          <w:b/>
          <w:caps/>
          <w:lang w:eastAsia="zh-CN"/>
        </w:rPr>
        <w:t xml:space="preserv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Neither Party excludes or limits its liability for: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death or personal injury caused by its negligence, or that of its employees, agents or Sub-Contractors (as applicable);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bribery or Fraud by it or its employees;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liability to the extent it cannot be excluded or limited by Law.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 does not exclude or limit its liability in respect of the indemnity in Clause 26.2 (IPR Indemnity) and in each case whether before or after the making of a demand pursuant to the indemnity therein.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Clauses 30.1 and 30.2, each Party's total aggregate liability in respect of all Losses incurred under or in connection with this Framework Agreement as a result of Defaults  or Authority Cause (as the case may be) shall in no event exceed: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relation to any Default or Authority Cause (as the case may be) occurring from the Framework Commencement Date to the end of the first Contract Year, one hundred thousand pounds (£100,000);</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relation to any Default or Authority Cause (as the case may be) occurring in each subsequent Contract Year following the end of the first Contract Year, that commences during the remainder of the Framework Period, the sum of one hundred thousand pounds (£100,000) in each such Contract Year;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relation to any Default or Authority Cause occurring in each Contract Year that commences after the end of the Framework Period, one hundred thousand pounds (£100,000) in each such Contract Year;</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 30.1, neither Party shall be liable to the other Party for any: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indirect, special or consequential Loss;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loss of profits, turnover, savings, business opportunities or damage to goodwill (in each case whether direct or indirect).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 30.3, and notwithstanding Clause 30.4, the Supplier acknowledges that the Authority may, amongst other things, recover from the Supplier the following Losses incurred by the Authority to the extent that they arise as a result of a Default by the Supplier: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 xml:space="preserve">any Management Charge or Default Management Charge which are due and payable to the Authority;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additional operational and/or administrative costs and expenses incurred by the Authority, including costs relating to time spent by or on behalf of the Authority in dealing with the consequences of the Default;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wasted expenditure or charges;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compensation or interest paid to a third party by the Authority;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fine, penalty or costs incurred by the Authority pursuant to Law.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Each Party shall use all reasonable endeavours to mitigate any loss or damage suffered arising out of or in connection with this Framework Agreement.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Default Management Charge shall not be taken into consideration when calculating the Supplier’s liability under Clause 30.3.</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For the avoidance of doubt, the Parties acknowledge and agree that this Clause 30 shall not limit the Supplier’s liability to CSL under any Call Off Contract and the Supplier’s liability under a Call Off Contract shall be as provided for in that Call Off Contract only.</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3" w:name="_Toc492462906"/>
      <w:r w:rsidRPr="00871477">
        <w:rPr>
          <w:rFonts w:eastAsia="STZhongsong"/>
          <w:b/>
          <w:caps/>
          <w:lang w:eastAsia="zh-CN"/>
        </w:rPr>
        <w:t>INSURANCE</w:t>
      </w:r>
      <w:bookmarkEnd w:id="43"/>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effect and maintain insurances in relation to the performance of its obligations under this Framework Agreement and any Call Off Contract, and shall procure that Subcontractors shall effect and maintain insurances in relation to the performance of their obligations under any Sub-Contract, in accordance with Schedule 14 (Insurance Requirements).</w:t>
      </w:r>
      <w:r w:rsidRPr="00871477">
        <w:rPr>
          <w:b/>
          <w:i/>
          <w:lang w:eastAsia="zh-CN"/>
        </w:rPr>
        <w:t xml:space="preserv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terms of any insurance or the amount of cover shall not relieve the Contractor of any liabilities arising under this Framework Agreement or any Call Off Contracts.</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44" w:name="_Toc492462907"/>
      <w:r w:rsidRPr="00871477">
        <w:rPr>
          <w:rFonts w:cs="Times New Roman"/>
          <w:b/>
          <w:caps/>
          <w:color w:val="C00000"/>
          <w:u w:val="single"/>
        </w:rPr>
        <w:t>REMEDIES</w:t>
      </w:r>
      <w:bookmarkEnd w:id="44"/>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5" w:name="_Toc492462908"/>
      <w:r w:rsidRPr="00871477">
        <w:rPr>
          <w:rFonts w:eastAsia="STZhongsong"/>
          <w:b/>
          <w:caps/>
          <w:lang w:eastAsia="zh-CN"/>
        </w:rPr>
        <w:t>AUTHORITY REMEDIES</w:t>
      </w:r>
      <w:bookmarkEnd w:id="45"/>
      <w:r w:rsidRPr="00871477">
        <w:rPr>
          <w:rFonts w:eastAsia="STZhongsong"/>
          <w:b/>
          <w:caps/>
          <w:lang w:eastAsia="zh-CN"/>
        </w:rPr>
        <w:t xml:space="preserv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Without prejudice to any other rights or remedies arising under this Framework Agreement, including under Clause 33.2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Authority shall be entitled to require the Supplier, and the Supplier agrees to attend, within a reasonable time one (1) or more meetings at the request of </w:t>
      </w:r>
      <w:r w:rsidRPr="00871477">
        <w:rPr>
          <w:lang w:eastAsia="zh-CN"/>
        </w:rPr>
        <w:lastRenderedPageBreak/>
        <w:t>the Authority in order to resolve the issues raised by the Authority in its notice to the Supplier requesting such meetings.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shall be entitled to serve an Improvement Notice on the Supplier and the Supplier shall implement such requirements for improvement as set out in the Improvement Notice.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the event that the Authority has, in its absolute and sole discretion, invoked one or more of the remedies set out above and the Supplier either: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fails to implement such requirements for improvement as set out in the Improvement Notice;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fails to implement an Improvement Plan Approved by the Authority; </w:t>
      </w:r>
    </w:p>
    <w:p w:rsidR="00871477" w:rsidRPr="00871477" w:rsidRDefault="00871477" w:rsidP="00871477">
      <w:pPr>
        <w:overflowPunct/>
        <w:autoSpaceDE/>
        <w:autoSpaceDN/>
        <w:spacing w:before="120" w:after="120"/>
        <w:ind w:left="1985"/>
        <w:textAlignment w:val="auto"/>
        <w:rPr>
          <w:lang w:val="en-US" w:eastAsia="zh-CN"/>
        </w:rPr>
      </w:pPr>
      <w:r w:rsidRPr="00871477">
        <w:rPr>
          <w:lang w:val="en-US" w:eastAsia="zh-CN"/>
        </w:rPr>
        <w:t xml:space="preserve">then (without prejudice to any other rights and remedies of termination provided for in this Framework Agreement), the Authority shall be entitled to </w:t>
      </w:r>
      <w:r w:rsidRPr="00871477">
        <w:rPr>
          <w:color w:val="000000"/>
          <w:lang w:val="en-US" w:eastAsia="zh-CN"/>
        </w:rPr>
        <w:t xml:space="preserve">terminate </w:t>
      </w:r>
      <w:r w:rsidRPr="00871477">
        <w:rPr>
          <w:lang w:val="en-US" w:eastAsia="zh-CN"/>
        </w:rPr>
        <w:t>this Framework Agreement for material Default.</w:t>
      </w: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46" w:name="_Toc492462909"/>
      <w:r w:rsidRPr="00871477">
        <w:rPr>
          <w:rFonts w:cs="Times New Roman"/>
          <w:b/>
          <w:caps/>
          <w:color w:val="C00000"/>
          <w:u w:val="single"/>
        </w:rPr>
        <w:t>TERMINATION AND SUSPENSION</w:t>
      </w:r>
      <w:bookmarkEnd w:id="46"/>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7" w:name="_Toc492462910"/>
      <w:r w:rsidRPr="00871477">
        <w:rPr>
          <w:rFonts w:eastAsia="STZhongsong"/>
          <w:b/>
          <w:caps/>
          <w:lang w:eastAsia="zh-CN"/>
        </w:rPr>
        <w:t>AUTHORITY TERMINATION RIGHTS</w:t>
      </w:r>
      <w:bookmarkEnd w:id="47"/>
    </w:p>
    <w:p w:rsidR="008C2005" w:rsidRPr="009174ED" w:rsidRDefault="008C2005" w:rsidP="008C2005">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in Relation To Guarantee</w:t>
      </w:r>
      <w:r>
        <w:rPr>
          <w:rFonts w:ascii="Arial" w:hAnsi="Arial"/>
          <w:b/>
          <w:sz w:val="20"/>
          <w:szCs w:val="20"/>
          <w:lang w:eastAsia="zh-CN"/>
        </w:rPr>
        <w:t xml:space="preserve"> </w:t>
      </w:r>
    </w:p>
    <w:p w:rsidR="008C2005" w:rsidRPr="0006376E" w:rsidRDefault="008C2005" w:rsidP="008C2005">
      <w:pPr>
        <w:pStyle w:val="GPSL3numberedclause"/>
        <w:rPr>
          <w:b/>
        </w:rPr>
      </w:pPr>
      <w:r w:rsidRPr="0006376E">
        <w:rPr>
          <w:b/>
        </w:rPr>
        <w:t xml:space="preserve">NOT USED </w:t>
      </w:r>
    </w:p>
    <w:p w:rsidR="008C2005" w:rsidRPr="00F03996" w:rsidRDefault="008C2005" w:rsidP="008C2005">
      <w:pPr>
        <w:pStyle w:val="GPSL3numberedclause"/>
      </w:pPr>
      <w:r>
        <w:rPr>
          <w:rFonts w:ascii="Arial" w:hAnsi="Arial"/>
          <w:sz w:val="20"/>
          <w:szCs w:val="20"/>
        </w:rPr>
        <w:t>Wher</w:t>
      </w:r>
      <w:r w:rsidRPr="00F03996">
        <w:rPr>
          <w:rFonts w:ascii="Arial" w:hAnsi="Arial"/>
          <w:sz w:val="20"/>
          <w:szCs w:val="20"/>
        </w:rPr>
        <w:t>e a Contracting Authority has procured a Call Off Guarantee from the Supplier under Clause 8.2 (Guarantee), the Authority may terminate this Framework Agreement by issuing a Termination Notice to the Supplier where:</w:t>
      </w:r>
    </w:p>
    <w:p w:rsidR="008C2005" w:rsidRPr="00F21239" w:rsidRDefault="008C2005" w:rsidP="008C2005">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Call Off Guarantor withdraws the Call Off Guarantee for any reason whatsoever; </w:t>
      </w:r>
    </w:p>
    <w:p w:rsidR="008C2005" w:rsidRPr="00F21239" w:rsidRDefault="008C2005" w:rsidP="008C2005">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Call Off Guarantor is in breach or anticipatory breach of the Call Off Guarantee; </w:t>
      </w:r>
    </w:p>
    <w:p w:rsidR="008C2005" w:rsidRPr="00F21239" w:rsidRDefault="008C2005" w:rsidP="008C2005">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an Insolvency Event occurs in respect of the Call Off Guarantor; or  </w:t>
      </w:r>
    </w:p>
    <w:p w:rsidR="008C2005" w:rsidRPr="00F21239" w:rsidRDefault="008C2005" w:rsidP="008C2005">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Call Off Guarantee becomes invalid or unenforceable for any reason whatsoever;</w:t>
      </w:r>
    </w:p>
    <w:p w:rsidR="008C2005" w:rsidRPr="00F21239" w:rsidRDefault="008C2005" w:rsidP="008C2005">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Supplier fails to provide the documentation required by Clause 8.2 by the date so specified by </w:t>
      </w:r>
      <w:r>
        <w:rPr>
          <w:rFonts w:ascii="Arial" w:hAnsi="Arial"/>
          <w:sz w:val="20"/>
          <w:szCs w:val="20"/>
          <w:lang w:eastAsia="zh-CN"/>
        </w:rPr>
        <w:t>CSL</w:t>
      </w:r>
      <w:r w:rsidRPr="00F21239">
        <w:rPr>
          <w:rFonts w:ascii="Arial" w:hAnsi="Arial"/>
          <w:sz w:val="20"/>
          <w:szCs w:val="20"/>
          <w:lang w:eastAsia="zh-CN"/>
        </w:rPr>
        <w:t>;</w:t>
      </w:r>
    </w:p>
    <w:p w:rsidR="008C2005" w:rsidRPr="009174ED" w:rsidRDefault="008C2005" w:rsidP="008C2005">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t xml:space="preserve">and in each case the Call Off Guarantee (as applicable) is not replaced by an alternative guarantee agreement acceptable to the Authority or </w:t>
      </w:r>
      <w:r>
        <w:rPr>
          <w:rFonts w:ascii="Arial" w:hAnsi="Arial"/>
          <w:sz w:val="20"/>
          <w:szCs w:val="20"/>
          <w:lang w:val="en-US" w:eastAsia="zh-CN"/>
        </w:rPr>
        <w:t>CSL</w:t>
      </w:r>
      <w:r w:rsidRPr="00F21239">
        <w:rPr>
          <w:rFonts w:ascii="Arial" w:hAnsi="Arial"/>
          <w:sz w:val="20"/>
          <w:szCs w:val="20"/>
          <w:lang w:val="en-US" w:eastAsia="zh-CN"/>
        </w:rPr>
        <w:t>.</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Termination on Material Default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 xml:space="preserve">The Authority may terminate this Framework Agreement for material Default by issuing a Termination Notice to the Supplier where: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fails to accept a Call Off Contract pursuant to paragraph 7.3 of Framework Schedule 5 (Call Off Procedure);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CSL terminates a Call Off Contract for the Supplier’s breach of that Call Off Contract;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an Audit reveals that the Supplier has underpaid an amount equal to or greater than five per cent (5%) of the Management Charge due;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the Supplier refuses or fails to comply with its obligations as set out in Framework Schedule 12 (Continuous Improvement and Benchmarking);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in the event of two or more failures by the Supplier to meet the KPI Targets whether the failures relate to the same or different KPI targets, in any rolling period of three (3) months;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Authority expressly reserves the right to terminate this Framework Agreement for material Default including pursuant to:</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9.4 (Cyber Essentials Scheme Condition);</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Clause 19.1.4(b)(ii) (Variation Procedure);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32.1.4 (Authority Remedies);</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27.2.10 (Confidentiality);</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40.6.2 (Prevention of Fraud and Bribery);</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36.1.2 (Compliance with the Law);</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Clause  41.3 (Conflicts of Interest);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paragraph 6.2 of Framework Schedule 9 (Management Information); and/or</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anywhere that is stated in this Framework Agreement that the Supplier by its act or omission will have committed a material Default;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the Supplier commits a material Default of any of the following Clauses or Framework Schedules: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7 (Representations and Warranties) except Clause 7.2.6;</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11 (Framework Agreement Performance);</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Clause 18 (Records, Audit Access and Open Book Data);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20 (Management Charge);</w:t>
      </w:r>
      <w:r w:rsidRPr="00871477" w:rsidDel="00C22D05">
        <w:rPr>
          <w:lang w:eastAsia="zh-CN"/>
        </w:rPr>
        <w:t xml:space="preserve">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21 (Promoting Tax Compliance);</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25 (Supply Chain Rights and Protection);</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27.1 (Provision of Management Information);</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Clause 27.3  (Transparency and Freedom of Information);</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Clause 27.4 (Protection of Personal Data); </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lastRenderedPageBreak/>
        <w:t>paragraph 1.2 of Part B of Framework Schedule 2 (Goods and/or Services and Key Performance Indicators);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paragraph 4 of Framework Schedule 16 (Financial Distress)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representation and warranty given by the Supplier pursuant to Clause 7.2.6 is materially untrue or misleading, and the Supplier fails to provide details of proposed mitigating factors which in the reasonable opinion of the Authority are acceptable;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the Supplier commits any material Default which is not, in the reasonable opinion of the Authority, capable of remedy;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 and/or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fails to comply with the representation and warranty given by the Supplier pursuant to Clause 7.2.13 and/or Clause 7.2.14 (Representations and Warranties).</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Not used</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Termination on Insolvency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Authority may terminate this Framework Agreement by issuing a Termination Notice to the Supplier where an Insolvency Event affecting the Supplier occurs.  </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 xml:space="preserve">Termination on Change of Control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notify the Authority immediately in writing and as soon as the Supplier is aware (or ought reasonably to be aware) that it is anticipating, undergoing, undergoes or has undergone a Change of Control and provided such notification does not contravene any Law.</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shall ensure that any notification made pursuant to Clause 33.5.1 shall set out full details of the Change of Control including the circumstances suggesting and/or explaining the Change of Control.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may terminate this Framework Agreement under Clause 33.5 by issuing a Termination Notice to the Supplier within six (6) Months of:</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being notified in writing that a Change of Control is anticipated or is in contemplation or has occurred;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where no notification has been made, the date that the Authority becomes aware that a Change of Control is anticipated or is in contemplation or has occurred,</w:t>
      </w:r>
    </w:p>
    <w:p w:rsidR="00871477" w:rsidRPr="00871477" w:rsidRDefault="00871477" w:rsidP="00871477">
      <w:pPr>
        <w:overflowPunct/>
        <w:autoSpaceDE/>
        <w:autoSpaceDN/>
        <w:spacing w:before="120" w:after="120"/>
        <w:ind w:left="1985"/>
        <w:textAlignment w:val="auto"/>
        <w:rPr>
          <w:lang w:val="en-US" w:eastAsia="zh-CN"/>
        </w:rPr>
      </w:pPr>
      <w:r w:rsidRPr="00871477">
        <w:rPr>
          <w:lang w:val="en-US" w:eastAsia="zh-CN"/>
        </w:rPr>
        <w:t>but shall not be permitted to terminate where an Approval was granted prior to the Change of Control.</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Termination for breach of Regulations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The Authority may terminate this Framework Agreement by issuing a Termination Notice to the Supplier on the occurrence of any of the statutory provisos contained in Regulation 73 (1) (a) to (c).</w:t>
      </w:r>
    </w:p>
    <w:p w:rsidR="00871477" w:rsidRPr="00871477" w:rsidRDefault="00871477" w:rsidP="00871477">
      <w:pPr>
        <w:tabs>
          <w:tab w:val="left" w:pos="1985"/>
        </w:tabs>
        <w:overflowPunct/>
        <w:autoSpaceDE/>
        <w:autoSpaceDN/>
        <w:spacing w:before="120" w:after="120"/>
        <w:ind w:left="1985"/>
        <w:textAlignment w:val="auto"/>
        <w:rPr>
          <w:lang w:eastAsia="zh-CN"/>
        </w:rPr>
      </w:pP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Termination Without Cause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i/>
          <w:lang w:eastAsia="zh-CN"/>
        </w:rPr>
      </w:pPr>
      <w:r w:rsidRPr="00871477">
        <w:rPr>
          <w:lang w:eastAsia="zh-CN"/>
        </w:rPr>
        <w:t xml:space="preserve">The Authority shall have the right to terminate this Framework Agreement with effect from at any time following nine (9) Months after the Framework Commencement Date by giving at least three (3) Months' written notice to the Supplier. </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Partial Termination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the Authority has the right to terminate this Framework Agreement, the Authority is entitled to terminate all or part of this Framework Agreement pursuant to this Clause 33.8 provided always that, if the Authority elects to terminate this Framework Agreement in part, the parts of this Framework Agreement not terminated or suspended can, in the Authority’s reasonable opinion, operate effectively to deliver the intended purpose of the surviving parts of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Parties shall endeavour to agree the effect of any Variation necessitated by a partial termination in accordance with Clause 19.1 (Variation Procedure) including the effect that the partial termination may have on the on the provision of any other Goods and/or Services and the Framework Prices provided that:</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shall not be entitled to an increase in the Framework Prices in respect of the Goods and/or Services that have not been terminated if the partial termination arises due to the exercise of any of the Authority’s termination rights under Clause 33 (Authority Termination Rights) with the exception of Clause 33.7 (Termination Without Cause);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Supplier shall not be entitled to reject the variation.</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8" w:name="_Toc492462911"/>
      <w:r w:rsidRPr="00871477">
        <w:rPr>
          <w:rFonts w:eastAsia="STZhongsong"/>
          <w:b/>
          <w:caps/>
          <w:lang w:eastAsia="zh-CN"/>
        </w:rPr>
        <w:t>SUSPENSION OF SUPPLIER'S APPOINTMENT</w:t>
      </w:r>
      <w:bookmarkEnd w:id="48"/>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Authority is entitled to terminate this Framework Agreement pursuant to Clause 33 (Authority Termination Rights), the Authority may instead elect in its sole discretion to suspend the Supplier's ability to accept Orders under this Framework Agreement by giving notice in writing to the Supplier, and the Supplier agrees that it shall not be entitled to enter into any new Call Off Contract during the period specified in the Authority’s notice.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suspension under Clause 34.1 shall be without prejudice to any right of termination which has already accrued, or subsequently accrues, to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acknowledge that suspension shall not affect the Supplier's obligation to perform any existing Call Off Contracts concluded prior to the suspension notice.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Authority provides notice to the Supplier in accordance with this Clause 34.1, the Supplier's appointment under this Framework Agreement shall be suspended for the period set out in the notice or such other period notified to the Supplier by the Authority in writing from time to time.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For the avoidance of doubt, no period of suspension under this Clause 34 shall result in an extension of the Framework Period.</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49" w:name="_Toc492462912"/>
      <w:r w:rsidRPr="00871477">
        <w:rPr>
          <w:rFonts w:eastAsia="STZhongsong"/>
          <w:b/>
          <w:caps/>
          <w:lang w:eastAsia="zh-CN"/>
        </w:rPr>
        <w:t>CONSEQUENCES OF EXPIRY OR TERMINATION</w:t>
      </w:r>
      <w:bookmarkEnd w:id="49"/>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 35.</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Termination or expiry of this Framework Agreement shall not cause any Call Off Contracts to terminate automatically. For the avoidance of doubt, all Call Off Contracts shall remain in force unless and until they are terminated or expire in accordance with the provisions of the Call Off Contract and the Supplier shall continue to pay any Management Charge due to the Authority in relation to such Call Off Contracts, notwithstanding the termination or expiry of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Authority terminates this Framework Agreement under Clause  33.2 (Termination on Material Default) and then makes other arrangements for the supply of the Goods and/or Services to CSL,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Within ten (10) Working Days of the date of termination or expiry of this Framework Agreement, the Supplier shall return to the Authority any and all of  the 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Approved by the Authority and is reasonably necessary for such compliance).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Termination or expiry of this Framework Agreement shall be without prejudice to any rights, remedies or obligations of either Party accrued under this Framework Agreement prior to termination or expiry.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Clauses 1 (Definitions and Interpretation), 7 (Representations and Warranties), 9 (Cyber Essentials Scheme Condition), 11 (Framework Agreement Performance), 18 (Records, Audit Access and Open Book Data), 20 (Management Charge) ,23 (Financial Distress) 26 (Intellectual Property Rights), 27.1 (Provision of Management Information), 27.2 (Confidentiality), 27.3 (Transparency), 27.3 (Transparency and Freedom of Information), 27.4 (Protection of Personal Data), 30 (Liability), 31 (Insurance), 35 (Consequences of Expiry or Termination), 36 (Compliance),  38 (Waiver and Cumulative Remedies), 40 (Prevention of Fraud and Bribery), 42 (Severance), 44 (Entire </w:t>
      </w:r>
      <w:r w:rsidRPr="00871477">
        <w:rPr>
          <w:lang w:eastAsia="zh-CN"/>
        </w:rPr>
        <w:lastRenderedPageBreak/>
        <w:t>Agreement), 45 (Third Party Rights), 46 (Notices), 47 (Complaints Handling), 48 (Dispute Resolution) and 49 (Governing Law and Jurisdiction);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Framework Schedules 2 (Goods and/or Services and Key Performance Indicators), 3 (Framework Prices and Charging Structure), 7 (Key Sub-Contractors), 8 (Framework Management), 9 (Management Information), 10 (Annual Self Audit Certificate), 12 (Continuous Improvement and Benchmarking), 13 (Guarantee), 14 (Insurance Requirements), 16 (Financial Distress), 17 (Commercially Sensitive Information) and 21 (Tender).</w:t>
      </w:r>
    </w:p>
    <w:p w:rsidR="00871477" w:rsidRPr="00871477" w:rsidRDefault="00871477" w:rsidP="00871477">
      <w:pPr>
        <w:numPr>
          <w:ilvl w:val="0"/>
          <w:numId w:val="9"/>
        </w:numPr>
        <w:overflowPunct/>
        <w:autoSpaceDE/>
        <w:autoSpaceDN/>
        <w:adjustRightInd/>
        <w:spacing w:before="240"/>
        <w:ind w:left="426" w:hanging="426"/>
        <w:jc w:val="left"/>
        <w:textAlignment w:val="auto"/>
        <w:outlineLvl w:val="0"/>
        <w:rPr>
          <w:rFonts w:cs="Times New Roman"/>
          <w:b/>
          <w:caps/>
          <w:color w:val="C00000"/>
          <w:u w:val="single"/>
        </w:rPr>
      </w:pPr>
      <w:bookmarkStart w:id="50" w:name="_Toc492462913"/>
      <w:r w:rsidRPr="00871477">
        <w:rPr>
          <w:rFonts w:cs="Times New Roman"/>
          <w:b/>
          <w:caps/>
          <w:color w:val="C00000"/>
          <w:u w:val="single"/>
        </w:rPr>
        <w:t>MISCELLANEOUS AND GOVERNING LAW</w:t>
      </w:r>
      <w:bookmarkEnd w:id="50"/>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1" w:name="_Toc492462914"/>
      <w:r w:rsidRPr="00871477">
        <w:rPr>
          <w:rFonts w:eastAsia="STZhongsong"/>
          <w:b/>
          <w:caps/>
          <w:lang w:eastAsia="zh-CN"/>
        </w:rPr>
        <w:t>COMPLIANCE</w:t>
      </w:r>
      <w:bookmarkEnd w:id="51"/>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 xml:space="preserve">Compliance with Law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comply with all applicable Law in connection with the performance of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the event that the Supplier or the Supplier Personnel fails to comply with Clause 36.1.1, this shall be deemed to be a material Default and the Authority reserves the right to terminate this Framework Agreement by giving notice in writing to the Supplier.</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Equality and Diversity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perform its obligations under this Framework Agreement (including those in relation to the provision of the Goods and/or Services) in accordance with:</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rFonts w:eastAsia="STZhongsong"/>
          <w:lang w:eastAsia="zh-CN"/>
        </w:rPr>
      </w:pPr>
      <w:r w:rsidRPr="00871477">
        <w:rPr>
          <w:lang w:eastAsia="zh-CN"/>
        </w:rPr>
        <w:t>all applicable equality Law (whether in relation to race, sex, gender reassignment, religion or belief, disability, sexual orientation, pregnancy, maternity, age or otherwise);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 xml:space="preserve">any other requirements and instructions which the Authority reasonably imposes in connection with any equality obligations imposed on the Authority at any time under applicable equality Law;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take all necessary steps, and inform the Authority of the steps taken, to prevent unlawful discrimination designated as such by any court or tribunal, or the Equality and Human Rights Commission or (any successor organisation).</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Official Secrets Act and Finance Act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comply with the provisions of:</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Official Secrets Acts 1911 to 1989;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section 182 of the Finance Act 1989.</w:t>
      </w:r>
    </w:p>
    <w:p w:rsidR="00871477" w:rsidRPr="00871477" w:rsidRDefault="00871477" w:rsidP="00871477">
      <w:pPr>
        <w:tabs>
          <w:tab w:val="left" w:pos="1985"/>
          <w:tab w:val="left" w:pos="2552"/>
        </w:tabs>
        <w:overflowPunct/>
        <w:autoSpaceDE/>
        <w:autoSpaceDN/>
        <w:spacing w:before="120" w:after="120"/>
        <w:ind w:left="2552"/>
        <w:textAlignment w:val="auto"/>
        <w:rPr>
          <w:lang w:eastAsia="zh-CN"/>
        </w:rPr>
      </w:pPr>
    </w:p>
    <w:p w:rsidR="00871477" w:rsidRPr="00871477" w:rsidRDefault="00871477" w:rsidP="00871477">
      <w:pPr>
        <w:tabs>
          <w:tab w:val="left" w:pos="1985"/>
          <w:tab w:val="left" w:pos="2552"/>
        </w:tabs>
        <w:overflowPunct/>
        <w:autoSpaceDE/>
        <w:autoSpaceDN/>
        <w:spacing w:before="120" w:after="120"/>
        <w:ind w:left="2552"/>
        <w:textAlignment w:val="auto"/>
        <w:rPr>
          <w:lang w:eastAsia="zh-CN"/>
        </w:rPr>
      </w:pPr>
    </w:p>
    <w:p w:rsidR="00871477" w:rsidRPr="00871477" w:rsidRDefault="00871477" w:rsidP="00871477">
      <w:pPr>
        <w:tabs>
          <w:tab w:val="left" w:pos="1985"/>
          <w:tab w:val="left" w:pos="2552"/>
        </w:tabs>
        <w:overflowPunct/>
        <w:autoSpaceDE/>
        <w:autoSpaceDN/>
        <w:spacing w:before="120" w:after="120"/>
        <w:ind w:left="2552"/>
        <w:textAlignment w:val="auto"/>
        <w:rPr>
          <w:lang w:eastAsia="zh-CN"/>
        </w:rPr>
      </w:pP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2" w:name="_Toc492462915"/>
      <w:r w:rsidRPr="00871477">
        <w:rPr>
          <w:rFonts w:eastAsia="STZhongsong"/>
          <w:b/>
          <w:caps/>
          <w:lang w:eastAsia="zh-CN"/>
        </w:rPr>
        <w:lastRenderedPageBreak/>
        <w:t>ASSIGNMENT AND NOVATION</w:t>
      </w:r>
      <w:bookmarkEnd w:id="52"/>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 shall not assign, novate, or otherwise dispose of or create any trust in relation to any or all of its rights, obligations or liabilities under this Framework Agreement or any part of it without Approval.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may assign, novate or otherwise dispose of any or all of its rights, liabilities and obligations under this Framework Agreement or any part thereof to:</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 any Other Contracting Authority;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Central Government Body or other body established by the Crown or under statute in order substantially to perform any of the functions that had previously been performed by the Authority;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any private sector body which substantially performs the functions of the Authority, </w:t>
      </w:r>
    </w:p>
    <w:p w:rsidR="00871477" w:rsidRPr="00871477" w:rsidRDefault="00871477" w:rsidP="00871477">
      <w:pPr>
        <w:tabs>
          <w:tab w:val="left" w:pos="3402"/>
        </w:tabs>
        <w:spacing w:after="220"/>
        <w:ind w:left="1134"/>
        <w:rPr>
          <w:szCs w:val="24"/>
        </w:rPr>
      </w:pPr>
      <w:r w:rsidRPr="00871477">
        <w:rPr>
          <w:szCs w:val="24"/>
        </w:rPr>
        <w:t>and the Supplier shall, at the Authority’s request, enter into a novation agreement in such form as the Authority shall reasonably specify in order to enable the Authority to exercise its rights pursuant to this Clause 37.2.</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 change in the legal status of the Authority such that it ceases to be a Contracting Authority shall not, subject to Clause 37.4 affect the validity of this Framework Agreement and this Framework Agreement shall be binding on any successor body to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Authority assigns, novates or otherwise disposes of any of its rights, obligations or liabilities under this Framework Agreement to a body which is not an Other Contracting Authority or if a body which is not an Other Contracting Authority succeeds the Authority (both “</w:t>
      </w:r>
      <w:r w:rsidRPr="00871477">
        <w:rPr>
          <w:b/>
          <w:lang w:eastAsia="zh-CN"/>
        </w:rPr>
        <w:t>Transferee</w:t>
      </w:r>
      <w:r w:rsidRPr="00871477">
        <w:rPr>
          <w:lang w:eastAsia="zh-CN"/>
        </w:rPr>
        <w:t>” in the rest of this Clause) the right of termination of the Authority in Clause 33.4 (Termination on Insolvency) shall be available to the Supplier in the event of the insolvency of the Transferee (as if the references to Supplier in Clause 33.4 (Termination on Insol</w:t>
      </w:r>
      <w:r w:rsidR="009C26AA">
        <w:rPr>
          <w:lang w:eastAsia="zh-CN"/>
        </w:rPr>
        <w:t>vency)) and to Supplier or the</w:t>
      </w:r>
      <w:r w:rsidRPr="00871477">
        <w:rPr>
          <w:lang w:eastAsia="zh-CN"/>
        </w:rPr>
        <w:t xml:space="preserve"> Call Off Guarantor in the definition of Insolvency Event were references to the Transferee.</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3" w:name="_Toc492462916"/>
      <w:r w:rsidRPr="00871477">
        <w:rPr>
          <w:rFonts w:eastAsia="STZhongsong"/>
          <w:b/>
          <w:caps/>
          <w:lang w:eastAsia="zh-CN"/>
        </w:rPr>
        <w:t>WAIVER AND CUMULATIVE REMEDIES</w:t>
      </w:r>
      <w:bookmarkEnd w:id="53"/>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rights and remedies under this Framework Agreement may be waived only by notice in accordance with Clause 46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Unless otherwise provided in this Framework Agreement, rights and remedies under this Framework Agreement are cumulative and do not exclude any rights or remedies provided by Law, in equity or otherwise. </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4" w:name="_Toc492462917"/>
      <w:r w:rsidRPr="00871477">
        <w:rPr>
          <w:rFonts w:eastAsia="STZhongsong"/>
          <w:b/>
          <w:caps/>
          <w:lang w:eastAsia="zh-CN"/>
        </w:rPr>
        <w:t>RELATIONSHIP OF THE PARTIES</w:t>
      </w:r>
      <w:bookmarkEnd w:id="54"/>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5" w:name="_Toc492462918"/>
      <w:r w:rsidRPr="00871477">
        <w:rPr>
          <w:rFonts w:eastAsia="STZhongsong"/>
          <w:b/>
          <w:caps/>
          <w:lang w:eastAsia="zh-CN"/>
        </w:rPr>
        <w:t>PREVENTION OF FRAUD AND BRIBERY</w:t>
      </w:r>
      <w:bookmarkEnd w:id="55"/>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represents and warrants that neither it, nor to the best of its knowledge any Supplier Personnel, have at any time prior to the Framework  Commencement Date: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committed a Prohibited Act or been formally notified that it is subject to an investigation or prosecution which relates to an alleged Prohibited Act; and/or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been listed by any government department or agency as being debarred, suspended, proposed for suspension or debarment, or otherwise ineligible for participation in government procurement programmes or contracts on the grounds of a Prohibited Act.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 shall not during the Framework Period: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commit a Prohibited Act; and/or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during the Framework Period: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establish, maintain and enforce policies and procedures which are adequate to ensure compliance with the Relevant Requirements and prevent the occurrence of a Prohibited Act;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require that its Sub-Contractors establish, maintain and enforce the policies and procedures referred to in Clause 40.3.1;</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keep appropriate records of its compliance with its obligations under Clause 40.3.1 and make such records available to the Authority on request;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so required by the Authority, within twenty (20) Working Days of the Framework Commencement Date, and annually thereafter, certify in writing to the Authority, the compliance with this Clause 40.3 of all persons associated with the Supplier or its Sub-Contractors who are responsible for supplying the Goods and/or Services in connection with this Framework Agreement.  The Supplier shall provide such supporting evidence of compliance as the Authority may reasonably request;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have, maintain and where appropriate enforce an anti-bribery policy (which shall be disclosed to the Authority on request) to prevent it and any Supplier Personnel or any person acting on the Supplier's behalf from committing a Prohibited Act.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immediately notify the Authority in writing if it becomes aware of any breach of Clauses 40.1, 40.2 and 40.3.2, or has reason to believe that it has or any of the Supplier Personnel has: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been subject to an investigation or prosecution which relates to an alleged Prohibited Act;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been listed by any government department or agency as being debarred, suspended, proposed for suspension or debarment, or otherwise ineligible for participation in government procurement programmes or contracts on the grounds of a Prohibited Act; and/or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Supplier makes a notification to the Authority pursuant to Clause 40.4, the Supplier shall respond promptly to the Authority's enquiries, co-operate with any investigation, and allow the Authority to audit any books, records and/or any other relevant documentation in accordance with Clause 18 (Records, Audit Access and Open Book Data).</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Supplier breaches Clause 40.1,the Authority may by notice: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require the Supplier to remove from the performance of this Framework Agreement any Supplier Personnel whose acts or omissions have caused the Supplier’s breach;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immediately terminate this Framework Agreement for material Default.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notice served by the Authority under Clause 40.6 shall specify the nature of the Prohibited Act, the identity of the Party who the Authority believes has committed the Prohibited Act and the action that the Authority has elected to take (including, where relevant, the date on which this Framework Agreement shall terminate).</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6" w:name="_Toc492462919"/>
      <w:r w:rsidRPr="00871477">
        <w:rPr>
          <w:rFonts w:eastAsia="STZhongsong"/>
          <w:b/>
          <w:caps/>
          <w:lang w:eastAsia="zh-CN"/>
        </w:rPr>
        <w:t>CONFLICTS OF INTEREST</w:t>
      </w:r>
      <w:bookmarkEnd w:id="56"/>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Framework Agreement or any Call Off Contract.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promptly notify and provide full particulars to the Authority or the relevant Other Contracting Authority if such conflict referred to in Clause 41.1 arises or may reasonably been foreseen as arising.</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Contract.  The action of the Authority pursuant to this Clause 41.3 shall not prejudice or affect any right of action or remedy which shall have accrued or shall thereafter accrue to the Authority.</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7" w:name="_Toc492462920"/>
      <w:r w:rsidRPr="00871477">
        <w:rPr>
          <w:rFonts w:eastAsia="STZhongsong"/>
          <w:b/>
          <w:caps/>
          <w:lang w:eastAsia="zh-CN"/>
        </w:rPr>
        <w:t>SEVERANCE</w:t>
      </w:r>
      <w:bookmarkEnd w:id="57"/>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the event that any deemed deletion under Clause 42.1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Parties are unable to resolve any Dispute arising under this Clause 42 within twenty (20) Working Days of the date of the notice given pursuant to Clause 42.2, this Framework Agreement shall automatically terminate with immediate effect. The costs of termination incurred by the Parties shall lie where they fall if this Framework Agreement is terminated pursuant to this Clause 42.3.</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8" w:name="_Toc492462921"/>
      <w:r w:rsidRPr="00871477">
        <w:rPr>
          <w:rFonts w:eastAsia="STZhongsong"/>
          <w:b/>
          <w:caps/>
          <w:lang w:eastAsia="zh-CN"/>
        </w:rPr>
        <w:t>FURTHER ASSURANCES</w:t>
      </w:r>
      <w:bookmarkEnd w:id="58"/>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Each Party undertakes at the request of the other, and at the cost of the requesting Party to do all acts and execute all documents which may be necessary to give effect to the meaning of this Framework Agreement.</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59" w:name="_Toc492462922"/>
      <w:r w:rsidRPr="00871477">
        <w:rPr>
          <w:rFonts w:eastAsia="STZhongsong"/>
          <w:b/>
          <w:caps/>
          <w:lang w:eastAsia="zh-CN"/>
        </w:rPr>
        <w:t>ENTIRE AGREEMENT</w:t>
      </w:r>
      <w:bookmarkEnd w:id="59"/>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Neither Party has been given, nor entered into this Framework Agreement in reliance on, any warranty, statement, promise or representation other than those expressly set out in this Framework Agreement.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Nothing in this Clause 44 shall exclude any liability in respect of misrepresentations made fraudulently. </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60" w:name="_Toc492462923"/>
      <w:r w:rsidRPr="00871477">
        <w:rPr>
          <w:rFonts w:eastAsia="STZhongsong"/>
          <w:b/>
          <w:caps/>
          <w:lang w:eastAsia="zh-CN"/>
        </w:rPr>
        <w:t>THIRD PARTY RIGHTS</w:t>
      </w:r>
      <w:bookmarkEnd w:id="60"/>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provisions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Clauses: 4 (Scope of Framework Agreement), 5 (Call Off Procedure), 6 (Assistance in Related Procurements), 7 (Representations and Warranties) 8 (Guarantee) 16 (Call Off Performance Under Framework Agreement Performance), 18 (Records, Audit Access and Open Book Data), , 27.4 (Protection of Personal Data), 31 (Insurance), 36.2 (Equality and Diversity) and 45 (Third Party Rights);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Framework Schedules 3 (Framework Prices and Charging Structure ), 5 (Call Off Procedure), 13 (Guarantee), 14 (Insurance Requirements), and 21 (Tender),</w:t>
      </w:r>
    </w:p>
    <w:p w:rsidR="00871477" w:rsidRPr="00871477" w:rsidRDefault="00871477" w:rsidP="00871477">
      <w:pPr>
        <w:tabs>
          <w:tab w:val="left" w:pos="1985"/>
        </w:tabs>
        <w:overflowPunct/>
        <w:autoSpaceDE/>
        <w:autoSpaceDN/>
        <w:spacing w:before="120" w:after="120"/>
        <w:ind w:left="1985"/>
        <w:textAlignment w:val="auto"/>
        <w:rPr>
          <w:b/>
          <w:i/>
          <w:lang w:eastAsia="zh-CN"/>
        </w:rPr>
      </w:pPr>
      <w:r w:rsidRPr="00871477">
        <w:rPr>
          <w:b/>
          <w:i/>
          <w:lang w:eastAsia="zh-CN"/>
        </w:rPr>
        <w:t xml:space="preserve"> </w:t>
      </w:r>
    </w:p>
    <w:p w:rsidR="00871477" w:rsidRPr="00871477" w:rsidRDefault="00871477" w:rsidP="00871477">
      <w:pPr>
        <w:tabs>
          <w:tab w:val="left" w:pos="3402"/>
        </w:tabs>
        <w:spacing w:after="220"/>
        <w:ind w:left="1134"/>
        <w:rPr>
          <w:szCs w:val="24"/>
        </w:rPr>
      </w:pPr>
      <w:r w:rsidRPr="00871477">
        <w:rPr>
          <w:szCs w:val="24"/>
        </w:rPr>
        <w:lastRenderedPageBreak/>
        <w:t>(together “</w:t>
      </w:r>
      <w:r w:rsidRPr="00871477">
        <w:rPr>
          <w:b/>
          <w:szCs w:val="24"/>
        </w:rPr>
        <w:t>Third Party Provisions</w:t>
      </w:r>
      <w:r w:rsidRPr="00871477">
        <w:rPr>
          <w:szCs w:val="24"/>
        </w:rPr>
        <w:t>”) confer benefits on persons named in such provisions other than the Parties (each such person a “</w:t>
      </w:r>
      <w:r w:rsidRPr="00871477">
        <w:rPr>
          <w:b/>
          <w:szCs w:val="24"/>
        </w:rPr>
        <w:t>Third Party Beneficiary</w:t>
      </w:r>
      <w:r w:rsidRPr="00871477">
        <w:rPr>
          <w:szCs w:val="24"/>
        </w:rPr>
        <w:t>”) and are intended to be enforceable by Third Parties Beneficiaries by virtue of the CRTPA.</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 45.1, a person who is not Party to this Framework Agreement has no right to enforce any term of this Framework Agreement under the CRTPA but this does not affect any right or remedy of any person which exists or is available otherwise than pursuant to the CRTPA.</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No Third Party Beneficiary may enforce, or take any step to enforce, any Third Party Provision without Approval, which may, if given, be given on and subject to such terms as the Authority may determine.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amendments or modifications to this Framework Agreement may be made, and any rights created under Clause 45.1 may be altered or extinguished, by the Parties without the consent of any Third Party Beneficiary.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61" w:name="_Toc492462924"/>
      <w:r w:rsidRPr="00871477">
        <w:rPr>
          <w:rFonts w:eastAsia="STZhongsong"/>
          <w:b/>
          <w:caps/>
          <w:lang w:eastAsia="zh-CN"/>
        </w:rPr>
        <w:t>NOTICES</w:t>
      </w:r>
      <w:bookmarkEnd w:id="61"/>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Except as otherwise expressly provided within this Framework Agreement, any notices issued under this Framework Agreement must be in writing. For the purpose of this Clause 46, an e-mail is accepted as being "in writing".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 46.3, the following table sets out the method by which notices may be served under this Framework Agreement and the respective deemed time and proof of service: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871477" w:rsidRPr="00871477" w:rsidTr="00871477">
        <w:trPr>
          <w:trHeight w:val="611"/>
        </w:trPr>
        <w:tc>
          <w:tcPr>
            <w:tcW w:w="2127" w:type="dxa"/>
            <w:shd w:val="clear" w:color="auto" w:fill="EEECE1"/>
          </w:tcPr>
          <w:p w:rsidR="00871477" w:rsidRPr="00871477" w:rsidRDefault="00871477" w:rsidP="00871477">
            <w:pPr>
              <w:spacing w:after="120"/>
              <w:jc w:val="left"/>
            </w:pPr>
            <w:r w:rsidRPr="00871477">
              <w:t>Manner of delivery</w:t>
            </w:r>
          </w:p>
        </w:tc>
        <w:tc>
          <w:tcPr>
            <w:tcW w:w="3118" w:type="dxa"/>
            <w:shd w:val="clear" w:color="auto" w:fill="EEECE1"/>
          </w:tcPr>
          <w:p w:rsidR="00871477" w:rsidRPr="00871477" w:rsidRDefault="00871477" w:rsidP="00871477">
            <w:pPr>
              <w:spacing w:after="120"/>
            </w:pPr>
            <w:r w:rsidRPr="00871477">
              <w:t>Deemed time of delivery</w:t>
            </w:r>
          </w:p>
        </w:tc>
        <w:tc>
          <w:tcPr>
            <w:tcW w:w="2693" w:type="dxa"/>
            <w:shd w:val="clear" w:color="auto" w:fill="EEECE1"/>
          </w:tcPr>
          <w:p w:rsidR="00871477" w:rsidRPr="00871477" w:rsidRDefault="00871477" w:rsidP="00871477">
            <w:pPr>
              <w:spacing w:after="120"/>
            </w:pPr>
            <w:r w:rsidRPr="00871477">
              <w:t>Proof of Service</w:t>
            </w:r>
          </w:p>
        </w:tc>
      </w:tr>
      <w:tr w:rsidR="00871477" w:rsidRPr="00871477" w:rsidTr="00871477">
        <w:trPr>
          <w:trHeight w:val="611"/>
        </w:trPr>
        <w:tc>
          <w:tcPr>
            <w:tcW w:w="2127" w:type="dxa"/>
            <w:shd w:val="clear" w:color="auto" w:fill="FFFFFF"/>
          </w:tcPr>
          <w:p w:rsidR="00871477" w:rsidRPr="00871477" w:rsidRDefault="00871477" w:rsidP="00871477">
            <w:pPr>
              <w:spacing w:after="120"/>
              <w:jc w:val="left"/>
            </w:pPr>
            <w:r w:rsidRPr="00871477">
              <w:t>Email (Subject to Clause 46.3)</w:t>
            </w:r>
          </w:p>
        </w:tc>
        <w:tc>
          <w:tcPr>
            <w:tcW w:w="3118" w:type="dxa"/>
            <w:shd w:val="clear" w:color="auto" w:fill="FFFFFF"/>
          </w:tcPr>
          <w:p w:rsidR="00871477" w:rsidRPr="00871477" w:rsidRDefault="00871477" w:rsidP="00871477">
            <w:pPr>
              <w:spacing w:after="120"/>
              <w:jc w:val="left"/>
            </w:pPr>
            <w:r w:rsidRPr="00871477">
              <w:t>9.00am on the  first Working Day after sending</w:t>
            </w:r>
          </w:p>
        </w:tc>
        <w:tc>
          <w:tcPr>
            <w:tcW w:w="2693" w:type="dxa"/>
            <w:shd w:val="clear" w:color="auto" w:fill="FFFFFF"/>
          </w:tcPr>
          <w:p w:rsidR="00871477" w:rsidRPr="00871477" w:rsidRDefault="00871477" w:rsidP="00871477">
            <w:pPr>
              <w:spacing w:after="120"/>
              <w:jc w:val="left"/>
            </w:pPr>
            <w:r w:rsidRPr="00871477">
              <w:t xml:space="preserve">Dispatched as a pdf attachment to an e-mail to the correct e-mail address without any error message </w:t>
            </w:r>
          </w:p>
        </w:tc>
      </w:tr>
      <w:tr w:rsidR="00871477" w:rsidRPr="00871477" w:rsidTr="00871477">
        <w:trPr>
          <w:trHeight w:val="611"/>
        </w:trPr>
        <w:tc>
          <w:tcPr>
            <w:tcW w:w="2127" w:type="dxa"/>
            <w:shd w:val="clear" w:color="auto" w:fill="FFFFFF"/>
          </w:tcPr>
          <w:p w:rsidR="00871477" w:rsidRPr="00871477" w:rsidRDefault="00871477" w:rsidP="00871477">
            <w:pPr>
              <w:spacing w:after="120"/>
              <w:jc w:val="left"/>
            </w:pPr>
            <w:r w:rsidRPr="00871477">
              <w:t>Personal delivery</w:t>
            </w:r>
          </w:p>
        </w:tc>
        <w:tc>
          <w:tcPr>
            <w:tcW w:w="3118" w:type="dxa"/>
            <w:shd w:val="clear" w:color="auto" w:fill="FFFFFF"/>
          </w:tcPr>
          <w:p w:rsidR="00871477" w:rsidRPr="00871477" w:rsidRDefault="00871477" w:rsidP="00871477">
            <w:pPr>
              <w:spacing w:after="120"/>
              <w:jc w:val="left"/>
            </w:pPr>
            <w:r w:rsidRPr="00871477">
              <w:t>On delivery, provided delivery is between 9.00am and 5.00pm on a Working Day. Otherwise, delivery will occur at 9.00am on the next Working Day</w:t>
            </w:r>
          </w:p>
        </w:tc>
        <w:tc>
          <w:tcPr>
            <w:tcW w:w="2693" w:type="dxa"/>
            <w:shd w:val="clear" w:color="auto" w:fill="FFFFFF"/>
          </w:tcPr>
          <w:p w:rsidR="00871477" w:rsidRPr="00871477" w:rsidRDefault="00871477" w:rsidP="00871477">
            <w:pPr>
              <w:spacing w:after="120"/>
              <w:jc w:val="left"/>
            </w:pPr>
            <w:r w:rsidRPr="00871477">
              <w:t>Properly addressed and delivered as evidenced by signature of a delivery receipt</w:t>
            </w:r>
          </w:p>
        </w:tc>
      </w:tr>
      <w:tr w:rsidR="00871477" w:rsidRPr="00871477" w:rsidTr="00871477">
        <w:trPr>
          <w:trHeight w:val="611"/>
        </w:trPr>
        <w:tc>
          <w:tcPr>
            <w:tcW w:w="2127" w:type="dxa"/>
            <w:shd w:val="clear" w:color="auto" w:fill="FFFFFF"/>
          </w:tcPr>
          <w:p w:rsidR="00871477" w:rsidRPr="00871477" w:rsidRDefault="00871477" w:rsidP="00871477">
            <w:pPr>
              <w:spacing w:after="120"/>
              <w:jc w:val="left"/>
            </w:pPr>
            <w:r w:rsidRPr="00871477">
              <w:t>Royal Mail Signed For™ 1st Class or other prepaid, next Working Day service providing proof of delivery</w:t>
            </w:r>
          </w:p>
        </w:tc>
        <w:tc>
          <w:tcPr>
            <w:tcW w:w="3118" w:type="dxa"/>
            <w:shd w:val="clear" w:color="auto" w:fill="FFFFFF"/>
          </w:tcPr>
          <w:p w:rsidR="00871477" w:rsidRPr="00871477" w:rsidRDefault="00871477" w:rsidP="00871477">
            <w:pPr>
              <w:spacing w:after="120"/>
              <w:jc w:val="left"/>
            </w:pPr>
            <w:r w:rsidRPr="00871477">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871477" w:rsidRPr="00871477" w:rsidRDefault="00871477" w:rsidP="00871477">
            <w:pPr>
              <w:spacing w:after="120"/>
              <w:jc w:val="left"/>
            </w:pPr>
            <w:r w:rsidRPr="00871477">
              <w:t>Properly addressed prepaid and delivered as evidenced by signature of a delivery receipt</w:t>
            </w:r>
          </w:p>
        </w:tc>
      </w:tr>
    </w:tbl>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The following notices may only be served as an attachment to an email if the original notice is then sent to the recipient by personal delivery or Royal Mail Signed For™ 1</w:t>
      </w:r>
      <w:r w:rsidRPr="00871477">
        <w:rPr>
          <w:vertAlign w:val="superscript"/>
          <w:lang w:eastAsia="zh-CN"/>
        </w:rPr>
        <w:t>st</w:t>
      </w:r>
      <w:r w:rsidRPr="00871477">
        <w:rPr>
          <w:lang w:eastAsia="zh-CN"/>
        </w:rPr>
        <w:t xml:space="preserve"> Class</w:t>
      </w:r>
      <w:r w:rsidRPr="00871477">
        <w:rPr>
          <w:bCs/>
          <w:iCs/>
          <w:lang w:eastAsia="zh-CN"/>
        </w:rPr>
        <w:t xml:space="preserve"> or other prepaid</w:t>
      </w:r>
      <w:r w:rsidRPr="00871477">
        <w:rPr>
          <w:lang w:eastAsia="zh-CN"/>
        </w:rPr>
        <w:t xml:space="preserve"> in the manner set out in the table in Clause 46.2 within twenty four (24) hours of transmission of the email: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any Termination Notice under Clause 33 (Authority Termination Rights), including in respect of partial termination;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notice in respect of:</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Suspension of Supplier’s appointment (Clause 34)</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Waiver (Clause 38);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Default or Authority Cause;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any Dispute Notice.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Failure to send any original notice in accordance with Clause 46.3 shall invalidate the service of the related e-mail transmission. The deemed time of delivery of such notice shall be the deemed time of delivery of the original notice sent by personal delivery or Royal Mail Signed For™ 1st Class delivery (as set out in the table in Clause 46.2) or, if earlier, the time of response or acknowledgement by the receiving Party to the email attaching the notice.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Clause 46 does not apply to the service of any proceedings or other documents in any legal action or, where applicable, any arbitration or other method of dispute resolution (other than the service of a Dispute Notice under Framework Schedule 18 (Dispute Resolution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For the purposes of this Clause 46, the address of each Party shall be: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For the Authority:</w:t>
      </w:r>
    </w:p>
    <w:p w:rsidR="00871477" w:rsidRPr="00871477" w:rsidRDefault="00871477" w:rsidP="00871477">
      <w:pPr>
        <w:overflowPunct/>
        <w:autoSpaceDE/>
        <w:autoSpaceDN/>
        <w:spacing w:before="120" w:after="120"/>
        <w:ind w:left="1985"/>
        <w:jc w:val="left"/>
        <w:textAlignment w:val="auto"/>
        <w:rPr>
          <w:lang w:val="en-US" w:eastAsia="zh-CN"/>
        </w:rPr>
      </w:pPr>
      <w:r w:rsidRPr="00871477">
        <w:rPr>
          <w:b/>
          <w:bCs/>
          <w:lang w:val="en-US" w:eastAsia="zh-CN"/>
        </w:rPr>
        <w:t>Crown Commercial Service</w:t>
      </w:r>
      <w:r w:rsidRPr="00871477">
        <w:rPr>
          <w:lang w:val="en-US" w:eastAsia="zh-CN"/>
        </w:rPr>
        <w:br/>
        <w:t>9th Floor</w:t>
      </w:r>
      <w:r w:rsidRPr="00871477">
        <w:rPr>
          <w:lang w:val="en-US" w:eastAsia="zh-CN"/>
        </w:rPr>
        <w:br/>
        <w:t>The Capital</w:t>
      </w:r>
      <w:r w:rsidRPr="00871477">
        <w:rPr>
          <w:lang w:val="en-US" w:eastAsia="zh-CN"/>
        </w:rPr>
        <w:br/>
        <w:t>Old Hall Street</w:t>
      </w:r>
      <w:r w:rsidRPr="00871477">
        <w:rPr>
          <w:lang w:val="en-US" w:eastAsia="zh-CN"/>
        </w:rPr>
        <w:br/>
        <w:t>Liverpool</w:t>
      </w:r>
      <w:r w:rsidRPr="00871477">
        <w:rPr>
          <w:lang w:val="en-US" w:eastAsia="zh-CN"/>
        </w:rPr>
        <w:br/>
        <w:t>L3 9PP</w:t>
      </w:r>
    </w:p>
    <w:p w:rsidR="00871477" w:rsidRPr="00871477" w:rsidRDefault="00871477" w:rsidP="00871477">
      <w:pPr>
        <w:overflowPunct/>
        <w:autoSpaceDE/>
        <w:autoSpaceDN/>
        <w:spacing w:before="120" w:after="120"/>
        <w:ind w:left="1985"/>
        <w:textAlignment w:val="auto"/>
        <w:rPr>
          <w:lang w:val="en-US" w:eastAsia="zh-CN"/>
        </w:rPr>
      </w:pPr>
      <w:r w:rsidRPr="00871477">
        <w:rPr>
          <w:lang w:val="en-US" w:eastAsia="zh-CN"/>
        </w:rPr>
        <w:t>For the attention of:</w:t>
      </w:r>
      <w:r w:rsidR="002E5A02">
        <w:rPr>
          <w:lang w:val="en-US" w:eastAsia="zh-CN"/>
        </w:rPr>
        <w:t xml:space="preserve"> Category Lead – Apprenticeship Training and Related Services</w:t>
      </w: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overflowPunct/>
        <w:autoSpaceDE/>
        <w:autoSpaceDN/>
        <w:spacing w:before="120" w:after="120"/>
        <w:ind w:left="1985"/>
        <w:textAlignment w:val="auto"/>
        <w:rPr>
          <w:lang w:val="en-US" w:eastAsia="zh-CN"/>
        </w:rPr>
      </w:pP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For the Supplier:</w:t>
      </w:r>
    </w:p>
    <w:p w:rsidR="008C2005" w:rsidRPr="0006376E" w:rsidRDefault="000056A3" w:rsidP="008C2005">
      <w:pPr>
        <w:overflowPunct/>
        <w:autoSpaceDE/>
        <w:autoSpaceDN/>
        <w:spacing w:before="120" w:after="120"/>
        <w:ind w:left="1985"/>
        <w:textAlignment w:val="auto"/>
        <w:rPr>
          <w:rFonts w:ascii="Arial" w:hAnsi="Arial"/>
          <w:b/>
          <w:sz w:val="20"/>
          <w:szCs w:val="20"/>
          <w:lang w:val="en-US" w:eastAsia="zh-CN"/>
        </w:rPr>
      </w:pPr>
      <w:r w:rsidRPr="000056A3">
        <w:rPr>
          <w:rFonts w:ascii="Arial" w:hAnsi="Arial"/>
          <w:b/>
          <w:noProof/>
          <w:sz w:val="20"/>
          <w:szCs w:val="20"/>
          <w:highlight w:val="yellow"/>
          <w:lang w:val="en-US" w:eastAsia="zh-CN"/>
        </w:rPr>
        <w:t>&lt;SUPPLIER NAME&gt;</w:t>
      </w:r>
    </w:p>
    <w:p w:rsidR="00BE654B" w:rsidRDefault="008C2005" w:rsidP="00BE654B">
      <w:pPr>
        <w:overflowPunct/>
        <w:autoSpaceDE/>
        <w:autoSpaceDN/>
        <w:spacing w:before="120" w:after="120"/>
        <w:ind w:left="1985"/>
        <w:textAlignment w:val="auto"/>
        <w:rPr>
          <w:rFonts w:ascii="Arial" w:hAnsi="Arial"/>
          <w:noProof/>
          <w:sz w:val="20"/>
          <w:szCs w:val="20"/>
          <w:lang w:val="en" w:eastAsia="zh-CN"/>
        </w:rPr>
      </w:pPr>
      <w:r w:rsidRPr="0006376E">
        <w:rPr>
          <w:rFonts w:ascii="Arial" w:hAnsi="Arial"/>
          <w:noProof/>
          <w:sz w:val="20"/>
          <w:szCs w:val="20"/>
          <w:lang w:val="en-US" w:eastAsia="zh-CN"/>
        </w:rPr>
        <w:br/>
      </w:r>
      <w:r w:rsidR="000056A3" w:rsidRPr="000056A3">
        <w:rPr>
          <w:rFonts w:ascii="Arial" w:hAnsi="Arial"/>
          <w:noProof/>
          <w:sz w:val="20"/>
          <w:szCs w:val="20"/>
          <w:highlight w:val="yellow"/>
          <w:lang w:val="en" w:eastAsia="zh-CN"/>
        </w:rPr>
        <w:t>&lt;SUPPLIER ADDRESS&gt;</w:t>
      </w:r>
    </w:p>
    <w:p w:rsidR="00292B5B" w:rsidRPr="0006376E" w:rsidRDefault="00292B5B" w:rsidP="00292B5B">
      <w:pPr>
        <w:overflowPunct/>
        <w:autoSpaceDE/>
        <w:autoSpaceDN/>
        <w:spacing w:before="120" w:after="120"/>
        <w:ind w:left="1985"/>
        <w:textAlignment w:val="auto"/>
        <w:rPr>
          <w:rFonts w:ascii="Arial" w:hAnsi="Arial"/>
          <w:noProof/>
          <w:sz w:val="20"/>
          <w:szCs w:val="20"/>
          <w:lang w:val="en-US" w:eastAsia="zh-CN"/>
        </w:rPr>
      </w:pPr>
    </w:p>
    <w:p w:rsidR="008C2005" w:rsidRPr="00F21239" w:rsidRDefault="000056A3" w:rsidP="008C2005">
      <w:pPr>
        <w:overflowPunct/>
        <w:autoSpaceDE/>
        <w:autoSpaceDN/>
        <w:spacing w:before="120" w:after="120"/>
        <w:ind w:left="1985"/>
        <w:textAlignment w:val="auto"/>
        <w:rPr>
          <w:rFonts w:ascii="Arial" w:hAnsi="Arial"/>
          <w:sz w:val="20"/>
          <w:szCs w:val="20"/>
          <w:lang w:val="en-US" w:eastAsia="zh-CN"/>
        </w:rPr>
      </w:pPr>
      <w:r>
        <w:rPr>
          <w:rFonts w:ascii="Arial" w:hAnsi="Arial"/>
          <w:sz w:val="20"/>
          <w:szCs w:val="20"/>
          <w:lang w:val="en-US" w:eastAsia="zh-CN"/>
        </w:rPr>
        <w:t xml:space="preserve">For the attention of: </w:t>
      </w:r>
      <w:r w:rsidRPr="000056A3">
        <w:rPr>
          <w:rFonts w:ascii="Arial" w:hAnsi="Arial"/>
          <w:sz w:val="20"/>
          <w:szCs w:val="20"/>
          <w:highlight w:val="yellow"/>
          <w:lang w:val="en-US" w:eastAsia="zh-CN"/>
        </w:rPr>
        <w:t>&lt;SUPPLIER POINT OF CONTACT&gt;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Either Party may change its address for service by serving a notice in accordance with this Clause 46.</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 xml:space="preserve">This Clause 46 does not apply to the service of any proceedings or other documents in any legal action or, where applicable, any arbitration or other method of dispute resolution </w:t>
      </w:r>
      <w:r w:rsidRPr="00871477">
        <w:rPr>
          <w:szCs w:val="20"/>
          <w:lang w:eastAsia="zh-CN"/>
        </w:rPr>
        <w:t>(other than the service of a Dispute Notice under the Dispute Resolution Procedure)</w:t>
      </w:r>
      <w:r w:rsidRPr="00871477">
        <w:rPr>
          <w:lang w:eastAsia="zh-CN"/>
        </w:rPr>
        <w:t xml:space="preserve"> </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62" w:name="_Toc492462925"/>
      <w:r w:rsidRPr="00871477">
        <w:rPr>
          <w:rFonts w:eastAsia="STZhongsong"/>
          <w:b/>
          <w:caps/>
          <w:lang w:eastAsia="zh-CN"/>
        </w:rPr>
        <w:t>COMPLAINTS HANDLING</w:t>
      </w:r>
      <w:bookmarkEnd w:id="62"/>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Either Party shall notify the other Party of any Complaints made by CSL or a Service Recipient,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Without prejudice to any rights and remedies that a complainant may have at Law (including under this Framework Agreement and/or a Call Off Contract), and without prejudice to any obligation of the Supplier to take remedial action under the provisions of this Framework Agreement and/or a Call Off Contract, the Supplier shall use its best endeavours to resolve the Complaint within ten (10) Working Days and in so doing, shall deal with the Complaint fully, expeditiously and fairly.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Within two (2) Working Days of a request by the Authority, the Supplier shall provide full details of a Complaint to the Authority, including details of steps taken to achieve its resolution. </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63" w:name="_Toc492462926"/>
      <w:r w:rsidRPr="00871477">
        <w:rPr>
          <w:rFonts w:eastAsia="STZhongsong"/>
          <w:b/>
          <w:caps/>
          <w:lang w:eastAsia="zh-CN"/>
        </w:rPr>
        <w:t>DISPUTE RESOLUTION</w:t>
      </w:r>
      <w:bookmarkEnd w:id="63"/>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shall resolve Disputes arising out of or in connection with this Framework Agreement in accordance with the Dispute Resolution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continue to provide the Goods and/or Services in accordance with the terms of this Framework Agreement until a Dispute has been resolved.</w:t>
      </w:r>
    </w:p>
    <w:p w:rsidR="00871477" w:rsidRPr="00871477" w:rsidRDefault="00871477" w:rsidP="00871477">
      <w:pPr>
        <w:numPr>
          <w:ilvl w:val="0"/>
          <w:numId w:val="8"/>
        </w:numPr>
        <w:tabs>
          <w:tab w:val="left" w:pos="142"/>
        </w:tabs>
        <w:overflowPunct/>
        <w:autoSpaceDE/>
        <w:autoSpaceDN/>
        <w:spacing w:before="120"/>
        <w:ind w:left="426" w:hanging="426"/>
        <w:textAlignment w:val="auto"/>
        <w:outlineLvl w:val="1"/>
        <w:rPr>
          <w:rFonts w:eastAsia="STZhongsong"/>
          <w:b/>
          <w:caps/>
          <w:lang w:eastAsia="zh-CN"/>
        </w:rPr>
      </w:pPr>
      <w:bookmarkStart w:id="64" w:name="_Toc492462927"/>
      <w:r w:rsidRPr="00871477">
        <w:rPr>
          <w:rFonts w:eastAsia="STZhongsong"/>
          <w:b/>
          <w:caps/>
          <w:lang w:eastAsia="zh-CN"/>
        </w:rPr>
        <w:t>GOVERNING LAW AND JURISDICTION</w:t>
      </w:r>
      <w:bookmarkEnd w:id="64"/>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This </w:t>
      </w:r>
      <w:r w:rsidRPr="00871477">
        <w:rPr>
          <w:szCs w:val="20"/>
          <w:lang w:eastAsia="zh-CN"/>
        </w:rPr>
        <w:t xml:space="preserve">Framework Agreement </w:t>
      </w:r>
      <w:r w:rsidRPr="00871477">
        <w:rPr>
          <w:lang w:eastAsia="zh-CN"/>
        </w:rPr>
        <w:t xml:space="preserve">and any issues, disputes or claims (whether contractual or non-contractual) arising out of or in connection with it or its subject matter or formation shall be governed by and construed in accordance with the laws of England and Wales.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 48 (Dispute Resolution) and Framework Schedule 18 (Dispute 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Framework Agreement or its subject matter or formation.</w:t>
      </w:r>
    </w:p>
    <w:p w:rsidR="00871477" w:rsidRPr="00871477" w:rsidRDefault="00871477" w:rsidP="00871477">
      <w:pPr>
        <w:spacing w:after="0"/>
        <w:rPr>
          <w:color w:val="FFFFFF"/>
          <w:sz w:val="16"/>
          <w:szCs w:val="16"/>
        </w:rPr>
      </w:pPr>
      <w:r w:rsidRPr="00871477" w:rsidDel="00650D45">
        <w:rPr>
          <w:color w:val="FFFFFF"/>
          <w:sz w:val="16"/>
          <w:szCs w:val="16"/>
        </w:rPr>
        <w:t xml:space="preserve"> </w:t>
      </w: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spacing w:before="240" w:after="120"/>
        <w:ind w:left="142"/>
        <w:textAlignment w:val="auto"/>
        <w:rPr>
          <w:rFonts w:eastAsia="STZhongsong"/>
          <w:lang w:eastAsia="zh-CN"/>
        </w:rPr>
      </w:pPr>
      <w:r w:rsidRPr="00871477">
        <w:rPr>
          <w:rFonts w:eastAsia="STZhongsong"/>
          <w:b/>
          <w:lang w:eastAsia="zh-CN"/>
        </w:rPr>
        <w:lastRenderedPageBreak/>
        <w:t>IN WITNESS</w:t>
      </w:r>
      <w:r w:rsidRPr="00871477">
        <w:rPr>
          <w:rFonts w:eastAsia="STZhongsong"/>
          <w:lang w:eastAsia="zh-CN"/>
        </w:rPr>
        <w:t xml:space="preserve"> of which this Framework Agreement has been duly executed by the Parties.    </w:t>
      </w:r>
    </w:p>
    <w:p w:rsidR="00871477" w:rsidRPr="00871477" w:rsidRDefault="00871477" w:rsidP="00871477">
      <w:pPr>
        <w:keepNext/>
        <w:overflowPunct/>
        <w:autoSpaceDE/>
        <w:autoSpaceDN/>
        <w:spacing w:before="240" w:after="120"/>
        <w:textAlignment w:val="auto"/>
        <w:rPr>
          <w:rFonts w:eastAsia="STZhongsong"/>
          <w:lang w:eastAsia="zh-CN"/>
        </w:rPr>
      </w:pP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Signed duly authorised for and on behalf of the SUPPLIER</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Signature: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Name: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Position:</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0"/>
        <w:ind w:left="142"/>
        <w:textAlignment w:val="auto"/>
        <w:rPr>
          <w:rFonts w:ascii="Arial" w:eastAsia="STZhongsong" w:hAnsi="Arial"/>
          <w:lang w:eastAsia="zh-CN"/>
        </w:rPr>
      </w:pPr>
      <w:r w:rsidRPr="004B2201">
        <w:rPr>
          <w:rFonts w:ascii="Arial" w:eastAsia="STZhongsong" w:hAnsi="Arial"/>
          <w:lang w:eastAsia="zh-CN"/>
        </w:rPr>
        <w:t>Date</w:t>
      </w:r>
      <w:r w:rsidRPr="004B2201">
        <w:rPr>
          <w:rFonts w:ascii="Arial" w:eastAsia="STZhongsong" w:hAnsi="Arial"/>
          <w:lang w:eastAsia="zh-CN"/>
        </w:rPr>
        <w:tab/>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0"/>
        <w:ind w:left="142"/>
        <w:textAlignment w:val="auto"/>
        <w:rPr>
          <w:rFonts w:ascii="Arial" w:eastAsia="STZhongsong" w:hAnsi="Arial"/>
          <w:lang w:eastAsia="zh-CN"/>
        </w:rPr>
      </w:pP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Signed for and on behalf of the AUTHORITY</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Signature: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Name: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Position:</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F3FF9" w:rsidRPr="004B2201" w:rsidRDefault="008F3FF9" w:rsidP="008F3FF9">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Date</w:t>
      </w:r>
      <w:r w:rsidRPr="004B2201">
        <w:rPr>
          <w:rFonts w:ascii="Arial" w:eastAsia="STZhongsong" w:hAnsi="Arial"/>
          <w:lang w:eastAsia="zh-CN"/>
        </w:rPr>
        <w:tab/>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65" w:name="_Toc492462928"/>
      <w:r w:rsidRPr="00871477">
        <w:rPr>
          <w:rFonts w:ascii="Arial Bold" w:eastAsia="STZhongsong" w:hAnsi="Arial Bold" w:cs="Times New Roman"/>
          <w:b/>
          <w:caps/>
          <w:lang w:eastAsia="zh-CN"/>
        </w:rPr>
        <w:lastRenderedPageBreak/>
        <w:t>FRAMEWORK SCHEDULE 1: DEFINITIONS</w:t>
      </w:r>
      <w:bookmarkEnd w:id="65"/>
    </w:p>
    <w:p w:rsidR="00871477" w:rsidRPr="00871477" w:rsidRDefault="00871477" w:rsidP="00871477">
      <w:pPr>
        <w:numPr>
          <w:ilvl w:val="0"/>
          <w:numId w:val="11"/>
        </w:numPr>
        <w:tabs>
          <w:tab w:val="left" w:pos="851"/>
        </w:tabs>
      </w:pPr>
      <w:r w:rsidRPr="00871477">
        <w:t xml:space="preserve"> In accordance with Clause 1.1 (Definitions), in this Framework Agreement including its Recitals the following expressions shall have the following meanings:</w:t>
      </w:r>
    </w:p>
    <w:tbl>
      <w:tblPr>
        <w:tblW w:w="8286" w:type="dxa"/>
        <w:tblInd w:w="959" w:type="dxa"/>
        <w:tblLayout w:type="fixed"/>
        <w:tblLook w:val="04A0" w:firstRow="1" w:lastRow="0" w:firstColumn="1" w:lastColumn="0" w:noHBand="0" w:noVBand="1"/>
      </w:tblPr>
      <w:tblGrid>
        <w:gridCol w:w="2108"/>
        <w:gridCol w:w="6178"/>
      </w:tblGrid>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“Additional Services”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services required by CSL or its Service Recipients and  referred to as such in Annex 1 of Call Off Schedule 2 (Goods and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"Admin Fees"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costs incurred by the Authority in dealing with MI Failures calculated in accordance with the tariff of administration charges published by the Authority at the following link: </w:t>
            </w:r>
            <w:hyperlink r:id="rId9" w:history="1">
              <w:r w:rsidRPr="00871477">
                <w:t>http://CCS.cabinetoffice.gov.uk/i-am-supplier/management-information/admin-fees</w:t>
              </w:r>
            </w:hyperlink>
            <w:r w:rsidRPr="00871477">
              <w: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"Affiliates"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in relation to a body corporate, any other entity which directly or indirectly Controls, is Controlled by, or is under direct or indirect common Control of that body corporate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"Approval"</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prior written consent of the Authority and "</w:t>
            </w:r>
            <w:r w:rsidRPr="00871477">
              <w:rPr>
                <w:b/>
              </w:rPr>
              <w:t>Approve</w:t>
            </w:r>
            <w:r w:rsidRPr="00871477">
              <w:t>" and "</w:t>
            </w:r>
            <w:r w:rsidRPr="00871477">
              <w:rPr>
                <w:b/>
              </w:rPr>
              <w:t>Approved</w:t>
            </w:r>
            <w:r w:rsidRPr="00871477">
              <w:t>" shall be construed accordingly;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"Audit"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 audit carried out pursuant to Clause 18 (Records, Audit Access and Open Book Data);</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"Audit Report"</w:t>
            </w:r>
          </w:p>
        </w:tc>
        <w:tc>
          <w:tcPr>
            <w:tcW w:w="6178" w:type="dxa"/>
            <w:shd w:val="clear" w:color="auto" w:fill="auto"/>
          </w:tcPr>
          <w:p w:rsidR="00871477" w:rsidRPr="00871477" w:rsidRDefault="00871477" w:rsidP="00871477">
            <w:pPr>
              <w:numPr>
                <w:ilvl w:val="0"/>
                <w:numId w:val="6"/>
              </w:numPr>
              <w:tabs>
                <w:tab w:val="left" w:pos="175"/>
              </w:tabs>
              <w:spacing w:after="120"/>
              <w:rPr>
                <w:rFonts w:eastAsia="STZhongsong"/>
              </w:rPr>
            </w:pPr>
            <w:r w:rsidRPr="00871477">
              <w:t>means a report summarising the testing completed and the actions arising following an Audit</w:t>
            </w:r>
            <w:r w:rsidRPr="00871477">
              <w:rPr>
                <w:color w:val="1F497D"/>
              </w:rPr>
              <w: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"Auditor"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Authority, and/or CSL who is a party to a Call Off Contract, and/or the National Audit Office and/or any auditor appointed by the Audit Commission, and /or the representatives of any of them;</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"Authority"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 means </w:t>
            </w:r>
            <w:r w:rsidRPr="00871477">
              <w:rPr>
                <w:b/>
              </w:rPr>
              <w:t>THE MINISTER FOR THE CABINET OFFICE</w:t>
            </w:r>
            <w:r w:rsidRPr="00871477">
              <w:t xml:space="preserve"> ("</w:t>
            </w:r>
            <w:r w:rsidRPr="00871477">
              <w:rPr>
                <w:b/>
              </w:rPr>
              <w:t>Cabinet Office</w:t>
            </w:r>
            <w:r w:rsidRPr="00871477">
              <w:t>") as represented by Crown Commercial Service, a trading fund of the Cabinet Office, whose offices are located at 9th Floor, The Capital, Old Hall Street, Liverpool L3 9PP;</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“Authority Cause”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"Authority Personal Data"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Personal Data supplied for the purposes of or in connection with this Framework Agreement by the Authority to the Supplier;</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"Authority Representative"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representative appointed by the Authority from time to time in relation to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"Authority's Confidential Information"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all Authority Personal Data and any information, however it is conveyed, that relates to the business, affairs, developments, trade secrets, Know How, personnel, and suppliers of the Authority and/or Other Contracting Authorities, including all IPR, together with all information derived from any of the above, and any other information clearly designated as being confidential (whether or not it is marked “confidential”) or which ought reasonably to be considered to be confidential;</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"Branding Guidance"</w:t>
            </w:r>
          </w:p>
        </w:tc>
        <w:tc>
          <w:tcPr>
            <w:tcW w:w="6178" w:type="dxa"/>
            <w:shd w:val="clear" w:color="auto" w:fill="auto"/>
          </w:tcPr>
          <w:p w:rsidR="00871477" w:rsidRPr="00871477" w:rsidRDefault="00871477" w:rsidP="008C2005">
            <w:pPr>
              <w:numPr>
                <w:ilvl w:val="0"/>
                <w:numId w:val="6"/>
              </w:numPr>
              <w:tabs>
                <w:tab w:val="left" w:pos="175"/>
              </w:tabs>
              <w:spacing w:after="120"/>
            </w:pPr>
            <w:r w:rsidRPr="00871477">
              <w:t>means the Authority's guidance in relation to t</w:t>
            </w:r>
            <w:r w:rsidR="008A3638">
              <w:t>he use of branding available at:</w:t>
            </w:r>
            <w:r w:rsidR="008C2005">
              <w:rPr>
                <w:rFonts w:ascii="Arial" w:hAnsi="Arial"/>
                <w:color w:val="222222"/>
                <w:sz w:val="19"/>
                <w:szCs w:val="19"/>
                <w:shd w:val="clear" w:color="auto" w:fill="FFFFFF"/>
              </w:rPr>
              <w:br/>
            </w:r>
            <w:hyperlink r:id="rId10" w:tgtFrame="_blank" w:history="1">
              <w:r w:rsidR="008C2005" w:rsidRPr="00091EB2">
                <w:rPr>
                  <w:rStyle w:val="Hyperlink"/>
                  <w:rFonts w:ascii="Arial" w:hAnsi="Arial"/>
                  <w:sz w:val="19"/>
                  <w:szCs w:val="19"/>
                  <w:shd w:val="clear" w:color="auto" w:fill="FFFFFF"/>
                </w:rPr>
                <w:t>https://</w:t>
              </w:r>
              <w:r w:rsidR="008C2005" w:rsidRPr="00091EB2">
                <w:rPr>
                  <w:rStyle w:val="Hyperlink"/>
                  <w:rFonts w:ascii="Arial" w:eastAsia="STZhongsong" w:hAnsi="Arial"/>
                  <w:sz w:val="19"/>
                  <w:szCs w:val="19"/>
                  <w:shd w:val="clear" w:color="auto" w:fill="FFFFFF"/>
                </w:rPr>
                <w:t>www.gov</w:t>
              </w:r>
              <w:r w:rsidR="008C2005" w:rsidRPr="00091EB2">
                <w:rPr>
                  <w:rStyle w:val="Hyperlink"/>
                  <w:rFonts w:ascii="Arial" w:hAnsi="Arial"/>
                  <w:sz w:val="19"/>
                  <w:szCs w:val="19"/>
                  <w:shd w:val="clear" w:color="auto" w:fill="FFFFFF"/>
                </w:rPr>
                <w:t>.uk/topic/government-digital-guidance/content-publishing</w:t>
              </w:r>
            </w:hyperlink>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"Call Off Contract"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legally binding agreement (entered into pursuant to the provisions of this Framework Agreement) comprised of a completed Template Order Form and Template Terms and Conditions for the provision of the Goods and/or Services made between CSL and the Supplier pursuant to Framework Schedule 5 (Call Off Procedure);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"Call Off Guarantee"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deed of guarantee in favour of CSL in the form set out in Framework Schedule 13 (Guarantee) and granted pursuant to Clause 4 of the Template Call Off terms;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"Call Off Guarantor"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person acceptable to CSL to give a Call Off Guarantee;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"Call Off Procedure"</w:t>
            </w:r>
          </w:p>
        </w:tc>
        <w:tc>
          <w:tcPr>
            <w:tcW w:w="6178" w:type="dxa"/>
            <w:shd w:val="clear" w:color="auto" w:fill="auto"/>
          </w:tcPr>
          <w:p w:rsidR="00871477" w:rsidRPr="00871477" w:rsidRDefault="00871477" w:rsidP="00871477">
            <w:pPr>
              <w:numPr>
                <w:ilvl w:val="0"/>
                <w:numId w:val="6"/>
              </w:numPr>
              <w:tabs>
                <w:tab w:val="left" w:pos="175"/>
              </w:tabs>
              <w:spacing w:after="120"/>
              <w:rPr>
                <w:color w:val="000000"/>
              </w:rPr>
            </w:pPr>
            <w:r w:rsidRPr="00871477">
              <w:t>means the process for awarding a Call Off Contract pursuant to Clause 5 (Call Off Procedure) and Framework Schedule 5 (Call Off Procedure);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"CEDR"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Centre for Effective Dispute Resolution;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"Central Government Body"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body listed in one of the following sub-categories of the Central Government classification of the Public Sector Classification Guide, as published and amended from time to time by the Office for National Statistics:</w:t>
            </w:r>
          </w:p>
          <w:p w:rsidR="00871477" w:rsidRPr="00871477" w:rsidRDefault="00871477" w:rsidP="00871477">
            <w:pPr>
              <w:numPr>
                <w:ilvl w:val="1"/>
                <w:numId w:val="6"/>
              </w:numPr>
              <w:tabs>
                <w:tab w:val="left" w:pos="175"/>
              </w:tabs>
              <w:spacing w:after="120"/>
              <w:ind w:hanging="544"/>
            </w:pPr>
            <w:r w:rsidRPr="00871477">
              <w:t>Government Department;</w:t>
            </w:r>
          </w:p>
          <w:p w:rsidR="00871477" w:rsidRPr="00871477" w:rsidRDefault="00871477" w:rsidP="00871477">
            <w:pPr>
              <w:numPr>
                <w:ilvl w:val="1"/>
                <w:numId w:val="6"/>
              </w:numPr>
              <w:tabs>
                <w:tab w:val="left" w:pos="175"/>
              </w:tabs>
              <w:spacing w:after="120"/>
              <w:ind w:hanging="544"/>
            </w:pPr>
            <w:r w:rsidRPr="00871477">
              <w:t>Non-Departmental Public Body or Assembly Sponsored Public Body (advisory, executive, or tribunal);</w:t>
            </w:r>
          </w:p>
          <w:p w:rsidR="00871477" w:rsidRPr="00871477" w:rsidRDefault="00871477" w:rsidP="00871477">
            <w:pPr>
              <w:numPr>
                <w:ilvl w:val="1"/>
                <w:numId w:val="6"/>
              </w:numPr>
              <w:tabs>
                <w:tab w:val="left" w:pos="175"/>
              </w:tabs>
              <w:spacing w:after="120"/>
              <w:ind w:hanging="544"/>
            </w:pPr>
            <w:r w:rsidRPr="00871477">
              <w:t>Non-Ministerial Department; or</w:t>
            </w:r>
          </w:p>
          <w:p w:rsidR="00871477" w:rsidRPr="00871477" w:rsidRDefault="00871477" w:rsidP="00871477">
            <w:pPr>
              <w:numPr>
                <w:ilvl w:val="1"/>
                <w:numId w:val="6"/>
              </w:numPr>
              <w:tabs>
                <w:tab w:val="left" w:pos="175"/>
              </w:tabs>
              <w:spacing w:after="120"/>
              <w:ind w:hanging="544"/>
            </w:pPr>
            <w:r w:rsidRPr="00871477">
              <w:t>Executive Agency;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"Change in Law"</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change in Law which impacts on the supply of the Goods and/or Services and performance of the Template Call Off Terms which comes into force after the Framework Commencement Date;</w:t>
            </w:r>
            <w:r w:rsidRPr="00871477">
              <w:rPr>
                <w:b/>
              </w:rPr>
              <w:t xml:space="preserve">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"Change of Control"</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change of control within the meaning of Section 450 of the Corporation Tax Act 2010;</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"Charges"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charges raised under or in connection with a Call Off Contract from time to time, which charges shall be calculated in a manner which is consistent with the Charging Structure;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"Charging Structure"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structure to be used in the establishment of the charging model which is applicable to each Call Off Contract, which structure is set out in Framework Schedule 3 (Framework Prices and Charging Structure);</w:t>
            </w:r>
          </w:p>
        </w:tc>
      </w:tr>
      <w:tr w:rsidR="00871477" w:rsidRPr="00871477" w:rsidTr="00871477">
        <w:trPr>
          <w:trHeight w:val="2513"/>
        </w:trPr>
        <w:tc>
          <w:tcPr>
            <w:tcW w:w="2108" w:type="dxa"/>
            <w:shd w:val="clear" w:color="auto" w:fill="auto"/>
          </w:tcPr>
          <w:p w:rsidR="00871477" w:rsidRPr="00871477" w:rsidRDefault="00871477" w:rsidP="00871477">
            <w:pPr>
              <w:spacing w:after="120"/>
              <w:ind w:left="-108"/>
              <w:jc w:val="left"/>
              <w:rPr>
                <w:b/>
              </w:rPr>
            </w:pPr>
            <w:r w:rsidRPr="00871477">
              <w:rPr>
                <w:b/>
              </w:rPr>
              <w:t>"Commercially Sensitive Information"</w:t>
            </w:r>
          </w:p>
        </w:tc>
        <w:tc>
          <w:tcPr>
            <w:tcW w:w="6178" w:type="dxa"/>
            <w:shd w:val="clear" w:color="auto" w:fill="auto"/>
          </w:tcPr>
          <w:p w:rsidR="00871477" w:rsidRPr="00871477" w:rsidRDefault="00871477" w:rsidP="00871477">
            <w:pPr>
              <w:numPr>
                <w:ilvl w:val="0"/>
                <w:numId w:val="6"/>
              </w:numPr>
              <w:tabs>
                <w:tab w:val="left" w:pos="-9"/>
              </w:tabs>
              <w:spacing w:after="120"/>
            </w:pPr>
            <w:r w:rsidRPr="00871477">
              <w:t xml:space="preserve">means the Confidential Information listed in Framework Schedule 17 (Commercially Sensitive Information) (if any) comprising of commercially sensitive information relating to: - </w:t>
            </w:r>
          </w:p>
          <w:p w:rsidR="00871477" w:rsidRPr="00871477" w:rsidRDefault="00871477" w:rsidP="00871477">
            <w:pPr>
              <w:numPr>
                <w:ilvl w:val="0"/>
                <w:numId w:val="6"/>
              </w:numPr>
              <w:tabs>
                <w:tab w:val="left" w:pos="-9"/>
              </w:tabs>
              <w:spacing w:after="120"/>
            </w:pPr>
            <w:r w:rsidRPr="00871477">
              <w:t>(a) the pricing of the Services;</w:t>
            </w:r>
          </w:p>
          <w:p w:rsidR="00871477" w:rsidRPr="00871477" w:rsidRDefault="00871477" w:rsidP="00871477">
            <w:pPr>
              <w:numPr>
                <w:ilvl w:val="0"/>
                <w:numId w:val="6"/>
              </w:numPr>
              <w:tabs>
                <w:tab w:val="left" w:pos="-9"/>
              </w:tabs>
              <w:spacing w:after="120"/>
            </w:pPr>
            <w:r w:rsidRPr="00871477">
              <w:t>(b) details of the Supplier’s IPR;</w:t>
            </w:r>
          </w:p>
          <w:p w:rsidR="00871477" w:rsidRPr="00871477" w:rsidRDefault="00871477" w:rsidP="00871477">
            <w:pPr>
              <w:numPr>
                <w:ilvl w:val="0"/>
                <w:numId w:val="6"/>
              </w:numPr>
              <w:tabs>
                <w:tab w:val="left" w:pos="-9"/>
              </w:tabs>
              <w:spacing w:after="120"/>
            </w:pPr>
            <w:r w:rsidRPr="00871477">
              <w:t>(c) the Supplier’s business and investment plans; and/or</w:t>
            </w:r>
          </w:p>
          <w:p w:rsidR="00871477" w:rsidRPr="00871477" w:rsidRDefault="00871477" w:rsidP="00871477">
            <w:pPr>
              <w:numPr>
                <w:ilvl w:val="0"/>
                <w:numId w:val="6"/>
              </w:numPr>
              <w:tabs>
                <w:tab w:val="left" w:pos="-9"/>
              </w:tabs>
              <w:spacing w:after="120"/>
            </w:pPr>
            <w:r w:rsidRPr="00871477">
              <w:t>(d) the Supplier’s trade secrets;</w:t>
            </w:r>
          </w:p>
          <w:p w:rsidR="00871477" w:rsidRPr="00871477" w:rsidRDefault="00871477" w:rsidP="00871477">
            <w:pPr>
              <w:numPr>
                <w:ilvl w:val="1"/>
                <w:numId w:val="6"/>
              </w:numPr>
              <w:tabs>
                <w:tab w:val="left" w:pos="175"/>
              </w:tabs>
              <w:spacing w:after="120"/>
              <w:ind w:hanging="544"/>
            </w:pPr>
            <w:r w:rsidRPr="00871477">
              <w:t>which the Supplier has indicated to the Authority that, if disclosed by the Authority, would cause the Supplier significant commercial disadvantage or material financial loss;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"Comparable Supply"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supply of Goods and/or Services to another customer of the Supplier that are the same or similar to the Goods and/or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"Complaint"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formal written complaint raised by CSL in relation to the performance of this Framework Agreement or any Call Off Contract in accordance with Clause 47 (Complaints Handling);</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"Confidential Information"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Authority's Confidential Information and/or the Supplier's Confidential Information, as the context requires;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"Continuous Improvement Plan"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plan for improving the provision of the Goods and/or Services and/or reducing the Charges produced by the Supplier pursuant to Framework Schedule 12 (Continuous Improvement and Benchmarking);</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"Contract Year"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consecutive period of twelve (12) Months commencing on the Framework Commencement Date or each anniversary thereof;</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"Control"</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control in either of the senses defined in sections  450 and 1124 of the Corporation Tax Act 2010 and "</w:t>
            </w:r>
            <w:r w:rsidRPr="00871477">
              <w:rPr>
                <w:b/>
              </w:rPr>
              <w:t>Controlled</w:t>
            </w:r>
            <w:r w:rsidRPr="00871477">
              <w:t>" shall be construed accordingly;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"Costs"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following costs (without double recovery) to the extent that they are reasonably and properly incurred by the Supplier in providing the Goods and/or Services:</w:t>
            </w:r>
          </w:p>
          <w:p w:rsidR="00871477" w:rsidRPr="00871477" w:rsidRDefault="00871477" w:rsidP="00871477">
            <w:pPr>
              <w:numPr>
                <w:ilvl w:val="1"/>
                <w:numId w:val="6"/>
              </w:numPr>
              <w:tabs>
                <w:tab w:val="left" w:pos="175"/>
              </w:tabs>
              <w:spacing w:after="120"/>
              <w:ind w:hanging="544"/>
            </w:pPr>
            <w:r w:rsidRPr="00871477">
              <w:t xml:space="preserve">the cost to the Supplier or the Key Sub-Contractor (as the context requires), calculated per Man Day, of </w:t>
            </w:r>
            <w:r w:rsidRPr="00871477">
              <w:rPr>
                <w:color w:val="000000"/>
              </w:rPr>
              <w:t>engaging the Supplier Personnel, including</w:t>
            </w:r>
            <w:r w:rsidRPr="00871477">
              <w:t>:</w:t>
            </w:r>
          </w:p>
          <w:p w:rsidR="00871477" w:rsidRPr="00871477" w:rsidRDefault="00871477" w:rsidP="00871477">
            <w:pPr>
              <w:numPr>
                <w:ilvl w:val="2"/>
                <w:numId w:val="6"/>
              </w:numPr>
              <w:tabs>
                <w:tab w:val="left" w:pos="175"/>
              </w:tabs>
              <w:spacing w:after="120"/>
            </w:pPr>
            <w:r w:rsidRPr="00871477">
              <w:lastRenderedPageBreak/>
              <w:t>base salary paid to the Supplier Personnel;</w:t>
            </w:r>
          </w:p>
          <w:p w:rsidR="00871477" w:rsidRPr="00871477" w:rsidRDefault="00871477" w:rsidP="00871477">
            <w:pPr>
              <w:numPr>
                <w:ilvl w:val="2"/>
                <w:numId w:val="6"/>
              </w:numPr>
              <w:tabs>
                <w:tab w:val="left" w:pos="175"/>
              </w:tabs>
              <w:spacing w:after="120"/>
            </w:pPr>
            <w:r w:rsidRPr="00871477">
              <w:t>employer’s national insurance contributions;</w:t>
            </w:r>
          </w:p>
          <w:p w:rsidR="00871477" w:rsidRPr="00871477" w:rsidRDefault="00871477" w:rsidP="00871477">
            <w:pPr>
              <w:numPr>
                <w:ilvl w:val="2"/>
                <w:numId w:val="6"/>
              </w:numPr>
              <w:tabs>
                <w:tab w:val="left" w:pos="175"/>
              </w:tabs>
              <w:spacing w:after="120"/>
            </w:pPr>
            <w:r w:rsidRPr="00871477">
              <w:t>pension contributions;</w:t>
            </w:r>
          </w:p>
          <w:p w:rsidR="00871477" w:rsidRPr="00871477" w:rsidRDefault="00871477" w:rsidP="00871477">
            <w:pPr>
              <w:numPr>
                <w:ilvl w:val="2"/>
                <w:numId w:val="6"/>
              </w:numPr>
              <w:tabs>
                <w:tab w:val="left" w:pos="175"/>
              </w:tabs>
              <w:spacing w:after="120"/>
            </w:pPr>
            <w:r w:rsidRPr="00871477">
              <w:t xml:space="preserve">car allowances; </w:t>
            </w:r>
          </w:p>
          <w:p w:rsidR="00871477" w:rsidRPr="00871477" w:rsidRDefault="00871477" w:rsidP="00871477">
            <w:pPr>
              <w:numPr>
                <w:ilvl w:val="2"/>
                <w:numId w:val="6"/>
              </w:numPr>
              <w:tabs>
                <w:tab w:val="left" w:pos="175"/>
              </w:tabs>
              <w:spacing w:after="120"/>
            </w:pPr>
            <w:r w:rsidRPr="00871477">
              <w:t>any other contractual employment benefits;</w:t>
            </w:r>
          </w:p>
          <w:p w:rsidR="00871477" w:rsidRPr="00871477" w:rsidRDefault="00871477" w:rsidP="00871477">
            <w:pPr>
              <w:numPr>
                <w:ilvl w:val="2"/>
                <w:numId w:val="6"/>
              </w:numPr>
              <w:tabs>
                <w:tab w:val="left" w:pos="175"/>
              </w:tabs>
              <w:spacing w:after="120"/>
            </w:pPr>
            <w:r w:rsidRPr="00871477">
              <w:t>staff training;</w:t>
            </w:r>
          </w:p>
          <w:p w:rsidR="00871477" w:rsidRPr="00871477" w:rsidRDefault="00871477" w:rsidP="00871477">
            <w:pPr>
              <w:numPr>
                <w:ilvl w:val="2"/>
                <w:numId w:val="6"/>
              </w:numPr>
              <w:tabs>
                <w:tab w:val="left" w:pos="175"/>
              </w:tabs>
              <w:spacing w:after="120"/>
            </w:pPr>
            <w:r w:rsidRPr="00871477">
              <w:t>work place accommodation;</w:t>
            </w:r>
          </w:p>
          <w:p w:rsidR="00871477" w:rsidRPr="00871477" w:rsidRDefault="00871477" w:rsidP="00871477">
            <w:pPr>
              <w:numPr>
                <w:ilvl w:val="2"/>
                <w:numId w:val="6"/>
              </w:numPr>
              <w:tabs>
                <w:tab w:val="left" w:pos="175"/>
              </w:tabs>
              <w:spacing w:after="120"/>
            </w:pPr>
            <w:r w:rsidRPr="00871477">
              <w:t>work place IT equipment and tools reasonably necessary to provide  the Goods and/or Services (but not including items included within limb (b) below); and</w:t>
            </w:r>
          </w:p>
          <w:p w:rsidR="00871477" w:rsidRPr="00871477" w:rsidRDefault="00871477" w:rsidP="00871477">
            <w:pPr>
              <w:numPr>
                <w:ilvl w:val="2"/>
                <w:numId w:val="6"/>
              </w:numPr>
              <w:tabs>
                <w:tab w:val="left" w:pos="175"/>
              </w:tabs>
              <w:spacing w:after="120"/>
            </w:pPr>
            <w:r w:rsidRPr="00871477">
              <w:t xml:space="preserve">reasonable recruitment costs, as agreed with CSL under any Call Off Contracts; </w:t>
            </w:r>
          </w:p>
          <w:p w:rsidR="00871477" w:rsidRPr="00871477" w:rsidRDefault="00871477" w:rsidP="00871477">
            <w:pPr>
              <w:numPr>
                <w:ilvl w:val="1"/>
                <w:numId w:val="6"/>
              </w:numPr>
              <w:tabs>
                <w:tab w:val="left" w:pos="175"/>
              </w:tabs>
              <w:spacing w:after="120"/>
              <w:ind w:hanging="544"/>
            </w:pPr>
            <w:r w:rsidRPr="00871477">
              <w:t>costs incurred in respect of those Supplier Assets which are detailed on the Registers (</w:t>
            </w:r>
            <w:r w:rsidRPr="00871477">
              <w:rPr>
                <w:color w:val="1F497D"/>
              </w:rPr>
              <w:t>“</w:t>
            </w:r>
            <w:r w:rsidRPr="00871477">
              <w:t>Supplier Assets</w:t>
            </w:r>
            <w:r w:rsidRPr="00871477">
              <w:rPr>
                <w:color w:val="1F497D"/>
              </w:rPr>
              <w:t>”</w:t>
            </w:r>
            <w:r w:rsidRPr="00871477">
              <w:t xml:space="preserve"> and </w:t>
            </w:r>
            <w:r w:rsidRPr="00871477">
              <w:rPr>
                <w:color w:val="1F497D"/>
              </w:rPr>
              <w:t>“</w:t>
            </w:r>
            <w:r w:rsidRPr="00871477">
              <w:t>Register</w:t>
            </w:r>
            <w:r w:rsidRPr="00871477">
              <w:rPr>
                <w:color w:val="1F497D"/>
              </w:rPr>
              <w:t>”</w:t>
            </w:r>
            <w:r w:rsidRPr="00871477">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CSL or (to the extent that risk and title in any Supplier Asset is not held by the Supplier) any cost actually incurred by the Supplier in respect of those Supplier Assets;</w:t>
            </w:r>
          </w:p>
          <w:p w:rsidR="00871477" w:rsidRPr="00871477" w:rsidRDefault="00871477" w:rsidP="00871477">
            <w:pPr>
              <w:numPr>
                <w:ilvl w:val="1"/>
                <w:numId w:val="6"/>
              </w:numPr>
              <w:tabs>
                <w:tab w:val="left" w:pos="175"/>
              </w:tabs>
              <w:spacing w:after="120"/>
              <w:ind w:hanging="544"/>
            </w:pPr>
            <w:r w:rsidRPr="00871477">
              <w:t>operational costs which are not included within (a) or (b) above, to the extent that such costs are necessary and properly incurred by the Supplier in the provision of the Goods and/or Services;</w:t>
            </w:r>
          </w:p>
          <w:p w:rsidR="00871477" w:rsidRPr="00871477" w:rsidRDefault="00871477" w:rsidP="00871477">
            <w:pPr>
              <w:numPr>
                <w:ilvl w:val="0"/>
                <w:numId w:val="6"/>
              </w:numPr>
              <w:tabs>
                <w:tab w:val="left" w:pos="175"/>
              </w:tabs>
              <w:spacing w:after="120"/>
            </w:pPr>
            <w:r w:rsidRPr="00871477">
              <w:t>but excluding:</w:t>
            </w:r>
          </w:p>
          <w:p w:rsidR="00871477" w:rsidRPr="00871477" w:rsidRDefault="00871477" w:rsidP="00871477">
            <w:pPr>
              <w:numPr>
                <w:ilvl w:val="2"/>
                <w:numId w:val="6"/>
              </w:numPr>
              <w:tabs>
                <w:tab w:val="left" w:pos="175"/>
              </w:tabs>
              <w:spacing w:after="120"/>
            </w:pPr>
            <w:r w:rsidRPr="00871477">
              <w:t>Overhead;</w:t>
            </w:r>
          </w:p>
          <w:p w:rsidR="00871477" w:rsidRPr="00871477" w:rsidRDefault="00871477" w:rsidP="00871477">
            <w:pPr>
              <w:numPr>
                <w:ilvl w:val="2"/>
                <w:numId w:val="6"/>
              </w:numPr>
              <w:tabs>
                <w:tab w:val="left" w:pos="175"/>
              </w:tabs>
              <w:spacing w:after="120"/>
            </w:pPr>
            <w:r w:rsidRPr="00871477">
              <w:t>financing or similar costs;</w:t>
            </w:r>
          </w:p>
          <w:p w:rsidR="00871477" w:rsidRPr="00871477" w:rsidRDefault="00871477" w:rsidP="00871477">
            <w:pPr>
              <w:numPr>
                <w:ilvl w:val="2"/>
                <w:numId w:val="6"/>
              </w:numPr>
              <w:tabs>
                <w:tab w:val="left" w:pos="175"/>
              </w:tabs>
              <w:spacing w:after="120"/>
            </w:pPr>
            <w:r w:rsidRPr="00871477">
              <w:t>maintenance and support costs to the extent that these relate to maintenance and/or support services provided beyond the Framework Period and term of any Call Off Contracts whether in relation to Supplier Assets or otherwise;</w:t>
            </w:r>
          </w:p>
          <w:p w:rsidR="00871477" w:rsidRPr="00871477" w:rsidRDefault="00871477" w:rsidP="00871477">
            <w:pPr>
              <w:numPr>
                <w:ilvl w:val="2"/>
                <w:numId w:val="6"/>
              </w:numPr>
              <w:tabs>
                <w:tab w:val="left" w:pos="175"/>
              </w:tabs>
              <w:spacing w:after="120"/>
            </w:pPr>
            <w:r w:rsidRPr="00871477">
              <w:t>taxation;</w:t>
            </w:r>
          </w:p>
          <w:p w:rsidR="00871477" w:rsidRPr="00871477" w:rsidRDefault="00871477" w:rsidP="00871477">
            <w:pPr>
              <w:numPr>
                <w:ilvl w:val="2"/>
                <w:numId w:val="6"/>
              </w:numPr>
              <w:tabs>
                <w:tab w:val="left" w:pos="175"/>
              </w:tabs>
              <w:spacing w:after="120"/>
            </w:pPr>
            <w:r w:rsidRPr="00871477">
              <w:t>fines and penalties;</w:t>
            </w:r>
          </w:p>
          <w:p w:rsidR="00871477" w:rsidRPr="00871477" w:rsidRDefault="00871477" w:rsidP="00871477">
            <w:pPr>
              <w:numPr>
                <w:ilvl w:val="2"/>
                <w:numId w:val="6"/>
              </w:numPr>
              <w:tabs>
                <w:tab w:val="left" w:pos="175"/>
              </w:tabs>
              <w:spacing w:after="120"/>
            </w:pPr>
            <w:r w:rsidRPr="00871477">
              <w:t>amounts payable under the benchmarking provisions of Framework Schedule 12  (Continuous Improvement and Benchmarking); and</w:t>
            </w:r>
          </w:p>
          <w:p w:rsidR="00871477" w:rsidRPr="00871477" w:rsidDel="00070292" w:rsidRDefault="00871477" w:rsidP="00871477">
            <w:pPr>
              <w:numPr>
                <w:ilvl w:val="2"/>
                <w:numId w:val="6"/>
              </w:numPr>
              <w:tabs>
                <w:tab w:val="left" w:pos="175"/>
              </w:tabs>
              <w:spacing w:after="120"/>
            </w:pPr>
            <w:r w:rsidRPr="00871477">
              <w:lastRenderedPageBreak/>
              <w:t>non-cash items (including depreciation, amortisation, impairments and movements in provisions);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"Crown"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"Crown Body"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department, office or executive agency of the Crown;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"CRTPA"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Contracts (Rights of Third Parties) Act 1999;</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“CSL”</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Civil Service Learning (part of the Cabinet Office) which provides learning and development to all civil servants;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“Cyber Essentials Scheme”</w:t>
            </w:r>
          </w:p>
          <w:p w:rsidR="00871477" w:rsidRPr="00871477" w:rsidDel="009476A9" w:rsidRDefault="00871477" w:rsidP="00871477">
            <w:pPr>
              <w:spacing w:after="120"/>
              <w:ind w:left="-108"/>
              <w:jc w:val="left"/>
              <w:rPr>
                <w:b/>
              </w:rPr>
            </w:pP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871477" w:rsidRPr="00871477" w:rsidRDefault="00871477" w:rsidP="00871477">
            <w:pPr>
              <w:numPr>
                <w:ilvl w:val="0"/>
                <w:numId w:val="6"/>
              </w:numPr>
              <w:tabs>
                <w:tab w:val="left" w:pos="175"/>
              </w:tabs>
              <w:spacing w:after="120"/>
            </w:pPr>
            <w:r w:rsidRPr="00871477">
              <w:t>https://www.gov.uk/government/publications/cyber-essentials-scheme-overview;</w:t>
            </w:r>
          </w:p>
        </w:tc>
      </w:tr>
      <w:tr w:rsidR="00871477" w:rsidRPr="00871477" w:rsidTr="00871477">
        <w:tc>
          <w:tcPr>
            <w:tcW w:w="2108" w:type="dxa"/>
          </w:tcPr>
          <w:p w:rsidR="00871477" w:rsidRPr="00871477" w:rsidRDefault="00871477" w:rsidP="00871477">
            <w:pPr>
              <w:spacing w:after="120"/>
              <w:ind w:left="-108"/>
              <w:jc w:val="left"/>
              <w:rPr>
                <w:b/>
              </w:rPr>
            </w:pPr>
            <w:r w:rsidRPr="00871477">
              <w:rPr>
                <w:b/>
              </w:rPr>
              <w:t>“Cyber Essentials Scheme Basic Certificate”</w:t>
            </w:r>
          </w:p>
        </w:tc>
        <w:tc>
          <w:tcPr>
            <w:tcW w:w="6178" w:type="dxa"/>
          </w:tcPr>
          <w:p w:rsidR="00871477" w:rsidRPr="00871477" w:rsidRDefault="00871477" w:rsidP="00871477">
            <w:pPr>
              <w:numPr>
                <w:ilvl w:val="0"/>
                <w:numId w:val="6"/>
              </w:numPr>
              <w:tabs>
                <w:tab w:val="left" w:pos="175"/>
              </w:tabs>
              <w:spacing w:after="120"/>
            </w:pPr>
            <w:r w:rsidRPr="00871477">
              <w:t>means the certificate awarded on the basis  of self-assessment, verified by an independent certification body, under the Cyber Essentials Scheme and is the basic level of assurance;</w:t>
            </w:r>
          </w:p>
        </w:tc>
      </w:tr>
      <w:tr w:rsidR="00871477" w:rsidRPr="00871477" w:rsidTr="00871477">
        <w:tc>
          <w:tcPr>
            <w:tcW w:w="2108" w:type="dxa"/>
          </w:tcPr>
          <w:p w:rsidR="00871477" w:rsidRPr="00871477" w:rsidRDefault="00871477" w:rsidP="00871477">
            <w:pPr>
              <w:spacing w:after="120"/>
              <w:ind w:left="-108"/>
              <w:jc w:val="left"/>
              <w:rPr>
                <w:b/>
              </w:rPr>
            </w:pPr>
            <w:r w:rsidRPr="00871477">
              <w:rPr>
                <w:b/>
              </w:rPr>
              <w:t>“Cyber Essentials Scheme Data”</w:t>
            </w:r>
          </w:p>
        </w:tc>
        <w:tc>
          <w:tcPr>
            <w:tcW w:w="6178" w:type="dxa"/>
          </w:tcPr>
          <w:p w:rsidR="00871477" w:rsidRPr="00871477" w:rsidRDefault="00871477" w:rsidP="00871477">
            <w:pPr>
              <w:numPr>
                <w:ilvl w:val="0"/>
                <w:numId w:val="6"/>
              </w:numPr>
              <w:tabs>
                <w:tab w:val="left" w:pos="175"/>
              </w:tabs>
              <w:spacing w:after="120"/>
            </w:pPr>
            <w:r w:rsidRPr="00871477">
              <w:t>means sensitive and personal information and other relevant information as referred to in the Cyber Essentials Scheme;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"Data Controller"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the Data Protection Act 1998,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"Data Processor"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the Data Protection Act 1998,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"Data Protection Legislation or “DPA”"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"Data Subject"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the Data Protection Act 1998,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"Data Subject Access Request"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request made by a Data Subject in accordance with rights granted pursuant to the DPA to access his or her Personal Data;</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"Default"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any breach of the obligations of the Supplier (including but not limited to any fundamental breach or breach of a fundamental term) or any other default, act, omission, misrepresentation, negligence or negligent statement of the </w:t>
            </w:r>
            <w:r w:rsidRPr="00871477">
              <w:lastRenderedPageBreak/>
              <w:t>Supplier or the Supplier Personnel in connection with or in relation to this Framework Agreement or the subject matter of this Framework Agreement and in respect of which the Supplier is liable to the Authority;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"Default Management Charge"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paragraph 6.2 of Framework Schedule 9 (Management Information);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“Disclosing Party”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Party which discloses or makes available directly or indirectly its Confidential Information to the Recipient;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"Direct Award Criteria"</w:t>
            </w:r>
          </w:p>
        </w:tc>
        <w:tc>
          <w:tcPr>
            <w:tcW w:w="6178" w:type="dxa"/>
            <w:shd w:val="clear" w:color="auto" w:fill="auto"/>
          </w:tcPr>
          <w:p w:rsidR="00871477" w:rsidRPr="00871477" w:rsidRDefault="00871477" w:rsidP="005A27DF">
            <w:pPr>
              <w:numPr>
                <w:ilvl w:val="0"/>
                <w:numId w:val="6"/>
              </w:numPr>
              <w:tabs>
                <w:tab w:val="left" w:pos="175"/>
              </w:tabs>
              <w:spacing w:after="120"/>
            </w:pPr>
            <w:r w:rsidRPr="00871477">
              <w:t>means the award criteria to be applied for the direct award of Call Off Contracts for Goods and/or Services</w:t>
            </w:r>
            <w:r w:rsidR="005A27DF">
              <w: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"Dispute"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16.1(Variation Procedure) or any matter where this Framework Agreement directs the Parties to resolve an issue by reference to the Dispute Resolution Procedure;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"Dispute Notice"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written notice served by one Party on the other stating that the Party serving the notice believes that there is a Dispute;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"Dispute Resolution Procedure"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dispute resolution procedure set out in Framework Schedule 18 (Dispute Resolution);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"DOTAS"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"DPA"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Data Protection Act 1998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"Due Diligence Information"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information supplied to the Supplier by or on behalf of the Authority prior to the Framework Commencement Date;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"Environmental Information Regulations or EIRs"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Environmental Information Regulations 2004 together with any guidance and/or codes of practice issued by the Information Commissioner or relevant Government department in relation to such regulations;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"Equivalent Goods and/or Services"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goods and/or services which the Supplier can supply which are the same or similar to the Goods and/or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“ESFA”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Education and Skills Funding Agency;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“Extension Framework Period”</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such period or periods up to a maximum of two years in total as may be specified by the Authority pursuant to Clause 10.2 (Framework Period);</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"Financial Distress Event"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occurrence or one or more of the events listed in paragraph 3 of Schedule 16 (Financial Distress);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"FOIA"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framework arrangements established by the Authority for the provision of the Goods and/or Services to Contracting Authorities by suppliers (including the Supplier) pursuant to the OJEU Notice;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 Agreement"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this agreement consisting of the  Clauses together with the Framework Schedules and any appendices and annexes to the same;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 Commencement Date"</w:t>
            </w:r>
          </w:p>
        </w:tc>
        <w:tc>
          <w:tcPr>
            <w:tcW w:w="6178" w:type="dxa"/>
            <w:shd w:val="clear" w:color="auto" w:fill="auto"/>
          </w:tcPr>
          <w:p w:rsidR="00871477" w:rsidRPr="00871477" w:rsidRDefault="00871477" w:rsidP="005A27DF">
            <w:pPr>
              <w:numPr>
                <w:ilvl w:val="0"/>
                <w:numId w:val="6"/>
              </w:numPr>
              <w:tabs>
                <w:tab w:val="left" w:pos="175"/>
              </w:tabs>
              <w:spacing w:after="120"/>
            </w:pPr>
            <w:r w:rsidRPr="0006376E">
              <w:t xml:space="preserve">means </w:t>
            </w:r>
            <w:r w:rsidR="008C2005" w:rsidRPr="0006376E">
              <w:rPr>
                <w:b/>
              </w:rPr>
              <w:t>1</w:t>
            </w:r>
            <w:r w:rsidR="005A27DF" w:rsidRPr="0006376E">
              <w:rPr>
                <w:b/>
              </w:rPr>
              <w:t>2</w:t>
            </w:r>
            <w:r w:rsidR="008C2005" w:rsidRPr="0006376E">
              <w:rPr>
                <w:b/>
              </w:rPr>
              <w:t>/09/2017</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 Period"</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period from the Framework Commencement Date until the expiry or earlier termination of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 Price(s)"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price(s) applicable to the provision of the Goods and/or Services set out in Framework Schedule 3 (Framework Prices and Charging Structure);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 Schedules"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schedules to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"Framework Suppliers"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w:t>
            </w:r>
            <w:r w:rsidRPr="00871477">
              <w:rPr>
                <w:b/>
              </w:rPr>
              <w:t xml:space="preserve"> </w:t>
            </w:r>
            <w:r w:rsidRPr="00871477">
              <w:t>suppliers (including the Supplier) appointed under this Framework Agreement or agreements on the same or similar terms to this Framework Agreement as part of the Framework;</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"Fraud"</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offence under any Laws creating offences in respect of fraudulent acts (including the Misrepresentation Act 1967) or at common law in respect of fraudulent acts including acts of</w:t>
            </w:r>
            <w:r w:rsidRPr="00871477">
              <w:rPr>
                <w:b/>
              </w:rPr>
              <w:t xml:space="preserve"> </w:t>
            </w:r>
            <w:r w:rsidRPr="00871477">
              <w:t>forgery;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“Funding Rules”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rules published by the ESFA as amended from time to time (https://www.gov.uk/government/publications/apprenticeship-funding-and-performance-management-rules-2017-to-2018);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"General Anti-Abuse Rule"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the legislation in Part 5 of the Finance Act 2013; and (b) any future legislation introduced into parliament to counteract tax advantages arising from abusive arrangements to avoid national insurance contributions;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"General Change in Law"</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Change in Law where the change is of a general legislative nature (including taxation or duties of any sort affecting the Supplier) or which affects or relates to a Comparable Supply;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"Good Industry Practice"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"Goods"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goods described in Framework Schedule 2 (Goods and/or Services and Key Performance Indicators) which the Supplier shall make available to Contracting Authorities;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"Goods and/or Services Requirements"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requirements of CSL’s Service Recipients  for the Goods and/or Services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"Government"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"Halifax Abuse Principle"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principle explained in the CJEU Case C-255/02 Halifax and others;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"Holding Company"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section 1159 of the Companies Act 2006;</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"Improvement Plan"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plan required by the Authority from the Supplier which shall detail how the Supplier will improve the provision of the Goods and/or Services pursuant to Clause 32.1.1 (Authority Remedies);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"Improvement Notice"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notice issued by the Authority to the Supplier pursuant to Clause 32.1.3 (Authority Remedies) which will detail how the Supplier shall improve the provision of the Goods and/or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"Information"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under section 84 of the Freedom of Information Act 2000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“Initial Framework Period”</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period from the Framework Commencement Date until its first anniversary;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"Insolvency Event"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in respect of the Supplier or Call Off Guarantor (as applicable):</w:t>
            </w:r>
          </w:p>
          <w:p w:rsidR="00871477" w:rsidRPr="00871477" w:rsidRDefault="00871477" w:rsidP="00871477">
            <w:pPr>
              <w:numPr>
                <w:ilvl w:val="1"/>
                <w:numId w:val="6"/>
              </w:numPr>
              <w:tabs>
                <w:tab w:val="left" w:pos="175"/>
              </w:tabs>
              <w:spacing w:after="120"/>
              <w:ind w:hanging="544"/>
            </w:pPr>
            <w:r w:rsidRPr="00871477">
              <w:t xml:space="preserve">a proposal is made for a voluntary arrangement within Part I of the Insolvency Act 1986 or of any other composition scheme or arrangement with, or assignment for the benefit of, its creditors; or </w:t>
            </w:r>
          </w:p>
          <w:p w:rsidR="00871477" w:rsidRPr="00871477" w:rsidRDefault="00871477" w:rsidP="00871477">
            <w:pPr>
              <w:numPr>
                <w:ilvl w:val="1"/>
                <w:numId w:val="6"/>
              </w:numPr>
              <w:tabs>
                <w:tab w:val="left" w:pos="175"/>
              </w:tabs>
              <w:spacing w:after="120"/>
              <w:ind w:hanging="544"/>
            </w:pPr>
            <w:r w:rsidRPr="00871477">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871477" w:rsidRPr="00871477" w:rsidRDefault="00871477" w:rsidP="00871477">
            <w:pPr>
              <w:numPr>
                <w:ilvl w:val="1"/>
                <w:numId w:val="6"/>
              </w:numPr>
              <w:tabs>
                <w:tab w:val="left" w:pos="175"/>
              </w:tabs>
              <w:spacing w:after="120"/>
              <w:ind w:hanging="544"/>
            </w:pPr>
            <w:r w:rsidRPr="0087147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71477" w:rsidRPr="00871477" w:rsidRDefault="00871477" w:rsidP="00871477">
            <w:pPr>
              <w:numPr>
                <w:ilvl w:val="1"/>
                <w:numId w:val="6"/>
              </w:numPr>
              <w:tabs>
                <w:tab w:val="left" w:pos="175"/>
              </w:tabs>
              <w:spacing w:after="120"/>
              <w:ind w:hanging="544"/>
            </w:pPr>
            <w:r w:rsidRPr="00871477">
              <w:t xml:space="preserve">a receiver, administrative receiver or similar officer is appointed over the whole or any part of its business or assets; or </w:t>
            </w:r>
          </w:p>
          <w:p w:rsidR="00871477" w:rsidRPr="00871477" w:rsidRDefault="00871477" w:rsidP="00871477">
            <w:pPr>
              <w:numPr>
                <w:ilvl w:val="1"/>
                <w:numId w:val="6"/>
              </w:numPr>
              <w:tabs>
                <w:tab w:val="left" w:pos="175"/>
              </w:tabs>
              <w:spacing w:after="120"/>
              <w:ind w:hanging="544"/>
            </w:pPr>
            <w:r w:rsidRPr="00871477">
              <w:t xml:space="preserve">an application order is made either for the appointment of an administrator or for an administration order, an administrator is appointed, or notice of intention to appoint an administrator is given; or </w:t>
            </w:r>
          </w:p>
          <w:p w:rsidR="00871477" w:rsidRPr="00871477" w:rsidRDefault="00871477" w:rsidP="00871477">
            <w:pPr>
              <w:numPr>
                <w:ilvl w:val="1"/>
                <w:numId w:val="6"/>
              </w:numPr>
              <w:tabs>
                <w:tab w:val="left" w:pos="175"/>
              </w:tabs>
              <w:spacing w:after="120"/>
              <w:ind w:hanging="544"/>
            </w:pPr>
            <w:r w:rsidRPr="00871477">
              <w:t xml:space="preserve">it is or becomes insolvent within the meaning of section 123 of the Insolvency Act 1986; or </w:t>
            </w:r>
          </w:p>
          <w:p w:rsidR="00871477" w:rsidRPr="00871477" w:rsidRDefault="00871477" w:rsidP="00871477">
            <w:pPr>
              <w:numPr>
                <w:ilvl w:val="1"/>
                <w:numId w:val="6"/>
              </w:numPr>
              <w:tabs>
                <w:tab w:val="left" w:pos="175"/>
              </w:tabs>
              <w:spacing w:after="120"/>
              <w:ind w:hanging="544"/>
            </w:pPr>
            <w:r w:rsidRPr="00871477">
              <w:t xml:space="preserve">being a "small company" within the meaning of section 382(3) of the Companies Act 2006, a moratorium comes into force pursuant to Schedule A1 of the Insolvency Act 1986; or </w:t>
            </w:r>
          </w:p>
          <w:p w:rsidR="00871477" w:rsidRPr="00871477" w:rsidRDefault="00871477" w:rsidP="00871477">
            <w:pPr>
              <w:numPr>
                <w:ilvl w:val="1"/>
                <w:numId w:val="6"/>
              </w:numPr>
              <w:tabs>
                <w:tab w:val="left" w:pos="175"/>
              </w:tabs>
              <w:spacing w:after="120"/>
              <w:ind w:hanging="544"/>
            </w:pPr>
            <w:r w:rsidRPr="00871477">
              <w:t>where the Supplier or is an individual or partnership, any event analogous to those listed in limbs (a) to (g) (inclusive) occurs in relation to that individual or partnership; or</w:t>
            </w:r>
          </w:p>
          <w:p w:rsidR="00871477" w:rsidRPr="00871477" w:rsidRDefault="00871477" w:rsidP="00871477">
            <w:pPr>
              <w:numPr>
                <w:ilvl w:val="1"/>
                <w:numId w:val="6"/>
              </w:numPr>
              <w:tabs>
                <w:tab w:val="left" w:pos="175"/>
              </w:tabs>
              <w:spacing w:after="120"/>
              <w:ind w:hanging="544"/>
            </w:pPr>
            <w:r w:rsidRPr="00871477">
              <w:t>any event analogous to those listed in limbs (a) to (h) (inclusive) occurs under the law of any other jurisdiction;</w:t>
            </w:r>
            <w:r w:rsidRPr="00871477">
              <w:rPr>
                <w:sz w:val="16"/>
              </w:rPr>
              <w:fldChar w:fldCharType="begin"/>
            </w:r>
            <w:r w:rsidRPr="00871477">
              <w:rPr>
                <w:sz w:val="16"/>
              </w:rPr>
              <w:instrText>LISTNUM \l 1 \s 0</w:instrText>
            </w:r>
            <w:r w:rsidRPr="00871477">
              <w:rPr>
                <w:sz w:val="16"/>
              </w:rPr>
              <w:fldChar w:fldCharType="end"/>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"Intellectual Property Rights" or "IPR"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w:t>
            </w:r>
          </w:p>
          <w:p w:rsidR="00871477" w:rsidRPr="00871477" w:rsidRDefault="00871477" w:rsidP="00871477">
            <w:pPr>
              <w:numPr>
                <w:ilvl w:val="1"/>
                <w:numId w:val="6"/>
              </w:numPr>
              <w:tabs>
                <w:tab w:val="left" w:pos="175"/>
              </w:tabs>
              <w:spacing w:after="120"/>
              <w:ind w:hanging="544"/>
            </w:pPr>
            <w:r w:rsidRPr="0087147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871477" w:rsidRPr="00871477" w:rsidRDefault="00871477" w:rsidP="00871477">
            <w:pPr>
              <w:numPr>
                <w:ilvl w:val="1"/>
                <w:numId w:val="6"/>
              </w:numPr>
              <w:tabs>
                <w:tab w:val="left" w:pos="175"/>
              </w:tabs>
              <w:spacing w:after="120"/>
              <w:ind w:hanging="544"/>
            </w:pPr>
            <w:r w:rsidRPr="00871477">
              <w:t>applications for registration, and the right to apply for registration, for any of the rights listed at (a) that are capable of being registered in any country or jurisdiction; and</w:t>
            </w:r>
          </w:p>
          <w:p w:rsidR="00871477" w:rsidRPr="00871477" w:rsidRDefault="00871477" w:rsidP="00871477">
            <w:pPr>
              <w:numPr>
                <w:ilvl w:val="1"/>
                <w:numId w:val="6"/>
              </w:numPr>
              <w:tabs>
                <w:tab w:val="left" w:pos="175"/>
              </w:tabs>
              <w:spacing w:after="120"/>
              <w:ind w:hanging="544"/>
            </w:pPr>
            <w:r w:rsidRPr="00871477">
              <w:t>all other rights having equivalent or similar effect in any country or jurisdiction;</w:t>
            </w:r>
            <w:r w:rsidRPr="00871477">
              <w:rPr>
                <w:sz w:val="16"/>
              </w:rPr>
              <w:fldChar w:fldCharType="begin"/>
            </w:r>
            <w:r w:rsidRPr="00871477">
              <w:rPr>
                <w:sz w:val="16"/>
              </w:rPr>
              <w:instrText>LISTNUM \l 1 \s 0</w:instrText>
            </w:r>
            <w:r w:rsidRPr="00871477">
              <w:rPr>
                <w:sz w:val="16"/>
              </w:rPr>
              <w:fldChar w:fldCharType="end"/>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"Invitation to Tender" or “ITT”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Recital C to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"Key Sub-Contract"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each Sub-Contract with a Key Sub-Contractor;</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"Key Sub-Contractor"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any Sub-Contractor which is listed in Framework Schedule 7 (Key Sub-Contractors), that in the opinion of the Authority, performs (or would perform if appointed) a critical role in the provision of all or any part of the Goods and/or Services;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"IPR Claim"</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"Key Performance Indicators" or "KPIs"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performance measurements and targets set out in Part B of Framework Schedule 2 (Goods and/or Services and Key Performance Indicators);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"Know-How"</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all ideas, concepts, schemes, information, knowledge, techniques, methodology, and anything else in the nature of know-how relating to the Goods and/or Services but excluding know-how already in the other Party's possession before the Framework Commencement Date;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"KPI Target"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acceptable performance level for a KPI as set out in relation to each KPI;</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"Law"</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including but not limited to the Funding Rules;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"Legacy Goods and/or Services"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goods and/or services similar to the New Goods and/or Services and/or goods and/or services which interface with or are intended to interface with or be replaced by the New Goods and/or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"Losses"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871477">
              <w:rPr>
                <w:b/>
              </w:rPr>
              <w:t>“Loss”</w:t>
            </w:r>
            <w:r w:rsidRPr="00871477">
              <w:t xml:space="preserve"> shall be interpreted accordingly;</w:t>
            </w:r>
          </w:p>
        </w:tc>
      </w:tr>
      <w:tr w:rsidR="00871477" w:rsidRPr="00871477" w:rsidTr="00871477">
        <w:tc>
          <w:tcPr>
            <w:tcW w:w="2108" w:type="dxa"/>
            <w:shd w:val="clear" w:color="auto" w:fill="auto"/>
          </w:tcPr>
          <w:p w:rsidR="00871477" w:rsidRPr="00871477" w:rsidRDefault="00871477" w:rsidP="00871477">
            <w:pPr>
              <w:spacing w:after="120"/>
              <w:ind w:left="-108"/>
              <w:jc w:val="left"/>
              <w:rPr>
                <w:b/>
                <w:highlight w:val="yellow"/>
              </w:rPr>
            </w:pPr>
            <w:r w:rsidRPr="00871477">
              <w:rPr>
                <w:b/>
              </w:rPr>
              <w:t>"Lot"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number of lots specified in Framework Schedule 2 (Goods and/or Services and Key Performance Indicators) and "Lots" shall be construed accordingly;]</w:t>
            </w:r>
          </w:p>
        </w:tc>
      </w:tr>
      <w:tr w:rsidR="00871477" w:rsidRPr="00871477" w:rsidTr="00871477">
        <w:tc>
          <w:tcPr>
            <w:tcW w:w="2108" w:type="dxa"/>
            <w:shd w:val="clear" w:color="auto" w:fill="auto"/>
          </w:tcPr>
          <w:p w:rsidR="00871477" w:rsidRPr="00871477" w:rsidDel="00141019" w:rsidRDefault="00871477" w:rsidP="00871477">
            <w:pPr>
              <w:spacing w:after="120"/>
              <w:ind w:left="-108"/>
              <w:jc w:val="left"/>
              <w:rPr>
                <w:b/>
              </w:rPr>
            </w:pPr>
            <w:r w:rsidRPr="00871477">
              <w:rPr>
                <w:b/>
              </w:rPr>
              <w:t>“Man Day”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7.5 Man Hours, whether or not such hours are worked consecutively and whether or not they are worked on the same day;</w:t>
            </w:r>
          </w:p>
        </w:tc>
      </w:tr>
      <w:tr w:rsidR="00871477" w:rsidRPr="00871477" w:rsidTr="00871477">
        <w:tc>
          <w:tcPr>
            <w:tcW w:w="2108" w:type="dxa"/>
            <w:shd w:val="clear" w:color="auto" w:fill="auto"/>
          </w:tcPr>
          <w:p w:rsidR="00871477" w:rsidRPr="00871477" w:rsidRDefault="00871477" w:rsidP="00871477">
            <w:pPr>
              <w:spacing w:after="120"/>
              <w:ind w:left="-108"/>
              <w:jc w:val="left"/>
              <w:rPr>
                <w:b/>
                <w:highlight w:val="cyan"/>
              </w:rPr>
            </w:pPr>
            <w:r w:rsidRPr="00871477">
              <w:rPr>
                <w:b/>
              </w:rPr>
              <w:lastRenderedPageBreak/>
              <w:t>"Man Hours"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hours spent by the Supplier Personnel properly working on the provision of the Goods and/or Services including time spent travelling (other than to and from the Supplier's offices, or to and from the Sites) but excluding lunch breaks;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"Management Charge"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sum payable by the Supplier to the Authority being 1 per cent (1%) of all Charges (net of VAT) paid to the Supplier in each Month throughout the Framework Period and thereafter until the expiry or earlier termination of the all Call Off Contracts entered into pursuant to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"Management Information" or “MI”</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management information specified in Framework Schedule 9 (Management Information);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"MI Default"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paragraph 6.1 of Framework Schedule 9 (Management Information);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"MI Failure"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when an MI report:</w:t>
            </w:r>
          </w:p>
          <w:p w:rsidR="00871477" w:rsidRPr="00871477" w:rsidRDefault="00871477" w:rsidP="00871477">
            <w:pPr>
              <w:numPr>
                <w:ilvl w:val="1"/>
                <w:numId w:val="6"/>
              </w:numPr>
              <w:tabs>
                <w:tab w:val="left" w:pos="175"/>
              </w:tabs>
              <w:spacing w:after="120"/>
              <w:ind w:hanging="544"/>
            </w:pPr>
            <w:r w:rsidRPr="00871477">
              <w:t xml:space="preserve">contains any material errors or material omissions or a missing mandatory field; or  </w:t>
            </w:r>
          </w:p>
          <w:p w:rsidR="00871477" w:rsidRPr="00871477" w:rsidRDefault="00871477" w:rsidP="00871477">
            <w:pPr>
              <w:numPr>
                <w:ilvl w:val="1"/>
                <w:numId w:val="6"/>
              </w:numPr>
              <w:tabs>
                <w:tab w:val="left" w:pos="175"/>
              </w:tabs>
              <w:spacing w:after="120"/>
              <w:ind w:hanging="544"/>
            </w:pPr>
            <w:r w:rsidRPr="00871477">
              <w:t xml:space="preserve">is submitted using an incorrect MI reporting Template; or </w:t>
            </w:r>
          </w:p>
          <w:p w:rsidR="00871477" w:rsidRPr="00871477" w:rsidRDefault="00871477" w:rsidP="00871477">
            <w:pPr>
              <w:numPr>
                <w:ilvl w:val="1"/>
                <w:numId w:val="6"/>
              </w:numPr>
              <w:tabs>
                <w:tab w:val="left" w:pos="175"/>
              </w:tabs>
              <w:spacing w:after="120"/>
              <w:ind w:hanging="544"/>
            </w:pPr>
            <w:r w:rsidRPr="00871477">
              <w:t>is not submitted by the reporting date(including where a Nil Return should have been filed);</w:t>
            </w:r>
            <w:r w:rsidRPr="00871477">
              <w:rPr>
                <w:sz w:val="16"/>
              </w:rPr>
              <w:fldChar w:fldCharType="begin"/>
            </w:r>
            <w:r w:rsidRPr="00871477">
              <w:rPr>
                <w:sz w:val="16"/>
              </w:rPr>
              <w:instrText>LISTNUM \l 1 \s 0</w:instrText>
            </w:r>
            <w:r w:rsidRPr="00871477">
              <w:rPr>
                <w:sz w:val="16"/>
              </w:rPr>
              <w:fldChar w:fldCharType="end"/>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"MI Report"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report containing Management Information submitted to the Authority in accordance with Framework Schedule 9 (Management Information);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"MI Reporting Template"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form of report set out in the Annex to Framework Schedule 9 (Management Information) setting out the information the Supplier is required to supply to the Authority;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"Ministry of Justice Code"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Ministry of Justice's Code of Practice on the Discharge of the Functions of Public Authorities under Part 1 of the Freedom of Information Act 2000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"MISO"</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'Management Information System Online'. An online portal located at https://miso.ccs.cabinetoffice.gov.uk provided by the Authority for collection and receipt of Management Information;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"Month"</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calendar month and "</w:t>
            </w:r>
            <w:r w:rsidRPr="00871477">
              <w:rPr>
                <w:b/>
              </w:rPr>
              <w:t>Monthly</w:t>
            </w:r>
            <w:r w:rsidRPr="00871477">
              <w:t>" shall be interpreted accordingly;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"New Goods and/or Services"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goods and/or services which CSL wishes to procure from a third party which are the same or similar to the Goods and/or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"Nil Return"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paragraph 3.3 of Framework Schedule 9 (Management Information);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"Occasion of Tax Non –Compliance"</w:t>
            </w:r>
          </w:p>
        </w:tc>
        <w:tc>
          <w:tcPr>
            <w:tcW w:w="6178" w:type="dxa"/>
            <w:shd w:val="clear" w:color="auto" w:fill="auto"/>
          </w:tcPr>
          <w:p w:rsidR="00871477" w:rsidRPr="00871477" w:rsidRDefault="00871477" w:rsidP="00871477">
            <w:pPr>
              <w:numPr>
                <w:ilvl w:val="0"/>
                <w:numId w:val="6"/>
              </w:numPr>
              <w:tabs>
                <w:tab w:val="left" w:pos="175"/>
              </w:tabs>
              <w:spacing w:after="120"/>
              <w:rPr>
                <w:rFonts w:eastAsia="STZhongsong"/>
              </w:rPr>
            </w:pPr>
            <w:r w:rsidRPr="00871477">
              <w:t xml:space="preserve">means where: </w:t>
            </w:r>
          </w:p>
          <w:p w:rsidR="00871477" w:rsidRPr="00871477" w:rsidRDefault="00871477" w:rsidP="00871477">
            <w:pPr>
              <w:numPr>
                <w:ilvl w:val="1"/>
                <w:numId w:val="6"/>
              </w:numPr>
              <w:tabs>
                <w:tab w:val="left" w:pos="175"/>
              </w:tabs>
              <w:spacing w:after="120"/>
              <w:ind w:hanging="544"/>
              <w:rPr>
                <w:rFonts w:eastAsia="STZhongsong"/>
              </w:rPr>
            </w:pPr>
            <w:r w:rsidRPr="00871477">
              <w:lastRenderedPageBreak/>
              <w:t>any tax return of the Supplier submitted to a Relevant Tax Authority on or after 1 October 2012 which is found on or after 1 April 2013 to be incorrect as a result of:</w:t>
            </w:r>
          </w:p>
          <w:p w:rsidR="00871477" w:rsidRPr="00871477" w:rsidRDefault="00871477" w:rsidP="00871477">
            <w:pPr>
              <w:numPr>
                <w:ilvl w:val="2"/>
                <w:numId w:val="6"/>
              </w:numPr>
              <w:tabs>
                <w:tab w:val="left" w:pos="175"/>
              </w:tabs>
              <w:spacing w:after="120"/>
              <w:rPr>
                <w:rFonts w:eastAsia="STZhongsong"/>
              </w:rPr>
            </w:pPr>
            <w:r w:rsidRPr="00871477">
              <w:t>a Relevant Tax Authority successfully challenging the Supplier under the General Anti-Abuse Rule or the Halifax abuse principle or under any tax rules or legislation</w:t>
            </w:r>
            <w:r w:rsidRPr="00871477">
              <w:rPr>
                <w:lang w:eastAsia="en-GB"/>
              </w:rPr>
              <w:t xml:space="preserve"> in any jurisdiction that have an effect equivalent or similar to the General Anti-Abuse Rule or the Halifax abuse principle;</w:t>
            </w:r>
          </w:p>
          <w:p w:rsidR="00871477" w:rsidRPr="00871477" w:rsidRDefault="00871477" w:rsidP="00871477">
            <w:pPr>
              <w:numPr>
                <w:ilvl w:val="2"/>
                <w:numId w:val="6"/>
              </w:numPr>
              <w:tabs>
                <w:tab w:val="left" w:pos="175"/>
              </w:tabs>
              <w:spacing w:after="120"/>
              <w:rPr>
                <w:rFonts w:eastAsia="STZhongsong"/>
              </w:rPr>
            </w:pPr>
            <w:r w:rsidRPr="00871477">
              <w:t>the failure of an avoidance scheme which the Supplier was involved in, and which was, or should have been, notified to a Relevant Tax Authority under the DOTAS or any equivalent or similar regime in any jurisdiction; and/or</w:t>
            </w:r>
          </w:p>
          <w:p w:rsidR="00871477" w:rsidRPr="00871477" w:rsidRDefault="00871477" w:rsidP="00871477">
            <w:pPr>
              <w:numPr>
                <w:ilvl w:val="1"/>
                <w:numId w:val="6"/>
              </w:numPr>
              <w:tabs>
                <w:tab w:val="left" w:pos="175"/>
              </w:tabs>
              <w:spacing w:after="120"/>
              <w:ind w:hanging="544"/>
              <w:rPr>
                <w:rFonts w:eastAsia="STZhongsong"/>
              </w:rPr>
            </w:pPr>
            <w:r w:rsidRPr="00871477">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"OJEU Notice"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Recital A to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"Open Book Data"</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rsidR="00871477" w:rsidRPr="00871477" w:rsidRDefault="00871477" w:rsidP="00871477">
            <w:pPr>
              <w:numPr>
                <w:ilvl w:val="1"/>
                <w:numId w:val="6"/>
              </w:numPr>
              <w:tabs>
                <w:tab w:val="left" w:pos="175"/>
              </w:tabs>
              <w:spacing w:after="120"/>
              <w:ind w:hanging="544"/>
            </w:pPr>
            <w:r w:rsidRPr="00871477">
              <w:rPr>
                <w:spacing w:val="-2"/>
              </w:rPr>
              <w:t xml:space="preserve">the Supplier’s Costs broken down against each Good and/or Service and/or deliverable, including </w:t>
            </w:r>
            <w:r w:rsidRPr="00871477">
              <w:t>actual capital expenditure (including capital replacement costs) and the unit cost and total actual costs of all goods and/or services;</w:t>
            </w:r>
          </w:p>
          <w:p w:rsidR="00871477" w:rsidRPr="00871477" w:rsidRDefault="00871477" w:rsidP="00871477">
            <w:pPr>
              <w:numPr>
                <w:ilvl w:val="1"/>
                <w:numId w:val="6"/>
              </w:numPr>
              <w:tabs>
                <w:tab w:val="left" w:pos="175"/>
              </w:tabs>
              <w:spacing w:after="120"/>
              <w:ind w:hanging="544"/>
            </w:pPr>
            <w:r w:rsidRPr="00871477">
              <w:t>operating expenditure relating to the provision of the Goods and/or Services including an analysis showing:</w:t>
            </w:r>
          </w:p>
          <w:p w:rsidR="00871477" w:rsidRPr="00871477" w:rsidRDefault="00871477" w:rsidP="00871477">
            <w:pPr>
              <w:numPr>
                <w:ilvl w:val="2"/>
                <w:numId w:val="6"/>
              </w:numPr>
              <w:tabs>
                <w:tab w:val="left" w:pos="175"/>
              </w:tabs>
              <w:spacing w:after="120"/>
            </w:pPr>
            <w:r w:rsidRPr="00871477">
              <w:t>the unit costs and quantity of Goods and any other consumables and bought-in goods and services;</w:t>
            </w:r>
          </w:p>
          <w:p w:rsidR="00871477" w:rsidRPr="00871477" w:rsidRDefault="00871477" w:rsidP="00871477">
            <w:pPr>
              <w:numPr>
                <w:ilvl w:val="2"/>
                <w:numId w:val="6"/>
              </w:numPr>
              <w:tabs>
                <w:tab w:val="left" w:pos="175"/>
              </w:tabs>
              <w:spacing w:after="120"/>
            </w:pPr>
            <w:r w:rsidRPr="00871477">
              <w:t>manpower resources broken down into the number and grade/role of all Supplier Personnel (free of any contingency) together with a list of agreed rates against each manpower grade;</w:t>
            </w:r>
          </w:p>
          <w:p w:rsidR="00871477" w:rsidRPr="00871477" w:rsidRDefault="00871477" w:rsidP="00871477">
            <w:pPr>
              <w:numPr>
                <w:ilvl w:val="2"/>
                <w:numId w:val="6"/>
              </w:numPr>
              <w:tabs>
                <w:tab w:val="left" w:pos="175"/>
              </w:tabs>
              <w:spacing w:after="120"/>
            </w:pPr>
            <w:r w:rsidRPr="00871477">
              <w:t>a list of Costs underpinning those rates for each manpower grade, being the agreed rate less the Supplier Profit Margin; and</w:t>
            </w:r>
          </w:p>
          <w:p w:rsidR="00871477" w:rsidRPr="00871477" w:rsidRDefault="00871477" w:rsidP="00871477">
            <w:pPr>
              <w:numPr>
                <w:ilvl w:val="1"/>
                <w:numId w:val="6"/>
              </w:numPr>
              <w:tabs>
                <w:tab w:val="left" w:pos="175"/>
              </w:tabs>
              <w:spacing w:after="120"/>
              <w:ind w:hanging="544"/>
            </w:pPr>
            <w:r w:rsidRPr="00871477" w:rsidDel="00D40A71">
              <w:t xml:space="preserve"> </w:t>
            </w:r>
            <w:r w:rsidRPr="00871477">
              <w:t xml:space="preserve">Overheads; </w:t>
            </w:r>
          </w:p>
          <w:p w:rsidR="00871477" w:rsidRPr="00871477" w:rsidRDefault="00871477" w:rsidP="00871477">
            <w:pPr>
              <w:numPr>
                <w:ilvl w:val="1"/>
                <w:numId w:val="6"/>
              </w:numPr>
              <w:tabs>
                <w:tab w:val="left" w:pos="175"/>
              </w:tabs>
              <w:spacing w:after="120"/>
              <w:ind w:hanging="544"/>
            </w:pPr>
            <w:r w:rsidRPr="00871477">
              <w:lastRenderedPageBreak/>
              <w:t>all interest, expenses and any other third party financing costs incurred in relation to the provision of the Services;</w:t>
            </w:r>
          </w:p>
          <w:p w:rsidR="00871477" w:rsidRPr="00871477" w:rsidRDefault="00871477" w:rsidP="00871477">
            <w:pPr>
              <w:numPr>
                <w:ilvl w:val="1"/>
                <w:numId w:val="6"/>
              </w:numPr>
              <w:tabs>
                <w:tab w:val="left" w:pos="175"/>
              </w:tabs>
              <w:spacing w:after="120"/>
              <w:ind w:hanging="544"/>
            </w:pPr>
            <w:r w:rsidRPr="00871477">
              <w:t>the Supplier Profit achieved over the Framework Period and term of any Call Off Contracts and on an annual basis;</w:t>
            </w:r>
          </w:p>
          <w:p w:rsidR="00871477" w:rsidRPr="00871477" w:rsidRDefault="00871477" w:rsidP="00871477">
            <w:pPr>
              <w:numPr>
                <w:ilvl w:val="1"/>
                <w:numId w:val="6"/>
              </w:numPr>
              <w:tabs>
                <w:tab w:val="left" w:pos="175"/>
              </w:tabs>
              <w:spacing w:after="120"/>
              <w:ind w:hanging="544"/>
            </w:pPr>
            <w:r w:rsidRPr="00871477">
              <w:t>confirmation that all methods of Cost apportionment and Overhead allocation are consistent with and not more onerous than such methods applied generally by the Supplier;</w:t>
            </w:r>
          </w:p>
          <w:p w:rsidR="00871477" w:rsidRPr="00871477" w:rsidRDefault="00871477" w:rsidP="00871477">
            <w:pPr>
              <w:numPr>
                <w:ilvl w:val="1"/>
                <w:numId w:val="6"/>
              </w:numPr>
              <w:tabs>
                <w:tab w:val="left" w:pos="175"/>
              </w:tabs>
              <w:spacing w:after="120"/>
              <w:ind w:hanging="544"/>
            </w:pPr>
            <w:r w:rsidRPr="00871477">
              <w:t>an explanation of the type and value of risk and contingencies associated with the provision of the Goods and/or Services, including the amount of money attributed to each risk and/or contingency; and</w:t>
            </w:r>
          </w:p>
          <w:p w:rsidR="00871477" w:rsidRPr="00871477" w:rsidRDefault="00871477" w:rsidP="00871477">
            <w:pPr>
              <w:numPr>
                <w:ilvl w:val="1"/>
                <w:numId w:val="6"/>
              </w:numPr>
              <w:tabs>
                <w:tab w:val="left" w:pos="175"/>
              </w:tabs>
              <w:spacing w:after="120"/>
              <w:ind w:hanging="544"/>
            </w:pPr>
            <w:r w:rsidRPr="00871477">
              <w:t>the actual Costs profile for each Service Period under any Call Off Contracts;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"Order"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 order for the provision of the Goods and/or Services placed by a Contracting Authority with the Supplier under a Call Off Contract;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"Other Contracting Authorities"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bodies listed in the OJEU Notice except the Authority and </w:t>
            </w:r>
            <w:r w:rsidRPr="00871477">
              <w:rPr>
                <w:b/>
              </w:rPr>
              <w:t>“Other Contracting Authority”</w:t>
            </w:r>
            <w:r w:rsidRPr="00871477">
              <w:t xml:space="preserve"> shall be construed accordingly;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"Overhead"</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"Party"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Authority or the Supplier and </w:t>
            </w:r>
            <w:r w:rsidRPr="00871477">
              <w:rPr>
                <w:b/>
              </w:rPr>
              <w:t>"Parties"</w:t>
            </w:r>
            <w:r w:rsidRPr="00871477">
              <w:t xml:space="preserve"> shall mean both of them;</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"Personal Data"</w:t>
            </w:r>
          </w:p>
        </w:tc>
        <w:tc>
          <w:tcPr>
            <w:tcW w:w="6178" w:type="dxa"/>
            <w:shd w:val="clear" w:color="auto" w:fill="auto"/>
          </w:tcPr>
          <w:p w:rsidR="00871477" w:rsidRPr="00871477" w:rsidRDefault="00871477" w:rsidP="00871477">
            <w:pPr>
              <w:numPr>
                <w:ilvl w:val="0"/>
                <w:numId w:val="6"/>
              </w:numPr>
              <w:tabs>
                <w:tab w:val="left" w:pos="175"/>
              </w:tabs>
              <w:spacing w:after="120"/>
              <w:ind w:firstLine="5"/>
            </w:pPr>
            <w:r w:rsidRPr="00871477">
              <w:t>has the meaning given to it in the Data Protection Act 1998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"Processing"</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the Data Protection Legislation but, for the purposes of this Framework Agreement, it shall include both manual and automatic processing and “</w:t>
            </w:r>
            <w:r w:rsidRPr="00871477">
              <w:rPr>
                <w:b/>
              </w:rPr>
              <w:t>Process</w:t>
            </w:r>
            <w:r w:rsidRPr="00871477">
              <w:t>” and “</w:t>
            </w:r>
            <w:r w:rsidRPr="00871477">
              <w:rPr>
                <w:b/>
              </w:rPr>
              <w:t>Processed</w:t>
            </w:r>
            <w:r w:rsidRPr="00871477">
              <w:t>” shall be interpreted accordingly;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"Prohibited Act"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of the following:</w:t>
            </w:r>
          </w:p>
          <w:p w:rsidR="00871477" w:rsidRPr="00871477" w:rsidRDefault="00871477" w:rsidP="00871477">
            <w:pPr>
              <w:numPr>
                <w:ilvl w:val="1"/>
                <w:numId w:val="6"/>
              </w:numPr>
              <w:tabs>
                <w:tab w:val="left" w:pos="175"/>
              </w:tabs>
              <w:spacing w:after="120"/>
              <w:ind w:hanging="544"/>
            </w:pPr>
            <w:r w:rsidRPr="00871477">
              <w:t>to directly or indirectly offer, promise or give any person working for or engaged by a Contracting Authority or any  other public body a financial or other advantage to:</w:t>
            </w:r>
          </w:p>
          <w:p w:rsidR="00871477" w:rsidRPr="00871477" w:rsidRDefault="00871477" w:rsidP="00871477">
            <w:pPr>
              <w:numPr>
                <w:ilvl w:val="2"/>
                <w:numId w:val="6"/>
              </w:numPr>
              <w:tabs>
                <w:tab w:val="left" w:pos="175"/>
              </w:tabs>
              <w:spacing w:after="120"/>
            </w:pPr>
            <w:r w:rsidRPr="00871477">
              <w:t>induce that person to perform improperly a relevant function or activity; or</w:t>
            </w:r>
          </w:p>
          <w:p w:rsidR="00871477" w:rsidRPr="00871477" w:rsidRDefault="00871477" w:rsidP="00871477">
            <w:pPr>
              <w:numPr>
                <w:ilvl w:val="2"/>
                <w:numId w:val="6"/>
              </w:numPr>
              <w:tabs>
                <w:tab w:val="left" w:pos="175"/>
              </w:tabs>
              <w:spacing w:after="120"/>
            </w:pPr>
            <w:r w:rsidRPr="00871477">
              <w:lastRenderedPageBreak/>
              <w:t xml:space="preserve">reward that person for improper performance of a relevant function or activity; </w:t>
            </w:r>
          </w:p>
          <w:p w:rsidR="00871477" w:rsidRPr="00871477" w:rsidRDefault="00871477" w:rsidP="00871477">
            <w:pPr>
              <w:numPr>
                <w:ilvl w:val="1"/>
                <w:numId w:val="6"/>
              </w:numPr>
              <w:tabs>
                <w:tab w:val="left" w:pos="175"/>
              </w:tabs>
              <w:spacing w:after="120"/>
              <w:ind w:hanging="544"/>
            </w:pPr>
            <w:r w:rsidRPr="00871477">
              <w:t>to directly or indirectly request, agree to receive or accept any financial or other advantage as an inducement or a reward for improper performance of a relevant function or activity in connection with this Agreement; or</w:t>
            </w:r>
          </w:p>
          <w:p w:rsidR="00871477" w:rsidRPr="00871477" w:rsidRDefault="00871477" w:rsidP="00871477">
            <w:pPr>
              <w:numPr>
                <w:ilvl w:val="1"/>
                <w:numId w:val="6"/>
              </w:numPr>
              <w:tabs>
                <w:tab w:val="left" w:pos="175"/>
              </w:tabs>
              <w:spacing w:after="120"/>
              <w:ind w:hanging="544"/>
            </w:pPr>
            <w:r w:rsidRPr="00871477">
              <w:t>committing any offence:</w:t>
            </w:r>
          </w:p>
          <w:p w:rsidR="00871477" w:rsidRPr="00871477" w:rsidRDefault="00871477" w:rsidP="00871477">
            <w:pPr>
              <w:numPr>
                <w:ilvl w:val="2"/>
                <w:numId w:val="6"/>
              </w:numPr>
              <w:tabs>
                <w:tab w:val="left" w:pos="175"/>
              </w:tabs>
              <w:spacing w:after="120"/>
            </w:pPr>
            <w:r w:rsidRPr="00871477">
              <w:t>under the Bribery Act 2010 (or any legislation repealed or revoked by such Act); or</w:t>
            </w:r>
          </w:p>
          <w:p w:rsidR="00871477" w:rsidRPr="00871477" w:rsidRDefault="00871477" w:rsidP="00871477">
            <w:pPr>
              <w:numPr>
                <w:ilvl w:val="2"/>
                <w:numId w:val="6"/>
              </w:numPr>
              <w:tabs>
                <w:tab w:val="left" w:pos="175"/>
              </w:tabs>
              <w:spacing w:after="120"/>
            </w:pPr>
            <w:r w:rsidRPr="00871477">
              <w:t>under legislation or common  law concerning fraudulent acts; or</w:t>
            </w:r>
          </w:p>
          <w:p w:rsidR="00871477" w:rsidRPr="00871477" w:rsidRDefault="00871477" w:rsidP="00871477">
            <w:pPr>
              <w:numPr>
                <w:ilvl w:val="2"/>
                <w:numId w:val="6"/>
              </w:numPr>
              <w:tabs>
                <w:tab w:val="left" w:pos="175"/>
              </w:tabs>
              <w:spacing w:after="120"/>
            </w:pPr>
            <w:r w:rsidRPr="00871477">
              <w:t xml:space="preserve">defrauding, attempting to defraud or conspiring to defraud a Contracting Authority or other public body; or </w:t>
            </w:r>
          </w:p>
          <w:p w:rsidR="00871477" w:rsidRPr="00871477" w:rsidRDefault="00871477" w:rsidP="00871477">
            <w:pPr>
              <w:numPr>
                <w:ilvl w:val="2"/>
                <w:numId w:val="6"/>
              </w:numPr>
              <w:tabs>
                <w:tab w:val="left" w:pos="175"/>
              </w:tabs>
              <w:spacing w:after="120"/>
            </w:pPr>
            <w:r w:rsidRPr="00871477">
              <w:t>any activity, practice or conduct which would constitute one of the offences listed under (c) above if such activity, practice or conduct had been carried out in the UK;</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“Recipient”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 the Party which receives or obtains directly or indirectly Confidential Information from the Disclosing Party;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“Register of Apprenticeship Training Providers”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register of apprenticeship training providers established by the ESFA;</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"Regulations"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Public Contracts Regulations 2015 and/or the Public Contracts (Scotland) Regulations 2012 (as the context requires) as amended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"Relevant Person"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employee, agent, servant, or representative of the Authority, or of any Other Contracting Authority or other public body;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"Relevant Requirements"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rPr>
                <w:bCs/>
                <w:lang w:eastAsia="en-GB"/>
              </w:rPr>
              <w:t xml:space="preserve">means </w:t>
            </w:r>
            <w:r w:rsidRPr="00871477">
              <w:t>all applicable Law relating to bribery, corruption and fraud, including the Bribery Act 2010 and any guidance issued by the Secretary of State for Justice pursuant to section 9 of the Bribery Act 2010</w:t>
            </w:r>
            <w:r w:rsidRPr="00871477">
              <w:rPr>
                <w:bCs/>
                <w:lang w:eastAsia="en-GB"/>
              </w:rPr>
              <w: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"Relevant Tax Authority"</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rPr>
                <w:lang w:eastAsia="en-GB"/>
              </w:rPr>
              <w:t>means HMRC, or, if applicable, the tax authority in the jurisdiction in which the Supplier is established;</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"Relevant Supplier"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third party bidding to provide New Goods and/or Services;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"Replacement Goods and/or Services"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goods and/or services which are substantially similar to any of the Goods and/or Services and which are received in substitution for the Goods and/or Services following the expiry or termination of this Framework Agreement;</w:t>
            </w:r>
          </w:p>
        </w:tc>
      </w:tr>
      <w:tr w:rsidR="00871477" w:rsidRPr="00871477" w:rsidTr="00871477">
        <w:tc>
          <w:tcPr>
            <w:tcW w:w="2108" w:type="dxa"/>
            <w:shd w:val="clear" w:color="auto" w:fill="auto"/>
          </w:tcPr>
          <w:p w:rsidR="00871477" w:rsidRPr="00871477" w:rsidDel="00F57B6D" w:rsidRDefault="00871477" w:rsidP="00871477">
            <w:pPr>
              <w:spacing w:after="120"/>
              <w:ind w:left="-108"/>
              <w:jc w:val="left"/>
              <w:rPr>
                <w:b/>
              </w:rPr>
            </w:pPr>
            <w:r w:rsidRPr="00871477">
              <w:rPr>
                <w:b/>
              </w:rPr>
              <w:lastRenderedPageBreak/>
              <w:t>"Replacement Supplier"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third party provider of Replacement Goods and/or Services appointed by or at the direction of the Authority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"Reporting Date"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7th day of each Month following the Month to which the relevant Management Information relates, or such other date as may be agreed between the Parties;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"Request for Information"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request for information relating to this Framework Agreement or the provision of the Goods and/or Services or an apparent request for such information  under the FOIA or the EIRs;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"Restricted Countries"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country outside the European Economic Area or any country which is not determined to be adequate by the European Commission pursuant to Article 25(6) of Directive 95/46/EC;</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"Self Audit Certificate"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certificate in the form as set out in Framework Schedule 10 (Annual Self Audit Certificate) to be provided to the Authority in accordance with Clause 18 (Records, Audit Access and Open Book Data);</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"Service Period"</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Framework Schedule 4 (Template Order Form and Template Call Off Terms) as refined by CSL in a Call Off Contract between CSL and the Supplier;</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“Service Recipient”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Other Contracting Authority and the Authority with which CSL has an arrangement with in respect of learning and development requirements from time to time;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"Services"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services described in Framework Schedule 2 (Goods and/or Services and Key Performance Indicators) which the Supplier shall make available to the Service Recipients;</w:t>
            </w:r>
          </w:p>
        </w:tc>
      </w:tr>
      <w:tr w:rsidR="00871477" w:rsidRPr="00871477" w:rsidTr="00871477">
        <w:trPr>
          <w:trHeight w:val="721"/>
        </w:trPr>
        <w:tc>
          <w:tcPr>
            <w:tcW w:w="2108" w:type="dxa"/>
            <w:shd w:val="clear" w:color="auto" w:fill="auto"/>
          </w:tcPr>
          <w:p w:rsidR="00871477" w:rsidRPr="00871477" w:rsidRDefault="00871477" w:rsidP="00871477">
            <w:pPr>
              <w:spacing w:after="120"/>
              <w:ind w:left="-108"/>
              <w:jc w:val="left"/>
              <w:rPr>
                <w:b/>
              </w:rPr>
            </w:pPr>
            <w:r w:rsidRPr="00871477">
              <w:rPr>
                <w:b/>
              </w:rPr>
              <w:t>"Specific Change in Law"</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Change in Law that relates specifically to the business of the Authority and which would not affect a Comparable Supply;</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"Standards"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w:t>
            </w:r>
          </w:p>
          <w:p w:rsidR="00871477" w:rsidRPr="00871477" w:rsidRDefault="00871477" w:rsidP="00871477">
            <w:pPr>
              <w:numPr>
                <w:ilvl w:val="1"/>
                <w:numId w:val="6"/>
              </w:numPr>
              <w:tabs>
                <w:tab w:val="left" w:pos="175"/>
              </w:tabs>
              <w:spacing w:after="120"/>
              <w:ind w:hanging="544"/>
            </w:pPr>
            <w:r w:rsidRPr="00871477">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871477" w:rsidRPr="00871477" w:rsidRDefault="00871477" w:rsidP="00871477">
            <w:pPr>
              <w:numPr>
                <w:ilvl w:val="1"/>
                <w:numId w:val="6"/>
              </w:numPr>
              <w:tabs>
                <w:tab w:val="left" w:pos="175"/>
              </w:tabs>
              <w:spacing w:after="120"/>
              <w:ind w:hanging="544"/>
            </w:pPr>
            <w:r w:rsidRPr="00871477">
              <w:t>any standards detailed in the specification in Framework Schedule 2 (Goods and/or Services and Key Performance Indicators);</w:t>
            </w:r>
          </w:p>
          <w:p w:rsidR="00871477" w:rsidRPr="00871477" w:rsidRDefault="00871477" w:rsidP="00871477">
            <w:pPr>
              <w:numPr>
                <w:ilvl w:val="1"/>
                <w:numId w:val="6"/>
              </w:numPr>
              <w:tabs>
                <w:tab w:val="left" w:pos="175"/>
              </w:tabs>
              <w:spacing w:after="120"/>
              <w:ind w:hanging="544"/>
            </w:pPr>
            <w:r w:rsidRPr="00871477">
              <w:t>any standards  detailed by CSL in a Call Off Contract;</w:t>
            </w:r>
          </w:p>
          <w:p w:rsidR="00871477" w:rsidRPr="00871477" w:rsidRDefault="00871477" w:rsidP="00871477">
            <w:pPr>
              <w:numPr>
                <w:ilvl w:val="1"/>
                <w:numId w:val="6"/>
              </w:numPr>
              <w:tabs>
                <w:tab w:val="left" w:pos="175"/>
              </w:tabs>
              <w:spacing w:after="120"/>
              <w:ind w:hanging="544"/>
            </w:pPr>
            <w:r w:rsidRPr="00871477">
              <w:t>any relevant Government codes of practice and guidance applicable from time to time.</w:t>
            </w:r>
            <w:r w:rsidRPr="00871477">
              <w:rPr>
                <w:sz w:val="16"/>
              </w:rPr>
              <w:fldChar w:fldCharType="begin"/>
            </w:r>
            <w:r w:rsidRPr="00871477">
              <w:rPr>
                <w:sz w:val="16"/>
              </w:rPr>
              <w:instrText>LISTNUM \l 1 \s 0</w:instrText>
            </w:r>
            <w:r w:rsidRPr="00871477">
              <w:rPr>
                <w:sz w:val="16"/>
              </w:rPr>
              <w:fldChar w:fldCharType="end"/>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"Statement of Requirements"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statement issued by CSL detailing its Goods and/or Services Requirements issued in accordance with the Call Off Procedure;</w:t>
            </w:r>
          </w:p>
        </w:tc>
      </w:tr>
      <w:tr w:rsidR="00871477" w:rsidRPr="00871477" w:rsidTr="00871477">
        <w:tc>
          <w:tcPr>
            <w:tcW w:w="2108" w:type="dxa"/>
            <w:shd w:val="clear" w:color="auto" w:fill="auto"/>
          </w:tcPr>
          <w:p w:rsidR="00871477" w:rsidRPr="00871477" w:rsidRDefault="00871477" w:rsidP="00871477">
            <w:pPr>
              <w:spacing w:after="120"/>
              <w:ind w:left="-108"/>
              <w:jc w:val="left"/>
              <w:rPr>
                <w:rFonts w:eastAsia="SimSun"/>
                <w:b/>
                <w:spacing w:val="-3"/>
              </w:rPr>
            </w:pPr>
            <w:r w:rsidRPr="00871477">
              <w:rPr>
                <w:b/>
              </w:rPr>
              <w:t>"Sub-Contract"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any contract or agreement (or proposed contract or agreement) to which a third party: </w:t>
            </w:r>
          </w:p>
          <w:p w:rsidR="00871477" w:rsidRPr="00871477" w:rsidRDefault="00871477" w:rsidP="00871477">
            <w:pPr>
              <w:numPr>
                <w:ilvl w:val="0"/>
                <w:numId w:val="6"/>
              </w:numPr>
              <w:tabs>
                <w:tab w:val="left" w:pos="175"/>
              </w:tabs>
              <w:spacing w:after="120"/>
            </w:pPr>
            <w:r w:rsidRPr="00871477">
              <w:t>(a) provides the Goods and/or Services (or any part of them);</w:t>
            </w:r>
          </w:p>
          <w:p w:rsidR="00871477" w:rsidRPr="00871477" w:rsidRDefault="00871477" w:rsidP="00871477">
            <w:pPr>
              <w:numPr>
                <w:ilvl w:val="0"/>
                <w:numId w:val="6"/>
              </w:numPr>
              <w:tabs>
                <w:tab w:val="left" w:pos="175"/>
              </w:tabs>
              <w:spacing w:after="120"/>
            </w:pPr>
            <w:r w:rsidRPr="00871477">
              <w:t>(b) provides facilities or services necessary for the provision of the Goods and/or Services (or any part of them); and/or</w:t>
            </w:r>
          </w:p>
          <w:p w:rsidR="00871477" w:rsidRPr="00871477" w:rsidRDefault="00871477" w:rsidP="00871477">
            <w:pPr>
              <w:numPr>
                <w:ilvl w:val="0"/>
                <w:numId w:val="6"/>
              </w:numPr>
              <w:tabs>
                <w:tab w:val="left" w:pos="175"/>
              </w:tabs>
              <w:spacing w:after="120"/>
              <w:rPr>
                <w:rFonts w:eastAsia="SimSun"/>
                <w:spacing w:val="-3"/>
              </w:rPr>
            </w:pPr>
            <w:r w:rsidRPr="00871477">
              <w:t>(c) is responsible for the management, direction or control of the provision of the Goods and/or Services (or any part of them);</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"Sub-Contractor"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person other than the Supplier who is a party to a Sub-Contract and the servants or agents of that person;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the person, firm or company stated in the preamble to this Framework Agreement;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 Action Plan"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document, maintained by the Authority, capturing information about the relationship between the Parties including, but not limited to strategic objectives, actions, initiatives, communication channels, risks and supplier performance;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 Personnel"</w:t>
            </w:r>
          </w:p>
        </w:tc>
        <w:tc>
          <w:tcPr>
            <w:tcW w:w="6178" w:type="dxa"/>
            <w:shd w:val="clear" w:color="auto" w:fill="auto"/>
          </w:tcPr>
          <w:p w:rsidR="00871477" w:rsidRPr="00871477" w:rsidRDefault="00871477" w:rsidP="00871477">
            <w:pPr>
              <w:numPr>
                <w:ilvl w:val="0"/>
                <w:numId w:val="6"/>
              </w:numPr>
              <w:tabs>
                <w:tab w:val="left" w:pos="175"/>
              </w:tabs>
              <w:spacing w:after="120"/>
              <w:rPr>
                <w:lang w:eastAsia="en-GB"/>
              </w:rPr>
            </w:pPr>
            <w:r w:rsidRPr="00871477">
              <w:t>means all directors, officers, employees, agents, consultants and contractors of the Supplier and/or of any Sub-Contractor engaged in the performance  of its obligations under this Framework Agreement or any Call Off Contracts;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 Profit"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 Profit Margin"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in relation to a period, the Supplier Profit for the relevant period divided by the total Charges over the same period in respect of any Call Off Contracts and expressed as a percentage;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 Representative"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representative appointed by the Supplier from time to time in relation to this Framework Agreement;</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"Supplier's Confidential Information"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"Template Call Off Terms"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template terms and conditions in Annex 2 to Framework Schedule 4 (Template Order Form and Template Call Off terms);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lastRenderedPageBreak/>
              <w:t>"Template Order Form"</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template form in Annex 1 to Framework Schedule 4 (Template Order Form and Template Call Off terms);</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"Tender"</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tender submitted by the Supplier to the Authority, a copy of which is annexed or referred to in Framework Schedule 21 (Tender);</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"Termination Notice"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“Transparency Reports”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information relating to the Services and performance of this Framework Agreement which the Supplier is required to provide to the Authority in accordance with the reporting requirements in Framework Schedule 22;</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"TUPE"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Transfer of Undertakings (Protection of Employment) Regulations 2006 (SI 2006/246) as amended or replaced or any other regulations or UK legislation implementing the Acquired Rights Directive;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"Variation"</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has the meaning given to it in Clause 19.1.1 (Variation Procedure);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"Variation Form"</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form that will be completed and signed by the Parties to effect a Variation which shall be in the form set out in Framework Schedule 19 (Variation Form);</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"Variation Procedure"</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the procedure for carrying out a Variation as set out in Clause 19.1 (Variation Procedure);</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"VAT"</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 xml:space="preserve">means value added tax in accordance with the provisions of the Value Added Tax Act 1994; </w:t>
            </w:r>
          </w:p>
        </w:tc>
      </w:tr>
      <w:tr w:rsidR="00871477" w:rsidRPr="00871477" w:rsidTr="00871477">
        <w:tc>
          <w:tcPr>
            <w:tcW w:w="2108" w:type="dxa"/>
            <w:shd w:val="clear" w:color="auto" w:fill="auto"/>
          </w:tcPr>
          <w:p w:rsidR="00871477" w:rsidRPr="00871477" w:rsidRDefault="00871477" w:rsidP="00871477">
            <w:pPr>
              <w:spacing w:after="120"/>
              <w:ind w:left="-108"/>
              <w:jc w:val="left"/>
              <w:rPr>
                <w:b/>
              </w:rPr>
            </w:pPr>
            <w:r w:rsidRPr="00871477">
              <w:rPr>
                <w:b/>
              </w:rPr>
              <w:t>"Working Days"</w:t>
            </w:r>
          </w:p>
        </w:tc>
        <w:tc>
          <w:tcPr>
            <w:tcW w:w="6178" w:type="dxa"/>
            <w:shd w:val="clear" w:color="auto" w:fill="auto"/>
          </w:tcPr>
          <w:p w:rsidR="00871477" w:rsidRPr="00871477" w:rsidRDefault="00871477" w:rsidP="00871477">
            <w:pPr>
              <w:numPr>
                <w:ilvl w:val="0"/>
                <w:numId w:val="6"/>
              </w:numPr>
              <w:tabs>
                <w:tab w:val="left" w:pos="175"/>
              </w:tabs>
              <w:spacing w:after="120"/>
            </w:pPr>
            <w:r w:rsidRPr="00871477">
              <w:t>means any day other than a Saturday, Sunday or public holiday in England and Wales.</w:t>
            </w:r>
          </w:p>
        </w:tc>
      </w:tr>
    </w:tbl>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66" w:name="_Toc492462929"/>
      <w:r w:rsidRPr="00871477">
        <w:rPr>
          <w:rFonts w:ascii="Arial Bold" w:eastAsia="STZhongsong" w:hAnsi="Arial Bold" w:cs="Times New Roman"/>
          <w:b/>
          <w:caps/>
          <w:lang w:eastAsia="zh-CN"/>
        </w:rPr>
        <w:lastRenderedPageBreak/>
        <w:t>FRAMEWORK SCHEDULE 2: GOODS AND/or SERVICES and Key Performance Indicators</w:t>
      </w:r>
      <w:bookmarkEnd w:id="66"/>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highlight w:val="magenta"/>
          <w:lang w:eastAsia="zh-CN"/>
        </w:rPr>
      </w:pPr>
      <w:r w:rsidRPr="00871477">
        <w:rPr>
          <w:rFonts w:ascii="Arial Bold" w:eastAsia="STZhongsong" w:hAnsi="Arial Bold" w:cs="Times New Roman"/>
          <w:b/>
          <w:caps/>
          <w:lang w:eastAsia="zh-CN"/>
        </w:rPr>
        <w:t>Part A – Goods and/or Services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purpose of this Part A of Framework Schedule 2 (Goods and/or Services and Key Performance Indicators) is to lay down the characteristics of the Goods and/or Services that the Supplier will be required to make available to CSL and its Service Recipients under this Framework Agreement (including, if applicable, in each Lot) together with any specific Standards applicable to the Goods and/or Services.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Goods and/or Services and any Standards set out in paragraph 2.2 below may be refined (to the extent permitted and set out in Framework Schedule 5 (Call Off Procedure)) by CSL to reflect its Goods and/or Services Requirements for entering a particular Call Off Contract.</w:t>
      </w:r>
    </w:p>
    <w:p w:rsidR="00871477" w:rsidRPr="0006376E"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06376E">
        <w:rPr>
          <w:rFonts w:eastAsia="STZhongsong"/>
          <w:b/>
          <w:caps/>
          <w:lang w:eastAsia="zh-CN"/>
        </w:rPr>
        <w:t>SPECIFICATION</w:t>
      </w:r>
    </w:p>
    <w:p w:rsidR="00871477" w:rsidRPr="0006376E"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06376E" w:rsidDel="000A397C">
        <w:rPr>
          <w:b/>
          <w:lang w:eastAsia="zh-CN"/>
        </w:rPr>
        <w:t xml:space="preserve"> </w:t>
      </w:r>
      <w:r w:rsidR="008C2005" w:rsidRPr="0006376E">
        <w:rPr>
          <w:rFonts w:ascii="Arial" w:hAnsi="Arial"/>
          <w:b/>
          <w:sz w:val="20"/>
          <w:szCs w:val="20"/>
          <w:lang w:eastAsia="zh-CN"/>
        </w:rPr>
        <w:t xml:space="preserve">Framework Schedule 2, Part A: Goods and Services </w:t>
      </w:r>
    </w:p>
    <w:bookmarkStart w:id="67" w:name="_MON_1566128687"/>
    <w:bookmarkEnd w:id="67"/>
    <w:p w:rsidR="008C2005" w:rsidRPr="00871477" w:rsidRDefault="008C2005" w:rsidP="008C2005">
      <w:pPr>
        <w:tabs>
          <w:tab w:val="left" w:pos="1134"/>
        </w:tabs>
        <w:overflowPunct/>
        <w:autoSpaceDE/>
        <w:autoSpaceDN/>
        <w:spacing w:before="120" w:after="120"/>
        <w:ind w:left="644"/>
        <w:jc w:val="center"/>
        <w:textAlignment w:val="auto"/>
        <w:rPr>
          <w:b/>
          <w:lang w:eastAsia="zh-CN"/>
        </w:rPr>
      </w:pPr>
      <w:r>
        <w:rPr>
          <w:b/>
          <w:lang w:eastAsia="zh-CN"/>
        </w:rPr>
        <w:object w:dxaOrig="149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50.25pt" o:ole="">
            <v:imagedata r:id="rId11" o:title=""/>
          </v:shape>
          <o:OLEObject Type="Embed" ProgID="Word.Document.12" ShapeID="_x0000_i1025" DrawAspect="Icon" ObjectID="_1568098740" r:id="rId12">
            <o:FieldCodes>\s</o:FieldCodes>
          </o:OLEObject>
        </w:object>
      </w:r>
    </w:p>
    <w:p w:rsidR="00871477" w:rsidRPr="00871477" w:rsidRDefault="00871477" w:rsidP="00871477">
      <w:pPr>
        <w:tabs>
          <w:tab w:val="left" w:pos="1134"/>
        </w:tabs>
        <w:overflowPunct/>
        <w:autoSpaceDE/>
        <w:autoSpaceDN/>
        <w:spacing w:before="120" w:after="120"/>
        <w:textAlignment w:val="auto"/>
        <w:rPr>
          <w:b/>
          <w:highlight w:val="yellow"/>
          <w:lang w:eastAsia="zh-CN"/>
        </w:rPr>
      </w:pPr>
    </w:p>
    <w:p w:rsidR="00F623CA" w:rsidRPr="00F623CA" w:rsidRDefault="00F623CA" w:rsidP="00F623CA">
      <w:pPr>
        <w:rPr>
          <w:lang w:eastAsia="zh-CN"/>
        </w:rPr>
      </w:pPr>
    </w:p>
    <w:p w:rsidR="00871477" w:rsidRPr="00871477" w:rsidRDefault="00871477" w:rsidP="00871477">
      <w:pPr>
        <w:tabs>
          <w:tab w:val="left" w:pos="1134"/>
        </w:tabs>
        <w:overflowPunct/>
        <w:autoSpaceDE/>
        <w:autoSpaceDN/>
        <w:spacing w:before="120" w:after="120"/>
        <w:ind w:left="644"/>
        <w:textAlignment w:val="auto"/>
        <w:rPr>
          <w:b/>
          <w:lang w:eastAsia="zh-CN"/>
        </w:rPr>
      </w:pP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r w:rsidRPr="00871477">
        <w:rPr>
          <w:rFonts w:ascii="Arial Bold" w:eastAsia="STZhongsong" w:hAnsi="Arial Bold" w:cs="Times New Roman"/>
          <w:b/>
          <w:caps/>
          <w:lang w:eastAsia="zh-CN"/>
        </w:rPr>
        <w:lastRenderedPageBreak/>
        <w:t>Part B – Key Performance Indicators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purpose of this Part B is to set out the KPIs by which the Supplier’s overall performance under this Framework Agreement shall be monitored and managed. The Authority reserves the right to adjust, introduce new, or remove KPIs throughout the Framework Period, however any significant changes to KPIs shall be agreed between the Authority and the Supplier in accordance with Clause 19.1 (Variation Procedure).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comply with all its obligations related to KPIs set out in this Framework Agreement including Framework Schedule 8 (Framework Management) and shall use all reasonable endeavours to meet the KPI Targets identified in the table below.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KPIs from which performance by the Supplier of this Framework Agreement will be reported against are set out below: </w:t>
      </w:r>
    </w:p>
    <w:p w:rsidR="00871477" w:rsidRPr="00871477" w:rsidRDefault="00871477" w:rsidP="00871477">
      <w:pPr>
        <w:spacing w:after="0"/>
        <w:rPr>
          <w:b/>
          <w:i/>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spacing w:after="0"/>
        <w:rPr>
          <w:b/>
          <w:i/>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871477" w:rsidRPr="00871477" w:rsidTr="00871477">
        <w:tc>
          <w:tcPr>
            <w:tcW w:w="4293" w:type="dxa"/>
            <w:shd w:val="clear" w:color="auto" w:fill="D9D9D9"/>
          </w:tcPr>
          <w:p w:rsidR="00871477" w:rsidRPr="00871477" w:rsidRDefault="00871477" w:rsidP="00871477">
            <w:pPr>
              <w:keepNext/>
              <w:overflowPunct/>
              <w:autoSpaceDE/>
              <w:autoSpaceDN/>
              <w:spacing w:before="240" w:after="120"/>
              <w:ind w:left="142"/>
              <w:jc w:val="left"/>
              <w:textAlignment w:val="auto"/>
              <w:rPr>
                <w:rFonts w:eastAsia="STZhongsong"/>
                <w:b/>
                <w:bCs/>
                <w:lang w:eastAsia="zh-CN"/>
              </w:rPr>
            </w:pPr>
            <w:r w:rsidRPr="00871477">
              <w:rPr>
                <w:rFonts w:eastAsia="STZhongsong"/>
                <w:b/>
                <w:bCs/>
                <w:lang w:eastAsia="zh-CN"/>
              </w:rPr>
              <w:t>Key Performance Indicator (KPI)</w:t>
            </w:r>
          </w:p>
        </w:tc>
        <w:tc>
          <w:tcPr>
            <w:tcW w:w="1476" w:type="dxa"/>
            <w:shd w:val="clear" w:color="auto" w:fill="D9D9D9"/>
          </w:tcPr>
          <w:p w:rsidR="00871477" w:rsidRPr="00871477" w:rsidRDefault="00871477" w:rsidP="00871477">
            <w:pPr>
              <w:keepNext/>
              <w:overflowPunct/>
              <w:autoSpaceDE/>
              <w:autoSpaceDN/>
              <w:spacing w:before="240" w:after="120"/>
              <w:ind w:left="142"/>
              <w:jc w:val="left"/>
              <w:textAlignment w:val="auto"/>
              <w:rPr>
                <w:rFonts w:eastAsia="STZhongsong"/>
                <w:b/>
                <w:bCs/>
                <w:lang w:eastAsia="zh-CN"/>
              </w:rPr>
            </w:pPr>
            <w:r w:rsidRPr="00871477">
              <w:rPr>
                <w:rFonts w:eastAsia="STZhongsong"/>
                <w:b/>
                <w:bCs/>
                <w:lang w:eastAsia="zh-CN"/>
              </w:rPr>
              <w:t xml:space="preserve">KPI Target </w:t>
            </w:r>
          </w:p>
        </w:tc>
        <w:tc>
          <w:tcPr>
            <w:tcW w:w="2234" w:type="dxa"/>
            <w:shd w:val="clear" w:color="auto" w:fill="D9D9D9"/>
          </w:tcPr>
          <w:p w:rsidR="00871477" w:rsidRPr="00871477" w:rsidRDefault="00871477" w:rsidP="00871477">
            <w:pPr>
              <w:keepNext/>
              <w:overflowPunct/>
              <w:autoSpaceDE/>
              <w:autoSpaceDN/>
              <w:spacing w:before="240" w:after="120"/>
              <w:ind w:left="142"/>
              <w:textAlignment w:val="auto"/>
              <w:rPr>
                <w:rFonts w:eastAsia="STZhongsong"/>
                <w:b/>
                <w:bCs/>
                <w:lang w:eastAsia="zh-CN"/>
              </w:rPr>
            </w:pPr>
            <w:r w:rsidRPr="00871477">
              <w:rPr>
                <w:rFonts w:eastAsia="STZhongsong"/>
                <w:b/>
                <w:bCs/>
                <w:lang w:eastAsia="zh-CN"/>
              </w:rPr>
              <w:t>Measured by</w:t>
            </w:r>
          </w:p>
        </w:tc>
      </w:tr>
      <w:tr w:rsidR="00871477" w:rsidRPr="00871477" w:rsidTr="00871477">
        <w:tc>
          <w:tcPr>
            <w:tcW w:w="4293" w:type="dxa"/>
          </w:tcPr>
          <w:p w:rsidR="00871477" w:rsidRPr="00871477" w:rsidRDefault="00871477" w:rsidP="00871477">
            <w:pPr>
              <w:spacing w:before="120" w:after="120"/>
              <w:jc w:val="left"/>
            </w:pPr>
            <w:r w:rsidRPr="00871477">
              <w:rPr>
                <w:b/>
              </w:rPr>
              <w:t>1.  FRAMEWORK MANAGEMENT</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c>
          <w:tcPr>
            <w:tcW w:w="2234"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r>
      <w:tr w:rsidR="00871477" w:rsidRPr="00871477" w:rsidTr="00871477">
        <w:trPr>
          <w:trHeight w:val="787"/>
        </w:trPr>
        <w:tc>
          <w:tcPr>
            <w:tcW w:w="4293" w:type="dxa"/>
          </w:tcPr>
          <w:p w:rsidR="00871477" w:rsidRPr="00871477" w:rsidRDefault="00871477" w:rsidP="00871477">
            <w:pPr>
              <w:spacing w:before="120" w:after="120"/>
              <w:jc w:val="left"/>
            </w:pPr>
            <w:r w:rsidRPr="00871477">
              <w:t>1.1 MI returns: All MI returns to be returned to CCS by the 5</w:t>
            </w:r>
            <w:r w:rsidRPr="00871477">
              <w:rPr>
                <w:vertAlign w:val="superscript"/>
              </w:rPr>
              <w:t>th</w:t>
            </w:r>
            <w:r w:rsidRPr="00871477">
              <w:t xml:space="preserve"> Working Day of each month</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bCs/>
                <w:iCs/>
                <w:highlight w:val="green"/>
                <w:lang w:eastAsia="zh-CN"/>
              </w:rPr>
            </w:pPr>
            <w:r w:rsidRPr="00871477">
              <w:rPr>
                <w:rFonts w:eastAsia="STZhongsong"/>
                <w:bCs/>
                <w:iCs/>
                <w:lang w:eastAsia="zh-CN"/>
              </w:rPr>
              <w:t xml:space="preserve"> 100%</w:t>
            </w:r>
          </w:p>
        </w:tc>
        <w:tc>
          <w:tcPr>
            <w:tcW w:w="2234" w:type="dxa"/>
          </w:tcPr>
          <w:p w:rsidR="00871477" w:rsidRPr="00871477" w:rsidRDefault="00871477" w:rsidP="00871477">
            <w:pPr>
              <w:jc w:val="left"/>
              <w:rPr>
                <w:b/>
                <w:bCs/>
                <w:iCs/>
              </w:rPr>
            </w:pPr>
            <w:r w:rsidRPr="00871477">
              <w:t>Confirmation of receipt and time of receipt by the Authority (as evidenced within the Authority’s data warehouse (MISO) system)</w:t>
            </w:r>
            <w:r w:rsidRPr="00871477" w:rsidDel="00C356FE">
              <w:rPr>
                <w:b/>
                <w:bCs/>
                <w:iCs/>
              </w:rPr>
              <w:t xml:space="preserve"> </w:t>
            </w:r>
          </w:p>
        </w:tc>
      </w:tr>
      <w:tr w:rsidR="00871477" w:rsidRPr="00871477" w:rsidTr="00871477">
        <w:trPr>
          <w:trHeight w:val="842"/>
        </w:trPr>
        <w:tc>
          <w:tcPr>
            <w:tcW w:w="4293" w:type="dxa"/>
          </w:tcPr>
          <w:p w:rsidR="00871477" w:rsidRPr="00871477" w:rsidRDefault="00871477" w:rsidP="00871477">
            <w:pPr>
              <w:jc w:val="left"/>
            </w:pPr>
            <w:r w:rsidRPr="00871477">
              <w:t xml:space="preserve">1.2 All undisputed invoices to be paid within 30 calendar days of issue </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r w:rsidRPr="00871477">
              <w:rPr>
                <w:rFonts w:eastAsia="STZhongsong"/>
                <w:lang w:eastAsia="zh-CN"/>
              </w:rPr>
              <w:t>100%</w:t>
            </w:r>
          </w:p>
        </w:tc>
        <w:tc>
          <w:tcPr>
            <w:tcW w:w="2234" w:type="dxa"/>
          </w:tcPr>
          <w:p w:rsidR="00871477" w:rsidRPr="00871477" w:rsidRDefault="00871477" w:rsidP="00871477">
            <w:pPr>
              <w:jc w:val="left"/>
            </w:pPr>
            <w:r w:rsidRPr="00871477">
              <w:t>Confirmation of receipt and time of receipt by the Authority</w:t>
            </w:r>
            <w:r w:rsidRPr="00871477" w:rsidDel="00C356FE">
              <w:t xml:space="preserve"> </w:t>
            </w:r>
            <w:r w:rsidRPr="00871477">
              <w:t>(as evidenced within the Authority’s CODA system)</w:t>
            </w:r>
          </w:p>
        </w:tc>
      </w:tr>
      <w:tr w:rsidR="00871477" w:rsidRPr="00871477" w:rsidTr="00871477">
        <w:tc>
          <w:tcPr>
            <w:tcW w:w="4293" w:type="dxa"/>
          </w:tcPr>
          <w:p w:rsidR="00871477" w:rsidRPr="00871477" w:rsidRDefault="00871477" w:rsidP="00871477">
            <w:pPr>
              <w:jc w:val="left"/>
            </w:pPr>
            <w:r w:rsidRPr="00871477">
              <w:br w:type="page"/>
              <w:t>1.3 Supplier self-audit certificate to be issued to the Authority in accordance with the Framework Agreement</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r w:rsidRPr="00871477">
              <w:rPr>
                <w:rFonts w:eastAsia="STZhongsong"/>
                <w:lang w:eastAsia="zh-CN"/>
              </w:rPr>
              <w:t>100%</w:t>
            </w:r>
          </w:p>
        </w:tc>
        <w:tc>
          <w:tcPr>
            <w:tcW w:w="2234" w:type="dxa"/>
          </w:tcPr>
          <w:p w:rsidR="00871477" w:rsidRPr="00871477" w:rsidRDefault="00871477" w:rsidP="00871477">
            <w:pPr>
              <w:jc w:val="left"/>
            </w:pPr>
            <w:r w:rsidRPr="00871477">
              <w:t>Confirmation of receipt and time of receipt by the Authority</w:t>
            </w:r>
          </w:p>
        </w:tc>
      </w:tr>
      <w:tr w:rsidR="00871477" w:rsidRPr="00871477" w:rsidTr="00871477">
        <w:tc>
          <w:tcPr>
            <w:tcW w:w="4293" w:type="dxa"/>
          </w:tcPr>
          <w:p w:rsidR="00871477" w:rsidRPr="00871477" w:rsidRDefault="00871477" w:rsidP="00871477">
            <w:pPr>
              <w:jc w:val="left"/>
              <w:rPr>
                <w:b/>
              </w:rPr>
            </w:pPr>
            <w:r w:rsidRPr="00871477">
              <w:t>1.4 Actions identified in an Audit Report to be delivered by the dates set out in the Audit Report</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r w:rsidRPr="00871477">
              <w:rPr>
                <w:rFonts w:eastAsia="STZhongsong"/>
                <w:lang w:eastAsia="zh-CN"/>
              </w:rPr>
              <w:t>100%</w:t>
            </w:r>
          </w:p>
        </w:tc>
        <w:tc>
          <w:tcPr>
            <w:tcW w:w="2234" w:type="dxa"/>
          </w:tcPr>
          <w:p w:rsidR="00871477" w:rsidRPr="00871477" w:rsidRDefault="00871477" w:rsidP="00871477">
            <w:pPr>
              <w:jc w:val="left"/>
            </w:pPr>
            <w:r w:rsidRPr="00871477">
              <w:t xml:space="preserve">Confirmation by the Authority of completion of the actions by the dates </w:t>
            </w:r>
            <w:r w:rsidRPr="00871477">
              <w:lastRenderedPageBreak/>
              <w:t>identified in the Audit Report</w:t>
            </w:r>
          </w:p>
        </w:tc>
      </w:tr>
      <w:tr w:rsidR="00871477" w:rsidRPr="00871477" w:rsidTr="00871477">
        <w:tc>
          <w:tcPr>
            <w:tcW w:w="4293" w:type="dxa"/>
          </w:tcPr>
          <w:p w:rsidR="00871477" w:rsidRPr="00871477" w:rsidRDefault="00871477" w:rsidP="00871477">
            <w:pPr>
              <w:tabs>
                <w:tab w:val="left" w:pos="142"/>
              </w:tabs>
              <w:overflowPunct/>
              <w:autoSpaceDE/>
              <w:autoSpaceDN/>
              <w:spacing w:before="120"/>
              <w:ind w:left="318" w:hanging="318"/>
              <w:jc w:val="left"/>
              <w:textAlignment w:val="auto"/>
              <w:rPr>
                <w:rFonts w:eastAsia="STZhongsong"/>
                <w:b/>
                <w:caps/>
                <w:lang w:eastAsia="zh-CN"/>
              </w:rPr>
            </w:pPr>
            <w:r w:rsidRPr="00871477">
              <w:rPr>
                <w:rFonts w:eastAsia="STZhongsong"/>
                <w:b/>
                <w:caps/>
                <w:lang w:eastAsia="zh-CN"/>
              </w:rPr>
              <w:lastRenderedPageBreak/>
              <w:t>2.  OPERATIONAL EFFICIENCY</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c>
          <w:tcPr>
            <w:tcW w:w="2234"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r>
      <w:tr w:rsidR="00871477" w:rsidRPr="00871477" w:rsidTr="00871477">
        <w:tc>
          <w:tcPr>
            <w:tcW w:w="4293" w:type="dxa"/>
          </w:tcPr>
          <w:p w:rsidR="00871477" w:rsidRPr="00871477" w:rsidRDefault="00871477" w:rsidP="00871477">
            <w:pPr>
              <w:jc w:val="left"/>
            </w:pPr>
            <w:r w:rsidRPr="00871477">
              <w:t>2.1 The Supplier to deliver against the Supplier Action Plan to derive operational efficiencies over the Framework Period via continuous improvement and innovation</w:t>
            </w:r>
            <w:r w:rsidRPr="00871477" w:rsidDel="00000B4D">
              <w:t xml:space="preserve"> </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c>
          <w:tcPr>
            <w:tcW w:w="2234" w:type="dxa"/>
          </w:tcPr>
          <w:p w:rsidR="00871477" w:rsidRPr="00871477" w:rsidRDefault="00871477" w:rsidP="00871477">
            <w:pPr>
              <w:jc w:val="left"/>
            </w:pPr>
            <w:r w:rsidRPr="00871477">
              <w:t>Confirmation by   the Authority of the value for money achieved by the dates identified in the Supplier Action Plan</w:t>
            </w:r>
          </w:p>
        </w:tc>
      </w:tr>
      <w:tr w:rsidR="00871477" w:rsidRPr="00871477" w:rsidTr="00871477">
        <w:tc>
          <w:tcPr>
            <w:tcW w:w="4293" w:type="dxa"/>
          </w:tcPr>
          <w:p w:rsidR="00871477" w:rsidRPr="00871477" w:rsidRDefault="00871477" w:rsidP="00871477">
            <w:r w:rsidRPr="00871477">
              <w:rPr>
                <w:b/>
              </w:rPr>
              <w:t>3.</w:t>
            </w:r>
            <w:r w:rsidRPr="00871477">
              <w:t xml:space="preserve">  </w:t>
            </w:r>
            <w:r w:rsidRPr="00871477">
              <w:rPr>
                <w:b/>
              </w:rPr>
              <w:t>CUSTOMER SATISFACTION</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c>
          <w:tcPr>
            <w:tcW w:w="2234"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r>
      <w:tr w:rsidR="00871477" w:rsidRPr="00871477" w:rsidTr="00871477">
        <w:tc>
          <w:tcPr>
            <w:tcW w:w="4293" w:type="dxa"/>
          </w:tcPr>
          <w:p w:rsidR="00871477" w:rsidRPr="00871477" w:rsidRDefault="00871477" w:rsidP="00871477">
            <w:pPr>
              <w:jc w:val="left"/>
            </w:pPr>
            <w:r w:rsidRPr="00871477">
              <w:t>3.1 Goods and/or Services to be provided under Call Off Contracts to the satisfaction of the Authority (where applicable) or CSL</w:t>
            </w:r>
          </w:p>
        </w:tc>
        <w:tc>
          <w:tcPr>
            <w:tcW w:w="1476" w:type="dxa"/>
          </w:tcPr>
          <w:p w:rsidR="00871477" w:rsidRPr="00871477" w:rsidRDefault="00871477" w:rsidP="00871477">
            <w:pPr>
              <w:keepNext/>
              <w:overflowPunct/>
              <w:autoSpaceDE/>
              <w:autoSpaceDN/>
              <w:spacing w:before="240" w:after="120"/>
              <w:ind w:left="142"/>
              <w:jc w:val="center"/>
              <w:textAlignment w:val="auto"/>
              <w:rPr>
                <w:rFonts w:eastAsia="STZhongsong"/>
                <w:lang w:eastAsia="zh-CN"/>
              </w:rPr>
            </w:pPr>
            <w:r w:rsidRPr="00871477">
              <w:rPr>
                <w:rFonts w:eastAsia="STZhongsong"/>
                <w:lang w:eastAsia="zh-CN"/>
              </w:rPr>
              <w:t>95%</w:t>
            </w:r>
          </w:p>
        </w:tc>
        <w:tc>
          <w:tcPr>
            <w:tcW w:w="2234" w:type="dxa"/>
          </w:tcPr>
          <w:p w:rsidR="00871477" w:rsidRPr="00871477" w:rsidRDefault="00871477" w:rsidP="00871477">
            <w:pPr>
              <w:jc w:val="left"/>
            </w:pPr>
            <w:r w:rsidRPr="00871477">
              <w:t>Confirmation by the Authority of the Supplier’s performance against customer satisfaction surveys</w:t>
            </w:r>
          </w:p>
        </w:tc>
      </w:tr>
      <w:tr w:rsidR="00871477" w:rsidRPr="00871477" w:rsidTr="00871477">
        <w:tc>
          <w:tcPr>
            <w:tcW w:w="4293" w:type="dxa"/>
          </w:tcPr>
          <w:p w:rsidR="00871477" w:rsidRPr="00871477" w:rsidRDefault="00871477" w:rsidP="00871477">
            <w:r w:rsidRPr="00871477">
              <w:rPr>
                <w:b/>
              </w:rPr>
              <w:t>4. QUALITY SERVICE</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lang w:eastAsia="zh-CN"/>
              </w:rPr>
            </w:pPr>
          </w:p>
        </w:tc>
        <w:tc>
          <w:tcPr>
            <w:tcW w:w="2234" w:type="dxa"/>
          </w:tcPr>
          <w:p w:rsidR="00871477" w:rsidRPr="00871477" w:rsidRDefault="00871477" w:rsidP="00871477">
            <w:pPr>
              <w:keepNext/>
              <w:overflowPunct/>
              <w:autoSpaceDE/>
              <w:autoSpaceDN/>
              <w:spacing w:before="240" w:after="120"/>
              <w:ind w:left="142"/>
              <w:textAlignment w:val="auto"/>
              <w:rPr>
                <w:rFonts w:eastAsia="STZhongsong"/>
                <w:lang w:eastAsia="zh-CN"/>
              </w:rPr>
            </w:pPr>
          </w:p>
        </w:tc>
      </w:tr>
      <w:tr w:rsidR="00871477" w:rsidRPr="00871477" w:rsidTr="00871477">
        <w:tc>
          <w:tcPr>
            <w:tcW w:w="4293" w:type="dxa"/>
          </w:tcPr>
          <w:p w:rsidR="00871477" w:rsidRPr="00871477" w:rsidRDefault="00871477" w:rsidP="00871477">
            <w:r w:rsidRPr="00871477">
              <w:t>4.1</w:t>
            </w:r>
            <w:r w:rsidRPr="00871477">
              <w:rPr>
                <w:rFonts w:eastAsia="STZhongsong" w:cs="Times New Roman"/>
                <w:kern w:val="28"/>
                <w:lang w:eastAsia="zh-CN"/>
              </w:rPr>
              <w:t xml:space="preserve"> </w:t>
            </w:r>
            <w:r w:rsidRPr="00871477">
              <w:rPr>
                <w:rFonts w:eastAsia="STZhongsong"/>
                <w:kern w:val="28"/>
                <w:lang w:eastAsia="zh-CN"/>
              </w:rPr>
              <w:t>The performance to Service Levels of which the parties have agreed to measure</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b/>
                <w:lang w:eastAsia="zh-CN"/>
              </w:rPr>
            </w:pPr>
            <w:r w:rsidRPr="00871477">
              <w:rPr>
                <w:rFonts w:eastAsia="STZhongsong" w:cs="Times New Roman"/>
                <w:kern w:val="28"/>
                <w:szCs w:val="18"/>
                <w:lang w:eastAsia="zh-CN"/>
              </w:rPr>
              <w:t xml:space="preserve">As per timings agreed in </w:t>
            </w:r>
            <w:r w:rsidRPr="00871477">
              <w:rPr>
                <w:rFonts w:eastAsia="STZhongsong" w:cs="Times New Roman"/>
                <w:bCs/>
                <w:kern w:val="28"/>
                <w:szCs w:val="18"/>
                <w:lang w:eastAsia="zh-CN"/>
              </w:rPr>
              <w:t>Appendix to Part A Schedule 6 of the Call Off</w:t>
            </w:r>
          </w:p>
        </w:tc>
        <w:tc>
          <w:tcPr>
            <w:tcW w:w="2234" w:type="dxa"/>
          </w:tcPr>
          <w:p w:rsidR="00871477" w:rsidRPr="00871477" w:rsidRDefault="00871477" w:rsidP="00871477">
            <w:r w:rsidRPr="00871477">
              <w:rPr>
                <w:rFonts w:eastAsia="STZhongsong"/>
                <w:kern w:val="28"/>
                <w:lang w:eastAsia="zh-CN"/>
              </w:rPr>
              <w:t>Taken from the Performance Monitoring Reports as outlined in Schedule 6 Part B of the Call Off</w:t>
            </w:r>
          </w:p>
        </w:tc>
      </w:tr>
      <w:tr w:rsidR="00871477" w:rsidRPr="00871477" w:rsidTr="00871477">
        <w:tc>
          <w:tcPr>
            <w:tcW w:w="4293" w:type="dxa"/>
          </w:tcPr>
          <w:p w:rsidR="00871477" w:rsidRPr="00871477" w:rsidDel="00F074D4" w:rsidRDefault="00871477" w:rsidP="00871477">
            <w:pPr>
              <w:rPr>
                <w:highlight w:val="green"/>
              </w:rPr>
            </w:pPr>
            <w:r w:rsidRPr="00871477">
              <w:t xml:space="preserve">4.2 </w:t>
            </w:r>
            <w:r w:rsidRPr="00871477">
              <w:rPr>
                <w:rFonts w:eastAsia="STZhongsong"/>
                <w:kern w:val="28"/>
                <w:lang w:eastAsia="zh-CN"/>
              </w:rPr>
              <w:t xml:space="preserve">Complaints resolved in line with the agreed Service Levels in </w:t>
            </w:r>
            <w:r w:rsidRPr="00871477">
              <w:rPr>
                <w:rFonts w:eastAsia="STZhongsong"/>
                <w:bCs/>
                <w:kern w:val="28"/>
                <w:lang w:eastAsia="zh-CN"/>
              </w:rPr>
              <w:t>Appendix to Part A Schedule 6 of the Call Off</w:t>
            </w:r>
          </w:p>
        </w:tc>
        <w:tc>
          <w:tcPr>
            <w:tcW w:w="1476" w:type="dxa"/>
          </w:tcPr>
          <w:p w:rsidR="00871477" w:rsidRPr="00871477" w:rsidRDefault="00871477" w:rsidP="00871477">
            <w:pPr>
              <w:keepNext/>
              <w:overflowPunct/>
              <w:autoSpaceDE/>
              <w:autoSpaceDN/>
              <w:spacing w:before="240" w:after="120"/>
              <w:ind w:left="142"/>
              <w:jc w:val="left"/>
              <w:textAlignment w:val="auto"/>
              <w:rPr>
                <w:rFonts w:eastAsia="STZhongsong" w:cs="Times New Roman"/>
                <w:kern w:val="28"/>
                <w:szCs w:val="18"/>
                <w:lang w:eastAsia="zh-CN"/>
              </w:rPr>
            </w:pPr>
            <w:r w:rsidRPr="00871477">
              <w:rPr>
                <w:rFonts w:eastAsia="STZhongsong" w:cs="Times New Roman"/>
                <w:szCs w:val="18"/>
                <w:lang w:eastAsia="zh-CN"/>
              </w:rPr>
              <w:t>100 % within 10 working days</w:t>
            </w:r>
          </w:p>
        </w:tc>
        <w:tc>
          <w:tcPr>
            <w:tcW w:w="2234" w:type="dxa"/>
          </w:tcPr>
          <w:p w:rsidR="00871477" w:rsidRPr="00871477" w:rsidDel="00F074D4" w:rsidRDefault="00871477" w:rsidP="00871477">
            <w:pPr>
              <w:rPr>
                <w:highlight w:val="green"/>
              </w:rPr>
            </w:pPr>
            <w:r w:rsidRPr="00871477">
              <w:rPr>
                <w:rFonts w:eastAsia="STZhongsong"/>
                <w:kern w:val="28"/>
                <w:lang w:eastAsia="zh-CN"/>
              </w:rPr>
              <w:t>Taken from the Performance Monitoring Reports as outlined in Schedule 6 Part B of the Call Off</w:t>
            </w:r>
          </w:p>
        </w:tc>
      </w:tr>
    </w:tbl>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spacing w:after="0"/>
        <w:rPr>
          <w:color w:val="FFFFFF"/>
          <w:sz w:val="16"/>
          <w:szCs w:val="16"/>
        </w:rPr>
      </w:pPr>
      <w:r w:rsidRPr="00871477">
        <w:rPr>
          <w:color w:val="FFFFFF"/>
          <w:sz w:val="16"/>
          <w:szCs w:val="16"/>
        </w:rPr>
        <w:br w:type="page"/>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68" w:name="_Toc492462930"/>
      <w:r w:rsidRPr="00871477">
        <w:rPr>
          <w:rFonts w:ascii="Arial Bold" w:eastAsia="STZhongsong" w:hAnsi="Arial Bold" w:cs="Times New Roman"/>
          <w:b/>
          <w:caps/>
          <w:lang w:eastAsia="zh-CN"/>
        </w:rPr>
        <w:lastRenderedPageBreak/>
        <w:t>FRAMEWORK SCHEDULE 3: FRAMEWORK prices AND CHARGING STRUCTURE</w:t>
      </w:r>
      <w:bookmarkEnd w:id="68"/>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NOT used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 Provisions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Framework Prices set out in Annex 3 to this Framework Schedule 3 are the maximum that the Supplier may charge pursuant to any Call Off Contract.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u w:val="single"/>
          <w:lang w:eastAsia="zh-CN"/>
        </w:rPr>
      </w:pPr>
      <w:r w:rsidRPr="00871477">
        <w:rPr>
          <w:lang w:eastAsia="zh-CN"/>
        </w:rPr>
        <w:t>The Supplier acknowledges and agrees that, subject to paragraph 6 of this Framework Schedule 3 (Adjustment of the Framework Prices), the Framework Prices cannot be increased during the Framework Period.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Pricing mechanism for the caLculation of framework prices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lang w:eastAsia="zh-CN"/>
        </w:rPr>
      </w:pPr>
      <w:r w:rsidRPr="00871477">
        <w:rPr>
          <w:lang w:eastAsia="zh-CN"/>
        </w:rPr>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lang w:eastAsia="zh-CN"/>
        </w:rPr>
      </w:pPr>
      <w:r w:rsidRPr="00871477">
        <w:rPr>
          <w:lang w:eastAsia="zh-CN"/>
        </w:rPr>
        <w:t>Table 1 of Annex 1 sets out which pricing mechanism shall be used to calculate each Framework Price, which shall be one or more of the following:</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b/>
          <w:lang w:eastAsia="zh-CN"/>
        </w:rPr>
        <w:t>“Time and Materials</w:t>
      </w:r>
      <w:r w:rsidRPr="00871477">
        <w:rPr>
          <w:lang w:eastAsia="zh-CN"/>
        </w:rPr>
        <w:t xml:space="preserve">”, in which case the provisions of Paragraph 3.3 shall apply;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“Fixed Price” in which case the provisions of Paragraph 3.4 shall apply;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“Volume</w:t>
      </w:r>
      <w:r w:rsidRPr="00871477">
        <w:rPr>
          <w:b/>
          <w:lang w:eastAsia="zh-CN"/>
        </w:rPr>
        <w:t xml:space="preserve"> Based”</w:t>
      </w:r>
      <w:r w:rsidRPr="00871477">
        <w:rPr>
          <w:lang w:eastAsia="zh-CN"/>
        </w:rPr>
        <w:t xml:space="preserve"> pricing, in which case the provisions of Paragraph 3.5 shall apply.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Time and Materials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Fixed Price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Table 1 of Annex 1 indicates that a Framework Price is to be calculated by reference to a Fixed Price pricing mechanism, the relevant Framework Price shall be the amount set out against that Framework Price in Table 2 of Annex 2.</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Volume Based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Table 1 of Annex 1 indicates that a Framework Price is to be calculated by reference to a Volume Based pricing mechanism, the relevant Framework Price shall be calculated on the basis of the unit costs set out against that Framework Price in Table 3 of Annex 2.</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costs and expenSes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Framework Prices shall include all costs and expenses relating to the Goods and/or Services provided to CSL and/or the Supplier’s performance of its obligations under any Call Off Contracts and no further amounts shall be payable by CSL to the Supplier in respect of such performance, including in respect of matters such as: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amount for any services provided or costs incurred by the Supplier prior to the commencement date of any Call Off Contract.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NOT USED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Adjustment of the Framework Prices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Framework Prices shall only be varied: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due to a Specific Change in Law in relation to which the Parties agree that a change is required to all or part of the Framework Prices in accordance with Clause 19.2 of this Framework Agreement (Legislative Change);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where all or part of the Framework Prices are reviewed and reduced in accordance with Framework Schedule 12 (Continuous Improvement and Benchmarking);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all or part of the Framework Prices are reviewed and reduced in accordance with paragraph 7 of this Framework Schedule 3 (Supplier Periodic Assessment of Framework Prices);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paragraphs 6.1.1 to 6.1.3 of this Framework Schedule, the Framework Prices will remain fixed for the first one (1) Contract Year.</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SUPPLIER PERIODIC ASSESSMENT OF FRAMEWORK PRICES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Every six (6) Months during the Framework Period, the Supplier shall assess the level of the Framework Prices to consider whether it is able to reduce them.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Such assessments by the Supplier under paragraph 7.1 shall be carried out on 1 May and 1 December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10.1.3 below. </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Not used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sidDel="00123BA8">
        <w:rPr>
          <w:rFonts w:eastAsia="STZhongsong"/>
          <w:b/>
          <w:caps/>
          <w:lang w:eastAsia="zh-CN"/>
        </w:rPr>
        <w:t xml:space="preserve"> </w:t>
      </w:r>
      <w:r w:rsidRPr="00871477">
        <w:rPr>
          <w:rFonts w:eastAsia="STZhongsong"/>
          <w:b/>
          <w:caps/>
          <w:lang w:eastAsia="zh-CN"/>
        </w:rPr>
        <w:t>NOT USED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 xml:space="preserve">IMPLEMENTATION OF ADJUSTED FRAMEWORK PRICES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Variations in accordance with the provisions of this Framework Schedule 3 to all or part the Framework Prices (as the case may be) shall be made by the Authority to take effect: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in accordance with Clause 19.2 (Legislative Change) where an adjustment to the Framework Prices is made in accordance with paragraph 6.1.1 of this Framework Schedule;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in accordance with paragraph 3.3.3 and 4.8 of Framework Schedule 12 (Continuous Improvement and Benchmarking) where an adjustment to the </w:t>
      </w:r>
      <w:r w:rsidRPr="00871477">
        <w:rPr>
          <w:lang w:eastAsia="zh-CN"/>
        </w:rPr>
        <w:lastRenderedPageBreak/>
        <w:t>Framework Prices is made in accordance with paragraph 6.1.2 of this Framework Schedule 3;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on 1 June for assessments made on 1 May and on 1 January for assessments made on 1 December where an adjustment to the Framework Prices is made in accordance with paragraph 6.1.3 of this Framework Schedule 3 ; or</w:t>
      </w:r>
    </w:p>
    <w:p w:rsidR="00871477" w:rsidRPr="00871477" w:rsidRDefault="00871477" w:rsidP="00871477">
      <w:pPr>
        <w:tabs>
          <w:tab w:val="left" w:pos="3402"/>
        </w:tabs>
        <w:spacing w:after="220"/>
        <w:ind w:left="1134"/>
        <w:rPr>
          <w:szCs w:val="24"/>
        </w:rPr>
      </w:pPr>
      <w:r w:rsidRPr="00871477">
        <w:rPr>
          <w:szCs w:val="24"/>
        </w:rPr>
        <w:t>and the Parties shall amend the Framework Prices shown in Annex 3 to this Framework Schedule 3 to reflect such variations.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CHARGES UNDER CALL OFF AGREEMENTS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For the avoidance of doubt any change to the Framework Prices implemented pursuant to this Framework Schedule 3 are made independently of, and, subject always to paragraphs 2.1 and 2.2 of this Framework Schedule 3 and shall not affect the Charges payable by CSL under a Call Off Contract in force at the time a change to the Framework Prices is implemented.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variation to the Charges payable under a Call Off Contract must be agreed between the Supplier and CSL and implemented in accordance with the provisions applicable to the Call Off Contract.</w:t>
      </w:r>
    </w:p>
    <w:p w:rsidR="00871477" w:rsidRPr="00871477" w:rsidRDefault="00871477" w:rsidP="00871477">
      <w:pPr>
        <w:spacing w:after="0"/>
        <w:rPr>
          <w:color w:val="FFFFFF"/>
          <w:sz w:val="16"/>
          <w:szCs w:val="16"/>
          <w:highlight w:val="cyan"/>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tabs>
          <w:tab w:val="left" w:pos="142"/>
        </w:tabs>
        <w:overflowPunct/>
        <w:autoSpaceDE/>
        <w:autoSpaceDN/>
        <w:spacing w:before="120"/>
        <w:ind w:left="360" w:hanging="360"/>
        <w:textAlignment w:val="auto"/>
        <w:rPr>
          <w:rFonts w:eastAsia="STZhongsong"/>
          <w:b/>
          <w:caps/>
          <w:lang w:eastAsia="zh-CN"/>
        </w:rPr>
      </w:pPr>
      <w:r w:rsidRPr="00871477">
        <w:rPr>
          <w:rFonts w:eastAsia="STZhongsong"/>
          <w:b/>
          <w:caps/>
          <w:lang w:eastAsia="zh-CN"/>
        </w:rPr>
        <w:t>12.  E-commerce transactions with Central Government Bodies</w:t>
      </w:r>
    </w:p>
    <w:p w:rsidR="00871477" w:rsidRPr="00871477" w:rsidRDefault="00871477" w:rsidP="00871477">
      <w:pPr>
        <w:tabs>
          <w:tab w:val="left" w:pos="709"/>
          <w:tab w:val="left" w:pos="1134"/>
        </w:tabs>
        <w:overflowPunct/>
        <w:autoSpaceDE/>
        <w:autoSpaceDN/>
        <w:spacing w:before="120" w:after="120"/>
        <w:ind w:left="644" w:hanging="360"/>
        <w:textAlignment w:val="auto"/>
        <w:rPr>
          <w:lang w:eastAsia="zh-CN"/>
        </w:rPr>
      </w:pPr>
      <w:r w:rsidRPr="00871477">
        <w:rPr>
          <w:lang w:eastAsia="zh-CN"/>
        </w:rPr>
        <w:t>12.1. The Supplier acknowledges and agrees that the Government’s wide strategy of ‘Digital by Default’(</w:t>
      </w:r>
      <w:hyperlink r:id="rId13" w:history="1">
        <w:r w:rsidRPr="00871477">
          <w:rPr>
            <w:lang w:eastAsia="zh-CN"/>
          </w:rPr>
          <w:t>https://www.gov.uk/government/publications/government-digital-strategy</w:t>
        </w:r>
      </w:hyperlink>
      <w:r w:rsidRPr="00871477">
        <w:rPr>
          <w:lang w:eastAsia="zh-CN"/>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871477" w:rsidRPr="00871477" w:rsidRDefault="00871477" w:rsidP="00871477">
      <w:pPr>
        <w:tabs>
          <w:tab w:val="left" w:pos="709"/>
          <w:tab w:val="left" w:pos="1134"/>
        </w:tabs>
        <w:overflowPunct/>
        <w:autoSpaceDE/>
        <w:autoSpaceDN/>
        <w:spacing w:before="120" w:after="120"/>
        <w:ind w:left="709" w:hanging="425"/>
        <w:textAlignment w:val="auto"/>
        <w:rPr>
          <w:lang w:eastAsia="zh-CN"/>
        </w:rPr>
      </w:pPr>
      <w:r w:rsidRPr="00871477">
        <w:rPr>
          <w:lang w:eastAsia="zh-CN"/>
        </w:rPr>
        <w:t>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and/or terms of the relevant Call Off Contract.  </w:t>
      </w:r>
    </w:p>
    <w:p w:rsidR="00871477" w:rsidRPr="00871477" w:rsidRDefault="00871477" w:rsidP="00871477">
      <w:pPr>
        <w:keepNext/>
        <w:shd w:val="clear" w:color="auto" w:fill="FFFFFF"/>
        <w:overflowPunct/>
        <w:autoSpaceDE/>
        <w:autoSpaceDN/>
        <w:ind w:firstLine="426"/>
        <w:jc w:val="center"/>
        <w:textAlignment w:val="auto"/>
        <w:outlineLvl w:val="1"/>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69" w:name="_Toc492462931"/>
      <w:r w:rsidRPr="00871477">
        <w:rPr>
          <w:rFonts w:ascii="Arial Bold" w:eastAsia="STZhongsong" w:hAnsi="Arial Bold" w:cs="Times New Roman"/>
          <w:b/>
          <w:caps/>
          <w:lang w:eastAsia="zh-CN"/>
        </w:rPr>
        <w:lastRenderedPageBreak/>
        <w:t>ANNEX 1: PRICING MECHANISM</w:t>
      </w:r>
      <w:bookmarkEnd w:id="69"/>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t>TABLE 1</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871477" w:rsidRPr="00871477" w:rsidTr="00871477">
        <w:trPr>
          <w:tblHeader/>
        </w:trPr>
        <w:tc>
          <w:tcPr>
            <w:tcW w:w="3969" w:type="dxa"/>
            <w:shd w:val="clear" w:color="auto" w:fill="D9D9D9"/>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lang w:eastAsia="zh-CN"/>
              </w:rPr>
              <w:t>Framework Price Number</w:t>
            </w:r>
          </w:p>
        </w:tc>
        <w:tc>
          <w:tcPr>
            <w:tcW w:w="5103" w:type="dxa"/>
            <w:shd w:val="clear" w:color="auto" w:fill="D9D9D9"/>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lang w:eastAsia="zh-CN"/>
              </w:rPr>
              <w:t>Pricing Mechanism (T&amp;M/ VOL/ FIX)</w:t>
            </w:r>
          </w:p>
        </w:tc>
      </w:tr>
      <w:tr w:rsidR="00871477" w:rsidRPr="00871477" w:rsidTr="00871477">
        <w:tc>
          <w:tcPr>
            <w:tcW w:w="3969" w:type="dxa"/>
          </w:tcPr>
          <w:p w:rsidR="00871477" w:rsidRPr="00871477" w:rsidRDefault="00871477" w:rsidP="00871477">
            <w:pPr>
              <w:keepNext/>
              <w:overflowPunct/>
              <w:autoSpaceDE/>
              <w:autoSpaceDN/>
              <w:spacing w:before="240" w:after="120"/>
              <w:ind w:left="142"/>
              <w:textAlignment w:val="auto"/>
              <w:rPr>
                <w:rFonts w:eastAsia="STZhongsong" w:cs="Times New Roman"/>
                <w:szCs w:val="18"/>
                <w:highlight w:val="yellow"/>
                <w:lang w:eastAsia="zh-CN"/>
              </w:rPr>
            </w:pPr>
            <w:r w:rsidRPr="00871477">
              <w:rPr>
                <w:rFonts w:eastAsia="STZhongsong" w:cs="Times New Roman"/>
                <w:highlight w:val="green"/>
                <w:lang w:eastAsia="zh-CN"/>
              </w:rPr>
              <w:t>Apprenticeship Training and Related Services</w:t>
            </w:r>
          </w:p>
        </w:tc>
        <w:tc>
          <w:tcPr>
            <w:tcW w:w="5103" w:type="dxa"/>
          </w:tcPr>
          <w:p w:rsidR="00871477" w:rsidRPr="00871477" w:rsidRDefault="00871477" w:rsidP="00871477">
            <w:pPr>
              <w:keepNext/>
              <w:overflowPunct/>
              <w:autoSpaceDE/>
              <w:autoSpaceDN/>
              <w:spacing w:before="240" w:after="120"/>
              <w:ind w:left="142"/>
              <w:textAlignment w:val="auto"/>
              <w:rPr>
                <w:rFonts w:eastAsia="STZhongsong" w:cs="Times New Roman"/>
                <w:szCs w:val="18"/>
                <w:highlight w:val="yellow"/>
                <w:lang w:eastAsia="zh-CN"/>
              </w:rPr>
            </w:pPr>
            <w:r w:rsidRPr="00871477">
              <w:rPr>
                <w:rFonts w:eastAsia="STZhongsong" w:cs="Times New Roman"/>
                <w:highlight w:val="green"/>
                <w:lang w:eastAsia="zh-CN"/>
              </w:rPr>
              <w:t>Fixed</w:t>
            </w:r>
          </w:p>
        </w:tc>
      </w:tr>
    </w:tbl>
    <w:p w:rsidR="00871477" w:rsidRP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70" w:name="_Toc492462932"/>
      <w:r w:rsidRPr="00871477">
        <w:rPr>
          <w:rFonts w:ascii="Arial Bold" w:eastAsia="STZhongsong" w:hAnsi="Arial Bold" w:cs="Times New Roman"/>
          <w:b/>
          <w:caps/>
          <w:lang w:eastAsia="zh-CN"/>
        </w:rPr>
        <w:lastRenderedPageBreak/>
        <w:t>ANNEX 2: RATES AND PRICES</w:t>
      </w:r>
      <w:bookmarkEnd w:id="70"/>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t>TABLE 2: FIXED PRICE FRAMEWORK PRICES</w:t>
      </w:r>
    </w:p>
    <w:p w:rsidR="00871477" w:rsidRPr="00871477" w:rsidRDefault="00871477" w:rsidP="00871477">
      <w:pPr>
        <w:spacing w:before="240" w:after="120"/>
        <w:ind w:left="426"/>
        <w:rPr>
          <w:b/>
          <w:i/>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6"/>
        <w:gridCol w:w="6087"/>
      </w:tblGrid>
      <w:tr w:rsidR="00871477" w:rsidRPr="00871477" w:rsidTr="00871477">
        <w:tc>
          <w:tcPr>
            <w:tcW w:w="3126" w:type="dxa"/>
            <w:shd w:val="clear" w:color="auto" w:fill="D9D9D9"/>
          </w:tcPr>
          <w:p w:rsidR="00871477" w:rsidRPr="00871477" w:rsidRDefault="00871477" w:rsidP="00871477">
            <w:pPr>
              <w:keepNext/>
              <w:overflowPunct/>
              <w:autoSpaceDE/>
              <w:autoSpaceDN/>
              <w:spacing w:before="240" w:after="120"/>
              <w:ind w:left="142"/>
              <w:textAlignment w:val="auto"/>
              <w:rPr>
                <w:rFonts w:eastAsia="STZhongsong" w:cs="Times New Roman"/>
                <w:b/>
                <w:szCs w:val="18"/>
                <w:lang w:eastAsia="zh-CN"/>
              </w:rPr>
            </w:pPr>
            <w:r w:rsidRPr="00871477">
              <w:rPr>
                <w:rFonts w:eastAsia="STZhongsong" w:cs="Times New Roman"/>
                <w:b/>
                <w:lang w:eastAsia="zh-CN"/>
              </w:rPr>
              <w:t>Framework Price</w:t>
            </w:r>
          </w:p>
        </w:tc>
        <w:tc>
          <w:tcPr>
            <w:tcW w:w="6087" w:type="dxa"/>
            <w:shd w:val="clear" w:color="auto" w:fill="D9D9D9"/>
          </w:tcPr>
          <w:p w:rsidR="00871477" w:rsidRPr="00871477" w:rsidRDefault="00871477" w:rsidP="00871477">
            <w:pPr>
              <w:keepNext/>
              <w:overflowPunct/>
              <w:autoSpaceDE/>
              <w:autoSpaceDN/>
              <w:spacing w:before="240" w:after="120"/>
              <w:ind w:left="142"/>
              <w:textAlignment w:val="auto"/>
              <w:rPr>
                <w:rFonts w:eastAsia="STZhongsong" w:cs="Times New Roman"/>
                <w:b/>
                <w:bCs/>
                <w:szCs w:val="18"/>
                <w:lang w:eastAsia="zh-CN"/>
              </w:rPr>
            </w:pPr>
            <w:r w:rsidRPr="00871477">
              <w:rPr>
                <w:rFonts w:eastAsia="STZhongsong" w:cs="Times New Roman"/>
                <w:b/>
                <w:bCs/>
                <w:lang w:eastAsia="zh-CN"/>
              </w:rPr>
              <w:t>Fixed Framework Price (£)</w:t>
            </w:r>
          </w:p>
        </w:tc>
      </w:tr>
      <w:tr w:rsidR="00871477" w:rsidRPr="00871477" w:rsidTr="00871477">
        <w:tc>
          <w:tcPr>
            <w:tcW w:w="3126" w:type="dxa"/>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highlight w:val="green"/>
                <w:lang w:eastAsia="zh-CN"/>
              </w:rPr>
              <w:t>[e.g. M3]</w:t>
            </w:r>
          </w:p>
        </w:tc>
        <w:tc>
          <w:tcPr>
            <w:tcW w:w="6087" w:type="dxa"/>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p>
        </w:tc>
      </w:tr>
      <w:tr w:rsidR="00871477" w:rsidRPr="00871477" w:rsidTr="00871477">
        <w:tc>
          <w:tcPr>
            <w:tcW w:w="3126" w:type="dxa"/>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highlight w:val="green"/>
                <w:lang w:eastAsia="zh-CN"/>
              </w:rPr>
              <w:t>[e.g. SC3]</w:t>
            </w:r>
          </w:p>
        </w:tc>
        <w:tc>
          <w:tcPr>
            <w:tcW w:w="6087" w:type="dxa"/>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p>
        </w:tc>
      </w:tr>
      <w:tr w:rsidR="00871477" w:rsidRPr="00871477" w:rsidTr="00871477">
        <w:tc>
          <w:tcPr>
            <w:tcW w:w="3126" w:type="dxa"/>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highlight w:val="green"/>
                <w:lang w:eastAsia="zh-CN"/>
              </w:rPr>
              <w:t>[e.g. OSC1]</w:t>
            </w:r>
          </w:p>
        </w:tc>
        <w:tc>
          <w:tcPr>
            <w:tcW w:w="6087" w:type="dxa"/>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p>
        </w:tc>
      </w:tr>
    </w:tbl>
    <w:p w:rsidR="00871477" w:rsidRPr="00871477" w:rsidRDefault="00871477" w:rsidP="00871477">
      <w:pPr>
        <w:spacing w:before="240" w:after="120"/>
        <w:ind w:left="426"/>
        <w:rPr>
          <w:b/>
          <w:i/>
        </w:rPr>
      </w:pPr>
    </w:p>
    <w:p w:rsidR="00871477" w:rsidRP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bCs/>
          <w:caps/>
          <w:lang w:eastAsia="zh-CN"/>
        </w:rPr>
      </w:pPr>
      <w:r w:rsidRPr="00871477">
        <w:rPr>
          <w:rFonts w:ascii="Arial Bold" w:eastAsia="STZhongsong" w:hAnsi="Arial Bold" w:cs="Times New Roman"/>
          <w:b/>
          <w:caps/>
          <w:sz w:val="24"/>
          <w:lang w:eastAsia="zh-CN"/>
        </w:rPr>
        <w:br w:type="page"/>
      </w:r>
      <w:bookmarkStart w:id="71" w:name="_Toc492462933"/>
      <w:r w:rsidRPr="00871477">
        <w:rPr>
          <w:rFonts w:ascii="Arial Bold" w:eastAsia="STZhongsong" w:hAnsi="Arial Bold" w:cs="Times New Roman"/>
          <w:b/>
          <w:caps/>
          <w:lang w:eastAsia="zh-CN"/>
        </w:rPr>
        <w:lastRenderedPageBreak/>
        <w:t>ANNEX 3: FRAMEWORK PRICES</w:t>
      </w:r>
      <w:bookmarkEnd w:id="71"/>
      <w:r w:rsidRPr="00871477">
        <w:rPr>
          <w:rFonts w:ascii="Arial Bold" w:eastAsia="STZhongsong" w:hAnsi="Arial Bold" w:cs="Times New Roman"/>
          <w:b/>
          <w:caps/>
          <w:lang w:eastAsia="zh-CN"/>
        </w:rPr>
        <w:t xml:space="preserve"> </w:t>
      </w:r>
    </w:p>
    <w:p w:rsidR="0006376E" w:rsidRDefault="0006376E" w:rsidP="00A176C9">
      <w:pPr>
        <w:keepNext/>
        <w:overflowPunct/>
        <w:autoSpaceDE/>
        <w:autoSpaceDN/>
        <w:spacing w:before="240"/>
        <w:ind w:firstLine="426"/>
        <w:jc w:val="left"/>
        <w:textAlignment w:val="auto"/>
        <w:rPr>
          <w:b/>
          <w:bCs/>
          <w:color w:val="000000"/>
        </w:rPr>
      </w:pPr>
    </w:p>
    <w:p w:rsidR="00A176C9" w:rsidRPr="00A176C9" w:rsidRDefault="00A176C9" w:rsidP="00A176C9">
      <w:pPr>
        <w:keepNext/>
        <w:overflowPunct/>
        <w:autoSpaceDE/>
        <w:autoSpaceDN/>
        <w:spacing w:before="240"/>
        <w:ind w:firstLine="426"/>
        <w:jc w:val="center"/>
        <w:textAlignment w:val="auto"/>
        <w:rPr>
          <w:b/>
          <w:bCs/>
          <w:color w:val="000000"/>
        </w:rPr>
      </w:pPr>
      <w:r w:rsidRPr="00A176C9">
        <w:rPr>
          <w:b/>
          <w:bCs/>
          <w:color w:val="000000"/>
        </w:rPr>
        <w:t>&lt;REDACTED&gt;</w:t>
      </w:r>
    </w:p>
    <w:p w:rsidR="0006376E" w:rsidRDefault="0006376E">
      <w:pPr>
        <w:overflowPunct/>
        <w:autoSpaceDE/>
        <w:autoSpaceDN/>
        <w:adjustRightInd/>
        <w:spacing w:after="0"/>
        <w:jc w:val="left"/>
        <w:textAlignment w:val="auto"/>
        <w:rPr>
          <w:b/>
          <w:bCs/>
          <w:color w:val="000000"/>
        </w:rPr>
      </w:pPr>
      <w:r>
        <w:rPr>
          <w:b/>
          <w:bCs/>
          <w:color w:val="000000"/>
        </w:rPr>
        <w:br w:type="page"/>
      </w:r>
    </w:p>
    <w:p w:rsidR="0041492D" w:rsidRPr="00871477" w:rsidRDefault="0041492D"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72" w:name="_Toc492462934"/>
      <w:r w:rsidRPr="00871477">
        <w:rPr>
          <w:rFonts w:ascii="Arial Bold" w:eastAsia="STZhongsong" w:hAnsi="Arial Bold" w:cs="Times New Roman"/>
          <w:b/>
          <w:caps/>
          <w:lang w:eastAsia="zh-CN"/>
        </w:rPr>
        <w:t>FRAMEWORK SCHEDULE 4: TEMPLATE ORDER FORM AND TEMPLATE CALL OFF TERMS</w:t>
      </w:r>
      <w:bookmarkEnd w:id="72"/>
    </w:p>
    <w:p w:rsid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bookmarkStart w:id="73" w:name="_Toc492462935"/>
      <w:r w:rsidRPr="00871477">
        <w:rPr>
          <w:rFonts w:ascii="Arial Bold" w:eastAsia="STZhongsong" w:hAnsi="Arial Bold" w:cs="Times New Roman"/>
          <w:b/>
          <w:caps/>
          <w:lang w:eastAsia="zh-CN"/>
        </w:rPr>
        <w:t>ANNEX 1: TEMPLATE ORDER FORM</w:t>
      </w:r>
      <w:r w:rsidR="008C2005">
        <w:rPr>
          <w:rFonts w:ascii="Arial Bold" w:eastAsia="STZhongsong" w:hAnsi="Arial Bold" w:cs="Times New Roman"/>
          <w:b/>
          <w:caps/>
          <w:lang w:eastAsia="zh-CN"/>
        </w:rPr>
        <w:t xml:space="preserve"> and call off forms</w:t>
      </w:r>
      <w:bookmarkEnd w:id="73"/>
    </w:p>
    <w:bookmarkStart w:id="74" w:name="_Toc492387995"/>
    <w:bookmarkStart w:id="75" w:name="_Toc492392698"/>
    <w:bookmarkStart w:id="76" w:name="_Toc492459347"/>
    <w:bookmarkStart w:id="77" w:name="_Toc492462936"/>
    <w:bookmarkEnd w:id="74"/>
    <w:bookmarkEnd w:id="75"/>
    <w:bookmarkEnd w:id="76"/>
    <w:bookmarkEnd w:id="77"/>
    <w:bookmarkStart w:id="78" w:name="_MON_1566802789"/>
    <w:bookmarkEnd w:id="78"/>
    <w:p w:rsidR="008C2005" w:rsidRPr="00871477" w:rsidRDefault="00091EB2"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r>
        <w:rPr>
          <w:rFonts w:ascii="Arial Bold" w:eastAsia="STZhongsong" w:hAnsi="Arial Bold" w:cs="Times New Roman" w:hint="eastAsia"/>
          <w:b/>
          <w:caps/>
          <w:lang w:eastAsia="zh-CN"/>
        </w:rPr>
        <w:object w:dxaOrig="1490" w:dyaOrig="991">
          <v:shape id="_x0000_i1026" type="#_x0000_t75" style="width:74.65pt;height:49.5pt" o:ole="">
            <v:imagedata r:id="rId14" o:title=""/>
          </v:shape>
          <o:OLEObject Type="Embed" ProgID="Word.Document.12" ShapeID="_x0000_i1026" DrawAspect="Icon" ObjectID="_1568098741" r:id="rId15">
            <o:FieldCodes>\s</o:FieldCodes>
          </o:OLEObject>
        </w:object>
      </w:r>
    </w:p>
    <w:p w:rsidR="00871477" w:rsidRP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bookmarkStart w:id="79" w:name="_Toc492032184"/>
      <w:bookmarkStart w:id="80" w:name="_Toc492032608"/>
      <w:bookmarkEnd w:id="79"/>
      <w:bookmarkEnd w:id="80"/>
    </w:p>
    <w:p w:rsidR="002E5A02" w:rsidRPr="00871477" w:rsidRDefault="00871477" w:rsidP="002E5A02">
      <w:pPr>
        <w:keepNext/>
        <w:overflowPunct/>
        <w:autoSpaceDE/>
        <w:autoSpaceDN/>
        <w:ind w:firstLine="426"/>
        <w:jc w:val="center"/>
        <w:textAlignment w:val="auto"/>
        <w:outlineLvl w:val="1"/>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81" w:name="_Toc492462937"/>
      <w:r w:rsidRPr="00871477">
        <w:rPr>
          <w:rFonts w:ascii="Arial Bold" w:eastAsia="STZhongsong" w:hAnsi="Arial Bold" w:cs="Times New Roman"/>
          <w:b/>
          <w:caps/>
          <w:lang w:eastAsia="zh-CN"/>
        </w:rPr>
        <w:lastRenderedPageBreak/>
        <w:t xml:space="preserve">ANNEX 2: </w:t>
      </w:r>
      <w:r w:rsidR="008C2005">
        <w:rPr>
          <w:rFonts w:ascii="Arial Bold" w:eastAsia="STZhongsong" w:hAnsi="Arial Bold" w:cs="Times New Roman"/>
          <w:b/>
          <w:caps/>
          <w:lang w:eastAsia="zh-CN"/>
        </w:rPr>
        <w:t>NOT USED</w:t>
      </w:r>
      <w:bookmarkEnd w:id="81"/>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82" w:name="_Toc492462938"/>
      <w:r w:rsidRPr="00871477">
        <w:rPr>
          <w:rFonts w:ascii="Arial Bold" w:eastAsia="STZhongsong" w:hAnsi="Arial Bold" w:cs="Times New Roman"/>
          <w:b/>
          <w:caps/>
          <w:lang w:eastAsia="zh-CN"/>
        </w:rPr>
        <w:lastRenderedPageBreak/>
        <w:t>FRAMEWORK SCHEDULE 5: CALL OFF PROCEDURE</w:t>
      </w:r>
      <w:bookmarkEnd w:id="82"/>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AWARD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CSL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Pr="00871477">
        <w:rPr>
          <w:b/>
          <w:lang w:eastAsia="zh-CN"/>
        </w:rPr>
        <w:t>Guidance</w:t>
      </w:r>
      <w:r w:rsidRPr="00871477">
        <w:rPr>
          <w:lang w:eastAsia="zh-CN"/>
        </w:rPr>
        <w:t>” shall mean any guidance issued or updated by the UK Government from time to time in relation to the Regulations.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be fully responsible for all its costs arising from this Framework Schedule 5. The Supplier acknowledges and agrees that in no event shall CSL have any liability for such costs, in whole or in part, at any time and even where CSL decide not to appoint the Supplier for any reason including but not limited to the circumstances set out in paragraph 5 below.</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If  CSL can determine that: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its Goods and/or Services Requirements can be met by the Framework Suppliers’ catalogues and description of the Goods and/or Services as set out in Framework Schedule 2 (Goods and/or Services and Key Performance Indicators); and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all of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p>
    <w:p w:rsidR="00871477" w:rsidRPr="00871477" w:rsidRDefault="00871477" w:rsidP="00871477">
      <w:pPr>
        <w:tabs>
          <w:tab w:val="left" w:pos="3402"/>
        </w:tabs>
        <w:spacing w:after="220"/>
        <w:ind w:left="1134"/>
        <w:rPr>
          <w:szCs w:val="24"/>
        </w:rPr>
      </w:pPr>
      <w:r w:rsidRPr="00871477">
        <w:rPr>
          <w:szCs w:val="24"/>
        </w:rPr>
        <w:t>then CSL may award a Call Off Contract in accordance with the procedure set out in paragraph 2 below.</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 xml:space="preserve">DIRECT ORDERING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paragraph 1.3 above when awarding a Call Off Contract under this Framework Agreement CSL shall develop a clear Statement of Requirements and award the Call Off Contract to the Supplier in accordance with paragraph 7 below.</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NOT USED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NOT USED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NO AWARD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Notwithstanding the fact that the Contracting Authority has followed a procedure as set out above in paragraph 2, the Contracting Authority shall be entitled at all times to decline to make an award for its Goods and/or Services Requirements.  Nothing in this Framework Agreement shall oblige CSL to award any Call Off Contract.</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Default="00871477" w:rsidP="00871477">
      <w:pPr>
        <w:tabs>
          <w:tab w:val="left" w:pos="709"/>
          <w:tab w:val="left" w:pos="1134"/>
        </w:tabs>
        <w:overflowPunct/>
        <w:autoSpaceDE/>
        <w:autoSpaceDN/>
        <w:spacing w:before="120" w:after="120"/>
        <w:ind w:left="644"/>
        <w:textAlignment w:val="auto"/>
        <w:rPr>
          <w:lang w:eastAsia="zh-CN"/>
        </w:rPr>
      </w:pPr>
    </w:p>
    <w:p w:rsidR="00A176C9" w:rsidRPr="00871477" w:rsidRDefault="00A176C9"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lastRenderedPageBreak/>
        <w:t>RESPONSIBILITY FOR AWARDS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acknowledges that  CSL is independently responsible for the conduct of its award of Call Off Contracts under this Framework Agreement and that the Authority is not responsible or accountable for and shall have no liability whatsoever in relation to:</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conduct of CSL in relation to this Framework Agreement; or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performance or non-performance of any Call Off Contracts between the Supplier and CSL entered into pursuant to this Framework Agreement,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CALL OFF award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Subject to paragraphs 1 to 6 above, CSL may award a Call Off Contract to the Supplier by sending (including electronically) a signed Call Off Contract (as may be amended or refined by  CSL in accordance with paragraph 3.1.2 above).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Parties agree that any document or communication (including any document or communication in the apparent form of a Call Off Contract) which is not as described in this paragraph 7 shall not constitute a Call Off Contract under this Framework Agreement.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On receipt of the Call Off Contract as described in paragraph 7.1 from CSL the Supplier shall accept the Call Off Contract by promptly signing and returning (including by electronic means) a copy of the completed Template Order Form to CSL (as appropriate).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On receipt of the signed order form from the Supplier, CSL shall send (including by electronic means) a written notice of receipt to the Supplier within two (2) Working Days and a Call Off Contract shall be formed.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Once the Call Off Contract has been formed CSL or its Service Recipients are permitted to request specific services in accordance with the terms of the clause 8 of the Call Off Contract. </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overflowPunct/>
        <w:autoSpaceDE/>
        <w:autoSpaceDN/>
        <w:adjustRightInd/>
        <w:spacing w:after="0"/>
        <w:jc w:val="left"/>
        <w:textAlignment w:val="auto"/>
        <w:rPr>
          <w:color w:val="FFFFFF"/>
          <w:sz w:val="16"/>
          <w:szCs w:val="16"/>
        </w:rPr>
      </w:pPr>
      <w:r w:rsidRPr="00871477">
        <w:br w:type="page"/>
      </w:r>
    </w:p>
    <w:p w:rsidR="004010DD" w:rsidRDefault="004010DD" w:rsidP="004010DD">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83" w:name="_Toc492387998"/>
      <w:bookmarkStart w:id="84" w:name="_Toc492462939"/>
      <w:r w:rsidRPr="00871477">
        <w:rPr>
          <w:rFonts w:ascii="Arial Bold" w:eastAsia="STZhongsong" w:hAnsi="Arial Bold" w:cs="Times New Roman"/>
          <w:b/>
          <w:caps/>
          <w:lang w:eastAsia="zh-CN"/>
        </w:rPr>
        <w:lastRenderedPageBreak/>
        <w:t xml:space="preserve">FRAMEWORK SCHEDULE 6: </w:t>
      </w:r>
      <w:r w:rsidR="005A27DF">
        <w:rPr>
          <w:rFonts w:ascii="Arial Bold" w:eastAsia="STZhongsong" w:hAnsi="Arial Bold" w:cs="Times New Roman"/>
          <w:b/>
          <w:caps/>
          <w:lang w:eastAsia="zh-CN"/>
        </w:rPr>
        <w:t>NOT USED</w:t>
      </w:r>
      <w:bookmarkEnd w:id="83"/>
      <w:bookmarkEnd w:id="84"/>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Pr="00F21239" w:rsidRDefault="004010DD" w:rsidP="004010DD">
      <w:pPr>
        <w:keepNext/>
        <w:overflowPunct/>
        <w:autoSpaceDE/>
        <w:autoSpaceDN/>
        <w:spacing w:before="240"/>
        <w:ind w:firstLine="426"/>
        <w:jc w:val="center"/>
        <w:textAlignment w:val="auto"/>
        <w:rPr>
          <w:rFonts w:ascii="Arial" w:eastAsia="STZhongsong" w:hAnsi="Arial"/>
          <w:b/>
          <w:caps/>
          <w:sz w:val="20"/>
          <w:szCs w:val="20"/>
          <w:lang w:eastAsia="zh-CN"/>
        </w:rPr>
      </w:pPr>
    </w:p>
    <w:p w:rsidR="004010DD" w:rsidRPr="00F21239" w:rsidRDefault="004010DD" w:rsidP="004010DD">
      <w:pPr>
        <w:tabs>
          <w:tab w:val="left" w:pos="851"/>
        </w:tabs>
        <w:rPr>
          <w:rFonts w:ascii="Arial" w:hAnsi="Arial"/>
          <w:sz w:val="20"/>
          <w:szCs w:val="20"/>
        </w:rPr>
      </w:pPr>
    </w:p>
    <w:p w:rsidR="004010DD" w:rsidRPr="00F21239" w:rsidRDefault="004010DD" w:rsidP="005A27DF">
      <w:pPr>
        <w:keepNext/>
        <w:overflowPunct/>
        <w:autoSpaceDE/>
        <w:autoSpaceDN/>
        <w:spacing w:before="240"/>
        <w:ind w:firstLine="426"/>
        <w:jc w:val="center"/>
        <w:textAlignment w:val="auto"/>
        <w:rPr>
          <w:rFonts w:ascii="Arial" w:hAnsi="Arial"/>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r w:rsidRPr="003B01CB">
        <w:rPr>
          <w:rFonts w:ascii="Arial" w:eastAsia="STZhongsong" w:hAnsi="Arial"/>
          <w:b/>
          <w:caps/>
          <w:sz w:val="20"/>
          <w:szCs w:val="20"/>
          <w:lang w:eastAsia="zh-CN"/>
        </w:rPr>
        <w:t xml:space="preserve"> </w:t>
      </w:r>
    </w:p>
    <w:p w:rsidR="004010DD" w:rsidRPr="00F21239" w:rsidRDefault="004010DD" w:rsidP="004010DD">
      <w:pPr>
        <w:spacing w:after="0"/>
        <w:rPr>
          <w:rFonts w:ascii="Arial" w:hAnsi="Arial"/>
          <w:color w:val="FFFFFF"/>
          <w:sz w:val="20"/>
          <w:szCs w:val="20"/>
        </w:rPr>
      </w:pPr>
    </w:p>
    <w:p w:rsidR="004010DD" w:rsidRPr="003B01CB" w:rsidRDefault="004010DD" w:rsidP="004010DD">
      <w:pPr>
        <w:pStyle w:val="GPSL1CLAUSEHEADING"/>
        <w:numPr>
          <w:ilvl w:val="0"/>
          <w:numId w:val="0"/>
        </w:numPr>
        <w:ind w:left="426"/>
      </w:pPr>
    </w:p>
    <w:p w:rsidR="004010DD" w:rsidRPr="00871477" w:rsidRDefault="004010DD" w:rsidP="004010DD">
      <w:pPr>
        <w:keepNext/>
        <w:overflowPunct/>
        <w:autoSpaceDE/>
        <w:autoSpaceDN/>
        <w:spacing w:before="240"/>
        <w:ind w:firstLine="426"/>
        <w:jc w:val="center"/>
        <w:textAlignment w:val="auto"/>
        <w:rPr>
          <w:rFonts w:ascii="Arial Bold" w:eastAsia="STZhongsong" w:hAnsi="Arial Bold" w:cs="Times New Roman" w:hint="eastAsia"/>
          <w:b/>
          <w:caps/>
          <w:lang w:eastAsia="zh-CN"/>
        </w:rPr>
      </w:pPr>
    </w:p>
    <w:p w:rsidR="004010DD" w:rsidRPr="00871477" w:rsidRDefault="004010DD" w:rsidP="004010DD">
      <w:pPr>
        <w:keepNext/>
        <w:overflowPunct/>
        <w:autoSpaceDE/>
        <w:autoSpaceDN/>
        <w:spacing w:before="240"/>
        <w:ind w:firstLine="426"/>
        <w:jc w:val="center"/>
        <w:textAlignment w:val="auto"/>
        <w:rPr>
          <w:rFonts w:ascii="Arial Bold" w:eastAsia="STZhongsong" w:hAnsi="Arial Bold" w:cs="Times New Roman" w:hint="eastAsia"/>
          <w:b/>
          <w:caps/>
          <w:lang w:eastAsia="zh-CN"/>
        </w:rPr>
      </w:pPr>
    </w:p>
    <w:p w:rsidR="00871477" w:rsidRPr="005A27DF" w:rsidRDefault="004010DD" w:rsidP="005A27DF">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2E5A02">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sidDel="00E74BDF">
        <w:rPr>
          <w:rFonts w:ascii="Arial Bold" w:eastAsia="STZhongsong" w:hAnsi="Arial Bold" w:cs="Times New Roman"/>
          <w:b/>
          <w:caps/>
          <w:lang w:eastAsia="zh-CN"/>
        </w:rPr>
        <w:t xml:space="preserve"> </w:t>
      </w:r>
      <w:bookmarkStart w:id="85" w:name="_Toc492462940"/>
      <w:r w:rsidRPr="00871477">
        <w:rPr>
          <w:rFonts w:ascii="Arial Bold" w:eastAsia="STZhongsong" w:hAnsi="Arial Bold" w:cs="Times New Roman"/>
          <w:b/>
          <w:caps/>
          <w:lang w:eastAsia="zh-CN"/>
        </w:rPr>
        <w:t>FRAMEWORK SCHEDULE 7: KEY SUB-CONTRACTORS</w:t>
      </w:r>
      <w:bookmarkEnd w:id="85"/>
    </w:p>
    <w:p w:rsidR="00871477" w:rsidRPr="00871477" w:rsidRDefault="00871477" w:rsidP="00871477">
      <w:pPr>
        <w:numPr>
          <w:ilvl w:val="0"/>
          <w:numId w:val="13"/>
        </w:numPr>
        <w:tabs>
          <w:tab w:val="left" w:pos="851"/>
        </w:tabs>
      </w:pPr>
      <w:r w:rsidRPr="00871477">
        <w:t>In accordance with Clause 25.1 (Appointment of Key Sub-Contractors), the Supplier is entitled to sub-contract its obligations under this Framework Agreement and any Call Off Contracts entered into pursuant to this Framework Agreement, to the Key Sub-Contractors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23"/>
        <w:gridCol w:w="3023"/>
      </w:tblGrid>
      <w:tr w:rsidR="00871477" w:rsidRPr="00871477" w:rsidTr="00871477">
        <w:tc>
          <w:tcPr>
            <w:tcW w:w="1648" w:type="pct"/>
            <w:shd w:val="clear" w:color="auto" w:fill="D9D9D9"/>
            <w:vAlign w:val="center"/>
          </w:tcPr>
          <w:p w:rsidR="00871477" w:rsidRPr="00871477" w:rsidRDefault="00871477" w:rsidP="00871477">
            <w:pPr>
              <w:keepNext/>
              <w:overflowPunct/>
              <w:autoSpaceDE/>
              <w:autoSpaceDN/>
              <w:spacing w:before="240" w:after="120"/>
              <w:ind w:left="142"/>
              <w:jc w:val="center"/>
              <w:textAlignment w:val="auto"/>
              <w:rPr>
                <w:rFonts w:eastAsia="STZhongsong"/>
                <w:b/>
                <w:lang w:eastAsia="zh-CN"/>
              </w:rPr>
            </w:pPr>
            <w:r w:rsidRPr="00871477">
              <w:rPr>
                <w:rFonts w:eastAsia="STZhongsong"/>
                <w:b/>
                <w:lang w:eastAsia="zh-CN"/>
              </w:rPr>
              <w:t>Name and Full Contact Details</w:t>
            </w:r>
          </w:p>
        </w:tc>
        <w:tc>
          <w:tcPr>
            <w:tcW w:w="1676" w:type="pct"/>
            <w:shd w:val="clear" w:color="auto" w:fill="D9D9D9"/>
            <w:vAlign w:val="center"/>
          </w:tcPr>
          <w:p w:rsidR="00871477" w:rsidRPr="00871477" w:rsidRDefault="00871477" w:rsidP="00871477">
            <w:pPr>
              <w:keepNext/>
              <w:overflowPunct/>
              <w:autoSpaceDE/>
              <w:autoSpaceDN/>
              <w:spacing w:before="240" w:after="120"/>
              <w:ind w:left="142"/>
              <w:jc w:val="center"/>
              <w:textAlignment w:val="auto"/>
              <w:rPr>
                <w:rFonts w:eastAsia="STZhongsong"/>
                <w:b/>
                <w:lang w:eastAsia="zh-CN"/>
              </w:rPr>
            </w:pPr>
            <w:r w:rsidRPr="00871477">
              <w:rPr>
                <w:rFonts w:eastAsia="STZhongsong"/>
                <w:b/>
                <w:lang w:eastAsia="zh-CN"/>
              </w:rPr>
              <w:t>Obligation</w:t>
            </w:r>
          </w:p>
        </w:tc>
        <w:tc>
          <w:tcPr>
            <w:tcW w:w="1676" w:type="pct"/>
            <w:shd w:val="clear" w:color="auto" w:fill="D9D9D9"/>
          </w:tcPr>
          <w:p w:rsidR="00871477" w:rsidRPr="00871477" w:rsidRDefault="00871477" w:rsidP="00871477">
            <w:pPr>
              <w:keepNext/>
              <w:overflowPunct/>
              <w:autoSpaceDE/>
              <w:autoSpaceDN/>
              <w:spacing w:before="240" w:after="120"/>
              <w:ind w:left="142"/>
              <w:jc w:val="center"/>
              <w:textAlignment w:val="auto"/>
              <w:rPr>
                <w:rFonts w:eastAsia="STZhongsong"/>
                <w:b/>
                <w:lang w:eastAsia="zh-CN"/>
              </w:rPr>
            </w:pPr>
            <w:r w:rsidRPr="00871477">
              <w:rPr>
                <w:rFonts w:eastAsia="STZhongsong"/>
                <w:b/>
                <w:lang w:eastAsia="zh-CN"/>
              </w:rPr>
              <w:t>% of Obligation</w:t>
            </w:r>
          </w:p>
        </w:tc>
      </w:tr>
      <w:tr w:rsidR="008C2005" w:rsidRPr="00871477" w:rsidTr="008C2005">
        <w:trPr>
          <w:trHeight w:val="824"/>
        </w:trPr>
        <w:tc>
          <w:tcPr>
            <w:tcW w:w="1648" w:type="pct"/>
            <w:shd w:val="clear" w:color="auto" w:fill="auto"/>
            <w:vAlign w:val="center"/>
          </w:tcPr>
          <w:p w:rsidR="008C2005" w:rsidRPr="0006376E" w:rsidRDefault="00A176C9" w:rsidP="008C2005">
            <w:pPr>
              <w:keepNext/>
              <w:overflowPunct/>
              <w:autoSpaceDE/>
              <w:autoSpaceDN/>
              <w:spacing w:after="0"/>
              <w:ind w:left="142"/>
              <w:jc w:val="center"/>
              <w:textAlignment w:val="auto"/>
              <w:rPr>
                <w:rFonts w:ascii="Arial" w:eastAsia="STZhongsong" w:hAnsi="Arial"/>
                <w:color w:val="000000" w:themeColor="text1"/>
                <w:sz w:val="20"/>
                <w:szCs w:val="20"/>
                <w:lang w:eastAsia="zh-CN"/>
              </w:rPr>
            </w:pPr>
            <w:r>
              <w:rPr>
                <w:rFonts w:ascii="Arial" w:eastAsia="STZhongsong" w:hAnsi="Arial"/>
                <w:b/>
                <w:color w:val="000000" w:themeColor="text1"/>
                <w:sz w:val="20"/>
                <w:szCs w:val="20"/>
                <w:lang w:eastAsia="zh-CN"/>
              </w:rPr>
              <w:t>&lt;REDACTED&gt;</w:t>
            </w:r>
          </w:p>
        </w:tc>
        <w:tc>
          <w:tcPr>
            <w:tcW w:w="1676" w:type="pct"/>
          </w:tcPr>
          <w:p w:rsidR="008C2005" w:rsidRPr="0006376E" w:rsidRDefault="00A176C9" w:rsidP="008C2005">
            <w:pPr>
              <w:keepNext/>
              <w:overflowPunct/>
              <w:autoSpaceDE/>
              <w:autoSpaceDN/>
              <w:spacing w:before="240" w:after="120"/>
              <w:ind w:left="142"/>
              <w:jc w:val="center"/>
              <w:textAlignment w:val="auto"/>
              <w:rPr>
                <w:rFonts w:ascii="Arial" w:eastAsia="STZhongsong" w:hAnsi="Arial"/>
                <w:color w:val="000000" w:themeColor="text1"/>
                <w:sz w:val="20"/>
                <w:szCs w:val="20"/>
                <w:lang w:eastAsia="zh-CN"/>
              </w:rPr>
            </w:pPr>
            <w:r>
              <w:rPr>
                <w:rFonts w:ascii="Arial" w:eastAsia="STZhongsong" w:hAnsi="Arial"/>
                <w:b/>
                <w:color w:val="000000" w:themeColor="text1"/>
                <w:sz w:val="20"/>
                <w:szCs w:val="20"/>
                <w:lang w:eastAsia="zh-CN"/>
              </w:rPr>
              <w:t>&lt;REDACTED&gt;</w:t>
            </w:r>
          </w:p>
        </w:tc>
        <w:tc>
          <w:tcPr>
            <w:tcW w:w="1676" w:type="pct"/>
            <w:shd w:val="clear" w:color="auto" w:fill="auto"/>
          </w:tcPr>
          <w:p w:rsidR="008C2005" w:rsidRPr="0006376E" w:rsidRDefault="00A176C9" w:rsidP="008C2005">
            <w:pPr>
              <w:keepNext/>
              <w:overflowPunct/>
              <w:autoSpaceDE/>
              <w:autoSpaceDN/>
              <w:spacing w:before="240" w:after="120"/>
              <w:ind w:left="142"/>
              <w:jc w:val="center"/>
              <w:textAlignment w:val="auto"/>
              <w:rPr>
                <w:rFonts w:ascii="Arial" w:eastAsia="STZhongsong" w:hAnsi="Arial"/>
                <w:color w:val="000000" w:themeColor="text1"/>
                <w:sz w:val="20"/>
                <w:szCs w:val="20"/>
                <w:lang w:eastAsia="zh-CN"/>
              </w:rPr>
            </w:pPr>
            <w:r>
              <w:rPr>
                <w:rFonts w:ascii="Arial" w:eastAsia="STZhongsong" w:hAnsi="Arial"/>
                <w:b/>
                <w:color w:val="000000" w:themeColor="text1"/>
                <w:sz w:val="20"/>
                <w:szCs w:val="20"/>
                <w:lang w:eastAsia="zh-CN"/>
              </w:rPr>
              <w:t>&lt;REDACTED&gt;</w:t>
            </w:r>
          </w:p>
        </w:tc>
      </w:tr>
    </w:tbl>
    <w:p w:rsidR="00871477" w:rsidRPr="00871477" w:rsidRDefault="00871477" w:rsidP="00871477">
      <w:pPr>
        <w:tabs>
          <w:tab w:val="left" w:pos="1985"/>
        </w:tabs>
        <w:overflowPunct/>
        <w:autoSpaceDE/>
        <w:autoSpaceDN/>
        <w:spacing w:before="120" w:after="120"/>
        <w:ind w:left="1985"/>
        <w:jc w:val="center"/>
        <w:textAlignment w:val="auto"/>
        <w:rPr>
          <w:lang w:eastAsia="zh-CN"/>
        </w:rPr>
      </w:pPr>
    </w:p>
    <w:p w:rsidR="00871477" w:rsidRPr="00871477" w:rsidRDefault="00871477" w:rsidP="002E5A02">
      <w:pPr>
        <w:keepNext/>
        <w:overflowPunct/>
        <w:autoSpaceDE/>
        <w:autoSpaceDN/>
        <w:ind w:firstLine="426"/>
        <w:jc w:val="center"/>
        <w:textAlignment w:val="auto"/>
        <w:outlineLvl w:val="0"/>
        <w:rPr>
          <w:rFonts w:eastAsia="STZhongsong"/>
          <w:b/>
          <w:lang w:eastAsia="zh-CN"/>
        </w:rPr>
      </w:pPr>
      <w:r w:rsidRPr="00871477">
        <w:rPr>
          <w:highlight w:val="green"/>
          <w:lang w:eastAsia="zh-CN"/>
        </w:rPr>
        <w:br w:type="page"/>
      </w:r>
      <w:bookmarkStart w:id="86" w:name="_Toc492462941"/>
      <w:r w:rsidRPr="002E5A02">
        <w:rPr>
          <w:rFonts w:ascii="Arial Bold" w:eastAsia="STZhongsong" w:hAnsi="Arial Bold" w:cs="Times New Roman"/>
          <w:b/>
          <w:caps/>
          <w:lang w:eastAsia="zh-CN"/>
        </w:rPr>
        <w:lastRenderedPageBreak/>
        <w:t>FRAMEWORK</w:t>
      </w:r>
      <w:r w:rsidRPr="00871477">
        <w:rPr>
          <w:rFonts w:ascii="Arial Bold" w:eastAsia="STZhongsong" w:hAnsi="Arial Bold" w:cs="Times New Roman"/>
          <w:caps/>
          <w:lang w:eastAsia="zh-CN"/>
        </w:rPr>
        <w:t xml:space="preserve"> SCHEDULE 8: FRAMEWORK MANAGEMENT</w:t>
      </w:r>
      <w:bookmarkEnd w:id="86"/>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INTRODUCTION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following definitions shall apply in addition to the definitions contained in the Framework Schedule 1 (Definitions):</w:t>
      </w:r>
    </w:p>
    <w:tbl>
      <w:tblPr>
        <w:tblW w:w="7796" w:type="dxa"/>
        <w:tblInd w:w="1526" w:type="dxa"/>
        <w:tblLayout w:type="fixed"/>
        <w:tblLook w:val="04A0" w:firstRow="1" w:lastRow="0" w:firstColumn="1" w:lastColumn="0" w:noHBand="0" w:noVBand="1"/>
      </w:tblPr>
      <w:tblGrid>
        <w:gridCol w:w="2410"/>
        <w:gridCol w:w="5386"/>
      </w:tblGrid>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"Supplier Framework Manager"</w:t>
            </w:r>
          </w:p>
        </w:tc>
        <w:tc>
          <w:tcPr>
            <w:tcW w:w="5386" w:type="dxa"/>
            <w:shd w:val="clear" w:color="auto" w:fill="auto"/>
          </w:tcPr>
          <w:p w:rsidR="00871477" w:rsidRPr="00871477" w:rsidRDefault="00871477" w:rsidP="00871477">
            <w:pPr>
              <w:numPr>
                <w:ilvl w:val="0"/>
                <w:numId w:val="6"/>
              </w:numPr>
              <w:tabs>
                <w:tab w:val="left" w:pos="175"/>
              </w:tabs>
              <w:spacing w:after="120"/>
            </w:pPr>
            <w:r w:rsidRPr="00871477">
              <w:t>has the meaning given to it in paragraph 2.1.1 of this Framework Schedule 8; and</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"Supplier Review Meetings"</w:t>
            </w:r>
          </w:p>
        </w:tc>
        <w:tc>
          <w:tcPr>
            <w:tcW w:w="5386" w:type="dxa"/>
            <w:shd w:val="clear" w:color="auto" w:fill="auto"/>
          </w:tcPr>
          <w:p w:rsidR="00871477" w:rsidRPr="00871477" w:rsidRDefault="00871477" w:rsidP="00871477">
            <w:pPr>
              <w:numPr>
                <w:ilvl w:val="0"/>
                <w:numId w:val="6"/>
              </w:numPr>
              <w:tabs>
                <w:tab w:val="left" w:pos="175"/>
              </w:tabs>
              <w:spacing w:after="120"/>
            </w:pPr>
            <w:r w:rsidRPr="00871477">
              <w:t>has the meaning given to it in paragraph 2.2.1. of this Framework Schedule 8.</w:t>
            </w:r>
          </w:p>
        </w:tc>
      </w:tr>
    </w:tbl>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successful delivery of this Framework Agreement will rely on the ability of the Supplier and the Authority in developing a strategic relationship immediately following the conclusion of this Framework Agreement with the Supplier and maintaining this relationship throughout the Framework Period.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To achieve this strategic relationship, there will be a requirement to adopt proactive framework management activities which will be informed by quality Management Information, and the sharing of information between the Supplier and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Framework Schedule 8 outlines the general structures and management activities that the Parties shall follow during the Framework Period.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FRAMEWORK MANAGEMENT</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Framework Management Structure: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provide a suitably qualified nominated contact (the “</w:t>
      </w:r>
      <w:r w:rsidRPr="00871477">
        <w:rPr>
          <w:b/>
          <w:lang w:eastAsia="zh-CN"/>
        </w:rPr>
        <w:t>Supplier</w:t>
      </w:r>
      <w:r w:rsidRPr="00871477">
        <w:rPr>
          <w:lang w:eastAsia="zh-CN"/>
        </w:rPr>
        <w:t xml:space="preserve"> </w:t>
      </w:r>
      <w:r w:rsidRPr="00871477">
        <w:rPr>
          <w:b/>
          <w:lang w:eastAsia="zh-CN"/>
        </w:rPr>
        <w:t>Framework Manager</w:t>
      </w:r>
      <w:r w:rsidRPr="00871477">
        <w:rPr>
          <w:lang w:eastAsia="zh-CN"/>
        </w:rPr>
        <w:t xml:space="preserve">”) who will take overall responsibility for delivering the Goods and/or Services required within this Framework Agreement, as well as a suitably qualified deputy to act in their absence.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shall put in place a structure to manage the Framework in accordance with Framework Schedule 2 (Goods and/or Services and Key Performance Indicators).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 full governance structure for the Framework will be agreed between the Parties during the Framework Agreement implementation stage.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Following discussions between the Parties following the Framework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lastRenderedPageBreak/>
        <w:t>Supplier Review Meetings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Regular performance review meetings will take place at the Authority’s premises throughout the Framework Period and thereafter until the Framework Expiry Date </w:t>
      </w:r>
      <w:r w:rsidRPr="00871477">
        <w:rPr>
          <w:b/>
          <w:lang w:eastAsia="zh-CN"/>
        </w:rPr>
        <w:t>(“Supplier Review Meetings”</w:t>
      </w:r>
      <w:r w:rsidRPr="00871477">
        <w:rPr>
          <w:lang w:eastAsia="zh-CN"/>
        </w:rPr>
        <w:t xml:space="preserv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exact timings and frequencies of such Supplier Review Meetings will be determined by the Authority following the conclusion of the Framework Agreement. It is anticipated that the frequency of the Supplier Review Meetings will be once every month or less. The Parties shall be flexible about the timings of these meetings.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purpose of the Supplier Review Meetings will be to review the Supplier’s performance under this Framework Agreement and, where applicable, the Supplier’s adherence to the Supplier Action Plan. The agenda for each Supplier Review Meeting shall be set by the Authority and communicated to the Supplier in advance of that meeting.</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Review Meetings shall be attended, as a minimum, by the Authority Representative(s) and the Supplier Framework Manager.</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KEY PERFORMANCE INDICATORS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KPIs applicable to this Framework Agreement are set out in Framework Schedule 2 (Goods and/or Services and Key Performance Indicators).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establish processes to monitor its performance against the agreed KPIs. The Supplier shall at all times ensure compliance with the standards set by the KPIs.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shall review progress against these KPIs to evaluate the effectiveness and efficiency of which the Supplier performs its obligations to fulfil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Supplier’s achievement of KPIs shall be reviewed during the Supplier Review Meetings, in accordance with paragraph 2.2 above, and the review and ongoing monitoring of KPIs will form a key part of the framework management process as outlined in this Framework Schedule 8.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Cs/>
          <w:iCs/>
          <w:lang w:eastAsia="zh-CN"/>
        </w:rPr>
      </w:pPr>
      <w:r w:rsidRPr="00871477">
        <w:rPr>
          <w:lang w:eastAsia="zh-CN"/>
        </w:rPr>
        <w:t>The Authority reserves the right to adjust, introduce new, or remove KPIs throughout the Framework Period, however any significant changes to KPIs shall be agreed between the Authority and the Supplier.</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Cs/>
          <w:iCs/>
          <w:lang w:eastAsia="zh-CN"/>
        </w:rPr>
      </w:pPr>
      <w:r w:rsidRPr="00871477">
        <w:rPr>
          <w:lang w:eastAsia="zh-CN"/>
        </w:rPr>
        <w:t>The Authority reserves the right to use and publish the performance of the Supplier against the KPIs without restriction.</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color w:val="000000"/>
          <w:lang w:eastAsia="zh-CN"/>
        </w:rPr>
      </w:pPr>
      <w:r w:rsidRPr="00871477">
        <w:rPr>
          <w:rFonts w:eastAsia="STZhongsong"/>
          <w:b/>
          <w:caps/>
          <w:lang w:eastAsia="zh-CN"/>
        </w:rPr>
        <w:t>EFFICIENCY TRACKING PERFORMANCE MEASURES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 shall cooperate in good faith with the Authority to develop efficiency tracking performance measures for this Framework Agreement. This shall include but is not limited to: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tracking reductions in product costs, in order to demonstrate that Contracting Authorities are buying more smartly;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list in paragraph 4.1 is not exhaustive and may be developed during the Framework Period.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The metrics that are to be implemented to measure efficiency shall be developed and agreed between the Authority and the Supplier. Such metrics shall be incorporated into the list of KPIs set out in Framework Schedule 2 (Goods and/or Services and Key Performance Indicators).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Cs/>
          <w:iCs/>
          <w:lang w:eastAsia="zh-CN"/>
        </w:rPr>
      </w:pPr>
      <w:r w:rsidRPr="00871477">
        <w:rPr>
          <w:lang w:eastAsia="zh-CN"/>
        </w:rPr>
        <w:t>The ongoing progress and development of the efficiency tracking performance measures shall be reported through framework management activities as outlined in this Framework Schedule 8.</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ESCALATION PROCEDURE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cases where the Authority Representative and the Supplier Representative fail to reach a solution within a reasonable period of time, the matter shall be dealt with in accordance with the procedure set out in Clause 48</w:t>
      </w:r>
      <w:r w:rsidRPr="00871477">
        <w:rPr>
          <w:color w:val="FF0000"/>
          <w:lang w:eastAsia="zh-CN"/>
        </w:rPr>
        <w:t xml:space="preserve"> </w:t>
      </w:r>
      <w:r w:rsidRPr="00871477">
        <w:rPr>
          <w:lang w:eastAsia="zh-CN"/>
        </w:rPr>
        <w:t>(Dispute Resolution).</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sz w:val="16"/>
          <w:lang w:eastAsia="zh-CN"/>
        </w:rPr>
        <w:br w:type="page"/>
      </w:r>
      <w:bookmarkStart w:id="87" w:name="_Toc492462942"/>
      <w:r w:rsidRPr="00871477">
        <w:rPr>
          <w:rFonts w:ascii="Arial Bold" w:eastAsia="STZhongsong" w:hAnsi="Arial Bold" w:cs="Times New Roman"/>
          <w:b/>
          <w:caps/>
          <w:lang w:eastAsia="zh-CN"/>
        </w:rPr>
        <w:lastRenderedPageBreak/>
        <w:t>FRAMEWORK SCHEDULE 9: MANAGEMENT INFORMATION</w:t>
      </w:r>
      <w:bookmarkEnd w:id="87"/>
      <w:r w:rsidRPr="00871477">
        <w:rPr>
          <w:rFonts w:ascii="Arial Bold" w:eastAsia="STZhongsong" w:hAnsi="Arial Bold" w:cs="Times New Roman"/>
          <w:b/>
          <w:caps/>
          <w:lang w:eastAsia="zh-CN"/>
        </w:rPr>
        <w:t xml:space="preserve"> </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 REQUIREMENTS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operate and maintain appropriate systems, processes and records to ensure that it can, at all times, deliver timely and accurate Management Information to the Authority in accordance with the provisions of this Framework Schedule 9.</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also supply such Management Information as may be required by a Contracting Authority in accordance with the terms of a Call Off Contract.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MANAGEMENT INFORMATION AND FORMAT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agrees to provide timely, full, accurate and complete MI Reports to the Authority which incorporates the data, in the correct format, required by the MI Reporting Template.  The initial MI Reporting Template is set out in the Annex to this Framework Schedule 9.</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If the MI Reporting Template is amended by the Authority at any time, then the Supplier agrees to provide all future MI Reports in accordance with the most recent MI Reporting Template issued by the Authority.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may not make any amendment to the current MI Reporting Template without the prior Approval of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shall have the right from time to time (on reasonable written notice) to amend the nature of the Management Information which the Supplier is required to supply to the Authority.</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FREQUENCY AND COVERAGE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All MI Reports must be completed by the Supplier using the MI Reporting Template and returned to the Authority on or prior to the Reporting Date every Month during the Framework Period and thereafter, until all transactions relating to Call Off Contracts have permanently ceased.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must return the MI Report for each Month even where there are no transactions to report in the relevant Month (a "</w:t>
      </w:r>
      <w:r w:rsidRPr="00871477">
        <w:rPr>
          <w:b/>
          <w:lang w:eastAsia="zh-CN"/>
        </w:rPr>
        <w:t>Nil Return</w:t>
      </w:r>
      <w:r w:rsidRPr="00871477">
        <w:rPr>
          <w:lang w:eastAsia="zh-CN"/>
        </w:rPr>
        <w: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The Supplier must inform the Authority of any errors or corrections to the Management Information: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in the next MI Report due immediately following discovery of the error by the Supplier; or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as a result of the Authority querying any data contained in an MI Report.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SUBMISSION OF THE MONTHLY MI REPORT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completed MI Report shall be completed electronically and returned to the Authority by uploading the electronic MI Report computer file to MISO in accordance with the instructions provided in MISO.</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reserves the right (acting reasonably) to specify that the MI Report be submitted by the Supplier using an alternative communication to that specified in paragraph 4.1 above such as email.  The Supplier agrees to comply with any such instructions provided they do not materially increase the burden on the Supplier.</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DEFECTIVE MANAGEMENT INFORMATION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 where applicable.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871477" w:rsidRPr="00871477" w:rsidRDefault="00871477" w:rsidP="00871477">
      <w:pPr>
        <w:tabs>
          <w:tab w:val="left" w:pos="1134"/>
        </w:tabs>
        <w:overflowPunct/>
        <w:autoSpaceDE/>
        <w:autoSpaceDN/>
        <w:spacing w:before="120" w:after="120"/>
        <w:ind w:left="1134"/>
        <w:textAlignment w:val="auto"/>
        <w:rPr>
          <w:b/>
          <w:lang w:eastAsia="zh-CN"/>
        </w:rPr>
      </w:pPr>
      <w:r w:rsidRPr="00871477">
        <w:rPr>
          <w:b/>
          <w:lang w:eastAsia="zh-CN"/>
        </w:rPr>
        <w:t>Meetings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871477" w:rsidRPr="00871477" w:rsidRDefault="00871477" w:rsidP="00871477">
      <w:pPr>
        <w:tabs>
          <w:tab w:val="left" w:pos="1134"/>
        </w:tabs>
        <w:overflowPunct/>
        <w:autoSpaceDE/>
        <w:autoSpaceDN/>
        <w:spacing w:before="120" w:after="120"/>
        <w:ind w:left="1134"/>
        <w:textAlignment w:val="auto"/>
        <w:rPr>
          <w:b/>
          <w:lang w:eastAsia="zh-CN"/>
        </w:rPr>
      </w:pPr>
      <w:r w:rsidRPr="00871477">
        <w:rPr>
          <w:b/>
          <w:lang w:eastAsia="zh-CN"/>
        </w:rPr>
        <w:t xml:space="preserve">Admin Fees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in any rolling three (3) Month period, two (2) or more MI Failures occur, the Supplier acknowledges and agrees that the Authority shall have the right to invoice the Supplier Admin Fees and (subject to paragraph 5.5) in respect of any MI Failures as they arise in subsequent Months.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following activation of the Authority's right to charge Admin Fee(s) in respect of MI Failures pursuant to paragraph 5.4,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5.4 are met.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acknowledges and agrees that the Admin Fees are a fair reflection of the additional costs incurred by the Authority as a result of the Supplier failing to supply Management Information as required by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The Authority shall notify the Supplier if any Admin Fees arise pursuant to paragraph 5.4 above and shall be entitled to invoice the Supplier for such Admin Fees which shall be payable either separately or as a supplement to the Management Charge.  Any exercise by the Authority of its rights under this paragraph 5.7 shall be without prejudice to any other rights that may arise pursuant to the terms of this Framework Agreement.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DEFAULT MANAGEMENT CHARGE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Two (2) MI Failures occur in any rolling six (6) Month period;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Two (2)  consecutive MI Failures occur, </w:t>
      </w:r>
    </w:p>
    <w:p w:rsidR="00871477" w:rsidRPr="00871477" w:rsidRDefault="00871477" w:rsidP="00871477">
      <w:pPr>
        <w:tabs>
          <w:tab w:val="left" w:pos="3402"/>
        </w:tabs>
        <w:spacing w:after="220"/>
        <w:ind w:left="1134"/>
        <w:rPr>
          <w:szCs w:val="24"/>
        </w:rPr>
      </w:pPr>
      <w:r w:rsidRPr="00871477">
        <w:rPr>
          <w:szCs w:val="24"/>
        </w:rPr>
        <w:t>then a "</w:t>
      </w:r>
      <w:r w:rsidRPr="00871477">
        <w:rPr>
          <w:b/>
          <w:szCs w:val="24"/>
        </w:rPr>
        <w:t>MI Default</w:t>
      </w:r>
      <w:r w:rsidRPr="00871477">
        <w:rPr>
          <w:szCs w:val="24"/>
        </w:rPr>
        <w:t>" shall be deemed to have occurred.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an MI Default occurs the Authority shall (without prejudice to any other rights or remedies available to it under this Framework Agreement) be entitled to determine the level of default in accordance with paragraph 6.3, which the Supplier shall be required to pay to the Authority ("Default Management Charge") and/or to terminate this Framework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Default Management Charge shall be calculated as the higher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Contract, in the whole period preceding the date on which the MI Default occurred;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sum of five hundred pounds (£500).</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an MI Default occurs, the Authority shall be entitled to invoice the Supplier the Default Management Charge (less any Management Charge which the Supplier has already paid to the Authority in accordance with Clause 20 for any Months in which the Default Management Charge is payable) calculated in accordance with paragraph 6.3 above: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arrears for those Months in which an MI Failure occurred;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on an ongoing Monthly basis, </w:t>
      </w:r>
    </w:p>
    <w:p w:rsidR="00871477" w:rsidRPr="00871477" w:rsidRDefault="00871477" w:rsidP="00871477">
      <w:pPr>
        <w:tabs>
          <w:tab w:val="left" w:pos="3402"/>
        </w:tabs>
        <w:spacing w:after="220"/>
        <w:ind w:left="1134"/>
        <w:rPr>
          <w:szCs w:val="24"/>
        </w:rPr>
      </w:pPr>
      <w:r w:rsidRPr="00871477">
        <w:rPr>
          <w:szCs w:val="24"/>
        </w:rPr>
        <w:t>until all and any MI Failures have been rectified to the reasonable satisfaction of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For the avoidance of doubt the Parties agree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Default Management Charge shall be payable as though it was the Management Charge due in accordance with the provisions of Clause 20 of this Framework Agreement;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rights or remedies available to Authority under this Framework Agreement in respect of the payment of the Management Charge shall be available to the Authority also in respect of the payment of the Default Management Charge.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Supplier provides sufficient Management Information to rectify any MI Failures to the satisfaction of the Authority and the Management Information demonstrates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has overpaid the Management Charges as a result of the application of the Default Management Charge then the Supplier shall be </w:t>
      </w:r>
      <w:r w:rsidRPr="00871477">
        <w:rPr>
          <w:lang w:eastAsia="zh-CN"/>
        </w:rPr>
        <w:lastRenderedPageBreak/>
        <w:t>entitled to a refund of the overpayment, net of any Admin Fees where applicable;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has underpaid the Management Charges during the period when a Default Management Charge was applied, then the Authority shall be entitled to immediate payment of the balance as a debt together with interest pursuant to Clause 20 (Management Charge).</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r w:rsidRPr="00871477">
        <w:rPr>
          <w:color w:val="FFFFFF"/>
          <w:sz w:val="16"/>
          <w:szCs w:val="16"/>
        </w:rPr>
        <w:br w:type="page"/>
      </w:r>
    </w:p>
    <w:p w:rsidR="00871477" w:rsidRPr="00871477" w:rsidRDefault="00871477" w:rsidP="008C2005">
      <w:pPr>
        <w:keepNext/>
        <w:overflowPunct/>
        <w:autoSpaceDE/>
        <w:autoSpaceDN/>
        <w:ind w:firstLine="426"/>
        <w:jc w:val="center"/>
        <w:textAlignment w:val="auto"/>
        <w:outlineLvl w:val="1"/>
        <w:rPr>
          <w:rFonts w:ascii="Arial Bold" w:eastAsia="STZhongsong" w:hAnsi="Arial Bold" w:cs="Times New Roman" w:hint="eastAsia"/>
          <w:b/>
          <w:caps/>
          <w:lang w:eastAsia="zh-CN"/>
        </w:rPr>
      </w:pPr>
      <w:bookmarkStart w:id="88" w:name="_Toc492462943"/>
      <w:r w:rsidRPr="0006376E">
        <w:rPr>
          <w:rFonts w:ascii="Arial Bold" w:eastAsia="STZhongsong" w:hAnsi="Arial Bold" w:cs="Times New Roman"/>
          <w:b/>
          <w:caps/>
          <w:lang w:eastAsia="zh-CN"/>
        </w:rPr>
        <w:lastRenderedPageBreak/>
        <w:t>ANNEX 1: MI REPORTING TEMPLAT</w:t>
      </w:r>
      <w:r w:rsidR="008C2005" w:rsidRPr="0006376E">
        <w:rPr>
          <w:rFonts w:ascii="Arial Bold" w:eastAsia="STZhongsong" w:hAnsi="Arial Bold" w:cs="Times New Roman"/>
          <w:b/>
          <w:caps/>
          <w:lang w:eastAsia="zh-CN"/>
        </w:rPr>
        <w:t>e</w:t>
      </w:r>
      <w:bookmarkEnd w:id="88"/>
    </w:p>
    <w:p w:rsidR="00871477" w:rsidRPr="001A2978" w:rsidRDefault="00871477" w:rsidP="001A2978">
      <w:pPr>
        <w:jc w:val="center"/>
        <w:rPr>
          <w:color w:val="FFFFFF"/>
        </w:rPr>
      </w:pPr>
      <w:r w:rsidRPr="00871477">
        <w:rPr>
          <w:color w:val="FFFFFF"/>
        </w:rPr>
        <w:fldChar w:fldCharType="begin"/>
      </w:r>
      <w:r w:rsidRPr="00871477">
        <w:rPr>
          <w:color w:val="FFFFFF"/>
        </w:rPr>
        <w:instrText>LISTNUM \l 1 \s 0</w:instrText>
      </w:r>
      <w:r w:rsidRPr="00871477">
        <w:rPr>
          <w:color w:val="FFFFFF"/>
        </w:rPr>
        <w:fldChar w:fldCharType="end"/>
      </w:r>
      <w:r w:rsidR="008C2005">
        <w:rPr>
          <w:color w:val="FFFFFF"/>
        </w:rPr>
        <w:object w:dxaOrig="1490" w:dyaOrig="991">
          <v:shape id="_x0000_i1027" type="#_x0000_t75" style="width:74.65pt;height:50.25pt" o:ole="">
            <v:imagedata r:id="rId16" o:title=""/>
          </v:shape>
          <o:OLEObject Type="Embed" ProgID="Excel.Sheet.8" ShapeID="_x0000_i1027" DrawAspect="Icon" ObjectID="_1568098742" r:id="rId17"/>
        </w:object>
      </w:r>
      <w:r w:rsidRPr="00871477">
        <w:rPr>
          <w:rFonts w:ascii="Arial Bold" w:eastAsia="STZhongsong" w:hAnsi="Arial Bold" w:cs="Times New Roman"/>
          <w:b/>
          <w:caps/>
          <w:lang w:eastAsia="zh-CN"/>
        </w:rPr>
        <w:br w:type="page"/>
      </w:r>
      <w:r w:rsidRPr="00871477">
        <w:rPr>
          <w:rFonts w:ascii="Arial Bold" w:eastAsia="STZhongsong" w:hAnsi="Arial Bold" w:cs="Times New Roman"/>
          <w:b/>
          <w:caps/>
          <w:lang w:eastAsia="zh-CN"/>
        </w:rPr>
        <w:lastRenderedPageBreak/>
        <w:t>FRAMEWORK SCHEDULE 10: ANNUAL SELF AUDIT CERTIFICATE</w:t>
      </w:r>
    </w:p>
    <w:p w:rsidR="00871477" w:rsidRPr="00871477" w:rsidRDefault="00871477" w:rsidP="00871477">
      <w:pPr>
        <w:spacing w:before="240" w:after="120"/>
        <w:ind w:left="426"/>
        <w:rPr>
          <w:b/>
          <w:i/>
        </w:rPr>
      </w:pPr>
      <w:r w:rsidRPr="00871477">
        <w:rPr>
          <w:b/>
          <w:i/>
          <w:highlight w:val="green"/>
        </w:rPr>
        <w:t>[To be signed by Head of Internal Audit, Finance Director or company’s external auditor]</w:t>
      </w:r>
    </w:p>
    <w:p w:rsidR="00871477" w:rsidRPr="00871477" w:rsidRDefault="00871477" w:rsidP="00871477">
      <w:pPr>
        <w:spacing w:before="240" w:after="120"/>
        <w:ind w:left="426"/>
        <w:rPr>
          <w:b/>
          <w:i/>
        </w:rPr>
      </w:pPr>
      <w:r w:rsidRPr="00871477">
        <w:rPr>
          <w:b/>
          <w:i/>
          <w:highlight w:val="green"/>
        </w:rPr>
        <w:t>[Guidance Note:  Please seek guidance from the CCS audit team in relation to this point]</w:t>
      </w:r>
      <w:r w:rsidRPr="00871477">
        <w:rPr>
          <w:b/>
          <w:i/>
        </w:rPr>
        <w:t xml:space="preserve"> </w:t>
      </w:r>
    </w:p>
    <w:p w:rsidR="00871477" w:rsidRPr="00871477" w:rsidRDefault="00871477" w:rsidP="00871477">
      <w:pPr>
        <w:tabs>
          <w:tab w:val="left" w:pos="851"/>
        </w:tabs>
        <w:ind w:left="709"/>
      </w:pPr>
      <w:r w:rsidRPr="00871477">
        <w:t>Dear Sirs</w:t>
      </w:r>
    </w:p>
    <w:p w:rsidR="00871477" w:rsidRPr="00871477" w:rsidRDefault="00871477" w:rsidP="00871477">
      <w:pPr>
        <w:tabs>
          <w:tab w:val="left" w:pos="851"/>
        </w:tabs>
        <w:ind w:left="709"/>
      </w:pPr>
      <w:r w:rsidRPr="00871477">
        <w:t xml:space="preserve">In accordance with the Framework Agreement entered into on </w:t>
      </w:r>
      <w:r w:rsidRPr="00871477">
        <w:rPr>
          <w:highlight w:val="green"/>
        </w:rPr>
        <w:t>[insert Framework Commencement Date dd/mm/yyyy]</w:t>
      </w:r>
      <w:r w:rsidRPr="00871477">
        <w:t xml:space="preserve"> between </w:t>
      </w:r>
      <w:r w:rsidRPr="00871477">
        <w:rPr>
          <w:highlight w:val="green"/>
        </w:rPr>
        <w:t>[insert name of Supplier]</w:t>
      </w:r>
      <w:r w:rsidRPr="00871477">
        <w:t xml:space="preserve"> and the Authority, we confirm the following:</w:t>
      </w:r>
    </w:p>
    <w:p w:rsidR="00871477" w:rsidRPr="00871477" w:rsidRDefault="00871477" w:rsidP="00871477">
      <w:pPr>
        <w:ind w:left="709"/>
      </w:pPr>
      <w:r w:rsidRPr="00871477">
        <w:t xml:space="preserve">1. In our opinion based on the testing undertaken </w:t>
      </w:r>
      <w:r w:rsidRPr="00871477">
        <w:rPr>
          <w:highlight w:val="green"/>
        </w:rPr>
        <w:t>[name of Supplier]</w:t>
      </w:r>
      <w:r w:rsidRPr="00871477">
        <w:t xml:space="preserve"> has in place suitable systems for identifying and recording the transactions taking place under the provisions of the above Framework Agreement.</w:t>
      </w:r>
    </w:p>
    <w:p w:rsidR="00871477" w:rsidRPr="00871477" w:rsidRDefault="00871477" w:rsidP="00871477">
      <w:pPr>
        <w:ind w:left="709"/>
      </w:pPr>
      <w:r w:rsidRPr="00871477">
        <w:t>2. We have tested the systems for identifying and reporting on framework activity and found them to be operating satisfactorily.</w:t>
      </w:r>
    </w:p>
    <w:p w:rsidR="00871477" w:rsidRPr="00871477" w:rsidRDefault="00871477" w:rsidP="00871477">
      <w:pPr>
        <w:ind w:left="709"/>
      </w:pPr>
      <w:r w:rsidRPr="00871477">
        <w:t xml:space="preserve">3. We have tested a sample of </w:t>
      </w:r>
      <w:r w:rsidRPr="00871477">
        <w:rPr>
          <w:highlight w:val="green"/>
        </w:rPr>
        <w:t>[ ]</w:t>
      </w:r>
      <w:r w:rsidRPr="00871477">
        <w:t xml:space="preserve"> </w:t>
      </w:r>
      <w:r w:rsidRPr="00871477">
        <w:rPr>
          <w:highlight w:val="green"/>
        </w:rPr>
        <w:t>[insert number of sample transactions tested</w:t>
      </w:r>
      <w:r w:rsidRPr="00871477">
        <w:rPr>
          <w:highlight w:val="yellow"/>
        </w:rPr>
        <w:t>]</w:t>
      </w:r>
      <w:r w:rsidRPr="00871477">
        <w:t xml:space="preserve"> Orders and related invoices during our audit for the financial year ended </w:t>
      </w:r>
      <w:r w:rsidRPr="00871477">
        <w:rPr>
          <w:highlight w:val="green"/>
        </w:rPr>
        <w:t>[insert financial year]</w:t>
      </w:r>
      <w:r w:rsidRPr="00871477">
        <w:t xml:space="preserve"> and confirm that they are correct and in accordance with the terms and conditions of the Framework Agreement.</w:t>
      </w:r>
    </w:p>
    <w:p w:rsidR="00871477" w:rsidRPr="00871477" w:rsidRDefault="00871477" w:rsidP="00871477">
      <w:pPr>
        <w:ind w:left="709"/>
      </w:pPr>
      <w:r w:rsidRPr="00871477">
        <w:t>4. We have tested from the order processing and invoicing systems a sample of [  ] [Insert number of sample transactions tested]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871477" w:rsidRPr="00871477" w:rsidRDefault="00871477" w:rsidP="00871477">
      <w:pPr>
        <w:ind w:left="709"/>
      </w:pPr>
      <w:r w:rsidRPr="00871477">
        <w:t>5. We have also attached an Audit Report which provides details of the methodology applied to complete the review, the sampling techniques applied, details of any issues identified and remedial action taken.</w:t>
      </w:r>
    </w:p>
    <w:p w:rsidR="00871477" w:rsidRPr="00871477" w:rsidRDefault="00871477" w:rsidP="00871477">
      <w:pPr>
        <w:spacing w:before="240" w:after="120"/>
        <w:ind w:left="426"/>
        <w:rPr>
          <w:b/>
          <w:i/>
        </w:rPr>
      </w:pPr>
      <w:r w:rsidRPr="00871477">
        <w:rPr>
          <w:b/>
          <w:i/>
          <w:highlight w:val="green"/>
        </w:rPr>
        <w:t>[Guidance Note: see Clause 18 (Records, Audit Access and Open Book Data) for details of what is required]</w:t>
      </w:r>
    </w:p>
    <w:p w:rsidR="00871477" w:rsidRPr="00871477" w:rsidRDefault="00871477" w:rsidP="00871477">
      <w:pPr>
        <w:tabs>
          <w:tab w:val="left" w:pos="851"/>
        </w:tabs>
        <w:ind w:left="709"/>
      </w:pPr>
      <w:r w:rsidRPr="00871477">
        <w:rPr>
          <w:highlight w:val="green"/>
        </w:rPr>
        <w:t xml:space="preserve"> </w:t>
      </w:r>
      <w:r w:rsidRPr="00871477">
        <w:t>Name:………………………………………………………</w:t>
      </w:r>
    </w:p>
    <w:p w:rsidR="00871477" w:rsidRPr="00871477" w:rsidRDefault="00871477" w:rsidP="00871477">
      <w:pPr>
        <w:tabs>
          <w:tab w:val="left" w:pos="851"/>
        </w:tabs>
        <w:ind w:left="709"/>
      </w:pPr>
      <w:r w:rsidRPr="00871477">
        <w:t>Signed:…………………………………………………….</w:t>
      </w:r>
    </w:p>
    <w:p w:rsidR="00871477" w:rsidRPr="00871477" w:rsidRDefault="00871477" w:rsidP="00871477">
      <w:pPr>
        <w:tabs>
          <w:tab w:val="left" w:pos="851"/>
        </w:tabs>
        <w:ind w:left="709"/>
      </w:pPr>
      <w:r w:rsidRPr="00871477">
        <w:t>Head of Internal Audit/ Finance Director/ External Audit firm (delete as applicable)</w:t>
      </w:r>
    </w:p>
    <w:p w:rsidR="00871477" w:rsidRPr="00871477" w:rsidRDefault="00871477" w:rsidP="00871477">
      <w:pPr>
        <w:tabs>
          <w:tab w:val="left" w:pos="851"/>
        </w:tabs>
        <w:ind w:left="709"/>
      </w:pPr>
      <w:r w:rsidRPr="00871477">
        <w:t>Date:……………………………………………………….</w:t>
      </w:r>
    </w:p>
    <w:p w:rsidR="00871477" w:rsidRPr="00871477" w:rsidRDefault="00871477" w:rsidP="00871477">
      <w:pPr>
        <w:tabs>
          <w:tab w:val="left" w:pos="851"/>
        </w:tabs>
        <w:ind w:left="709"/>
      </w:pPr>
      <w:r w:rsidRPr="00871477">
        <w:t>Professional Qualification held by Signatory:............................................................</w:t>
      </w:r>
    </w:p>
    <w:p w:rsidR="00871477" w:rsidRPr="00871477" w:rsidRDefault="00871477" w:rsidP="00871477">
      <w:pPr>
        <w:tabs>
          <w:tab w:val="left" w:pos="851"/>
        </w:tabs>
        <w:ind w:left="709"/>
      </w:pPr>
      <w:r w:rsidRPr="00871477">
        <w:t xml:space="preserve">Note to Suppliers: where CCS identifies independently that data accuracy supporting this certificate is flawed we will consider action on a case by case basis, and in some cases where </w:t>
      </w:r>
      <w:r w:rsidRPr="00871477">
        <w:lastRenderedPageBreak/>
        <w:t>the issues identified are clearly systemic we will consider whether this behaviour goes beyond poor commercial practice and will seek further guidance from the GLD.</w:t>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89" w:name="_Toc492462944"/>
      <w:r w:rsidRPr="00871477">
        <w:rPr>
          <w:rFonts w:ascii="Arial Bold" w:eastAsia="STZhongsong" w:hAnsi="Arial Bold" w:cs="Times New Roman"/>
          <w:b/>
          <w:caps/>
          <w:lang w:eastAsia="zh-CN"/>
        </w:rPr>
        <w:lastRenderedPageBreak/>
        <w:t>FRAMEWORK SCHEDULE 11: MARKETING</w:t>
      </w:r>
      <w:bookmarkEnd w:id="89"/>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INTRODUCTION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Framework Schedule 11 describes the activities that the Supplier will carry out as part of its ongoing commitment to the marketing of the Goods and/or Services to Other Contracting Authorities.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MARKETING</w:t>
      </w:r>
    </w:p>
    <w:p w:rsid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Marketing contact details:</w:t>
      </w:r>
    </w:p>
    <w:p w:rsidR="00733855" w:rsidRPr="0006376E" w:rsidRDefault="008C2005" w:rsidP="00733855">
      <w:pPr>
        <w:tabs>
          <w:tab w:val="left" w:pos="1985"/>
        </w:tabs>
        <w:overflowPunct/>
        <w:autoSpaceDE/>
        <w:autoSpaceDN/>
        <w:spacing w:before="120" w:after="120"/>
        <w:ind w:left="1349"/>
        <w:textAlignment w:val="auto"/>
        <w:rPr>
          <w:rFonts w:ascii="Arial" w:hAnsi="Arial"/>
          <w:noProof/>
          <w:sz w:val="20"/>
          <w:szCs w:val="20"/>
          <w:lang w:eastAsia="zh-CN"/>
        </w:rPr>
      </w:pPr>
      <w:r w:rsidRPr="0006376E">
        <w:rPr>
          <w:rFonts w:ascii="Arial" w:hAnsi="Arial"/>
          <w:noProof/>
          <w:sz w:val="20"/>
          <w:szCs w:val="20"/>
          <w:lang w:eastAsia="zh-CN"/>
        </w:rPr>
        <w:t xml:space="preserve">Name: </w:t>
      </w:r>
      <w:r w:rsidR="00AC35A8">
        <w:rPr>
          <w:rFonts w:ascii="Arial" w:eastAsia="STZhongsong" w:hAnsi="Arial"/>
          <w:b/>
          <w:color w:val="000000" w:themeColor="text1"/>
          <w:sz w:val="20"/>
          <w:szCs w:val="20"/>
          <w:lang w:eastAsia="zh-CN"/>
        </w:rPr>
        <w:t>&lt;REDACTED&gt;</w:t>
      </w:r>
    </w:p>
    <w:p w:rsidR="00733855" w:rsidRPr="0006376E" w:rsidRDefault="00733855" w:rsidP="00733855">
      <w:pPr>
        <w:tabs>
          <w:tab w:val="left" w:pos="1985"/>
        </w:tabs>
        <w:overflowPunct/>
        <w:autoSpaceDE/>
        <w:autoSpaceDN/>
        <w:spacing w:before="120" w:after="120"/>
        <w:ind w:left="1349"/>
        <w:textAlignment w:val="auto"/>
        <w:rPr>
          <w:rFonts w:ascii="Arial" w:hAnsi="Arial"/>
          <w:noProof/>
          <w:sz w:val="20"/>
          <w:szCs w:val="20"/>
          <w:lang w:eastAsia="zh-CN"/>
        </w:rPr>
      </w:pPr>
      <w:r w:rsidRPr="0006376E">
        <w:rPr>
          <w:rFonts w:ascii="Arial" w:hAnsi="Arial"/>
          <w:noProof/>
          <w:sz w:val="20"/>
          <w:szCs w:val="20"/>
          <w:lang w:eastAsia="zh-CN"/>
        </w:rPr>
        <w:t xml:space="preserve">Address: </w:t>
      </w:r>
      <w:r w:rsidR="00AC35A8">
        <w:rPr>
          <w:rFonts w:ascii="Arial" w:eastAsia="STZhongsong" w:hAnsi="Arial"/>
          <w:b/>
          <w:color w:val="000000" w:themeColor="text1"/>
          <w:sz w:val="20"/>
          <w:szCs w:val="20"/>
          <w:lang w:eastAsia="zh-CN"/>
        </w:rPr>
        <w:t>&lt;REDACTED&gt;</w:t>
      </w:r>
    </w:p>
    <w:p w:rsidR="00733855" w:rsidRPr="0006376E" w:rsidRDefault="00AC35A8" w:rsidP="00733855">
      <w:pPr>
        <w:tabs>
          <w:tab w:val="left" w:pos="1985"/>
        </w:tabs>
        <w:overflowPunct/>
        <w:autoSpaceDE/>
        <w:autoSpaceDN/>
        <w:spacing w:before="120" w:after="120"/>
        <w:ind w:left="1349"/>
        <w:textAlignment w:val="auto"/>
        <w:rPr>
          <w:rFonts w:ascii="Arial" w:hAnsi="Arial"/>
          <w:noProof/>
          <w:sz w:val="20"/>
          <w:szCs w:val="20"/>
          <w:lang w:eastAsia="zh-CN"/>
        </w:rPr>
      </w:pPr>
      <w:r>
        <w:rPr>
          <w:rFonts w:ascii="Arial" w:hAnsi="Arial"/>
          <w:noProof/>
          <w:sz w:val="20"/>
          <w:szCs w:val="20"/>
          <w:lang w:eastAsia="zh-CN"/>
        </w:rPr>
        <w:t xml:space="preserve">Tel: </w:t>
      </w:r>
      <w:r>
        <w:rPr>
          <w:rFonts w:ascii="Arial" w:eastAsia="STZhongsong" w:hAnsi="Arial"/>
          <w:b/>
          <w:color w:val="000000" w:themeColor="text1"/>
          <w:sz w:val="20"/>
          <w:szCs w:val="20"/>
          <w:lang w:eastAsia="zh-CN"/>
        </w:rPr>
        <w:t>&lt;REDACTED&gt;</w:t>
      </w:r>
    </w:p>
    <w:p w:rsidR="00733855" w:rsidRPr="0006376E" w:rsidRDefault="00733855" w:rsidP="00BE654B">
      <w:pPr>
        <w:tabs>
          <w:tab w:val="left" w:pos="1985"/>
        </w:tabs>
        <w:overflowPunct/>
        <w:autoSpaceDE/>
        <w:autoSpaceDN/>
        <w:spacing w:before="120" w:after="120"/>
        <w:ind w:left="1349"/>
        <w:textAlignment w:val="auto"/>
        <w:rPr>
          <w:rFonts w:ascii="Arial" w:hAnsi="Arial"/>
          <w:noProof/>
          <w:sz w:val="20"/>
          <w:szCs w:val="20"/>
          <w:lang w:eastAsia="zh-CN"/>
        </w:rPr>
      </w:pPr>
      <w:r w:rsidRPr="0006376E">
        <w:rPr>
          <w:rFonts w:ascii="Arial" w:hAnsi="Arial"/>
          <w:noProof/>
          <w:sz w:val="20"/>
          <w:szCs w:val="20"/>
          <w:lang w:eastAsia="zh-CN"/>
        </w:rPr>
        <w:t xml:space="preserve">Email: </w:t>
      </w:r>
      <w:r w:rsidR="00AC35A8">
        <w:rPr>
          <w:rFonts w:ascii="Arial" w:eastAsia="STZhongsong" w:hAnsi="Arial"/>
          <w:b/>
          <w:color w:val="000000" w:themeColor="text1"/>
          <w:sz w:val="20"/>
          <w:szCs w:val="20"/>
          <w:lang w:eastAsia="zh-CN"/>
        </w:rPr>
        <w:t>&lt;REDACTED&gt;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AUTHORITY PUBLICATIONS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will periodically update and revise marketing materials.  The Supplier shall supply current information for inclusion in such marketing materials when required by the Authority.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Such information shall be provided in the form of a completed template, supplied by the Authority together with the instruction for completion and the date for its return.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Failure to comply with the provisions of paragraphs 3.1 and 3.2 may result in the Supplier's exclusion from the use of such marketing materials.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SUPPLIER PUBLICATIONS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marketing materials in relation to this Framework Agreement that the Supplier produces must comply in all respects with the Branding Guidance. The Supplier will periodically update and revise such marketing materials.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be responsible for keeping under review the content of any information which appears on the Supplier’s website and which relates to this Framework Agreement and ensuring that such information is kept up to date at all times.</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sz w:val="16"/>
          <w:lang w:eastAsia="zh-CN"/>
        </w:rPr>
        <w:br w:type="page"/>
      </w:r>
      <w:bookmarkStart w:id="90" w:name="_Toc492462945"/>
      <w:r w:rsidRPr="00871477">
        <w:rPr>
          <w:rFonts w:ascii="Arial Bold" w:eastAsia="STZhongsong" w:hAnsi="Arial Bold" w:cs="Times New Roman"/>
          <w:b/>
          <w:caps/>
          <w:lang w:eastAsia="zh-CN"/>
        </w:rPr>
        <w:lastRenderedPageBreak/>
        <w:t>FRAMEWORK SCHEDULE 12: CONTINUOUS IMPROVEMENT AND BENCHMARKING</w:t>
      </w:r>
      <w:bookmarkEnd w:id="90"/>
      <w:r w:rsidRPr="00871477">
        <w:rPr>
          <w:rFonts w:ascii="Arial Bold" w:eastAsia="STZhongsong" w:hAnsi="Arial Bold" w:cs="Times New Roman"/>
          <w:b/>
          <w:caps/>
          <w:lang w:eastAsia="zh-CN"/>
        </w:rPr>
        <w:t xml:space="preserve"> </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DEFINITIONS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this Framework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"Benchmarked Rates"</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the Framework Prices for the Benchmarked Goods and/or Services</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"Benchmark Review"</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a review of the Goods and/or Services carried out in accordance with this Framework Schedule 12 to determine whether those Goods and/or Services represent Good Value</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"Benchmarked Goods and/or Services"</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any Goods and/or Services included within the scope of a Benchmark Review pursuant to this Framework Schedule 12</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"Comparable Rates"</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rates payable by the Comparison Group for Comparable Goods and/or Services that can be fairly compared with the Framework Prices</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"Comparable Supply"</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the supply of Goods and/or Services to another customer of the Supplier that are the same or similar to the Goods and/or Services</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"Comparable Goods and/or Services"</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"Comparison Group"</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"Equivalent Data"</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data derived from an analysis of the Comparable Rates and/or the Comparable Goods and/or Services (as applicable) provided by the Comparison Group</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"Good Value"</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that the Benchmarked Rates are within the Upper Quartile</w:t>
            </w:r>
          </w:p>
        </w:tc>
      </w:tr>
      <w:tr w:rsidR="00871477" w:rsidRPr="00871477" w:rsidTr="00871477">
        <w:tc>
          <w:tcPr>
            <w:tcW w:w="2410" w:type="dxa"/>
            <w:shd w:val="clear" w:color="auto" w:fill="auto"/>
          </w:tcPr>
          <w:p w:rsidR="00871477" w:rsidRPr="00871477" w:rsidRDefault="00871477" w:rsidP="00871477">
            <w:pPr>
              <w:spacing w:after="120"/>
              <w:ind w:left="-108"/>
              <w:jc w:val="left"/>
              <w:rPr>
                <w:b/>
              </w:rPr>
            </w:pPr>
            <w:r w:rsidRPr="00871477">
              <w:rPr>
                <w:b/>
              </w:rPr>
              <w:t>"Upper Quartile"</w:t>
            </w:r>
          </w:p>
        </w:tc>
        <w:tc>
          <w:tcPr>
            <w:tcW w:w="5670" w:type="dxa"/>
            <w:shd w:val="clear" w:color="auto" w:fill="auto"/>
          </w:tcPr>
          <w:p w:rsidR="00871477" w:rsidRPr="00871477" w:rsidRDefault="00871477" w:rsidP="00871477">
            <w:pPr>
              <w:numPr>
                <w:ilvl w:val="0"/>
                <w:numId w:val="6"/>
              </w:numPr>
              <w:tabs>
                <w:tab w:val="left" w:pos="175"/>
              </w:tabs>
              <w:spacing w:after="120"/>
            </w:pPr>
            <w:r w:rsidRPr="00871477">
              <w:t>means, in respect of Benchmarked Rates, that based on an analysis of Equivalent Data, the Benchmarked Rates, as compared to the range of prices for Comparable Goods and/or Services, are within the top 25% in terms of best value for money for the recipients of Comparable Goods and/or Services.</w:t>
            </w:r>
          </w:p>
        </w:tc>
      </w:tr>
    </w:tbl>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lastRenderedPageBreak/>
        <w:t>BACKGROUND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b/>
          <w:lang w:eastAsia="zh-CN"/>
        </w:rPr>
      </w:pPr>
      <w:r w:rsidRPr="00871477">
        <w:rPr>
          <w:lang w:eastAsia="zh-CN"/>
        </w:rPr>
        <w:t xml:space="preserve">The Supplier acknowledges that the Authority wishes to ensure that the Goods and/or Services, represent value for money to the taxpayer throughout the Framework Period.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Framework Schedule 12 (Continuous Improvement and Benchmarking) sets out the following processes to ensure this Framework Agreement represents value for money throughout the Framework Period and subsequently while any Call Off Contracts remain in force: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Benchmarking;</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Continuous Improvement;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BENCHMARKING</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Frequency Purpose and Scope of Benchmark Review</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carry out Benchmark Reviews of the Goods and/or Services when so requested by the Authority.</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Authority shall not be entitled to request a Benchmark Review during the first six (6) Month period from the Framework Commencement Date nor at intervals of less than twelve (12) Months after any previous Benchmark Review.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purpose of a Benchmark Review will be to establish whether the Benchmarked Goods and/or Services are, individually and/or as a whole, Good Value.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Goods and/or Services that are to be the Benchmarked Goods and/or Services will be identified by the Authority in writing.</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Benchmarking Process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shall produce and send to the Authority for Approval, a draft plan for the Benchmark Review.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plan must include: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proposed timetable for the Benchmark Review;</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description of the benchmarking methodology to be used;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 description that demonstrates objectively and transparently that the benchmarking methodology to be used is capable of fulfilling the benchmarking purpose;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a description of how the Supplier will scope and identify the Comparison Group.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Where the Authority suggests amendments to the draft plan under paragraph 3.2.3, the Supplier must produce an amended draft plan.  Paragraph 3.2.2 shall apply to any amended draft plan.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Once it has received the Approval of the draft plan, the Supplier shall:</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finalise the Comparison Group and collect data relating to Comparable Rates. The selection of the Comparable Rates (both in terms of number and identity) shall be a matter for the Supplier's professional judgment using:</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market intelligence;</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the Supplier's own data and experience;</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relevant published information; and</w:t>
      </w:r>
    </w:p>
    <w:p w:rsidR="00871477" w:rsidRPr="00871477" w:rsidRDefault="00871477" w:rsidP="00871477">
      <w:pPr>
        <w:numPr>
          <w:ilvl w:val="4"/>
          <w:numId w:val="8"/>
        </w:numPr>
        <w:tabs>
          <w:tab w:val="left" w:pos="1985"/>
          <w:tab w:val="left" w:pos="2552"/>
          <w:tab w:val="left" w:pos="3119"/>
        </w:tabs>
        <w:overflowPunct/>
        <w:autoSpaceDE/>
        <w:autoSpaceDN/>
        <w:spacing w:before="120" w:after="120"/>
        <w:ind w:left="3119" w:hanging="567"/>
        <w:textAlignment w:val="auto"/>
        <w:rPr>
          <w:lang w:eastAsia="zh-CN"/>
        </w:rPr>
      </w:pPr>
      <w:r w:rsidRPr="00871477">
        <w:rPr>
          <w:lang w:eastAsia="zh-CN"/>
        </w:rPr>
        <w:t>pursuant to paragraph 3.2.7 below, information from other suppliers or purchasers on Comparable Rates;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by applying the adjustment factors listed in paragraph 3.2.7 and from an analysis of the Comparable Rates, derive the Equivalent Data;</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using the Equivalent Data to calculate the Upper Quartile;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determine whether or not each Benchmarked Rate is, and/or the Benchmarked Rates as a whole are, Good Value.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agrees to use its reasonable endeavours to obtain information from other suppliers or purchasers on Comparable Rates.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carrying out the benchmarking analysis the Supplier may have regard to the following matters when performing a comparative assessment of the Benchmarked Rates and the Comparable Rates in order to derive Equivalent Data:</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the contractual terms and business environment under which the Comparable Rates are being provided (including the scale and geographical spread of the customers);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exchange rates;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any other factors reasonably identified by the Supplier, which, if not taken into consideration, could unfairly cause the Supplier's pricing to appear non-competitive.</w:t>
      </w:r>
    </w:p>
    <w:p w:rsidR="00871477" w:rsidRPr="00871477" w:rsidRDefault="00871477" w:rsidP="00871477">
      <w:pPr>
        <w:numPr>
          <w:ilvl w:val="1"/>
          <w:numId w:val="8"/>
        </w:numPr>
        <w:tabs>
          <w:tab w:val="left" w:pos="1134"/>
        </w:tabs>
        <w:overflowPunct/>
        <w:autoSpaceDE/>
        <w:autoSpaceDN/>
        <w:spacing w:before="120" w:after="120"/>
        <w:ind w:hanging="218"/>
        <w:textAlignment w:val="auto"/>
        <w:rPr>
          <w:b/>
          <w:lang w:eastAsia="zh-CN"/>
        </w:rPr>
      </w:pPr>
      <w:r w:rsidRPr="00871477">
        <w:rPr>
          <w:b/>
          <w:lang w:eastAsia="zh-CN"/>
        </w:rPr>
        <w:t>Benchmarking Report: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For the purposes of this Framework Schedule 12 </w:t>
      </w:r>
      <w:r w:rsidRPr="00871477">
        <w:rPr>
          <w:b/>
          <w:lang w:eastAsia="zh-CN"/>
        </w:rPr>
        <w:t>“Benchmarking Report”</w:t>
      </w:r>
      <w:r w:rsidRPr="00871477">
        <w:rPr>
          <w:lang w:eastAsia="zh-CN"/>
        </w:rPr>
        <w:t xml:space="preserve"> shall mean the report produced by the Supplier following the Benchmark Review and as further described in this Framework Schedule 12;</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prepare a Benchmarking Report and deliver it to the Authority, at the time specified in the plan Approved pursuant to paragraph 3.2.3 of this Schedule 12, setting out its findings.  Those findings shall be required to:</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include a finding as to whether or not a Benchmarked Service and/or whether the Benchmarked Goods and/or Services as a whole are, Good Value;</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if any of the Benchmarked Goods and/or Services are, individually or as a whole, not Good Value, specify the changes that would be required to </w:t>
      </w:r>
      <w:r w:rsidRPr="00871477">
        <w:rPr>
          <w:lang w:eastAsia="zh-CN"/>
        </w:rPr>
        <w:lastRenderedPageBreak/>
        <w:t xml:space="preserve">make that Benchmarked Service or the Benchmarked Goods and/or Services as a whole Good Value; and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include sufficient detail and transparency so that the Authority can interpret and understand how the Supplier has calculated whether or not the Benchmarked Goods and/or Services are, individually or as a whole, Good Value.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Parties agree that any changes required to this Framework Agreement identified in the Benchmarking Report may be implemented at the direction of the Authority in accordance with Clause 19.1 (Variation Procedure).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shall be entitled to publish the results of any benchmarking of the Framework Prices to Other Contracting Authorities.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CONTINUOUS IMPROVEMENT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CSL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Without limiting paragraph 4.1, the Supplier shall produce at the start of each Contract Year a plan for improving the provision of Goods and/or Services and/or reducing the Charges produced by the Supplier pursuant to this Schedule 12 under all Call Off Contracts and reducing the Framework Prices (without adversely affecting the performance of the Framework Agreement or any Call Off Contract) during that Contract Year (</w:t>
      </w:r>
      <w:r w:rsidRPr="00871477">
        <w:rPr>
          <w:b/>
          <w:lang w:eastAsia="zh-CN"/>
        </w:rPr>
        <w:t>"Continuous Improvement Plan"</w:t>
      </w:r>
      <w:r w:rsidRPr="00871477">
        <w:rPr>
          <w:lang w:eastAsia="zh-CN"/>
        </w:rPr>
        <w:t>) for the Approval of the Authority.  The Continuous Improvement Plan shall include, as a minimum, proposals in respect of the following:</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identifying the emergence of new and evolving technologies which could improve the Goods and/or Services;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identifying changes in behaviour at Contracting Authorities that result in a cost saving and a reduction in the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improving the way in which the Goods and/or Services are sold via the Framework Agreement that may result in reduced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identifying and implementing efficiencies in the Supplier's internal processes and administration that may lead to cost savings and reductions in the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identifying and implementing efficiencies in the way the Authority and/or Contracting Authorities interact with the Supplier that may lead to cost savings and reductions in the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identifying and implementing efficiencies in the Supplier's supply chain that may lead to cost savings and reductions in the Framework Prices;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baselining the quality of the Supplier's Goods and/or Services and its cost structure and demonstrating the efficacy of its Continuous Improvement Plan on each element during the Framework Period;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measuring and reducing the sustainability impacts of the Supplier's operations and supply-chains pertaining to the Goods and/or Services, and identifying opportunities to assist Contracting Authorities in meeting their sustainability objectives.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initial Continuous Improvement Plan for the first (1</w:t>
      </w:r>
      <w:r w:rsidRPr="00871477">
        <w:rPr>
          <w:vertAlign w:val="superscript"/>
          <w:lang w:eastAsia="zh-CN"/>
        </w:rPr>
        <w:t>st</w:t>
      </w:r>
      <w:r w:rsidRPr="00871477">
        <w:rPr>
          <w:lang w:eastAsia="zh-CN"/>
        </w:rPr>
        <w:t xml:space="preserve">) Contract Year shall be submitted by the Supplier to the Authority for Approval within ninety (90) Working Days of the first Order or six (6) Months following the Framework Commencement Date, whichever is earlier.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Once the first Continuous Improvement Plan has been Approved in accordance with paragraph 4.4:</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use all reasonable endeavours to implement any agreed deliverables in accordance with the Continuous Improvement Plan;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Parties agree to meet as soon as reasonably possible following the start of each quarter (or as otherwise agreed between the Authority and the Supplier) to review the Supplier's progress against the Continuous Improvement Plan.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update the Continuous Improvement Plan as and when required but at least once every Contract Year (after the first (1</w:t>
      </w:r>
      <w:r w:rsidRPr="00871477">
        <w:rPr>
          <w:vertAlign w:val="superscript"/>
          <w:lang w:eastAsia="zh-CN"/>
        </w:rPr>
        <w:t>st</w:t>
      </w:r>
      <w:r w:rsidRPr="00871477">
        <w:rPr>
          <w:lang w:eastAsia="zh-CN"/>
        </w:rPr>
        <w:t xml:space="preserve">) Contract Year) in accordance with the procedure and timescales set out in paragraph 4.2.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Should the Supplier's costs in providing the Goods and/or Services to Contracting Authorities be reduced as a result of any changes implemented by the Authority and/or Contracting Authorities, all of the cost savings shall be passed on to  Contracting Authorities by way of a consequential and immediate reduction in the Framework Prices for the Goods and/or Services. </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overflowPunct/>
        <w:autoSpaceDE/>
        <w:autoSpaceDN/>
        <w:adjustRightInd/>
        <w:spacing w:after="0"/>
        <w:jc w:val="left"/>
        <w:textAlignment w:val="auto"/>
        <w:rPr>
          <w:color w:val="FFFFFF"/>
          <w:sz w:val="16"/>
          <w:szCs w:val="16"/>
        </w:rPr>
      </w:pPr>
      <w:r w:rsidRPr="00871477">
        <w:br w:type="page"/>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91" w:name="_Toc492462946"/>
      <w:r w:rsidRPr="00871477">
        <w:rPr>
          <w:rFonts w:ascii="Arial Bold" w:eastAsia="STZhongsong" w:hAnsi="Arial Bold" w:cs="Times New Roman"/>
          <w:b/>
          <w:caps/>
          <w:lang w:eastAsia="zh-CN"/>
        </w:rPr>
        <w:lastRenderedPageBreak/>
        <w:t>FRAMEWORK SCHEDULE 13: GUARANTEE – NOT USED</w:t>
      </w:r>
      <w:bookmarkEnd w:id="91"/>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highlight w:val="green"/>
          <w:lang w:eastAsia="zh-CN"/>
        </w:rPr>
      </w:pPr>
    </w:p>
    <w:p w:rsidR="00871477" w:rsidRPr="00871477" w:rsidRDefault="00871477" w:rsidP="008C2005">
      <w:pPr>
        <w:tabs>
          <w:tab w:val="left" w:pos="3402"/>
        </w:tabs>
        <w:spacing w:after="220"/>
        <w:rPr>
          <w:rFonts w:ascii="Arial Bold" w:eastAsia="STZhongsong" w:hAnsi="Arial Bold" w:cs="Times New Roman" w:hint="eastAsia"/>
          <w:b/>
          <w:caps/>
          <w:lang w:eastAsia="zh-CN"/>
        </w:rPr>
      </w:pPr>
    </w:p>
    <w:p w:rsidR="00871477" w:rsidRPr="00871477" w:rsidRDefault="00871477" w:rsidP="00871477">
      <w:pPr>
        <w:overflowPunct/>
        <w:autoSpaceDE/>
        <w:autoSpaceDN/>
        <w:adjustRightInd/>
        <w:spacing w:after="0"/>
        <w:jc w:val="left"/>
        <w:textAlignment w:val="auto"/>
      </w:pPr>
      <w:r w:rsidRPr="00871477">
        <w:br w:type="page"/>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92" w:name="_Toc492462947"/>
      <w:r w:rsidRPr="00871477">
        <w:rPr>
          <w:rFonts w:ascii="Arial Bold" w:eastAsia="STZhongsong" w:hAnsi="Arial Bold" w:cs="Times New Roman"/>
          <w:b/>
          <w:caps/>
          <w:lang w:eastAsia="zh-CN"/>
        </w:rPr>
        <w:lastRenderedPageBreak/>
        <w:t>FRAMEWORK SCHEDULE 14: INSURANCE REQUIREMENTS</w:t>
      </w:r>
      <w:bookmarkEnd w:id="92"/>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OBLIGATION TO MAINTAIN INSURANCES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Pr="00871477">
        <w:rPr>
          <w:b/>
          <w:lang w:eastAsia="zh-CN"/>
        </w:rPr>
        <w:t>Insurances</w:t>
      </w:r>
      <w:r w:rsidRPr="00871477">
        <w:rPr>
          <w:lang w:eastAsia="zh-CN"/>
        </w:rPr>
        <w:t>”).  The Supplier shall ensure that each of the Insurances is effective no later than the Framework Commencement Date.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Insurances shall be maintained in accordance with Good Industry Practice</w:t>
      </w:r>
      <w:r w:rsidRPr="00871477" w:rsidDel="001551BB">
        <w:rPr>
          <w:lang w:eastAsia="zh-CN"/>
        </w:rPr>
        <w:t xml:space="preserve"> </w:t>
      </w:r>
      <w:r w:rsidRPr="00871477">
        <w:rPr>
          <w:lang w:eastAsia="zh-CN"/>
        </w:rPr>
        <w:t>and (so far as is reasonably practicable) on terms no less favourable than those generally available to a prudent contractor in respect of risks insured in the international insurance market from time to time.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Insurances shall be taken out and maintained with insurers who are of good financial standing and of good repute in the international insurance market.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 OBLIGATIONS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Without limiting the other provisions of this Framework Agreement, the Supplier shall: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promptly notify the insurers in writing of any relevant material fact under any Insurances of which the Supplier is or becomes aware;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hold all policies in respect of the Insurances and cause any insurance broker effecting the Insurances to hold any insurance slips and other evidence of placing cover representing any of the Insurances to which it is a party.</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FAILURE TO INSURE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EVIDENCE OF POLICIES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lastRenderedPageBreak/>
        <w:t>The Supplier shall upon the Framework Commencement Date and within 15 Working Days after the renewal of each of the Insurances, provide evidence, in a form satisfactory to the Authority, that the Insurances are in force and effect and meet in full the requirements of this Framework Schedule 14.  Receipt of such evidence by the Authority shall not in itself constitute acceptance by the Authority or relieve the Supplier of any of its liabilities and obligations under this Agreement.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 xml:space="preserve">AGGREGATE LIMIT OF INDEMNITY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 xml:space="preserve">Where the minimum limit of indemnity required in relation to any of the Insurances is specified as being "in the aggregate":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caps/>
          <w:lang w:eastAsia="zh-CN"/>
        </w:rPr>
      </w:pPr>
      <w:r w:rsidRPr="00871477">
        <w:rPr>
          <w:lang w:eastAsia="zh-CN"/>
        </w:rPr>
        <w:t xml:space="preserve">details of the policy concerned; and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caps/>
          <w:lang w:eastAsia="zh-CN"/>
        </w:rPr>
      </w:pPr>
      <w:r w:rsidRPr="00871477">
        <w:rPr>
          <w:lang w:eastAsia="zh-CN"/>
        </w:rPr>
        <w:t>its proposed solution for maintaining the minimum limit of indemnity specified;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caps/>
          <w:lang w:eastAsia="zh-CN"/>
        </w:rPr>
      </w:pPr>
      <w:r w:rsidRPr="00871477">
        <w:rPr>
          <w:lang w:eastAsia="zh-CN"/>
        </w:rPr>
        <w:t>if and to the extent that the level of insurance cover available falls below that minimum because a claim or claims which do not relate to this Framework Agreement are paid by insurers, the Supplier shall:</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caps/>
          <w:lang w:eastAsia="zh-CN"/>
        </w:rPr>
      </w:pPr>
      <w:r w:rsidRPr="00871477">
        <w:rPr>
          <w:lang w:eastAsia="zh-CN"/>
        </w:rPr>
        <w:t>ensure that the insurance cover is reinstated to maintain at all times the minimum limit of indemnity specified for claims relating to this Framework Agreement;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caps/>
          <w:lang w:eastAsia="zh-CN"/>
        </w:rPr>
      </w:pPr>
      <w:r w:rsidRPr="00871477">
        <w:rPr>
          <w:lang w:eastAsia="zh-CN"/>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CANCELLATION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The Supplier shall notify the Authority in writing at least five (5) Working Days prior to the cancellation, suspension, termination or non-renewal of any of the Insurances.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 xml:space="preserve">INSURANCE CLAIMS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Except where the Authority is the claimant party, the Supplier shall give the Authority notice within twenty (20) Working Days after any insurance claim relating to or arising out of the provision of the Goods and/or Services or this Framework Agreement on any of the Insurances or which, but for the application of the applicable policy excess, would be made on any of the Insurances and (if required by the Authority) full details of the incident giving rise to the claim.</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Where any Insurance requires payment of a premium, the Supplier shall be liable for and shall promptly pay such premium.</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93" w:name="_Toc492462948"/>
      <w:r w:rsidRPr="00871477">
        <w:rPr>
          <w:rFonts w:ascii="Arial Bold" w:eastAsia="STZhongsong" w:hAnsi="Arial Bold" w:cs="Times New Roman"/>
          <w:b/>
          <w:caps/>
          <w:lang w:eastAsia="zh-CN"/>
        </w:rPr>
        <w:lastRenderedPageBreak/>
        <w:t>ANNEX 1: REQUIRED INSURANCES</w:t>
      </w:r>
      <w:bookmarkEnd w:id="93"/>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t xml:space="preserve">Part A: Third Party Public &amp; Products Liability Insurance </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 xml:space="preserve">Insured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The Supplier</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Interest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To indemnify the Insured in respect of all sums which the Insured shall become legally liable to pay as damages, including claimant's costs and expenses, in respect of accidental: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caps/>
          <w:lang w:eastAsia="zh-CN"/>
        </w:rPr>
      </w:pPr>
      <w:r w:rsidRPr="00871477">
        <w:rPr>
          <w:lang w:eastAsia="zh-CN"/>
        </w:rPr>
        <w:t>death or bodily injury to or sickness, illness or disease contracted by any person;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caps/>
          <w:lang w:eastAsia="zh-CN"/>
        </w:rPr>
      </w:pPr>
      <w:r w:rsidRPr="00871477">
        <w:rPr>
          <w:lang w:eastAsia="zh-CN"/>
        </w:rPr>
        <w:t>loss of or damage to property;</w:t>
      </w:r>
    </w:p>
    <w:p w:rsidR="00871477" w:rsidRPr="00871477" w:rsidRDefault="00871477" w:rsidP="00871477">
      <w:pPr>
        <w:tabs>
          <w:tab w:val="left" w:pos="3402"/>
        </w:tabs>
        <w:spacing w:after="220"/>
        <w:ind w:left="1134"/>
        <w:rPr>
          <w:caps/>
          <w:szCs w:val="24"/>
        </w:rPr>
      </w:pPr>
      <w:r w:rsidRPr="00871477">
        <w:rPr>
          <w:szCs w:val="24"/>
        </w:rPr>
        <w:t>happening during the period of insurance (as specified in Paragraph 5 of this Annex 1 to this Schedule 14) and arising out of or in connection with the provision of the Goods and/or Services and in connection with this Framework Agreement.</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Limit of indemnity</w:t>
      </w:r>
    </w:p>
    <w:p w:rsidR="00871477" w:rsidRPr="00871477" w:rsidRDefault="00871477" w:rsidP="00871477">
      <w:pPr>
        <w:numPr>
          <w:ilvl w:val="1"/>
          <w:numId w:val="8"/>
        </w:numPr>
        <w:tabs>
          <w:tab w:val="left" w:pos="709"/>
        </w:tabs>
        <w:overflowPunct/>
        <w:autoSpaceDE/>
        <w:autoSpaceDN/>
        <w:spacing w:before="120" w:after="120"/>
        <w:ind w:left="709" w:hanging="425"/>
        <w:textAlignment w:val="auto"/>
        <w:rPr>
          <w:caps/>
          <w:lang w:eastAsia="zh-CN"/>
        </w:rPr>
      </w:pPr>
      <w:r w:rsidRPr="00871477">
        <w:rPr>
          <w:lang w:eastAsia="zh-CN"/>
        </w:rPr>
        <w:t xml:space="preserve">Not less than </w:t>
      </w:r>
      <w:r w:rsidRPr="0006376E">
        <w:rPr>
          <w:b/>
          <w:lang w:eastAsia="zh-CN"/>
        </w:rPr>
        <w:t xml:space="preserve">£5,000,000 </w:t>
      </w:r>
      <w:r w:rsidRPr="0006376E">
        <w:rPr>
          <w:lang w:eastAsia="zh-CN"/>
        </w:rPr>
        <w:t>in</w:t>
      </w:r>
      <w:r w:rsidRPr="00871477">
        <w:rPr>
          <w:lang w:eastAsia="zh-CN"/>
        </w:rPr>
        <w:t xml:space="preserve"> respect of any one occurrence, the number of occurrences being unlimited, but £5,000,000</w:t>
      </w:r>
      <w:r w:rsidRPr="00871477">
        <w:rPr>
          <w:b/>
          <w:lang w:eastAsia="zh-CN"/>
        </w:rPr>
        <w:t xml:space="preserve"> </w:t>
      </w:r>
      <w:r w:rsidRPr="00871477">
        <w:rPr>
          <w:lang w:eastAsia="zh-CN"/>
        </w:rPr>
        <w:t>any one occurrence and in the aggregate per annum in respect of products and pollution liability.</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Territorial limits</w:t>
      </w:r>
    </w:p>
    <w:p w:rsidR="00871477" w:rsidRPr="00871477" w:rsidRDefault="00871477" w:rsidP="00871477">
      <w:pPr>
        <w:numPr>
          <w:ilvl w:val="2"/>
          <w:numId w:val="8"/>
        </w:numPr>
        <w:tabs>
          <w:tab w:val="left" w:pos="1985"/>
        </w:tabs>
        <w:overflowPunct/>
        <w:autoSpaceDE/>
        <w:autoSpaceDN/>
        <w:spacing w:before="120" w:after="120"/>
        <w:textAlignment w:val="auto"/>
        <w:rPr>
          <w:caps/>
          <w:lang w:eastAsia="zh-CN"/>
        </w:rPr>
      </w:pPr>
      <w:r w:rsidRPr="00871477">
        <w:rPr>
          <w:lang w:eastAsia="zh-CN"/>
        </w:rPr>
        <w:t>United Kingdom</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Period of insurance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From the Framework Commencement Date for the Framework Period and renewable on an annual basis unless agreed otherwise by the Authority in writing.</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Cover features and extensions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Indemnity to principal’s clause.</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Principal exclusions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War and related perils.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Nuclear and radioactive risks.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Liability for death, illness, disease or bodily injury sustained by employees of the Insured during the course of their employment.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Liability arising out of the use of mechanically propelled vehicles whilst required to be compulsorily insured by applicable Law in respect of such vehicles.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Liability in respect of predetermined penalties or liquidated damages imposed under any contract entered into by the Insured.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Liability arising out of technical or professional advice other than in respect of death or bodily injury to persons or damage to third party property.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Liability arising from the ownership, possession or use of any aircraft or marine vessel.</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lastRenderedPageBreak/>
        <w:t>Liability arising from seepage and pollution unless caused by a sudden, unintended and unexpected occurrence.</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Maximum deductible threshold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 xml:space="preserve">Not to </w:t>
      </w:r>
      <w:r w:rsidRPr="0006376E">
        <w:rPr>
          <w:lang w:eastAsia="zh-CN"/>
        </w:rPr>
        <w:t>exceed</w:t>
      </w:r>
      <w:r w:rsidR="00EF7EC9">
        <w:rPr>
          <w:lang w:eastAsia="zh-CN"/>
        </w:rPr>
        <w:t xml:space="preserve"> </w:t>
      </w:r>
      <w:r w:rsidR="00EF7EC9">
        <w:rPr>
          <w:rFonts w:ascii="Arial" w:eastAsia="STZhongsong" w:hAnsi="Arial"/>
          <w:b/>
          <w:color w:val="000000" w:themeColor="text1"/>
          <w:sz w:val="20"/>
          <w:szCs w:val="20"/>
          <w:lang w:eastAsia="zh-CN"/>
        </w:rPr>
        <w:t>&lt;REDACTED&gt;</w:t>
      </w:r>
      <w:r w:rsidRPr="00871477">
        <w:rPr>
          <w:lang w:eastAsia="zh-CN"/>
        </w:rPr>
        <w:t xml:space="preserve"> for each and every third party property damage claim (personal injury claims to be paid in full).</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r w:rsidRPr="00871477">
        <w:rPr>
          <w:rFonts w:ascii="Arial Bold" w:eastAsia="STZhongsong" w:hAnsi="Arial Bold" w:cs="Times New Roman"/>
          <w:b/>
          <w:caps/>
          <w:lang w:eastAsia="zh-CN"/>
        </w:rPr>
        <w:lastRenderedPageBreak/>
        <w:t>Part B: Professional Indemnity Insurance</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Insured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The Supplier</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Interest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Limit of indemnity</w:t>
      </w:r>
    </w:p>
    <w:p w:rsidR="00871477" w:rsidRPr="00871477" w:rsidRDefault="00871477" w:rsidP="00871477">
      <w:pPr>
        <w:numPr>
          <w:ilvl w:val="1"/>
          <w:numId w:val="8"/>
        </w:numPr>
        <w:tabs>
          <w:tab w:val="left" w:pos="709"/>
        </w:tabs>
        <w:overflowPunct/>
        <w:autoSpaceDE/>
        <w:autoSpaceDN/>
        <w:spacing w:before="120" w:after="120"/>
        <w:textAlignment w:val="auto"/>
        <w:rPr>
          <w:lang w:eastAsia="zh-CN"/>
        </w:rPr>
      </w:pPr>
      <w:r w:rsidRPr="00871477">
        <w:rPr>
          <w:lang w:eastAsia="zh-CN"/>
        </w:rPr>
        <w:tab/>
        <w:t xml:space="preserve">Not </w:t>
      </w:r>
      <w:r w:rsidRPr="0006376E">
        <w:rPr>
          <w:lang w:eastAsia="zh-CN"/>
        </w:rPr>
        <w:t xml:space="preserve">less than </w:t>
      </w:r>
      <w:r w:rsidRPr="0006376E">
        <w:rPr>
          <w:b/>
          <w:lang w:eastAsia="zh-CN"/>
        </w:rPr>
        <w:t>£</w:t>
      </w:r>
      <w:r w:rsidR="008C2005" w:rsidRPr="0006376E">
        <w:rPr>
          <w:b/>
          <w:lang w:eastAsia="zh-CN"/>
        </w:rPr>
        <w:t>1</w:t>
      </w:r>
      <w:r w:rsidRPr="0006376E">
        <w:rPr>
          <w:b/>
          <w:lang w:eastAsia="zh-CN"/>
        </w:rPr>
        <w:t>,000,000</w:t>
      </w:r>
      <w:r w:rsidRPr="0006376E">
        <w:rPr>
          <w:lang w:eastAsia="zh-CN"/>
        </w:rPr>
        <w:t xml:space="preserve"> in respect</w:t>
      </w:r>
      <w:r w:rsidRPr="00871477">
        <w:rPr>
          <w:lang w:eastAsia="zh-CN"/>
        </w:rPr>
        <w:t xml:space="preserve"> of any one claim and in the aggregate per annum.</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Territorial Limits</w:t>
      </w:r>
    </w:p>
    <w:p w:rsidR="00871477" w:rsidRPr="00871477" w:rsidRDefault="00871477" w:rsidP="00871477">
      <w:pPr>
        <w:numPr>
          <w:ilvl w:val="1"/>
          <w:numId w:val="8"/>
        </w:numPr>
        <w:tabs>
          <w:tab w:val="left" w:pos="709"/>
        </w:tabs>
        <w:overflowPunct/>
        <w:autoSpaceDE/>
        <w:autoSpaceDN/>
        <w:spacing w:before="120" w:after="120"/>
        <w:textAlignment w:val="auto"/>
        <w:rPr>
          <w:lang w:eastAsia="zh-CN"/>
        </w:rPr>
      </w:pPr>
      <w:r w:rsidRPr="00871477">
        <w:rPr>
          <w:lang w:eastAsia="zh-CN"/>
        </w:rPr>
        <w:tab/>
        <w:t>United Kingdom</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Period of insurance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Cover features and extensions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Retroactive cover to apply to any claims made policy wording in respect of this Framework Agreement or retroactive date to be no later than the Framework Commencement Date.</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Principal exclusions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War and related perils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Nuclear and radioactive risks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Maximum deductible threshold</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 xml:space="preserve">Not to </w:t>
      </w:r>
      <w:r w:rsidRPr="0006376E">
        <w:rPr>
          <w:lang w:eastAsia="zh-CN"/>
        </w:rPr>
        <w:t>exceed</w:t>
      </w:r>
      <w:r w:rsidR="00EF7EC9">
        <w:rPr>
          <w:lang w:eastAsia="zh-CN"/>
        </w:rPr>
        <w:t xml:space="preserve"> </w:t>
      </w:r>
      <w:r w:rsidR="00EF7EC9">
        <w:rPr>
          <w:rFonts w:ascii="Arial" w:eastAsia="STZhongsong" w:hAnsi="Arial"/>
          <w:b/>
          <w:color w:val="000000" w:themeColor="text1"/>
          <w:sz w:val="20"/>
          <w:szCs w:val="20"/>
          <w:lang w:eastAsia="zh-CN"/>
        </w:rPr>
        <w:t>&lt;REDACTED&gt;</w:t>
      </w:r>
      <w:r w:rsidRPr="0006376E">
        <w:rPr>
          <w:lang w:eastAsia="zh-CN"/>
        </w:rPr>
        <w:t xml:space="preserve"> each</w:t>
      </w:r>
      <w:r w:rsidRPr="00871477">
        <w:rPr>
          <w:lang w:eastAsia="zh-CN"/>
        </w:rPr>
        <w:t xml:space="preserve"> and every claim.</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spacing w:before="240"/>
        <w:ind w:firstLine="426"/>
        <w:jc w:val="center"/>
        <w:textAlignment w:val="auto"/>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r w:rsidRPr="00871477">
        <w:rPr>
          <w:rFonts w:ascii="Arial Bold" w:eastAsia="STZhongsong" w:hAnsi="Arial Bold" w:cs="Times New Roman"/>
          <w:b/>
          <w:caps/>
          <w:lang w:eastAsia="zh-CN"/>
        </w:rPr>
        <w:lastRenderedPageBreak/>
        <w:t>Part C: United Kingdom Compulsory Insurances</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caps/>
          <w:lang w:eastAsia="zh-CN"/>
        </w:rPr>
      </w:pPr>
      <w:r w:rsidRPr="00871477">
        <w:rPr>
          <w:lang w:eastAsia="zh-CN"/>
        </w:rPr>
        <w:t>The Supplier shall meet its insurance obligations under applicable Law in full, including, UK employers' liability insurance and motor third party liability insurance.</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overflowPunct/>
        <w:autoSpaceDE/>
        <w:autoSpaceDN/>
        <w:adjustRightInd/>
        <w:spacing w:after="0"/>
        <w:jc w:val="left"/>
        <w:textAlignment w:val="auto"/>
        <w:rPr>
          <w:color w:val="FFFFFF"/>
          <w:sz w:val="16"/>
          <w:szCs w:val="16"/>
        </w:rPr>
      </w:pPr>
      <w:r w:rsidRPr="00871477">
        <w:br w:type="page"/>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94" w:name="_Toc492462949"/>
      <w:r w:rsidRPr="00871477">
        <w:rPr>
          <w:rFonts w:ascii="Arial Bold" w:eastAsia="STZhongsong" w:hAnsi="Arial Bold" w:cs="Times New Roman"/>
          <w:b/>
          <w:caps/>
          <w:lang w:eastAsia="zh-CN"/>
        </w:rPr>
        <w:lastRenderedPageBreak/>
        <w:t xml:space="preserve">FRAMEWORK SCHEDULE 15: </w:t>
      </w:r>
      <w:r w:rsidR="002E5A02">
        <w:rPr>
          <w:rFonts w:ascii="Arial Bold" w:eastAsia="STZhongsong" w:hAnsi="Arial Bold" w:cs="Times New Roman"/>
          <w:b/>
          <w:caps/>
          <w:lang w:eastAsia="zh-CN"/>
        </w:rPr>
        <w:t xml:space="preserve">staff transfer - </w:t>
      </w:r>
      <w:r w:rsidRPr="00871477">
        <w:rPr>
          <w:rFonts w:ascii="Arial Bold" w:eastAsia="STZhongsong" w:hAnsi="Arial Bold" w:cs="Times New Roman"/>
          <w:b/>
          <w:caps/>
          <w:lang w:eastAsia="zh-CN"/>
        </w:rPr>
        <w:t>NOT USED</w:t>
      </w:r>
      <w:bookmarkEnd w:id="94"/>
    </w:p>
    <w:p w:rsidR="00871477" w:rsidRPr="00871477" w:rsidRDefault="00871477" w:rsidP="00871477">
      <w:pPr>
        <w:overflowPunct/>
        <w:autoSpaceDE/>
        <w:autoSpaceDN/>
        <w:adjustRightInd/>
        <w:spacing w:after="0"/>
        <w:jc w:val="left"/>
        <w:textAlignment w:val="auto"/>
        <w:rPr>
          <w:color w:val="FFFFFF"/>
          <w:sz w:val="16"/>
          <w:szCs w:val="16"/>
        </w:rPr>
      </w:pPr>
      <w:r w:rsidRPr="00871477">
        <w:br w:type="page"/>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95" w:name="_Toc492462950"/>
      <w:r w:rsidRPr="00871477">
        <w:rPr>
          <w:rFonts w:ascii="Arial Bold" w:eastAsia="STZhongsong" w:hAnsi="Arial Bold" w:cs="Times New Roman"/>
          <w:b/>
          <w:caps/>
          <w:lang w:eastAsia="zh-CN"/>
        </w:rPr>
        <w:lastRenderedPageBreak/>
        <w:t>FRAMEWORK SCHEDULE 16: FINANCIAL DISTRESS</w:t>
      </w:r>
      <w:bookmarkEnd w:id="95"/>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DEFINITIONS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this Framework Schedule 16, the following definitions shall apply:</w:t>
      </w:r>
    </w:p>
    <w:tbl>
      <w:tblPr>
        <w:tblW w:w="7654" w:type="dxa"/>
        <w:tblInd w:w="1526" w:type="dxa"/>
        <w:tblLook w:val="0000" w:firstRow="0" w:lastRow="0" w:firstColumn="0" w:lastColumn="0" w:noHBand="0" w:noVBand="0"/>
      </w:tblPr>
      <w:tblGrid>
        <w:gridCol w:w="3190"/>
        <w:gridCol w:w="4464"/>
      </w:tblGrid>
      <w:tr w:rsidR="00871477" w:rsidRPr="00871477" w:rsidTr="00871477">
        <w:tc>
          <w:tcPr>
            <w:tcW w:w="3190" w:type="dxa"/>
          </w:tcPr>
          <w:p w:rsidR="00871477" w:rsidRPr="00871477" w:rsidRDefault="00871477" w:rsidP="00871477">
            <w:pPr>
              <w:spacing w:after="120"/>
              <w:ind w:left="-108"/>
              <w:jc w:val="left"/>
              <w:rPr>
                <w:b/>
              </w:rPr>
            </w:pPr>
            <w:r w:rsidRPr="00871477">
              <w:rPr>
                <w:b/>
              </w:rPr>
              <w:t>"Credit Rating Threshold"</w:t>
            </w:r>
          </w:p>
        </w:tc>
        <w:tc>
          <w:tcPr>
            <w:tcW w:w="4464" w:type="dxa"/>
          </w:tcPr>
          <w:p w:rsidR="00871477" w:rsidRPr="00871477" w:rsidRDefault="00871477" w:rsidP="009C26AA">
            <w:pPr>
              <w:numPr>
                <w:ilvl w:val="0"/>
                <w:numId w:val="6"/>
              </w:numPr>
              <w:tabs>
                <w:tab w:val="left" w:pos="175"/>
              </w:tabs>
              <w:spacing w:after="120"/>
            </w:pPr>
            <w:r w:rsidRPr="00871477">
              <w:t>means the minimum credit rating level for the Supplier and Call Off Guarantor as set out in Annex 2 [and for each Key Sub-Contractor as set out in Schedule 7 (Key Sub-Contractors)]; and</w:t>
            </w:r>
          </w:p>
        </w:tc>
      </w:tr>
      <w:tr w:rsidR="00871477" w:rsidRPr="00871477" w:rsidTr="00871477">
        <w:tc>
          <w:tcPr>
            <w:tcW w:w="3190" w:type="dxa"/>
          </w:tcPr>
          <w:p w:rsidR="00871477" w:rsidRPr="00871477" w:rsidRDefault="00871477" w:rsidP="00871477">
            <w:pPr>
              <w:spacing w:after="120"/>
              <w:ind w:left="-108"/>
              <w:jc w:val="left"/>
              <w:rPr>
                <w:b/>
              </w:rPr>
            </w:pPr>
            <w:r w:rsidRPr="00871477">
              <w:rPr>
                <w:b/>
              </w:rPr>
              <w:t>"Financial Distress Service Continuity Plan"</w:t>
            </w:r>
          </w:p>
        </w:tc>
        <w:tc>
          <w:tcPr>
            <w:tcW w:w="4464" w:type="dxa"/>
          </w:tcPr>
          <w:p w:rsidR="00871477" w:rsidRPr="00871477" w:rsidRDefault="00871477" w:rsidP="00871477">
            <w:pPr>
              <w:numPr>
                <w:ilvl w:val="0"/>
                <w:numId w:val="6"/>
              </w:numPr>
              <w:tabs>
                <w:tab w:val="left" w:pos="175"/>
              </w:tabs>
              <w:spacing w:after="120"/>
            </w:pPr>
            <w:r w:rsidRPr="00871477">
              <w:t>means a plan setting out how the Supplier will ensure the continued performance and delivery of the Goods and/or Services in accordance with this Framework Agreement in the event that a Financial Distress Event occurs;</w:t>
            </w:r>
          </w:p>
        </w:tc>
      </w:tr>
      <w:tr w:rsidR="00871477" w:rsidRPr="00871477" w:rsidTr="00871477">
        <w:tc>
          <w:tcPr>
            <w:tcW w:w="3190" w:type="dxa"/>
          </w:tcPr>
          <w:p w:rsidR="00871477" w:rsidRPr="00871477" w:rsidRDefault="00871477" w:rsidP="00871477">
            <w:pPr>
              <w:spacing w:after="120"/>
              <w:ind w:left="-108"/>
              <w:jc w:val="left"/>
              <w:rPr>
                <w:b/>
              </w:rPr>
            </w:pPr>
            <w:r w:rsidRPr="00871477">
              <w:rPr>
                <w:b/>
              </w:rPr>
              <w:t>"Rating Agencies"</w:t>
            </w:r>
          </w:p>
        </w:tc>
        <w:tc>
          <w:tcPr>
            <w:tcW w:w="4464" w:type="dxa"/>
          </w:tcPr>
          <w:p w:rsidR="00871477" w:rsidRPr="00871477" w:rsidRDefault="00871477" w:rsidP="00871477">
            <w:pPr>
              <w:numPr>
                <w:ilvl w:val="0"/>
                <w:numId w:val="6"/>
              </w:numPr>
              <w:tabs>
                <w:tab w:val="left" w:pos="175"/>
              </w:tabs>
              <w:spacing w:after="120"/>
            </w:pPr>
            <w:r w:rsidRPr="00871477">
              <w:t>means the rating agencies listed in Annex 1</w:t>
            </w:r>
            <w:r w:rsidRPr="00871477">
              <w:rPr>
                <w:bCs/>
              </w:rPr>
              <w:t>.</w:t>
            </w:r>
          </w:p>
        </w:tc>
      </w:tr>
    </w:tbl>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CREDIT RATING AND DUTY TO NOTIFY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Supplier warrants and represents to the Authority for the benefit of the Authority that as at the Framework Commencement Date the long term credit ratings issued for the Supplier and Call Off Guarantor by each of the Rating Agencies are </w:t>
      </w:r>
      <w:r w:rsidRPr="00871477">
        <w:rPr>
          <w:bCs/>
          <w:iCs/>
          <w:lang w:eastAsia="zh-CN"/>
        </w:rPr>
        <w:t>as set out in Annex 2</w:t>
      </w:r>
      <w:r w:rsidRPr="00871477">
        <w:rPr>
          <w:lang w:eastAsia="zh-CN"/>
        </w:rPr>
        <w:t xml:space="preserv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rFonts w:eastAsia="Arial Unicode MS"/>
          <w:lang w:eastAsia="zh-CN"/>
        </w:rPr>
      </w:pPr>
      <w:r w:rsidRPr="00871477">
        <w:rPr>
          <w:rFonts w:eastAsia="Arial Unicode MS"/>
          <w:lang w:eastAsia="zh-CN"/>
        </w:rPr>
        <w:t xml:space="preserve">The Supplier shall promptly notify (or shall procure that its auditors promptly notify) the Authority in writing if there is any downgrade in the credit rating issued by any Rating Agency for either the Supplier </w:t>
      </w:r>
      <w:r w:rsidR="009C26AA">
        <w:rPr>
          <w:rFonts w:eastAsia="Arial Unicode MS"/>
          <w:lang w:eastAsia="zh-CN"/>
        </w:rPr>
        <w:t>or the</w:t>
      </w:r>
      <w:r w:rsidRPr="00871477">
        <w:rPr>
          <w:lang w:eastAsia="zh-CN"/>
        </w:rPr>
        <w:t xml:space="preserve"> Call Off Guarantor</w:t>
      </w:r>
      <w:r w:rsidR="009C26AA">
        <w:rPr>
          <w:lang w:eastAsia="zh-CN"/>
        </w:rPr>
        <w:t xml:space="preserve"> </w:t>
      </w:r>
      <w:r w:rsidRPr="00871477">
        <w:rPr>
          <w:rFonts w:eastAsia="Arial Unicode MS"/>
          <w:lang w:eastAsia="zh-CN"/>
        </w:rPr>
        <w:t>(and in any event within five (5 )Working Days of the occurrence of the downgrade).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rFonts w:eastAsia="Arial Unicode MS"/>
          <w:lang w:eastAsia="zh-CN"/>
        </w:rPr>
      </w:pPr>
      <w:r w:rsidRPr="00871477">
        <w:rPr>
          <w:rFonts w:eastAsia="Arial Unicode MS"/>
          <w:lang w:eastAsia="zh-CN"/>
        </w:rPr>
        <w:t xml:space="preserve">If there is any downgrade credit rating issued by any Rating Agency for either the Supplier </w:t>
      </w:r>
      <w:r w:rsidR="009C26AA">
        <w:rPr>
          <w:rFonts w:eastAsia="Arial Unicode MS"/>
          <w:lang w:eastAsia="zh-CN"/>
        </w:rPr>
        <w:t xml:space="preserve">or the </w:t>
      </w:r>
      <w:r w:rsidR="009C26AA">
        <w:rPr>
          <w:lang w:eastAsia="zh-CN"/>
        </w:rPr>
        <w:t>Call Off Guarantor,</w:t>
      </w:r>
      <w:r w:rsidRPr="00871477">
        <w:rPr>
          <w:rFonts w:eastAsia="Arial Unicode MS"/>
          <w:lang w:eastAsia="zh-CN"/>
        </w:rPr>
        <w:t xml:space="preserve"> the Supplier shall ensure that the Supplier’s auditors </w:t>
      </w:r>
      <w:r w:rsidR="009C26AA">
        <w:rPr>
          <w:rFonts w:eastAsia="Arial Unicode MS"/>
          <w:lang w:eastAsia="zh-CN"/>
        </w:rPr>
        <w:t xml:space="preserve">or the </w:t>
      </w:r>
      <w:r w:rsidRPr="00871477">
        <w:rPr>
          <w:lang w:eastAsia="zh-CN"/>
        </w:rPr>
        <w:t xml:space="preserve"> Call Off Guarantor</w:t>
      </w:r>
      <w:r w:rsidRPr="00871477">
        <w:rPr>
          <w:rFonts w:eastAsia="Arial Unicode MS"/>
          <w:lang w:eastAsia="zh-CN"/>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w:t>
      </w:r>
      <w:r w:rsidR="009C26AA">
        <w:rPr>
          <w:rFonts w:eastAsia="Arial Unicode MS"/>
          <w:lang w:eastAsia="zh-CN"/>
        </w:rPr>
        <w:t>e quick ratio for the Supplier a</w:t>
      </w:r>
      <w:r w:rsidRPr="00871477">
        <w:rPr>
          <w:lang w:eastAsia="zh-CN"/>
        </w:rPr>
        <w:t>nd Call Off Guarantor</w:t>
      </w:r>
      <w:r w:rsidRPr="00871477">
        <w:rPr>
          <w:rFonts w:eastAsia="Arial Unicode MS"/>
          <w:lang w:eastAsia="zh-CN"/>
        </w:rPr>
        <w:t xml:space="preserve"> </w:t>
      </w:r>
      <w:r w:rsidR="009C26AA">
        <w:rPr>
          <w:rFonts w:eastAsia="Arial Unicode MS"/>
          <w:lang w:eastAsia="zh-CN"/>
        </w:rPr>
        <w:t>(</w:t>
      </w:r>
      <w:r w:rsidRPr="00871477">
        <w:rPr>
          <w:rFonts w:eastAsia="Arial Unicode MS"/>
          <w:lang w:eastAsia="zh-CN"/>
        </w:rPr>
        <w:t>as the case may be</w:t>
      </w:r>
      <w:r w:rsidR="009C26AA">
        <w:rPr>
          <w:rFonts w:eastAsia="Arial Unicode MS"/>
          <w:lang w:eastAsia="zh-CN"/>
        </w:rPr>
        <w:t>)</w:t>
      </w:r>
      <w:r w:rsidRPr="00871477">
        <w:rPr>
          <w:rFonts w:eastAsia="Arial Unicode MS"/>
          <w:lang w:eastAsia="zh-CN"/>
        </w:rPr>
        <w:t xml:space="preserve"> as at the end of each Contract Year or such other date as may be requested by the Authority.  For these purposes the “quick ratio” on any date means:</w:t>
      </w:r>
    </w:p>
    <w:p w:rsidR="00871477" w:rsidRPr="00871477" w:rsidRDefault="00871477" w:rsidP="00871477">
      <w:pPr>
        <w:ind w:firstLine="1134"/>
        <w:rPr>
          <w:rFonts w:eastAsia="Arial Unicode MS"/>
        </w:rPr>
      </w:pPr>
      <w:r w:rsidRPr="00871477">
        <w:rPr>
          <w:rFonts w:eastAsia="Arial Unicode MS"/>
          <w:noProof/>
          <w:lang w:eastAsia="en-GB"/>
        </w:rPr>
        <w:drawing>
          <wp:inline distT="0" distB="0" distL="0" distR="0" wp14:anchorId="695DD28B" wp14:editId="4F6313E8">
            <wp:extent cx="609600" cy="165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871477">
        <w:rPr>
          <w:rFonts w:eastAsia="Arial Unicode MS"/>
          <w:noProof/>
          <w:lang w:eastAsia="en-GB"/>
        </w:rPr>
        <w:drawing>
          <wp:inline distT="0" distB="0" distL="0" distR="0" wp14:anchorId="26FF9D53" wp14:editId="37433E2A">
            <wp:extent cx="609600" cy="3175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rsidR="00871477" w:rsidRPr="00871477" w:rsidRDefault="00871477" w:rsidP="00871477">
      <w:pPr>
        <w:tabs>
          <w:tab w:val="left" w:pos="3402"/>
        </w:tabs>
        <w:spacing w:after="220"/>
        <w:ind w:left="1134"/>
        <w:rPr>
          <w:rFonts w:eastAsia="Arial Unicode MS"/>
          <w:szCs w:val="24"/>
        </w:rPr>
      </w:pPr>
      <w:r w:rsidRPr="00871477">
        <w:rPr>
          <w:rFonts w:eastAsia="Arial Unicode MS"/>
          <w:szCs w:val="24"/>
        </w:rPr>
        <w:t>where:</w:t>
      </w:r>
    </w:p>
    <w:tbl>
      <w:tblPr>
        <w:tblW w:w="0" w:type="auto"/>
        <w:tblInd w:w="709" w:type="dxa"/>
        <w:tblLook w:val="04A0" w:firstRow="1" w:lastRow="0" w:firstColumn="1" w:lastColumn="0" w:noHBand="0" w:noVBand="1"/>
      </w:tblPr>
      <w:tblGrid>
        <w:gridCol w:w="1486"/>
        <w:gridCol w:w="6834"/>
      </w:tblGrid>
      <w:tr w:rsidR="00871477" w:rsidRPr="00871477" w:rsidTr="00871477">
        <w:tc>
          <w:tcPr>
            <w:tcW w:w="959" w:type="dxa"/>
          </w:tcPr>
          <w:p w:rsidR="00871477" w:rsidRPr="00871477" w:rsidRDefault="00871477" w:rsidP="00871477">
            <w:pPr>
              <w:tabs>
                <w:tab w:val="left" w:pos="3402"/>
              </w:tabs>
              <w:spacing w:after="220"/>
              <w:ind w:left="1134"/>
              <w:rPr>
                <w:rFonts w:eastAsia="Arial Unicode MS"/>
                <w:szCs w:val="24"/>
              </w:rPr>
            </w:pPr>
            <w:r w:rsidRPr="00871477">
              <w:rPr>
                <w:szCs w:val="24"/>
              </w:rPr>
              <w:t>A</w:t>
            </w:r>
          </w:p>
        </w:tc>
        <w:tc>
          <w:tcPr>
            <w:tcW w:w="7577" w:type="dxa"/>
          </w:tcPr>
          <w:p w:rsidR="00871477" w:rsidRPr="00871477" w:rsidRDefault="00871477" w:rsidP="009C26AA">
            <w:pPr>
              <w:tabs>
                <w:tab w:val="left" w:pos="3402"/>
              </w:tabs>
              <w:spacing w:after="220"/>
              <w:ind w:left="1134"/>
              <w:rPr>
                <w:rFonts w:eastAsia="Arial Unicode MS"/>
                <w:b/>
                <w:szCs w:val="24"/>
              </w:rPr>
            </w:pPr>
            <w:r w:rsidRPr="00871477">
              <w:rPr>
                <w:szCs w:val="24"/>
              </w:rPr>
              <w:t xml:space="preserve">is the value at the relevant date of all cash in hand and at the bank of the Supplier </w:t>
            </w:r>
            <w:r w:rsidR="009C26AA">
              <w:rPr>
                <w:szCs w:val="24"/>
              </w:rPr>
              <w:t>or Call Off Guarantor</w:t>
            </w:r>
            <w:r w:rsidRPr="00871477" w:rsidDel="00170259">
              <w:rPr>
                <w:szCs w:val="24"/>
              </w:rPr>
              <w:t xml:space="preserve"> </w:t>
            </w:r>
            <w:r w:rsidR="009C26AA">
              <w:rPr>
                <w:szCs w:val="24"/>
              </w:rPr>
              <w:t>(as the case may be)</w:t>
            </w:r>
            <w:r w:rsidRPr="00871477">
              <w:rPr>
                <w:szCs w:val="24"/>
              </w:rPr>
              <w:t>;</w:t>
            </w:r>
          </w:p>
        </w:tc>
      </w:tr>
      <w:tr w:rsidR="00871477" w:rsidRPr="00871477" w:rsidTr="00871477">
        <w:tc>
          <w:tcPr>
            <w:tcW w:w="959" w:type="dxa"/>
          </w:tcPr>
          <w:p w:rsidR="00871477" w:rsidRPr="00871477" w:rsidRDefault="00871477" w:rsidP="00871477">
            <w:pPr>
              <w:tabs>
                <w:tab w:val="left" w:pos="3402"/>
              </w:tabs>
              <w:spacing w:after="220"/>
              <w:ind w:left="1134"/>
              <w:rPr>
                <w:rFonts w:eastAsia="Arial Unicode MS"/>
                <w:szCs w:val="24"/>
              </w:rPr>
            </w:pPr>
            <w:r w:rsidRPr="00871477">
              <w:rPr>
                <w:rFonts w:eastAsia="Arial Unicode MS"/>
                <w:szCs w:val="24"/>
              </w:rPr>
              <w:t>B</w:t>
            </w:r>
          </w:p>
        </w:tc>
        <w:tc>
          <w:tcPr>
            <w:tcW w:w="7577" w:type="dxa"/>
          </w:tcPr>
          <w:p w:rsidR="00871477" w:rsidRPr="00871477" w:rsidRDefault="00871477" w:rsidP="009C26AA">
            <w:pPr>
              <w:tabs>
                <w:tab w:val="left" w:pos="3402"/>
              </w:tabs>
              <w:spacing w:after="220"/>
              <w:ind w:left="1134"/>
              <w:rPr>
                <w:rFonts w:eastAsia="Arial Unicode MS"/>
                <w:szCs w:val="24"/>
              </w:rPr>
            </w:pPr>
            <w:r w:rsidRPr="00871477">
              <w:rPr>
                <w:rFonts w:eastAsia="Arial Unicode MS"/>
                <w:szCs w:val="24"/>
              </w:rPr>
              <w:t xml:space="preserve">is the value of </w:t>
            </w:r>
            <w:r w:rsidRPr="00871477">
              <w:rPr>
                <w:szCs w:val="24"/>
              </w:rPr>
              <w:t xml:space="preserve">all marketable </w:t>
            </w:r>
            <w:r w:rsidR="009C26AA">
              <w:rPr>
                <w:szCs w:val="24"/>
              </w:rPr>
              <w:t xml:space="preserve">securities held by the Supplier </w:t>
            </w:r>
            <w:r w:rsidR="00BE654B">
              <w:rPr>
                <w:szCs w:val="24"/>
              </w:rPr>
              <w:t>or</w:t>
            </w:r>
            <w:r w:rsidRPr="00871477">
              <w:rPr>
                <w:szCs w:val="24"/>
              </w:rPr>
              <w:t xml:space="preserve"> </w:t>
            </w:r>
            <w:r w:rsidR="009C26AA">
              <w:rPr>
                <w:szCs w:val="24"/>
              </w:rPr>
              <w:t xml:space="preserve">the </w:t>
            </w:r>
            <w:r w:rsidRPr="00871477">
              <w:rPr>
                <w:szCs w:val="24"/>
              </w:rPr>
              <w:t>Call Off Guarantor (as the case may be)</w:t>
            </w:r>
            <w:r w:rsidR="009C26AA">
              <w:rPr>
                <w:szCs w:val="24"/>
              </w:rPr>
              <w:t xml:space="preserve"> </w:t>
            </w:r>
            <w:r w:rsidRPr="00871477">
              <w:rPr>
                <w:szCs w:val="24"/>
              </w:rPr>
              <w:t xml:space="preserve">determined using </w:t>
            </w:r>
            <w:r w:rsidRPr="00871477">
              <w:rPr>
                <w:szCs w:val="24"/>
              </w:rPr>
              <w:lastRenderedPageBreak/>
              <w:t xml:space="preserve">closing prices on the Working Day preceding the relevant date; </w:t>
            </w:r>
          </w:p>
        </w:tc>
      </w:tr>
      <w:tr w:rsidR="00871477" w:rsidRPr="00871477" w:rsidTr="00871477">
        <w:tc>
          <w:tcPr>
            <w:tcW w:w="959" w:type="dxa"/>
          </w:tcPr>
          <w:p w:rsidR="00871477" w:rsidRPr="00871477" w:rsidRDefault="00871477" w:rsidP="00871477">
            <w:pPr>
              <w:tabs>
                <w:tab w:val="left" w:pos="3402"/>
              </w:tabs>
              <w:spacing w:after="220"/>
              <w:ind w:left="1134"/>
              <w:rPr>
                <w:rFonts w:eastAsia="Arial Unicode MS"/>
                <w:szCs w:val="24"/>
              </w:rPr>
            </w:pPr>
            <w:r w:rsidRPr="00871477">
              <w:rPr>
                <w:rFonts w:eastAsia="Arial Unicode MS"/>
                <w:szCs w:val="24"/>
              </w:rPr>
              <w:lastRenderedPageBreak/>
              <w:t>C</w:t>
            </w:r>
          </w:p>
        </w:tc>
        <w:tc>
          <w:tcPr>
            <w:tcW w:w="7577" w:type="dxa"/>
          </w:tcPr>
          <w:p w:rsidR="00871477" w:rsidRPr="00871477" w:rsidRDefault="00871477" w:rsidP="00BE654B">
            <w:pPr>
              <w:tabs>
                <w:tab w:val="left" w:pos="3402"/>
              </w:tabs>
              <w:spacing w:after="220"/>
              <w:ind w:left="1134"/>
              <w:rPr>
                <w:rFonts w:eastAsia="Arial Unicode MS"/>
                <w:szCs w:val="24"/>
              </w:rPr>
            </w:pPr>
            <w:r w:rsidRPr="00871477">
              <w:rPr>
                <w:rFonts w:eastAsia="Arial Unicode MS"/>
                <w:szCs w:val="24"/>
              </w:rPr>
              <w:t>is the value at the relevant date of all account receivables of the Supplier</w:t>
            </w:r>
            <w:r w:rsidR="009C26AA">
              <w:rPr>
                <w:rFonts w:eastAsia="Arial Unicode MS"/>
                <w:szCs w:val="24"/>
              </w:rPr>
              <w:t xml:space="preserve"> </w:t>
            </w:r>
            <w:r w:rsidR="00BE654B">
              <w:rPr>
                <w:szCs w:val="24"/>
              </w:rPr>
              <w:t xml:space="preserve">or </w:t>
            </w:r>
            <w:r w:rsidR="009C26AA">
              <w:rPr>
                <w:szCs w:val="24"/>
              </w:rPr>
              <w:t>Call Off Guarantor</w:t>
            </w:r>
            <w:r w:rsidRPr="00871477" w:rsidDel="00170259">
              <w:rPr>
                <w:rFonts w:eastAsia="Arial Unicode MS"/>
                <w:szCs w:val="24"/>
              </w:rPr>
              <w:t xml:space="preserve"> </w:t>
            </w:r>
            <w:r w:rsidRPr="00871477">
              <w:rPr>
                <w:rFonts w:eastAsia="Arial Unicode MS"/>
                <w:szCs w:val="24"/>
              </w:rPr>
              <w:t>(as the case may be); and</w:t>
            </w:r>
          </w:p>
        </w:tc>
      </w:tr>
      <w:tr w:rsidR="00871477" w:rsidRPr="00871477" w:rsidTr="00871477">
        <w:tc>
          <w:tcPr>
            <w:tcW w:w="959" w:type="dxa"/>
          </w:tcPr>
          <w:p w:rsidR="00871477" w:rsidRPr="00871477" w:rsidRDefault="00871477" w:rsidP="00871477">
            <w:pPr>
              <w:tabs>
                <w:tab w:val="left" w:pos="3402"/>
              </w:tabs>
              <w:spacing w:after="220"/>
              <w:ind w:left="1134"/>
              <w:rPr>
                <w:rFonts w:eastAsia="Arial Unicode MS"/>
                <w:szCs w:val="24"/>
              </w:rPr>
            </w:pPr>
            <w:r w:rsidRPr="00871477">
              <w:rPr>
                <w:rFonts w:eastAsia="Arial Unicode MS"/>
                <w:szCs w:val="24"/>
              </w:rPr>
              <w:t>D</w:t>
            </w:r>
          </w:p>
        </w:tc>
        <w:tc>
          <w:tcPr>
            <w:tcW w:w="7577" w:type="dxa"/>
          </w:tcPr>
          <w:p w:rsidR="00871477" w:rsidRPr="00871477" w:rsidRDefault="00871477" w:rsidP="00DB6578">
            <w:pPr>
              <w:tabs>
                <w:tab w:val="left" w:pos="3402"/>
              </w:tabs>
              <w:spacing w:after="220"/>
              <w:ind w:left="1134"/>
              <w:rPr>
                <w:rFonts w:eastAsia="Arial Unicode MS"/>
                <w:szCs w:val="24"/>
              </w:rPr>
            </w:pPr>
            <w:r w:rsidRPr="00871477">
              <w:rPr>
                <w:rFonts w:eastAsia="Arial Unicode MS"/>
                <w:szCs w:val="24"/>
              </w:rPr>
              <w:t xml:space="preserve">is the value at the relevant date of the current liabilities of the Supplier </w:t>
            </w:r>
            <w:r w:rsidR="00BE654B">
              <w:rPr>
                <w:szCs w:val="24"/>
              </w:rPr>
              <w:t>or</w:t>
            </w:r>
            <w:r w:rsidRPr="00871477">
              <w:rPr>
                <w:szCs w:val="24"/>
              </w:rPr>
              <w:t xml:space="preserve"> Call Off Guarantor</w:t>
            </w:r>
            <w:r w:rsidRPr="00871477">
              <w:rPr>
                <w:rFonts w:eastAsia="Arial Unicode MS"/>
                <w:szCs w:val="24"/>
              </w:rPr>
              <w:t xml:space="preserve"> (as the case may be)].</w:t>
            </w:r>
          </w:p>
        </w:tc>
      </w:tr>
    </w:tbl>
    <w:p w:rsidR="00871477" w:rsidRPr="00871477" w:rsidRDefault="00871477" w:rsidP="00871477">
      <w:pPr>
        <w:numPr>
          <w:ilvl w:val="1"/>
          <w:numId w:val="8"/>
        </w:numPr>
        <w:tabs>
          <w:tab w:val="left" w:pos="709"/>
          <w:tab w:val="left" w:pos="1134"/>
        </w:tabs>
        <w:overflowPunct/>
        <w:autoSpaceDE/>
        <w:autoSpaceDN/>
        <w:spacing w:before="120" w:after="120"/>
        <w:textAlignment w:val="auto"/>
        <w:rPr>
          <w:rFonts w:eastAsia="Arial Unicode MS"/>
          <w:lang w:eastAsia="zh-CN"/>
        </w:rPr>
      </w:pPr>
      <w:r w:rsidRPr="00871477">
        <w:rPr>
          <w:rFonts w:eastAsia="Arial Unicode MS"/>
          <w:lang w:eastAsia="zh-CN"/>
        </w:rPr>
        <w:t xml:space="preserve">The Supplier shall: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rFonts w:eastAsia="Arial Unicode MS"/>
          <w:lang w:eastAsia="zh-CN"/>
        </w:rPr>
      </w:pPr>
      <w:r w:rsidRPr="00871477">
        <w:rPr>
          <w:lang w:eastAsia="zh-CN"/>
        </w:rPr>
        <w:t>regularly monitor the credit ratings of the Supplier,</w:t>
      </w:r>
      <w:r w:rsidR="00DB6578">
        <w:rPr>
          <w:lang w:eastAsia="zh-CN"/>
        </w:rPr>
        <w:t xml:space="preserve"> and Call Off Guarantor and each Key Sub-Contractor</w:t>
      </w:r>
      <w:r w:rsidRPr="00871477">
        <w:rPr>
          <w:lang w:eastAsia="zh-CN"/>
        </w:rPr>
        <w:t xml:space="preserve"> with the Rating Agencies; and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rFonts w:eastAsia="Arial Unicode MS"/>
          <w:lang w:eastAsia="zh-CN"/>
        </w:rPr>
      </w:pPr>
      <w:r w:rsidRPr="00871477">
        <w:rPr>
          <w:lang w:eastAsia="zh-CN"/>
        </w:rPr>
        <w:t>promptly notify (or shall procure that its auditors promptly notify) the Authority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Supplier first becomes aware of the Financial Distress Event[, the Key Sub-Contractor Financial Distress Event] or the fact, circumstance or matter which could cause a Financial Distress Event [or a Key Sub-Contractor Financial Distress Event]).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rFonts w:eastAsia="Arial Unicode MS"/>
          <w:lang w:eastAsia="zh-CN"/>
        </w:rPr>
      </w:pPr>
      <w:r w:rsidRPr="00871477">
        <w:rPr>
          <w:lang w:eastAsia="zh-CN"/>
        </w:rPr>
        <w:t>For the purposes of determining whether a Financial Distress Event has occurred pursuant to the provisions of paragraph 3.1.1, the credit rating of the Supplier, the  Call Off Guarantor</w:t>
      </w:r>
      <w:r w:rsidR="00DB6578">
        <w:rPr>
          <w:lang w:eastAsia="zh-CN"/>
        </w:rPr>
        <w:t xml:space="preserve"> or relevant Key Sub-Contracto</w:t>
      </w:r>
      <w:r w:rsidRPr="00871477">
        <w:rPr>
          <w:lang w:eastAsia="zh-CN"/>
        </w:rPr>
        <w:t xml:space="preserve">] (as the case may be) shall be deemed to have dropped below the applicable Credit Rating Threshold if any of the Rating Agencies have rated the Supplier, </w:t>
      </w:r>
      <w:r w:rsidR="00DB6578">
        <w:rPr>
          <w:lang w:eastAsia="zh-CN"/>
        </w:rPr>
        <w:t>and Call Off Guarantor</w:t>
      </w:r>
      <w:r w:rsidRPr="00871477">
        <w:rPr>
          <w:lang w:eastAsia="zh-CN"/>
        </w:rPr>
        <w:t xml:space="preserve"> or relevant Key Sub-Contractor (as the case may be)] at or below the applicable Credit Rating Threshold.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CONSEQUENCES OF A FINANCIAL DISTRESS EVENT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the event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credit rating of the Supplier[, the Call Off Guarantor or any Key Sub-Contractor dropping below the applicable Credit Rating Threshold;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w:t>
      </w:r>
      <w:r w:rsidR="00DB6578">
        <w:rPr>
          <w:lang w:eastAsia="zh-CN"/>
        </w:rPr>
        <w:t>, the  Call Off Guarantor</w:t>
      </w:r>
      <w:r w:rsidRPr="00871477">
        <w:rPr>
          <w:lang w:eastAsia="zh-CN"/>
        </w:rPr>
        <w:t xml:space="preserve"> or any Key Sub-Contractor issuing a profits warning to a stock exchange or making any other public announcement about a material deterioration in its financial position or prospects;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there being a public investigation into improper financial accounting and reporting, suspected fraud or any other impropriety of the Supplier, </w:t>
      </w:r>
      <w:r w:rsidR="00DB6578">
        <w:rPr>
          <w:lang w:eastAsia="zh-CN"/>
        </w:rPr>
        <w:t>the Call Off Guarantor or any Key Sub-Contractor</w:t>
      </w:r>
      <w:r w:rsidRPr="00871477">
        <w:rPr>
          <w:lang w:eastAsia="zh-CN"/>
        </w:rPr>
        <w:t xml:space="preserve">; </w:t>
      </w:r>
    </w:p>
    <w:p w:rsidR="00871477" w:rsidRPr="00871477" w:rsidRDefault="00DB6578" w:rsidP="00871477">
      <w:pPr>
        <w:numPr>
          <w:ilvl w:val="2"/>
          <w:numId w:val="8"/>
        </w:numPr>
        <w:tabs>
          <w:tab w:val="left" w:pos="1985"/>
        </w:tabs>
        <w:overflowPunct/>
        <w:autoSpaceDE/>
        <w:autoSpaceDN/>
        <w:spacing w:before="120" w:after="120"/>
        <w:ind w:left="1985" w:hanging="851"/>
        <w:textAlignment w:val="auto"/>
        <w:rPr>
          <w:lang w:eastAsia="zh-CN"/>
        </w:rPr>
      </w:pPr>
      <w:r>
        <w:rPr>
          <w:lang w:eastAsia="zh-CN"/>
        </w:rPr>
        <w:t>the Supplier</w:t>
      </w:r>
      <w:r w:rsidR="00871477" w:rsidRPr="00871477">
        <w:rPr>
          <w:lang w:eastAsia="zh-CN"/>
        </w:rPr>
        <w:t xml:space="preserve">, the Call </w:t>
      </w:r>
      <w:r>
        <w:rPr>
          <w:lang w:eastAsia="zh-CN"/>
        </w:rPr>
        <w:t xml:space="preserve">off Guarantor or any Key Sub-Contractor </w:t>
      </w:r>
      <w:r w:rsidR="00871477" w:rsidRPr="00871477">
        <w:rPr>
          <w:lang w:eastAsia="zh-CN"/>
        </w:rPr>
        <w:t xml:space="preserve">committing a material breach of covenant to its lenders;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 Key Sub-Contractor notifying the Authority that the Supplier has not satisfied any sums properly due under a specified invoice and not subject to a genuine dispute;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any of the following:</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lastRenderedPageBreak/>
        <w:t xml:space="preserve">commencement of any litigation against the Supplier, the </w:t>
      </w:r>
      <w:r w:rsidR="00DB6578">
        <w:rPr>
          <w:lang w:eastAsia="zh-CN"/>
        </w:rPr>
        <w:t>C</w:t>
      </w:r>
      <w:r w:rsidRPr="00871477">
        <w:rPr>
          <w:lang w:eastAsia="zh-CN"/>
        </w:rPr>
        <w:t>all Off Guarantor]</w:t>
      </w:r>
      <w:r w:rsidR="00DB6578">
        <w:rPr>
          <w:lang w:eastAsia="zh-CN"/>
        </w:rPr>
        <w:t>or any Key Sub-Contractor</w:t>
      </w:r>
      <w:r w:rsidRPr="00871477">
        <w:rPr>
          <w:lang w:eastAsia="zh-CN"/>
        </w:rPr>
        <w:t xml:space="preserve"> with respect to financial indebtedness or obligations under a service contract; </w:t>
      </w:r>
    </w:p>
    <w:p w:rsidR="00871477" w:rsidRPr="00871477" w:rsidRDefault="00DB6578"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Pr>
          <w:lang w:eastAsia="zh-CN"/>
        </w:rPr>
        <w:t>non-payment by the Supplier</w:t>
      </w:r>
      <w:r w:rsidR="00871477" w:rsidRPr="00871477">
        <w:rPr>
          <w:lang w:eastAsia="zh-CN"/>
        </w:rPr>
        <w:t>, the Call Off Guarantor</w:t>
      </w:r>
      <w:r>
        <w:rPr>
          <w:lang w:eastAsia="zh-CN"/>
        </w:rPr>
        <w:t xml:space="preserve"> or any Key Sub-Contractor</w:t>
      </w:r>
      <w:r w:rsidR="00871477" w:rsidRPr="00871477">
        <w:rPr>
          <w:lang w:eastAsia="zh-CN"/>
        </w:rPr>
        <w:t xml:space="preserve"> of any financial indebtedness;</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any financ</w:t>
      </w:r>
      <w:r w:rsidR="00DB6578">
        <w:rPr>
          <w:lang w:eastAsia="zh-CN"/>
        </w:rPr>
        <w:t>ial indebtedness of the Supplier</w:t>
      </w:r>
      <w:r w:rsidRPr="00871477">
        <w:rPr>
          <w:lang w:eastAsia="zh-CN"/>
        </w:rPr>
        <w:t xml:space="preserve">, the </w:t>
      </w:r>
      <w:r w:rsidR="00DB6578">
        <w:rPr>
          <w:lang w:eastAsia="zh-CN"/>
        </w:rPr>
        <w:t>Call Off Guarantor or any Key Sub-Contractor</w:t>
      </w:r>
      <w:r w:rsidRPr="00871477">
        <w:rPr>
          <w:lang w:eastAsia="zh-CN"/>
        </w:rPr>
        <w:t xml:space="preserve"> becoming due as a result of an event of default; or</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the cancellation or suspension of any financial indebtedness in respect of the Supplier, the </w:t>
      </w:r>
      <w:r w:rsidR="00DB6578">
        <w:rPr>
          <w:lang w:eastAsia="zh-CN"/>
        </w:rPr>
        <w:t>C</w:t>
      </w:r>
      <w:r w:rsidRPr="00871477">
        <w:rPr>
          <w:lang w:eastAsia="zh-CN"/>
        </w:rPr>
        <w:t>all Off Guarantor</w:t>
      </w:r>
      <w:r w:rsidR="00DB6578">
        <w:rPr>
          <w:lang w:eastAsia="zh-CN"/>
        </w:rPr>
        <w:t xml:space="preserve"> or any Key Sub-Contractor</w:t>
      </w:r>
      <w:r w:rsidRPr="00871477">
        <w:rPr>
          <w:lang w:eastAsia="zh-CN"/>
        </w:rPr>
        <w:t xml:space="preserve">, </w:t>
      </w:r>
    </w:p>
    <w:p w:rsidR="00871477" w:rsidRPr="00871477" w:rsidRDefault="00871477" w:rsidP="00871477">
      <w:pPr>
        <w:overflowPunct/>
        <w:autoSpaceDE/>
        <w:autoSpaceDN/>
        <w:spacing w:before="120" w:after="120"/>
        <w:ind w:left="1985"/>
        <w:textAlignment w:val="auto"/>
        <w:rPr>
          <w:lang w:val="en-US" w:eastAsia="zh-CN"/>
        </w:rPr>
      </w:pPr>
      <w:r w:rsidRPr="00871477">
        <w:rPr>
          <w:lang w:val="en-US" w:eastAsia="zh-CN"/>
        </w:rPr>
        <w:t>in each case which the Authority reasonably believes (or would be likely reasonably to believe) could directly impact on the continued performance and delivery of the Goods and/or Services in accordance with this Framework Agreement;</w:t>
      </w:r>
    </w:p>
    <w:p w:rsidR="00871477" w:rsidRPr="00871477" w:rsidRDefault="00871477" w:rsidP="00871477">
      <w:pPr>
        <w:tabs>
          <w:tab w:val="left" w:pos="3402"/>
        </w:tabs>
        <w:spacing w:after="220"/>
        <w:ind w:left="1134"/>
        <w:rPr>
          <w:szCs w:val="24"/>
        </w:rPr>
      </w:pPr>
      <w:r w:rsidRPr="00871477">
        <w:rPr>
          <w:szCs w:val="24"/>
        </w:rPr>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3.3 to 3.6.</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the event of a late or non-payment of a Key Sub-Contractor pursuant to paragraph 3.1.5, the Authority shall not exercise any of its rights or remedies under paragraph 3.3 without first giving the Supplier ten (10) Working Days to:</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rectify such late or non-payment; or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demonstrate to the Authority's reasonable satisfaction that there is a valid reason for late or non-payment.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Supplier shall (and shall procure that the Call Off Guarantor and/or any rel</w:t>
      </w:r>
      <w:r w:rsidR="00DB6578">
        <w:rPr>
          <w:lang w:eastAsia="zh-CN"/>
        </w:rPr>
        <w:t>evant Key Sub-Contractor shall)</w:t>
      </w:r>
      <w:r w:rsidRPr="00871477">
        <w:rPr>
          <w:lang w:eastAsia="zh-CN"/>
        </w:rPr>
        <w: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Framework Agreement;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where the Authority reasonably believes (taking into account the discussions and any representations made under paragraph 3.3.1) that the Financial Distress Event could impact on the continued performance and delivery of the Goods and/or Services in accordance with this Framework Agreement: </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rsidR="00871477" w:rsidRPr="00871477" w:rsidRDefault="00871477" w:rsidP="00871477">
      <w:pPr>
        <w:numPr>
          <w:ilvl w:val="3"/>
          <w:numId w:val="8"/>
        </w:numPr>
        <w:tabs>
          <w:tab w:val="left" w:pos="1985"/>
          <w:tab w:val="left" w:pos="2552"/>
        </w:tabs>
        <w:overflowPunct/>
        <w:autoSpaceDE/>
        <w:autoSpaceDN/>
        <w:spacing w:before="120" w:after="120"/>
        <w:ind w:left="2552" w:hanging="567"/>
        <w:textAlignment w:val="auto"/>
        <w:rPr>
          <w:lang w:eastAsia="zh-CN"/>
        </w:rPr>
      </w:pPr>
      <w:r w:rsidRPr="00871477">
        <w:rPr>
          <w:lang w:eastAsia="zh-CN"/>
        </w:rPr>
        <w:t xml:space="preserve">provide such financial information relating to the Supplier </w:t>
      </w:r>
      <w:r w:rsidR="00DB6578">
        <w:rPr>
          <w:lang w:eastAsia="zh-CN"/>
        </w:rPr>
        <w:t>and Call Off Guarantor</w:t>
      </w:r>
      <w:r w:rsidRPr="00871477">
        <w:rPr>
          <w:lang w:eastAsia="zh-CN"/>
        </w:rPr>
        <w:t xml:space="preserve"> as the Authority may reasonably require.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3.5.</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Following Approval of the Financial Distress Service Continuity Plan by the Authority, the Supplier shall: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on a regular basis (which shall not be less than monthly), review the Financial Distress Service Continuity Plan and assess whether it remains adequate and up to date to ensure the continued performance and delivery of the Goods and/or Services in accordance with this Framework Agreement;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where the Financial Distress Service Continuity Plan is not adequate or up to date in accordance with paragraph 3.6.1, submit an updated Financial Distress Service Continuity Plan to the Authority for its Approval, and the provisions of paragraphs 3.5 and 3.6 shall apply to the review and Approval process for the updated Financial Distress Service Continuity Plan; and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comply with the Financial Distress Service Continuity Plan (including any updated Financial Distress Service Continuity Plan).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Where the Supplier reasonably believes that the relevant Financial Distress Event under paragraph 3.1 (or the circumstance or matter which has caused or otherwise led to it) no longer exists, it shall notify the Authority and subject to the agreement of the Parties, the Supplier may be relieved of its obligations under paragraph 3.6. </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TERMINATION RIGHTS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The Authority shall be entitled to terminate this Framework Agreement for material Default if: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Supplier fails to notify the Authority of a Financial Distress Event in accordance with paragraph 2.4;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Parties fail to agree a Financial Distress Service Continuity Plan (or any updated Financial Distress Service Continuity Plan) in accordance with paragraphs 3.3 to 3.5; and/or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fails to comply with the terms of the Financial Distress Service Continuity Plan (or any updated Financial Distress Service Continuity Plan) in accordance with paragraph 3.6.3.</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PRIMACY OF CREDIT RATINGS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Without prejudice to the Supplier’s obligations and the Authority’s rights and remedies under paragraph 3, if, following the occurrence of a Financial Distress Event pursuant to Paragraphs 3.1.1 to 3.1.6, the Rating Agencies review and report subsequently that the credit ratings do not drop below the relevant Credit Rating Threshold, then: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Supplier shall be relieved automatically of its obligations under paragraphs 3.3 to 3.6;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Authority shall not be entitled to require the Supplier to provide financial information in accordance with paragraph 3.3.2(b). </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96" w:name="_Toc492462951"/>
      <w:r w:rsidRPr="00871477">
        <w:rPr>
          <w:rFonts w:ascii="Arial Bold" w:eastAsia="STZhongsong" w:hAnsi="Arial Bold" w:cs="Times New Roman"/>
          <w:b/>
          <w:caps/>
          <w:lang w:eastAsia="zh-CN"/>
        </w:rPr>
        <w:lastRenderedPageBreak/>
        <w:t>ANNEX 1: RATING AGENCIES</w:t>
      </w:r>
      <w:bookmarkEnd w:id="96"/>
    </w:p>
    <w:p w:rsidR="0074503F" w:rsidRDefault="0074503F" w:rsidP="00871477">
      <w:pPr>
        <w:keepNext/>
        <w:overflowPunct/>
        <w:autoSpaceDE/>
        <w:autoSpaceDN/>
        <w:spacing w:before="240" w:after="120"/>
        <w:ind w:left="142"/>
        <w:textAlignment w:val="auto"/>
        <w:rPr>
          <w:rFonts w:eastAsia="STZhongsong" w:cs="Times New Roman"/>
          <w:szCs w:val="18"/>
          <w:lang w:eastAsia="zh-CN"/>
        </w:rPr>
      </w:pPr>
      <w:r>
        <w:rPr>
          <w:rFonts w:eastAsia="STZhongsong" w:cs="Times New Roman"/>
          <w:szCs w:val="18"/>
          <w:lang w:eastAsia="zh-CN"/>
        </w:rPr>
        <w:t>Dun &amp; Bradstreet UK</w:t>
      </w:r>
    </w:p>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bookmarkStart w:id="97" w:name="_GoBack"/>
      <w:bookmarkEnd w:id="97"/>
      <w:r w:rsidRPr="00871477">
        <w:rPr>
          <w:rFonts w:eastAsia="STZhongsong" w:cs="Times New Roman"/>
          <w:szCs w:val="18"/>
          <w:lang w:eastAsia="zh-CN"/>
        </w:rPr>
        <w:t>[Rating Agency 2]</w:t>
      </w:r>
    </w:p>
    <w:p w:rsidR="00871477" w:rsidRPr="00871477" w:rsidRDefault="00871477" w:rsidP="00871477">
      <w:pPr>
        <w:keepNext/>
        <w:overflowPunct/>
        <w:autoSpaceDE/>
        <w:autoSpaceDN/>
        <w:ind w:firstLine="426"/>
        <w:jc w:val="center"/>
        <w:textAlignment w:val="auto"/>
        <w:outlineLvl w:val="1"/>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98" w:name="_Toc492462952"/>
      <w:r w:rsidRPr="00871477">
        <w:rPr>
          <w:rFonts w:ascii="Arial Bold" w:eastAsia="STZhongsong" w:hAnsi="Arial Bold" w:cs="Times New Roman"/>
          <w:b/>
          <w:caps/>
          <w:lang w:eastAsia="zh-CN"/>
        </w:rPr>
        <w:lastRenderedPageBreak/>
        <w:t>ANNEX 2: CREDIT RATINGS &amp; CREDIT RATING THRESHOLDS</w:t>
      </w:r>
      <w:bookmarkEnd w:id="9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04"/>
        <w:gridCol w:w="3014"/>
        <w:gridCol w:w="3001"/>
      </w:tblGrid>
      <w:tr w:rsidR="00871477" w:rsidRPr="00871477" w:rsidTr="00871477">
        <w:tc>
          <w:tcPr>
            <w:tcW w:w="3081" w:type="dxa"/>
            <w:tcBorders>
              <w:top w:val="single" w:sz="4" w:space="0" w:color="auto"/>
            </w:tcBorders>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szCs w:val="18"/>
                <w:lang w:eastAsia="zh-CN"/>
              </w:rPr>
              <w:t>Entity</w:t>
            </w:r>
          </w:p>
        </w:tc>
        <w:tc>
          <w:tcPr>
            <w:tcW w:w="3082" w:type="dxa"/>
            <w:tcBorders>
              <w:top w:val="single" w:sz="4" w:space="0" w:color="auto"/>
            </w:tcBorders>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szCs w:val="18"/>
                <w:lang w:eastAsia="zh-CN"/>
              </w:rPr>
              <w:t>Credit rating (long term)</w:t>
            </w:r>
          </w:p>
        </w:tc>
        <w:tc>
          <w:tcPr>
            <w:tcW w:w="3082" w:type="dxa"/>
            <w:tcBorders>
              <w:top w:val="single" w:sz="4" w:space="0" w:color="auto"/>
            </w:tcBorders>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szCs w:val="18"/>
                <w:lang w:eastAsia="zh-CN"/>
              </w:rPr>
              <w:t>Credit Rating Threshold</w:t>
            </w:r>
          </w:p>
        </w:tc>
      </w:tr>
      <w:tr w:rsidR="00871477" w:rsidRPr="00871477" w:rsidTr="00871477">
        <w:tc>
          <w:tcPr>
            <w:tcW w:w="3081" w:type="dxa"/>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r w:rsidRPr="00871477">
              <w:rPr>
                <w:rFonts w:eastAsia="STZhongsong" w:cs="Times New Roman"/>
                <w:szCs w:val="18"/>
                <w:lang w:eastAsia="zh-CN"/>
              </w:rPr>
              <w:t>Supplier</w:t>
            </w:r>
          </w:p>
        </w:tc>
        <w:tc>
          <w:tcPr>
            <w:tcW w:w="3082" w:type="dxa"/>
            <w:shd w:val="clear" w:color="auto" w:fill="FFFFFF"/>
          </w:tcPr>
          <w:p w:rsidR="00871477" w:rsidRPr="0074503F" w:rsidRDefault="0074503F" w:rsidP="00871477">
            <w:pPr>
              <w:keepNext/>
              <w:overflowPunct/>
              <w:autoSpaceDE/>
              <w:autoSpaceDN/>
              <w:spacing w:before="240" w:after="120"/>
              <w:ind w:left="142"/>
              <w:textAlignment w:val="auto"/>
              <w:rPr>
                <w:rFonts w:eastAsia="STZhongsong" w:cs="Times New Roman"/>
                <w:b/>
                <w:szCs w:val="18"/>
                <w:lang w:eastAsia="zh-CN"/>
              </w:rPr>
            </w:pPr>
            <w:r w:rsidRPr="0074503F">
              <w:rPr>
                <w:rFonts w:eastAsia="STZhongsong" w:cs="Times New Roman"/>
                <w:b/>
                <w:szCs w:val="18"/>
                <w:lang w:eastAsia="zh-CN"/>
              </w:rPr>
              <w:t>&lt;REDACTED&gt;</w:t>
            </w:r>
          </w:p>
        </w:tc>
        <w:tc>
          <w:tcPr>
            <w:tcW w:w="3082" w:type="dxa"/>
            <w:shd w:val="clear" w:color="auto" w:fill="FFFFFF"/>
          </w:tcPr>
          <w:p w:rsidR="00871477" w:rsidRPr="00871477" w:rsidRDefault="0074503F" w:rsidP="00871477">
            <w:pPr>
              <w:keepNext/>
              <w:overflowPunct/>
              <w:autoSpaceDE/>
              <w:autoSpaceDN/>
              <w:spacing w:before="240" w:after="120"/>
              <w:ind w:left="142"/>
              <w:textAlignment w:val="auto"/>
              <w:rPr>
                <w:rFonts w:eastAsia="STZhongsong" w:cs="Times New Roman"/>
                <w:szCs w:val="18"/>
                <w:lang w:eastAsia="zh-CN"/>
              </w:rPr>
            </w:pPr>
            <w:r>
              <w:rPr>
                <w:rFonts w:eastAsia="STZhongsong" w:cs="Times New Roman"/>
                <w:szCs w:val="18"/>
                <w:lang w:eastAsia="zh-CN"/>
              </w:rPr>
              <w:t>25</w:t>
            </w:r>
          </w:p>
        </w:tc>
      </w:tr>
      <w:tr w:rsidR="00871477" w:rsidRPr="00871477" w:rsidTr="00871477">
        <w:tc>
          <w:tcPr>
            <w:tcW w:w="3081" w:type="dxa"/>
            <w:tcBorders>
              <w:bottom w:val="single" w:sz="4" w:space="0" w:color="auto"/>
            </w:tcBorders>
            <w:shd w:val="clear" w:color="auto" w:fill="FFFFFF"/>
          </w:tcPr>
          <w:p w:rsidR="00871477" w:rsidRPr="00871477" w:rsidRDefault="008C2005" w:rsidP="00871477">
            <w:pPr>
              <w:keepNext/>
              <w:overflowPunct/>
              <w:autoSpaceDE/>
              <w:autoSpaceDN/>
              <w:spacing w:before="240" w:after="120"/>
              <w:ind w:left="142"/>
              <w:textAlignment w:val="auto"/>
              <w:rPr>
                <w:rFonts w:eastAsia="STZhongsong" w:cs="Times New Roman"/>
                <w:szCs w:val="18"/>
                <w:lang w:eastAsia="zh-CN"/>
              </w:rPr>
            </w:pPr>
            <w:r>
              <w:rPr>
                <w:rFonts w:eastAsia="STZhongsong" w:cs="Times New Roman"/>
                <w:szCs w:val="18"/>
                <w:highlight w:val="green"/>
                <w:lang w:eastAsia="zh-CN"/>
              </w:rPr>
              <w:t>[</w:t>
            </w:r>
            <w:r w:rsidR="00871477" w:rsidRPr="00871477">
              <w:rPr>
                <w:rFonts w:eastAsia="STZhongsong" w:cs="Times New Roman"/>
                <w:szCs w:val="18"/>
                <w:highlight w:val="green"/>
                <w:lang w:eastAsia="zh-CN"/>
              </w:rPr>
              <w:t xml:space="preserve"> Call Off Guarantor]</w:t>
            </w:r>
          </w:p>
        </w:tc>
        <w:tc>
          <w:tcPr>
            <w:tcW w:w="3082" w:type="dxa"/>
            <w:tcBorders>
              <w:bottom w:val="single" w:sz="4" w:space="0" w:color="auto"/>
            </w:tcBorders>
            <w:shd w:val="clear" w:color="auto" w:fill="FFFFFF"/>
          </w:tcPr>
          <w:p w:rsidR="00871477" w:rsidRPr="00871477" w:rsidRDefault="00871477" w:rsidP="00871477">
            <w:pPr>
              <w:keepNext/>
              <w:overflowPunct/>
              <w:autoSpaceDE/>
              <w:autoSpaceDN/>
              <w:spacing w:before="240" w:after="120"/>
              <w:ind w:left="142"/>
              <w:textAlignment w:val="auto"/>
              <w:rPr>
                <w:rFonts w:eastAsia="STZhongsong" w:cs="Times New Roman"/>
                <w:szCs w:val="18"/>
                <w:lang w:eastAsia="zh-CN"/>
              </w:rPr>
            </w:pPr>
          </w:p>
        </w:tc>
        <w:tc>
          <w:tcPr>
            <w:tcW w:w="3082" w:type="dxa"/>
            <w:tcBorders>
              <w:bottom w:val="single" w:sz="4" w:space="0" w:color="auto"/>
            </w:tcBorders>
            <w:shd w:val="clear" w:color="auto" w:fill="FFFFFF"/>
          </w:tcPr>
          <w:p w:rsidR="00871477" w:rsidRPr="00871477" w:rsidRDefault="0074503F" w:rsidP="00871477">
            <w:pPr>
              <w:keepNext/>
              <w:overflowPunct/>
              <w:autoSpaceDE/>
              <w:autoSpaceDN/>
              <w:spacing w:before="240" w:after="120"/>
              <w:ind w:left="142"/>
              <w:textAlignment w:val="auto"/>
              <w:rPr>
                <w:rFonts w:eastAsia="STZhongsong" w:cs="Times New Roman"/>
                <w:szCs w:val="18"/>
                <w:lang w:eastAsia="zh-CN"/>
              </w:rPr>
            </w:pPr>
            <w:r>
              <w:rPr>
                <w:rFonts w:eastAsia="STZhongsong" w:cs="Times New Roman"/>
                <w:szCs w:val="18"/>
                <w:lang w:eastAsia="zh-CN"/>
              </w:rPr>
              <w:t>25</w:t>
            </w:r>
          </w:p>
        </w:tc>
      </w:tr>
    </w:tbl>
    <w:p w:rsidR="00871477" w:rsidRPr="00871477" w:rsidRDefault="00871477" w:rsidP="00871477">
      <w:pPr>
        <w:overflowPunct/>
        <w:autoSpaceDE/>
        <w:autoSpaceDN/>
        <w:adjustRightInd/>
        <w:spacing w:after="0"/>
        <w:jc w:val="left"/>
        <w:textAlignment w:val="auto"/>
        <w:rPr>
          <w:color w:val="FFFFFF"/>
          <w:sz w:val="16"/>
          <w:szCs w:val="16"/>
        </w:rPr>
      </w:pPr>
      <w:r w:rsidRPr="00871477">
        <w:br w:type="page"/>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99" w:name="_Toc492462953"/>
      <w:r w:rsidRPr="00871477">
        <w:rPr>
          <w:rFonts w:ascii="Arial Bold" w:eastAsia="STZhongsong" w:hAnsi="Arial Bold" w:cs="Times New Roman"/>
          <w:b/>
          <w:caps/>
          <w:lang w:eastAsia="zh-CN"/>
        </w:rPr>
        <w:lastRenderedPageBreak/>
        <w:t>FRAMEWORK SCHEDULE 17: COMMERCIALLY SENSITIVE INFORMATION</w:t>
      </w:r>
      <w:bookmarkEnd w:id="99"/>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INTRODUCTION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this Framework Schedule 17 (Commercially Sensitive Information) the Parties have sought to identify the Supplier's Confidential Information that is genuinely commercially sensitive and the disclosure of which would be the subject of an exemption under the FOIA.</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possible, the Parties have sought to identify when any relevant Information will cease to fall into the category of Information to which this Framework Schedule 17 applies.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Without prejudice to the Authority's obligation to disclose Information in accordance with FOIA or Clause 27.3 (Transparency and Freedom of Information), the Authority will, in its sole discretion, acting reasonably,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61"/>
        <w:gridCol w:w="3179"/>
        <w:gridCol w:w="2184"/>
      </w:tblGrid>
      <w:tr w:rsidR="00871477" w:rsidRPr="00871477" w:rsidTr="00EF7EC9">
        <w:trPr>
          <w:tblHeader/>
        </w:trPr>
        <w:tc>
          <w:tcPr>
            <w:tcW w:w="1561" w:type="dxa"/>
          </w:tcPr>
          <w:p w:rsidR="00871477" w:rsidRPr="00871477" w:rsidRDefault="00871477" w:rsidP="00871477">
            <w:pPr>
              <w:keepNext/>
              <w:spacing w:before="240" w:after="120"/>
              <w:ind w:left="142"/>
              <w:jc w:val="center"/>
              <w:rPr>
                <w:rFonts w:eastAsia="STZhongsong"/>
                <w:b/>
                <w:lang w:eastAsia="zh-CN"/>
              </w:rPr>
            </w:pPr>
            <w:r w:rsidRPr="00871477">
              <w:rPr>
                <w:rFonts w:eastAsia="STZhongsong"/>
                <w:b/>
                <w:lang w:eastAsia="zh-CN"/>
              </w:rPr>
              <w:t>No.</w:t>
            </w:r>
          </w:p>
        </w:tc>
        <w:tc>
          <w:tcPr>
            <w:tcW w:w="1561" w:type="dxa"/>
          </w:tcPr>
          <w:p w:rsidR="00871477" w:rsidRPr="00871477" w:rsidRDefault="00871477" w:rsidP="00871477">
            <w:pPr>
              <w:keepNext/>
              <w:spacing w:before="240" w:after="120"/>
              <w:ind w:left="142"/>
              <w:jc w:val="center"/>
              <w:rPr>
                <w:rFonts w:eastAsia="STZhongsong"/>
                <w:b/>
                <w:lang w:eastAsia="zh-CN"/>
              </w:rPr>
            </w:pPr>
            <w:r w:rsidRPr="00871477">
              <w:rPr>
                <w:rFonts w:eastAsia="STZhongsong"/>
                <w:b/>
                <w:lang w:eastAsia="zh-CN"/>
              </w:rPr>
              <w:t>Date</w:t>
            </w:r>
          </w:p>
        </w:tc>
        <w:tc>
          <w:tcPr>
            <w:tcW w:w="3179" w:type="dxa"/>
          </w:tcPr>
          <w:p w:rsidR="00871477" w:rsidRPr="00871477" w:rsidRDefault="00871477" w:rsidP="00871477">
            <w:pPr>
              <w:keepNext/>
              <w:spacing w:before="240" w:after="120"/>
              <w:ind w:left="142"/>
              <w:jc w:val="center"/>
              <w:rPr>
                <w:rFonts w:eastAsia="STZhongsong"/>
                <w:b/>
                <w:lang w:eastAsia="zh-CN"/>
              </w:rPr>
            </w:pPr>
            <w:r w:rsidRPr="00871477">
              <w:rPr>
                <w:rFonts w:eastAsia="STZhongsong"/>
                <w:b/>
                <w:lang w:eastAsia="zh-CN"/>
              </w:rPr>
              <w:t>Item(s)</w:t>
            </w:r>
          </w:p>
        </w:tc>
        <w:tc>
          <w:tcPr>
            <w:tcW w:w="2184" w:type="dxa"/>
          </w:tcPr>
          <w:p w:rsidR="00871477" w:rsidRPr="00871477" w:rsidRDefault="00871477" w:rsidP="00871477">
            <w:pPr>
              <w:keepNext/>
              <w:spacing w:before="240" w:after="120"/>
              <w:ind w:left="142"/>
              <w:jc w:val="center"/>
              <w:rPr>
                <w:rFonts w:eastAsia="STZhongsong"/>
                <w:b/>
                <w:lang w:eastAsia="zh-CN"/>
              </w:rPr>
            </w:pPr>
            <w:r w:rsidRPr="00871477">
              <w:rPr>
                <w:rFonts w:eastAsia="STZhongsong"/>
                <w:b/>
                <w:lang w:eastAsia="zh-CN"/>
              </w:rPr>
              <w:t>Duration of Confidentiality</w:t>
            </w:r>
          </w:p>
        </w:tc>
      </w:tr>
      <w:tr w:rsidR="00EF7EC9" w:rsidRPr="0006376E" w:rsidTr="00EF7EC9">
        <w:tc>
          <w:tcPr>
            <w:tcW w:w="1561" w:type="dxa"/>
            <w:tcBorders>
              <w:top w:val="single" w:sz="4" w:space="0" w:color="auto"/>
              <w:left w:val="single" w:sz="4" w:space="0" w:color="auto"/>
              <w:bottom w:val="single" w:sz="4" w:space="0" w:color="auto"/>
              <w:right w:val="single" w:sz="4" w:space="0" w:color="auto"/>
            </w:tcBorders>
          </w:tcPr>
          <w:p w:rsidR="00EF7EC9" w:rsidRDefault="00EF7EC9" w:rsidP="00EF7EC9">
            <w:pPr>
              <w:jc w:val="center"/>
            </w:pPr>
            <w:r w:rsidRPr="00D61502">
              <w:rPr>
                <w:rFonts w:ascii="Arial" w:eastAsia="STZhongsong" w:hAnsi="Arial"/>
                <w:b/>
                <w:color w:val="000000" w:themeColor="text1"/>
                <w:sz w:val="20"/>
                <w:szCs w:val="20"/>
                <w:lang w:eastAsia="zh-CN"/>
              </w:rPr>
              <w:t>&lt;REDACTED&gt;</w:t>
            </w:r>
          </w:p>
        </w:tc>
        <w:tc>
          <w:tcPr>
            <w:tcW w:w="1561" w:type="dxa"/>
            <w:tcBorders>
              <w:top w:val="single" w:sz="4" w:space="0" w:color="auto"/>
              <w:left w:val="single" w:sz="4" w:space="0" w:color="auto"/>
              <w:bottom w:val="single" w:sz="4" w:space="0" w:color="auto"/>
              <w:right w:val="single" w:sz="4" w:space="0" w:color="auto"/>
            </w:tcBorders>
          </w:tcPr>
          <w:p w:rsidR="00EF7EC9" w:rsidRDefault="00EF7EC9" w:rsidP="00EF7EC9">
            <w:pPr>
              <w:jc w:val="center"/>
            </w:pPr>
            <w:r w:rsidRPr="00D61502">
              <w:rPr>
                <w:rFonts w:ascii="Arial" w:eastAsia="STZhongsong" w:hAnsi="Arial"/>
                <w:b/>
                <w:color w:val="000000" w:themeColor="text1"/>
                <w:sz w:val="20"/>
                <w:szCs w:val="20"/>
                <w:lang w:eastAsia="zh-CN"/>
              </w:rPr>
              <w:t>&lt;REDACTED&gt;</w:t>
            </w:r>
          </w:p>
        </w:tc>
        <w:tc>
          <w:tcPr>
            <w:tcW w:w="3179" w:type="dxa"/>
            <w:tcBorders>
              <w:top w:val="single" w:sz="4" w:space="0" w:color="auto"/>
              <w:left w:val="single" w:sz="4" w:space="0" w:color="auto"/>
              <w:bottom w:val="single" w:sz="4" w:space="0" w:color="auto"/>
              <w:right w:val="single" w:sz="4" w:space="0" w:color="auto"/>
            </w:tcBorders>
          </w:tcPr>
          <w:p w:rsidR="00EF7EC9" w:rsidRDefault="00EF7EC9" w:rsidP="00EF7EC9">
            <w:pPr>
              <w:jc w:val="center"/>
            </w:pPr>
            <w:r w:rsidRPr="00D61502">
              <w:rPr>
                <w:rFonts w:ascii="Arial" w:eastAsia="STZhongsong" w:hAnsi="Arial"/>
                <w:b/>
                <w:color w:val="000000" w:themeColor="text1"/>
                <w:sz w:val="20"/>
                <w:szCs w:val="20"/>
                <w:lang w:eastAsia="zh-CN"/>
              </w:rPr>
              <w:t>&lt;REDACTED&gt;</w:t>
            </w:r>
          </w:p>
        </w:tc>
        <w:tc>
          <w:tcPr>
            <w:tcW w:w="2184" w:type="dxa"/>
            <w:tcBorders>
              <w:top w:val="single" w:sz="4" w:space="0" w:color="auto"/>
              <w:left w:val="single" w:sz="4" w:space="0" w:color="auto"/>
              <w:bottom w:val="single" w:sz="4" w:space="0" w:color="auto"/>
              <w:right w:val="single" w:sz="4" w:space="0" w:color="auto"/>
            </w:tcBorders>
          </w:tcPr>
          <w:p w:rsidR="00EF7EC9" w:rsidRDefault="00EF7EC9" w:rsidP="00EF7EC9">
            <w:pPr>
              <w:jc w:val="center"/>
            </w:pPr>
            <w:r w:rsidRPr="00D61502">
              <w:rPr>
                <w:rFonts w:ascii="Arial" w:eastAsia="STZhongsong" w:hAnsi="Arial"/>
                <w:b/>
                <w:color w:val="000000" w:themeColor="text1"/>
                <w:sz w:val="20"/>
                <w:szCs w:val="20"/>
                <w:lang w:eastAsia="zh-CN"/>
              </w:rPr>
              <w:t>&lt;REDACTED&gt;</w:t>
            </w:r>
          </w:p>
        </w:tc>
      </w:tr>
    </w:tbl>
    <w:p w:rsidR="00871477" w:rsidRPr="0006376E" w:rsidRDefault="00871477" w:rsidP="00871477">
      <w:pPr>
        <w:spacing w:after="0"/>
        <w:rPr>
          <w:color w:val="FFFFFF"/>
          <w:sz w:val="16"/>
          <w:szCs w:val="16"/>
        </w:rPr>
      </w:pPr>
      <w:r w:rsidRPr="0006376E">
        <w:rPr>
          <w:color w:val="FFFFFF"/>
          <w:sz w:val="16"/>
          <w:szCs w:val="16"/>
        </w:rPr>
        <w:fldChar w:fldCharType="begin"/>
      </w:r>
      <w:r w:rsidRPr="0006376E">
        <w:rPr>
          <w:color w:val="FFFFFF"/>
          <w:sz w:val="16"/>
          <w:szCs w:val="16"/>
        </w:rPr>
        <w:instrText>LISTNUM \l 1 \s 0</w:instrText>
      </w:r>
      <w:r w:rsidRPr="0006376E">
        <w:rPr>
          <w:color w:val="FFFFFF"/>
          <w:sz w:val="16"/>
          <w:szCs w:val="16"/>
        </w:rPr>
        <w:fldChar w:fldCharType="end"/>
      </w:r>
    </w:p>
    <w:p w:rsidR="00871477" w:rsidRPr="00871477" w:rsidRDefault="00871477" w:rsidP="00871477">
      <w:pPr>
        <w:spacing w:after="0"/>
        <w:rPr>
          <w:color w:val="FFFFFF"/>
          <w:sz w:val="16"/>
          <w:szCs w:val="16"/>
        </w:rPr>
      </w:pPr>
      <w:r w:rsidRPr="00871477">
        <w:rPr>
          <w:color w:val="FFFFFF"/>
          <w:sz w:val="16"/>
          <w:szCs w:val="16"/>
        </w:rPr>
        <w:br w:type="page"/>
      </w:r>
      <w:r w:rsidRPr="00871477">
        <w:rPr>
          <w:color w:val="FFFFFF"/>
          <w:sz w:val="16"/>
          <w:szCs w:val="16"/>
        </w:rPr>
        <w:lastRenderedPageBreak/>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overflowPunct/>
        <w:autoSpaceDE/>
        <w:autoSpaceDN/>
        <w:adjustRightInd/>
        <w:spacing w:after="0"/>
        <w:jc w:val="left"/>
        <w:textAlignment w:val="auto"/>
        <w:rPr>
          <w:color w:val="FFFFFF"/>
          <w:sz w:val="16"/>
          <w:szCs w:val="16"/>
        </w:rPr>
      </w:pP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100" w:name="_Toc492462954"/>
      <w:r w:rsidRPr="00871477">
        <w:rPr>
          <w:rFonts w:ascii="Arial Bold" w:eastAsia="STZhongsong" w:hAnsi="Arial Bold" w:cs="Times New Roman"/>
          <w:b/>
          <w:caps/>
          <w:lang w:eastAsia="zh-CN"/>
        </w:rPr>
        <w:t>FRAMEWORK SCHEDULE 18: DISPUTE RESOLUTION PROCEDURE</w:t>
      </w:r>
      <w:bookmarkEnd w:id="100"/>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DEFINITIONS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this Framework Schedule 18, the following definitions shall apply:</w:t>
      </w:r>
    </w:p>
    <w:tbl>
      <w:tblPr>
        <w:tblW w:w="7719" w:type="dxa"/>
        <w:tblInd w:w="1526" w:type="dxa"/>
        <w:tblLook w:val="0000" w:firstRow="0" w:lastRow="0" w:firstColumn="0" w:lastColumn="0" w:noHBand="0" w:noVBand="0"/>
      </w:tblPr>
      <w:tblGrid>
        <w:gridCol w:w="2330"/>
        <w:gridCol w:w="5389"/>
      </w:tblGrid>
      <w:tr w:rsidR="00871477" w:rsidRPr="00871477" w:rsidTr="00871477">
        <w:tc>
          <w:tcPr>
            <w:tcW w:w="2330" w:type="dxa"/>
          </w:tcPr>
          <w:p w:rsidR="00871477" w:rsidRPr="00871477" w:rsidRDefault="00871477" w:rsidP="00871477">
            <w:pPr>
              <w:spacing w:after="120"/>
              <w:ind w:left="-108"/>
              <w:jc w:val="left"/>
              <w:rPr>
                <w:b/>
              </w:rPr>
            </w:pPr>
            <w:r w:rsidRPr="00871477">
              <w:rPr>
                <w:b/>
              </w:rPr>
              <w:t>"CEDR"</w:t>
            </w:r>
          </w:p>
        </w:tc>
        <w:tc>
          <w:tcPr>
            <w:tcW w:w="5389" w:type="dxa"/>
          </w:tcPr>
          <w:p w:rsidR="00871477" w:rsidRPr="00871477" w:rsidRDefault="00871477" w:rsidP="00871477">
            <w:pPr>
              <w:numPr>
                <w:ilvl w:val="0"/>
                <w:numId w:val="6"/>
              </w:numPr>
              <w:tabs>
                <w:tab w:val="left" w:pos="175"/>
              </w:tabs>
              <w:spacing w:after="120"/>
            </w:pPr>
            <w:r w:rsidRPr="00871477">
              <w:t>means the Centre for Effective Dispute Resolution of International Dispute Resolution Centre, 70 Fleet Street, London, EC4Y 1EU;</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"Counter Notice"</w:t>
            </w:r>
          </w:p>
        </w:tc>
        <w:tc>
          <w:tcPr>
            <w:tcW w:w="5389" w:type="dxa"/>
          </w:tcPr>
          <w:p w:rsidR="00871477" w:rsidRPr="00871477" w:rsidRDefault="00871477" w:rsidP="00871477">
            <w:pPr>
              <w:numPr>
                <w:ilvl w:val="0"/>
                <w:numId w:val="6"/>
              </w:numPr>
              <w:tabs>
                <w:tab w:val="left" w:pos="175"/>
              </w:tabs>
              <w:spacing w:after="120"/>
            </w:pPr>
            <w:r w:rsidRPr="00871477">
              <w:t>has the meaning given to it in paragraph 6.2;</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"Exception"</w:t>
            </w:r>
          </w:p>
        </w:tc>
        <w:tc>
          <w:tcPr>
            <w:tcW w:w="5389" w:type="dxa"/>
          </w:tcPr>
          <w:p w:rsidR="00871477" w:rsidRPr="00871477" w:rsidRDefault="00871477" w:rsidP="00871477">
            <w:pPr>
              <w:numPr>
                <w:ilvl w:val="0"/>
                <w:numId w:val="6"/>
              </w:numPr>
              <w:tabs>
                <w:tab w:val="left" w:pos="175"/>
              </w:tabs>
              <w:spacing w:after="120"/>
            </w:pPr>
            <w:r w:rsidRPr="00871477">
              <w:t>means a deviation of project tolerances in accordance with PRINCE2 methodology in respect of this Framework Agreement or in the supply of the Goods and/or Services;</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"Expedited Dispute Timetable"</w:t>
            </w:r>
          </w:p>
        </w:tc>
        <w:tc>
          <w:tcPr>
            <w:tcW w:w="5389" w:type="dxa"/>
          </w:tcPr>
          <w:p w:rsidR="00871477" w:rsidRPr="00871477" w:rsidRDefault="00871477" w:rsidP="00871477">
            <w:pPr>
              <w:numPr>
                <w:ilvl w:val="0"/>
                <w:numId w:val="6"/>
              </w:numPr>
              <w:tabs>
                <w:tab w:val="left" w:pos="175"/>
              </w:tabs>
              <w:spacing w:after="120"/>
            </w:pPr>
            <w:r w:rsidRPr="00871477">
              <w:t>means the accelerated timetable for the resolution of disputes as set out in paragraph 2.6;</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"Expert"</w:t>
            </w:r>
          </w:p>
        </w:tc>
        <w:tc>
          <w:tcPr>
            <w:tcW w:w="5389" w:type="dxa"/>
          </w:tcPr>
          <w:p w:rsidR="00871477" w:rsidRPr="00871477" w:rsidRDefault="00871477" w:rsidP="00871477">
            <w:pPr>
              <w:numPr>
                <w:ilvl w:val="0"/>
                <w:numId w:val="6"/>
              </w:numPr>
              <w:tabs>
                <w:tab w:val="left" w:pos="175"/>
              </w:tabs>
              <w:spacing w:after="120"/>
            </w:pPr>
            <w:r w:rsidRPr="00871477">
              <w:t xml:space="preserve">means the person appointed by the Parties in accordance with paragraph 5.2 of this Framework Schedule 18; </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“Extraordinary Meeting”</w:t>
            </w:r>
          </w:p>
        </w:tc>
        <w:tc>
          <w:tcPr>
            <w:tcW w:w="5389" w:type="dxa"/>
          </w:tcPr>
          <w:p w:rsidR="00871477" w:rsidRPr="00871477" w:rsidRDefault="00871477" w:rsidP="00871477">
            <w:pPr>
              <w:numPr>
                <w:ilvl w:val="0"/>
                <w:numId w:val="6"/>
              </w:numPr>
              <w:tabs>
                <w:tab w:val="left" w:pos="175"/>
              </w:tabs>
              <w:spacing w:after="120"/>
            </w:pPr>
            <w:r w:rsidRPr="00871477">
              <w:t>a meeting, attended in person or over a conference call, held by the Parties in an attempt to resolve the Dispute in good faith in accordance with paragraphs 2.5 and 2.6 of this Framework Schedule 18;</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"Mediator"</w:t>
            </w:r>
          </w:p>
        </w:tc>
        <w:tc>
          <w:tcPr>
            <w:tcW w:w="5389" w:type="dxa"/>
          </w:tcPr>
          <w:p w:rsidR="00871477" w:rsidRPr="00871477" w:rsidRDefault="00871477" w:rsidP="00871477">
            <w:pPr>
              <w:numPr>
                <w:ilvl w:val="0"/>
                <w:numId w:val="6"/>
              </w:numPr>
              <w:tabs>
                <w:tab w:val="left" w:pos="175"/>
              </w:tabs>
              <w:spacing w:after="120"/>
            </w:pPr>
            <w:r w:rsidRPr="00871477">
              <w:t>means the independent third party appointed in accordance with paragraph 4.2 of this Framework Schedule 18; and</w:t>
            </w:r>
          </w:p>
        </w:tc>
      </w:tr>
      <w:tr w:rsidR="00871477" w:rsidRPr="00871477" w:rsidTr="00871477">
        <w:tc>
          <w:tcPr>
            <w:tcW w:w="2330" w:type="dxa"/>
          </w:tcPr>
          <w:p w:rsidR="00871477" w:rsidRPr="00871477" w:rsidRDefault="00871477" w:rsidP="00871477">
            <w:pPr>
              <w:spacing w:after="120"/>
              <w:ind w:left="-108"/>
              <w:jc w:val="left"/>
              <w:rPr>
                <w:b/>
              </w:rPr>
            </w:pPr>
            <w:r w:rsidRPr="00871477">
              <w:rPr>
                <w:b/>
              </w:rPr>
              <w:t>“Senior Officers”</w:t>
            </w:r>
          </w:p>
        </w:tc>
        <w:tc>
          <w:tcPr>
            <w:tcW w:w="5389" w:type="dxa"/>
          </w:tcPr>
          <w:p w:rsidR="00871477" w:rsidRPr="00871477" w:rsidRDefault="00871477" w:rsidP="00871477">
            <w:pPr>
              <w:numPr>
                <w:ilvl w:val="0"/>
                <w:numId w:val="6"/>
              </w:numPr>
              <w:tabs>
                <w:tab w:val="left" w:pos="175"/>
              </w:tabs>
              <w:spacing w:after="120"/>
            </w:pPr>
            <w:r w:rsidRPr="00871477">
              <w:t>are senior officials of the Authority and Supplier that have been instructed by the Authority Representative and Supplier Representative respectively to resolve the Dispute by commercial negotiation.</w:t>
            </w:r>
          </w:p>
        </w:tc>
      </w:tr>
    </w:tbl>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INTRODUCTION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Parties shall seek to resolve a Dispute:</w:t>
      </w:r>
    </w:p>
    <w:p w:rsidR="00871477" w:rsidRPr="00871477" w:rsidRDefault="00871477" w:rsidP="00871477">
      <w:pPr>
        <w:numPr>
          <w:ilvl w:val="2"/>
          <w:numId w:val="8"/>
        </w:numPr>
        <w:tabs>
          <w:tab w:val="left" w:pos="1134"/>
          <w:tab w:val="left" w:pos="2127"/>
        </w:tabs>
        <w:overflowPunct/>
        <w:autoSpaceDE/>
        <w:autoSpaceDN/>
        <w:spacing w:before="120" w:after="120"/>
        <w:ind w:left="2127" w:hanging="993"/>
        <w:textAlignment w:val="auto"/>
        <w:rPr>
          <w:lang w:eastAsia="zh-CN"/>
        </w:rPr>
      </w:pPr>
      <w:r w:rsidRPr="00871477">
        <w:rPr>
          <w:lang w:eastAsia="zh-CN"/>
        </w:rPr>
        <w:t>first in good faith (as prescribed in paragraphs 2.4 to 2.8 of this Framework Schedule 18);</w:t>
      </w:r>
    </w:p>
    <w:p w:rsidR="00871477" w:rsidRPr="00871477" w:rsidRDefault="00871477" w:rsidP="00871477">
      <w:pPr>
        <w:numPr>
          <w:ilvl w:val="2"/>
          <w:numId w:val="8"/>
        </w:numPr>
        <w:tabs>
          <w:tab w:val="left" w:pos="1134"/>
          <w:tab w:val="left" w:pos="2127"/>
        </w:tabs>
        <w:overflowPunct/>
        <w:autoSpaceDE/>
        <w:autoSpaceDN/>
        <w:spacing w:before="120" w:after="120"/>
        <w:ind w:left="2127" w:hanging="993"/>
        <w:textAlignment w:val="auto"/>
        <w:rPr>
          <w:lang w:eastAsia="zh-CN"/>
        </w:rPr>
      </w:pPr>
      <w:r w:rsidRPr="00871477">
        <w:rPr>
          <w:lang w:eastAsia="zh-CN"/>
        </w:rPr>
        <w:t>where the Dispute has not been resolved by good faith, the Parties shall attempt to resolve the Dispute by commercial negotiation (as prescribed in paragraph 3 of this Framework Schedule 18);</w:t>
      </w:r>
    </w:p>
    <w:p w:rsidR="00871477" w:rsidRPr="00871477" w:rsidRDefault="00871477" w:rsidP="00871477">
      <w:pPr>
        <w:numPr>
          <w:ilvl w:val="2"/>
          <w:numId w:val="8"/>
        </w:numPr>
        <w:tabs>
          <w:tab w:val="left" w:pos="1134"/>
          <w:tab w:val="left" w:pos="2127"/>
        </w:tabs>
        <w:overflowPunct/>
        <w:autoSpaceDE/>
        <w:autoSpaceDN/>
        <w:spacing w:before="120" w:after="120"/>
        <w:ind w:left="2127" w:hanging="993"/>
        <w:textAlignment w:val="auto"/>
        <w:rPr>
          <w:lang w:eastAsia="zh-CN"/>
        </w:rPr>
      </w:pPr>
      <w:r w:rsidRPr="00871477">
        <w:rPr>
          <w:lang w:eastAsia="zh-CN"/>
        </w:rPr>
        <w:t>where the Dispute has not been resolved in good faith and commercial negotiation has been unsuccessful in resolving the Dispute, then either  Party may serve a Dispute Notice and shall attempt to resolve the Dispute through mediation (as prescribed in paragraph 4 of this Framework Schedule 18); and</w:t>
      </w:r>
    </w:p>
    <w:p w:rsidR="00871477" w:rsidRPr="00871477" w:rsidRDefault="00871477" w:rsidP="00871477">
      <w:pPr>
        <w:numPr>
          <w:ilvl w:val="2"/>
          <w:numId w:val="8"/>
        </w:numPr>
        <w:tabs>
          <w:tab w:val="left" w:pos="1134"/>
          <w:tab w:val="left" w:pos="2127"/>
        </w:tabs>
        <w:overflowPunct/>
        <w:autoSpaceDE/>
        <w:autoSpaceDN/>
        <w:spacing w:before="120" w:after="120"/>
        <w:ind w:left="2127" w:hanging="993"/>
        <w:textAlignment w:val="auto"/>
        <w:rPr>
          <w:lang w:eastAsia="zh-CN"/>
        </w:rPr>
      </w:pPr>
      <w:r w:rsidRPr="00871477">
        <w:rPr>
          <w:lang w:eastAsia="zh-CN"/>
        </w:rPr>
        <w:lastRenderedPageBreak/>
        <w:t>if mediation is not agreed by the Parties, the Parties may proceed to arbitration (as prescribed in paragraph 6 of this Framework Schedule 18) or litigation (in accordance with Clause 49 of this Framework Agreement (Governing Law and Jurisdiction)).</w:t>
      </w:r>
    </w:p>
    <w:p w:rsidR="00871477" w:rsidRPr="00871477" w:rsidRDefault="00871477" w:rsidP="00871477">
      <w:pPr>
        <w:numPr>
          <w:ilvl w:val="1"/>
          <w:numId w:val="8"/>
        </w:numPr>
        <w:tabs>
          <w:tab w:val="left" w:pos="567"/>
        </w:tabs>
        <w:overflowPunct/>
        <w:autoSpaceDE/>
        <w:autoSpaceDN/>
        <w:spacing w:before="120" w:after="120"/>
        <w:textAlignment w:val="auto"/>
        <w:rPr>
          <w:lang w:eastAsia="zh-CN"/>
        </w:rPr>
      </w:pPr>
      <w:r w:rsidRPr="00871477">
        <w:rPr>
          <w:b/>
          <w:lang w:eastAsia="zh-CN"/>
        </w:rPr>
        <w:t xml:space="preserve">  </w:t>
      </w:r>
      <w:r w:rsidRPr="00871477">
        <w:rPr>
          <w:lang w:eastAsia="zh-CN"/>
        </w:rPr>
        <w:t>Specific issues shall be referred to Expert Determination (as prescribed in paragraph 5 of this Framework Schedule 18) where specified under the provisions of this Framework Agreement and may also be referred to Expert Determination where otherwise appropriate as specified in paragraph 5 (Expert Determination) of this Framework Schedule 18.</w:t>
      </w:r>
    </w:p>
    <w:p w:rsidR="00871477" w:rsidRPr="00871477" w:rsidRDefault="00871477" w:rsidP="00871477">
      <w:pPr>
        <w:numPr>
          <w:ilvl w:val="1"/>
          <w:numId w:val="8"/>
        </w:numPr>
        <w:tabs>
          <w:tab w:val="left" w:pos="567"/>
          <w:tab w:val="left" w:pos="1134"/>
        </w:tabs>
        <w:overflowPunct/>
        <w:autoSpaceDE/>
        <w:autoSpaceDN/>
        <w:spacing w:before="120" w:after="120"/>
        <w:textAlignment w:val="auto"/>
        <w:rPr>
          <w:lang w:eastAsia="zh-CN"/>
        </w:rPr>
      </w:pPr>
      <w:r w:rsidRPr="00871477">
        <w:rPr>
          <w:lang w:eastAsia="zh-CN"/>
        </w:rPr>
        <w:t xml:space="preserve">  Save in relation to paragraph 4.5, the Parties shall bear their own legal costs in resolving Disputes under this Framework Schedule 18.  </w:t>
      </w:r>
    </w:p>
    <w:p w:rsidR="00871477" w:rsidRPr="00871477" w:rsidRDefault="00871477" w:rsidP="00871477">
      <w:pPr>
        <w:tabs>
          <w:tab w:val="left" w:pos="709"/>
          <w:tab w:val="left" w:pos="1134"/>
        </w:tabs>
        <w:overflowPunct/>
        <w:autoSpaceDE/>
        <w:autoSpaceDN/>
        <w:spacing w:before="120" w:after="120"/>
        <w:ind w:left="284"/>
        <w:textAlignment w:val="auto"/>
        <w:rPr>
          <w:u w:val="single"/>
          <w:lang w:eastAsia="zh-CN"/>
        </w:rPr>
      </w:pPr>
      <w:r w:rsidRPr="00871477">
        <w:rPr>
          <w:u w:val="single"/>
          <w:lang w:eastAsia="zh-CN"/>
        </w:rPr>
        <w:t>Good faith discussions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Either Party may hold an Extraordinary Meeting by serving written notice.  The written notice must give the receiving party at least five (5) Working Days notice of when the Extraordinary Meeting is to take place.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Authority Representative and Supplier Representative shall attend the Extraordinary Meeting. The key personnel of the Parties may also attend the Extraordinary Meeting.</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representatives of the Parties attending the Extraordinary Meeting shall use their best endeavours to resolve the Dispute.</w:t>
      </w:r>
    </w:p>
    <w:p w:rsidR="00871477" w:rsidRPr="00871477" w:rsidRDefault="00871477" w:rsidP="00871477">
      <w:pPr>
        <w:numPr>
          <w:ilvl w:val="1"/>
          <w:numId w:val="8"/>
        </w:numPr>
        <w:overflowPunct/>
        <w:autoSpaceDE/>
        <w:autoSpaceDN/>
        <w:spacing w:before="120" w:after="120"/>
        <w:textAlignment w:val="auto"/>
        <w:rPr>
          <w:lang w:eastAsia="zh-CN"/>
        </w:rPr>
      </w:pPr>
      <w:r w:rsidRPr="00871477">
        <w:rPr>
          <w:lang w:eastAsia="zh-CN"/>
        </w:rPr>
        <w:t xml:space="preserve">If the Dispute is not resolved at the Extraordinary Meeting then the Parties may attempt to hold additional Extraordinary Meetings in an attempt to resolve the Dispute. </w:t>
      </w:r>
    </w:p>
    <w:p w:rsidR="00871477" w:rsidRPr="00871477" w:rsidRDefault="00871477" w:rsidP="00871477">
      <w:pPr>
        <w:numPr>
          <w:ilvl w:val="1"/>
          <w:numId w:val="8"/>
        </w:numPr>
        <w:overflowPunct/>
        <w:autoSpaceDE/>
        <w:autoSpaceDN/>
        <w:spacing w:before="120" w:after="120"/>
        <w:textAlignment w:val="auto"/>
        <w:rPr>
          <w:lang w:eastAsia="zh-CN"/>
        </w:rPr>
      </w:pPr>
      <w:r w:rsidRPr="00871477">
        <w:rPr>
          <w:lang w:eastAsia="zh-CN"/>
        </w:rPr>
        <w:t>If: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Extraordinary Meetings are unsuccessful in resolving the Dispute;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Parties agree that good faith discussions shall not resolve the dispute; or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Dispute has not been resolved through good faith discussions within thirty (30) Working Days from when they first started, </w:t>
      </w:r>
    </w:p>
    <w:p w:rsidR="00871477" w:rsidRPr="00871477" w:rsidRDefault="00871477" w:rsidP="00871477">
      <w:pPr>
        <w:overflowPunct/>
        <w:autoSpaceDE/>
        <w:autoSpaceDN/>
        <w:spacing w:before="120" w:after="120"/>
        <w:textAlignment w:val="auto"/>
        <w:rPr>
          <w:lang w:eastAsia="zh-CN"/>
        </w:rPr>
      </w:pPr>
      <w:r w:rsidRPr="00871477">
        <w:rPr>
          <w:lang w:eastAsia="zh-CN"/>
        </w:rPr>
        <w:tab/>
        <w:t>the Parties shall attempt to resolve the Dispute by commercial negotiation.</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COMMERCIAL NEGOTIATIONS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Where the Parties have been unable to resolve the Dispute in good faith under paragraphs 2.4 to 2.8 of this Framework Schedule 18, pursuant to paragraph 2.1.2, the Authority and the Supplier shall use reasonable endeavours to resolve the Dispute as soon as possible, by discussion between Senior Officers.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Senior Officers shall resolve the Dispute as soon as possible and in any event thirty (30)  Working Days from the date Parties agree good faith discussions were deemed unsuccessful.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If Senior Officers: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are of the reasonable opinion that the resolution of a Dispute by commercial negotiation, or the continuance of commercial negotiations, will not result in an appropriate solution;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fail to resolve the Dispute in the timelines under paragraph 3.2 of this Framework Schedule 18,</w:t>
      </w:r>
    </w:p>
    <w:p w:rsidR="00871477" w:rsidRPr="00871477" w:rsidRDefault="00871477" w:rsidP="00871477">
      <w:pPr>
        <w:tabs>
          <w:tab w:val="left" w:pos="3402"/>
        </w:tabs>
        <w:spacing w:after="220"/>
        <w:ind w:left="1134"/>
        <w:rPr>
          <w:szCs w:val="24"/>
          <w:lang w:eastAsia="zh-CN"/>
        </w:rPr>
      </w:pPr>
      <w:r w:rsidRPr="00871477">
        <w:rPr>
          <w:szCs w:val="24"/>
          <w:lang w:eastAsia="zh-CN"/>
        </w:rPr>
        <w:t>commercial negotiations shall be deemed unsuccessful and either Party may serve a Dispute Notice in accordance with paragraphs 3.4 and 3.5 of this Framework Schedule 18.</w:t>
      </w:r>
    </w:p>
    <w:p w:rsidR="00871477" w:rsidRPr="00871477" w:rsidRDefault="00871477" w:rsidP="00871477">
      <w:pPr>
        <w:tabs>
          <w:tab w:val="left" w:pos="1985"/>
        </w:tabs>
        <w:overflowPunct/>
        <w:autoSpaceDE/>
        <w:autoSpaceDN/>
        <w:spacing w:before="120" w:after="120"/>
        <w:ind w:firstLine="426"/>
        <w:textAlignment w:val="auto"/>
        <w:rPr>
          <w:u w:val="single"/>
          <w:lang w:eastAsia="zh-CN"/>
        </w:rPr>
      </w:pPr>
      <w:r w:rsidRPr="00871477">
        <w:rPr>
          <w:u w:val="single"/>
          <w:lang w:eastAsia="zh-CN"/>
        </w:rPr>
        <w:t>Dispute Notice</w:t>
      </w:r>
    </w:p>
    <w:p w:rsidR="00871477" w:rsidRPr="00871477" w:rsidRDefault="00871477" w:rsidP="00871477">
      <w:pPr>
        <w:numPr>
          <w:ilvl w:val="1"/>
          <w:numId w:val="8"/>
        </w:numPr>
        <w:tabs>
          <w:tab w:val="left" w:pos="1134"/>
        </w:tabs>
        <w:overflowPunct/>
        <w:autoSpaceDE/>
        <w:autoSpaceDN/>
        <w:spacing w:before="120" w:after="120"/>
        <w:ind w:hanging="218"/>
        <w:textAlignment w:val="auto"/>
        <w:rPr>
          <w:lang w:eastAsia="zh-CN"/>
        </w:rPr>
      </w:pPr>
      <w:r w:rsidRPr="00871477">
        <w:rPr>
          <w:lang w:eastAsia="zh-CN"/>
        </w:rPr>
        <w:t>The Dispute Notice shall set out: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material particulars of the Dispute;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reasons why the Party serving the Dispute Notice believes that the Dispute has arisen;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if the Party serving the Dispute Notice believes that the Dispute should be dealt with under the Expedited Dispute Timetable as set out in paragraph 7 of this Framework Schedule 18, the reason why.</w:t>
      </w:r>
    </w:p>
    <w:p w:rsidR="00871477" w:rsidRPr="00871477" w:rsidRDefault="00871477" w:rsidP="00871477">
      <w:pPr>
        <w:numPr>
          <w:ilvl w:val="1"/>
          <w:numId w:val="8"/>
        </w:numPr>
        <w:tabs>
          <w:tab w:val="left" w:pos="1134"/>
        </w:tabs>
        <w:overflowPunct/>
        <w:autoSpaceDE/>
        <w:autoSpaceDN/>
        <w:spacing w:before="120" w:after="120"/>
        <w:ind w:left="1134" w:hanging="708"/>
        <w:textAlignment w:val="auto"/>
        <w:rPr>
          <w:lang w:eastAsia="zh-CN"/>
        </w:rPr>
      </w:pPr>
      <w:r w:rsidRPr="00871477">
        <w:rPr>
          <w:lang w:eastAsia="zh-CN"/>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MEDIATION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Parties are unable to agree on the joint appointment of a Mediator within thirty (30) Working Days from service of the Dispute Notice then either Party may apply to CEDR to nominate the Mediator.</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neither Party applies to CEDR to nominate the Mediator or an application to CEDR is unsuccessful under paragraph 4.2 of this Framework Schedule 18, either Party may proceed to:</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hold further discussions between Senior Officers;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 Expert determination, as prescribed in paragraph 5 of this Framework Schedule 18;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arbitration, as prescribed in paragraph 6 of this Framework Schedule 18;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litigation in accordance with Clause 49 of this Framework Agreement (Governing Law and Jurisdiction).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costs of any mediation procedure used to resolve the Dispute under this paragraph 4 of this Framework Schedule 18 shall be shared equally between the Parties.</w:t>
      </w:r>
    </w:p>
    <w:p w:rsidR="00871477" w:rsidRPr="00871477" w:rsidRDefault="00871477" w:rsidP="00871477">
      <w:pPr>
        <w:tabs>
          <w:tab w:val="left" w:pos="709"/>
          <w:tab w:val="left" w:pos="1134"/>
        </w:tabs>
        <w:overflowPunct/>
        <w:autoSpaceDE/>
        <w:autoSpaceDN/>
        <w:spacing w:before="120" w:after="120"/>
        <w:ind w:left="644"/>
        <w:textAlignment w:val="auto"/>
        <w:rPr>
          <w:lang w:eastAsia="zh-CN"/>
        </w:rPr>
      </w:pP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EXPERT DETERMINATION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a Dispute relates to any aspect of the technology underlying the provision of the Goods and/or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Where the Parties agree to an expert determination, the Expert shall:</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act on the following basis:</w:t>
      </w:r>
    </w:p>
    <w:p w:rsidR="00871477" w:rsidRPr="00871477" w:rsidRDefault="00871477" w:rsidP="00871477">
      <w:pPr>
        <w:numPr>
          <w:ilvl w:val="3"/>
          <w:numId w:val="22"/>
        </w:numPr>
        <w:tabs>
          <w:tab w:val="left" w:pos="1985"/>
        </w:tabs>
        <w:overflowPunct/>
        <w:autoSpaceDE/>
        <w:autoSpaceDN/>
        <w:spacing w:before="120" w:after="120"/>
        <w:textAlignment w:val="auto"/>
        <w:rPr>
          <w:lang w:eastAsia="zh-CN"/>
        </w:rPr>
      </w:pPr>
      <w:r w:rsidRPr="00871477">
        <w:rPr>
          <w:lang w:eastAsia="zh-CN"/>
        </w:rPr>
        <w:t>he/she shall act as an expert and not as an arbitrator and shall act fairly and impartially;</w:t>
      </w:r>
    </w:p>
    <w:p w:rsidR="00871477" w:rsidRPr="00871477" w:rsidRDefault="00871477" w:rsidP="00871477">
      <w:pPr>
        <w:numPr>
          <w:ilvl w:val="3"/>
          <w:numId w:val="22"/>
        </w:numPr>
        <w:rPr>
          <w:lang w:eastAsia="zh-CN"/>
        </w:rPr>
      </w:pPr>
      <w:r w:rsidRPr="00871477">
        <w:rPr>
          <w:lang w:eastAsia="zh-CN"/>
        </w:rPr>
        <w:t>the Expert's determination shall (in the absence of a material failure by either Party to follow the agreed procedures) be final and binding on the Parties;</w:t>
      </w:r>
    </w:p>
    <w:p w:rsidR="00871477" w:rsidRPr="00871477" w:rsidRDefault="00871477" w:rsidP="00871477">
      <w:pPr>
        <w:numPr>
          <w:ilvl w:val="3"/>
          <w:numId w:val="22"/>
        </w:numPr>
        <w:rPr>
          <w:lang w:eastAsia="zh-CN"/>
        </w:rPr>
      </w:pPr>
      <w:r w:rsidRPr="00871477">
        <w:rPr>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rsidR="00871477" w:rsidRPr="00871477" w:rsidRDefault="00871477" w:rsidP="00871477">
      <w:pPr>
        <w:numPr>
          <w:ilvl w:val="3"/>
          <w:numId w:val="22"/>
        </w:numPr>
        <w:rPr>
          <w:lang w:eastAsia="zh-CN"/>
        </w:rPr>
      </w:pPr>
      <w:r w:rsidRPr="00871477">
        <w:rPr>
          <w:lang w:eastAsia="zh-CN"/>
        </w:rPr>
        <w:t>any amount payable by one Party to another as a result of the Expert's determination shall be due and payable within twenty (20) Working Days of the Expert's determination being notified to the Parties;</w:t>
      </w:r>
    </w:p>
    <w:p w:rsidR="00871477" w:rsidRPr="00871477" w:rsidRDefault="00871477" w:rsidP="00871477">
      <w:pPr>
        <w:numPr>
          <w:ilvl w:val="3"/>
          <w:numId w:val="22"/>
        </w:numPr>
        <w:rPr>
          <w:lang w:eastAsia="zh-CN"/>
        </w:rPr>
      </w:pPr>
      <w:r w:rsidRPr="00871477">
        <w:rPr>
          <w:lang w:eastAsia="zh-CN"/>
        </w:rPr>
        <w:t>the process shall be conducted in private and shall be confidential; and</w:t>
      </w:r>
    </w:p>
    <w:p w:rsidR="00871477" w:rsidRPr="00871477" w:rsidRDefault="00871477" w:rsidP="00871477">
      <w:pPr>
        <w:numPr>
          <w:ilvl w:val="3"/>
          <w:numId w:val="22"/>
        </w:numPr>
        <w:rPr>
          <w:lang w:eastAsia="zh-CN"/>
        </w:rPr>
      </w:pPr>
      <w:r w:rsidRPr="00871477">
        <w:rPr>
          <w:lang w:eastAsia="zh-CN"/>
        </w:rPr>
        <w:t>the Expert shall determine how and by whom the costs of the determination, including his/her fees and expenses, are to be paid.</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lastRenderedPageBreak/>
        <w:t>ARBITRATION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Framework Schedule 18. The Parties are not obliged to pursue arbitration but may choose to do so in resolving the Dispute.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Before the Supplier commences court proceedings or arbitration, it shall serve written notice on the Authority of its intentions and the Authority shall have fifteen (15) Working Days following receipt of such notice to serve a reply (a “</w:t>
      </w:r>
      <w:r w:rsidRPr="00871477">
        <w:rPr>
          <w:b/>
          <w:lang w:eastAsia="zh-CN"/>
        </w:rPr>
        <w:t>Counter Notice</w:t>
      </w:r>
      <w:r w:rsidRPr="00871477">
        <w:rPr>
          <w:lang w:eastAsia="zh-CN"/>
        </w:rPr>
        <w:t xml:space="preserve">”) on the Supplier requiring the Dispute to be referred to and resolved by arbitration in accordance with paragraph 6.4 or be subject to the jurisdiction of the courts in accordance with Clause 49 (Governing Law and Jurisdiction). The Supplier shall not commence any court proceedings or arbitration until the expiry of such fifteen (15) Working Day period.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Counter Notice requires the Dispute to be referred to arbitration, the provisions of paragraph 6.4 shall apply;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the Counter Notice requires the Dispute to be subject to the exclusive jurisdiction of the courts in accordance with Clause 49 (Governing Law and Jurisdiction), the Dispute shall be so referred to the courts and the Supplier shall not commence arbitration proceedings;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Authority does not serve a Counter Notice within the fifteen (15) Working Day period referred to in paragraph 6.2, the Supplier may either commence arbitration proceedings in accordance with paragraph 6.4 or commence court proceedings in the courts in accordance with Clause 49 (Governing Law and Jurisdiction) which shall (in those circumstances) have exclusive jurisdiction.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In the event that any arbitration proceedings are commenced pursuant to paragraphs 6.1 to 6.3, the Parties hereby confirm that:</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871477">
        <w:rPr>
          <w:b/>
          <w:lang w:eastAsia="zh-CN"/>
        </w:rPr>
        <w:t>LCIA</w:t>
      </w:r>
      <w:r w:rsidRPr="00871477">
        <w:rPr>
          <w:lang w:eastAsia="zh-CN"/>
        </w:rPr>
        <w:t xml:space="preserve">”) (subject to paragraphs 6.4.5 and 6.4.6);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arbitration shall be administered by the LCIA;</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arbitration proceedings shall take place in London and in the English language;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lastRenderedPageBreak/>
        <w:t xml:space="preserve">the seat of the arbitration shall be London. </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EXPEDITED DISPUTE TIMETABLE</w:t>
      </w:r>
    </w:p>
    <w:p w:rsidR="00871477" w:rsidRPr="00871477" w:rsidRDefault="00871477" w:rsidP="00871477">
      <w:pPr>
        <w:numPr>
          <w:ilvl w:val="1"/>
          <w:numId w:val="8"/>
        </w:numPr>
        <w:tabs>
          <w:tab w:val="left" w:pos="1134"/>
        </w:tabs>
        <w:overflowPunct/>
        <w:autoSpaceDE/>
        <w:autoSpaceDN/>
        <w:spacing w:before="120" w:after="120"/>
        <w:ind w:left="1134" w:hanging="567"/>
        <w:textAlignment w:val="auto"/>
        <w:rPr>
          <w:lang w:eastAsia="zh-CN"/>
        </w:rPr>
      </w:pPr>
      <w:r w:rsidRPr="00871477">
        <w:rPr>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rsidR="00871477" w:rsidRPr="00871477" w:rsidRDefault="00871477" w:rsidP="00871477">
      <w:pPr>
        <w:numPr>
          <w:ilvl w:val="1"/>
          <w:numId w:val="8"/>
        </w:numPr>
        <w:tabs>
          <w:tab w:val="left" w:pos="1134"/>
        </w:tabs>
        <w:overflowPunct/>
        <w:autoSpaceDE/>
        <w:autoSpaceDN/>
        <w:spacing w:before="120" w:after="120"/>
        <w:ind w:left="1134" w:hanging="567"/>
        <w:textAlignment w:val="auto"/>
        <w:rPr>
          <w:lang w:eastAsia="zh-CN"/>
        </w:rPr>
      </w:pPr>
      <w:r w:rsidRPr="00871477">
        <w:rPr>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paragraph 2.8, fourteen (14) Working Days;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paragraph 3.2, ten (10) Working Days;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paragraph 4.2, ten (10) Working Days;</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paragraph 5.2, five (5) Working Days;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in paragraph 6.2, ten (10) Working Days.</w:t>
      </w:r>
    </w:p>
    <w:p w:rsidR="00871477" w:rsidRPr="00871477" w:rsidRDefault="00871477" w:rsidP="00871477">
      <w:pPr>
        <w:numPr>
          <w:ilvl w:val="1"/>
          <w:numId w:val="8"/>
        </w:numPr>
        <w:tabs>
          <w:tab w:val="left" w:pos="1134"/>
        </w:tabs>
        <w:overflowPunct/>
        <w:autoSpaceDE/>
        <w:autoSpaceDN/>
        <w:spacing w:before="120" w:after="120"/>
        <w:ind w:left="1134" w:hanging="708"/>
        <w:textAlignment w:val="auto"/>
        <w:rPr>
          <w:lang w:eastAsia="zh-CN"/>
        </w:rPr>
      </w:pPr>
      <w:r w:rsidRPr="00871477">
        <w:rPr>
          <w:lang w:eastAsia="zh-CN"/>
        </w:rPr>
        <w:t xml:space="preserve">If at any point it becomes clear that an applicable deadline under paragraph 7.2 of this Framework Schedule 18 cannot be met or has passed, the Parties may (but shall be under no obligation to) agree in writing to extend the relevant deadline. </w:t>
      </w:r>
    </w:p>
    <w:p w:rsidR="00871477" w:rsidRPr="00871477" w:rsidRDefault="00871477" w:rsidP="00871477">
      <w:pPr>
        <w:numPr>
          <w:ilvl w:val="1"/>
          <w:numId w:val="8"/>
        </w:numPr>
        <w:tabs>
          <w:tab w:val="left" w:pos="1134"/>
        </w:tabs>
        <w:overflowPunct/>
        <w:autoSpaceDE/>
        <w:autoSpaceDN/>
        <w:spacing w:before="120" w:after="120"/>
        <w:ind w:left="1134" w:hanging="708"/>
        <w:textAlignment w:val="auto"/>
        <w:rPr>
          <w:lang w:eastAsia="zh-CN"/>
        </w:rPr>
      </w:pPr>
      <w:r w:rsidRPr="00871477">
        <w:rPr>
          <w:lang w:eastAsia="zh-CN"/>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rsidR="00871477" w:rsidRPr="00EF7EC9" w:rsidRDefault="00871477" w:rsidP="00857908">
      <w:pPr>
        <w:numPr>
          <w:ilvl w:val="1"/>
          <w:numId w:val="8"/>
        </w:numPr>
        <w:tabs>
          <w:tab w:val="left" w:pos="1134"/>
        </w:tabs>
        <w:overflowPunct/>
        <w:autoSpaceDE/>
        <w:autoSpaceDN/>
        <w:spacing w:before="120" w:after="120"/>
        <w:ind w:left="360" w:hanging="708"/>
        <w:textAlignment w:val="auto"/>
        <w:rPr>
          <w:rFonts w:eastAsia="STZhongsong"/>
          <w:b/>
          <w:caps/>
          <w:lang w:eastAsia="zh-CN"/>
        </w:rPr>
      </w:pPr>
      <w:r w:rsidRPr="00871477">
        <w:rPr>
          <w:lang w:eastAsia="zh-CN"/>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rsidR="00871477" w:rsidRPr="00871477" w:rsidRDefault="00871477" w:rsidP="00871477">
      <w:pPr>
        <w:tabs>
          <w:tab w:val="left" w:pos="142"/>
        </w:tabs>
        <w:overflowPunct/>
        <w:autoSpaceDE/>
        <w:autoSpaceDN/>
        <w:spacing w:before="120"/>
        <w:ind w:left="360"/>
        <w:textAlignment w:val="auto"/>
        <w:rPr>
          <w:rFonts w:eastAsia="STZhongsong"/>
          <w:b/>
          <w:caps/>
          <w:lang w:eastAsia="zh-CN"/>
        </w:rPr>
      </w:pP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URGENT RELIEF</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Either Party may at any time take proceedings or seek remedies before any court or tribunal of competent jurisdiction:</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for interim or interlocutory remedies in relation to this Framework Agreement or infringement by the other Party of that Party’s Intellectual Property Rights;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color w:val="000000"/>
          <w:lang w:eastAsia="zh-CN"/>
        </w:rPr>
      </w:pPr>
      <w:r w:rsidRPr="00871477">
        <w:rPr>
          <w:lang w:eastAsia="zh-CN"/>
        </w:rPr>
        <w:t>where compliance with paragraph 2.1 and/or referring the Dispute to mediation may leave insufficient time for that Party to commence proceedings</w:t>
      </w:r>
      <w:r w:rsidRPr="00871477">
        <w:rPr>
          <w:color w:val="000000"/>
          <w:lang w:eastAsia="zh-CN"/>
        </w:rPr>
        <w:t xml:space="preserve"> before the expiry of the limitation period;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color w:val="000000"/>
          <w:lang w:eastAsia="zh-CN"/>
        </w:rPr>
      </w:pPr>
      <w:r w:rsidRPr="00871477">
        <w:rPr>
          <w:color w:val="000000"/>
          <w:lang w:eastAsia="zh-CN"/>
        </w:rPr>
        <w:lastRenderedPageBreak/>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rsidR="00871477" w:rsidRPr="00871477" w:rsidRDefault="00871477" w:rsidP="00871477">
      <w:pPr>
        <w:tabs>
          <w:tab w:val="left" w:pos="1985"/>
        </w:tabs>
        <w:overflowPunct/>
        <w:autoSpaceDE/>
        <w:autoSpaceDN/>
        <w:spacing w:before="120" w:after="120"/>
        <w:ind w:left="1134"/>
        <w:textAlignment w:val="auto"/>
        <w:rPr>
          <w:color w:val="000000"/>
          <w:lang w:eastAsia="zh-CN"/>
        </w:rPr>
      </w:pPr>
    </w:p>
    <w:p w:rsidR="00871477" w:rsidRPr="00871477" w:rsidRDefault="00871477" w:rsidP="00871477">
      <w:pPr>
        <w:tabs>
          <w:tab w:val="left" w:pos="1985"/>
        </w:tabs>
        <w:overflowPunct/>
        <w:autoSpaceDE/>
        <w:autoSpaceDN/>
        <w:spacing w:before="120" w:after="120"/>
        <w:ind w:left="1985"/>
        <w:textAlignment w:val="auto"/>
        <w:rPr>
          <w:color w:val="000000"/>
          <w:lang w:eastAsia="zh-CN"/>
        </w:rPr>
      </w:pP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spacing w:after="0"/>
        <w:rPr>
          <w:color w:val="FFFFFF"/>
          <w:sz w:val="16"/>
          <w:szCs w:val="16"/>
        </w:rPr>
      </w:pPr>
    </w:p>
    <w:p w:rsidR="00871477" w:rsidRPr="00871477" w:rsidRDefault="00871477" w:rsidP="00871477">
      <w:pPr>
        <w:spacing w:after="0"/>
        <w:rPr>
          <w:color w:val="FFFFFF"/>
          <w:sz w:val="16"/>
          <w:szCs w:val="16"/>
        </w:rPr>
      </w:pPr>
      <w:r w:rsidRPr="00871477">
        <w:rPr>
          <w:color w:val="FFFFFF"/>
          <w:sz w:val="16"/>
          <w:szCs w:val="16"/>
        </w:rPr>
        <w:br w:type="page"/>
      </w:r>
      <w:r w:rsidRPr="00871477">
        <w:rPr>
          <w:color w:val="FFFFFF"/>
          <w:sz w:val="16"/>
          <w:szCs w:val="16"/>
        </w:rPr>
        <w:lastRenderedPageBreak/>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101" w:name="_Toc492462955"/>
      <w:r w:rsidRPr="00871477">
        <w:rPr>
          <w:rFonts w:ascii="Arial Bold" w:eastAsia="STZhongsong" w:hAnsi="Arial Bold" w:cs="Times New Roman"/>
          <w:b/>
          <w:caps/>
          <w:lang w:eastAsia="zh-CN"/>
        </w:rPr>
        <w:t>FRAMEWORK SCHEDULE 19: VARIATION FORM</w:t>
      </w:r>
      <w:bookmarkEnd w:id="101"/>
    </w:p>
    <w:p w:rsidR="00871477" w:rsidRPr="00871477" w:rsidRDefault="00871477" w:rsidP="00871477">
      <w:pPr>
        <w:spacing w:after="120"/>
        <w:ind w:left="34"/>
      </w:pPr>
      <w:r w:rsidRPr="00871477">
        <w:t>Variation Form No:</w:t>
      </w:r>
    </w:p>
    <w:p w:rsidR="00871477" w:rsidRPr="00871477" w:rsidRDefault="00871477" w:rsidP="00871477">
      <w:pPr>
        <w:spacing w:after="120"/>
        <w:ind w:left="34"/>
      </w:pPr>
      <w:r w:rsidRPr="00871477">
        <w:t>……………………………………………………………………………………</w:t>
      </w:r>
    </w:p>
    <w:p w:rsidR="00871477" w:rsidRPr="00871477" w:rsidRDefault="00871477" w:rsidP="00871477">
      <w:pPr>
        <w:spacing w:after="120"/>
        <w:ind w:left="34"/>
      </w:pPr>
      <w:r w:rsidRPr="0087147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871477" w:rsidRPr="00871477" w:rsidTr="00871477">
        <w:trPr>
          <w:cantSplit/>
        </w:trPr>
        <w:tc>
          <w:tcPr>
            <w:tcW w:w="9531" w:type="dxa"/>
            <w:tcBorders>
              <w:top w:val="nil"/>
              <w:left w:val="nil"/>
              <w:bottom w:val="nil"/>
              <w:right w:val="nil"/>
            </w:tcBorders>
          </w:tcPr>
          <w:p w:rsidR="00871477" w:rsidRPr="00871477" w:rsidRDefault="00871477" w:rsidP="00871477">
            <w:pPr>
              <w:spacing w:after="120"/>
              <w:ind w:left="34"/>
            </w:pPr>
            <w:r w:rsidRPr="00871477">
              <w:t>The Minister for the Cabinet Office acting through Crown Commercial Service ("</w:t>
            </w:r>
            <w:r w:rsidRPr="00871477">
              <w:rPr>
                <w:b/>
                <w:bCs/>
              </w:rPr>
              <w:t>the Authority"</w:t>
            </w:r>
            <w:r w:rsidRPr="00871477">
              <w:t>)</w:t>
            </w:r>
          </w:p>
          <w:p w:rsidR="00871477" w:rsidRPr="00871477" w:rsidRDefault="00871477" w:rsidP="00871477">
            <w:pPr>
              <w:spacing w:after="120"/>
              <w:ind w:left="34"/>
            </w:pPr>
            <w:r w:rsidRPr="00871477">
              <w:t>and</w:t>
            </w:r>
          </w:p>
          <w:p w:rsidR="00871477" w:rsidRPr="00871477" w:rsidRDefault="00EF7EC9" w:rsidP="00733855">
            <w:pPr>
              <w:spacing w:after="120"/>
              <w:ind w:left="34"/>
            </w:pPr>
            <w:r>
              <w:rPr>
                <w:rFonts w:ascii="Arial" w:eastAsia="STZhongsong" w:hAnsi="Arial"/>
                <w:b/>
                <w:color w:val="000000" w:themeColor="text1"/>
                <w:sz w:val="20"/>
                <w:szCs w:val="20"/>
                <w:lang w:eastAsia="zh-CN"/>
              </w:rPr>
              <w:t>&lt;REDACTED&gt;</w:t>
            </w:r>
            <w:r w:rsidR="00871477" w:rsidRPr="00871477">
              <w:rPr>
                <w:b/>
              </w:rPr>
              <w:t xml:space="preserve"> </w:t>
            </w:r>
            <w:r w:rsidR="00871477" w:rsidRPr="00871477">
              <w:t>(</w:t>
            </w:r>
            <w:r w:rsidR="00871477" w:rsidRPr="00871477">
              <w:rPr>
                <w:b/>
              </w:rPr>
              <w:t>"the Supplier"</w:t>
            </w:r>
            <w:r w:rsidR="00871477" w:rsidRPr="00871477">
              <w:t>)</w:t>
            </w:r>
          </w:p>
        </w:tc>
      </w:tr>
    </w:tbl>
    <w:p w:rsidR="00871477" w:rsidRPr="00871477" w:rsidRDefault="00871477" w:rsidP="00871477">
      <w:pPr>
        <w:keepNext/>
        <w:numPr>
          <w:ilvl w:val="0"/>
          <w:numId w:val="12"/>
        </w:numPr>
        <w:overflowPunct/>
        <w:autoSpaceDE/>
        <w:autoSpaceDN/>
        <w:spacing w:before="240" w:after="120"/>
        <w:ind w:left="567" w:hanging="425"/>
        <w:textAlignment w:val="auto"/>
        <w:rPr>
          <w:rFonts w:eastAsia="STZhongsong"/>
          <w:lang w:eastAsia="zh-CN"/>
        </w:rPr>
      </w:pPr>
      <w:r w:rsidRPr="00871477">
        <w:rPr>
          <w:rFonts w:eastAsia="STZhongsong"/>
          <w:lang w:eastAsia="zh-CN"/>
        </w:rPr>
        <w:t xml:space="preserve">This Framework Agreement is varied as follows: </w:t>
      </w:r>
    </w:p>
    <w:p w:rsidR="00871477" w:rsidRPr="00871477" w:rsidRDefault="00871477" w:rsidP="00871477">
      <w:pPr>
        <w:keepNext/>
        <w:numPr>
          <w:ilvl w:val="0"/>
          <w:numId w:val="12"/>
        </w:numPr>
        <w:overflowPunct/>
        <w:autoSpaceDE/>
        <w:autoSpaceDN/>
        <w:spacing w:before="240" w:after="120"/>
        <w:ind w:left="567" w:hanging="425"/>
        <w:textAlignment w:val="auto"/>
        <w:rPr>
          <w:rFonts w:eastAsia="STZhongsong" w:cs="Times New Roman"/>
          <w:szCs w:val="18"/>
          <w:lang w:eastAsia="zh-CN"/>
        </w:rPr>
      </w:pPr>
      <w:r w:rsidRPr="00871477">
        <w:rPr>
          <w:rFonts w:eastAsia="STZhongsong"/>
          <w:lang w:eastAsia="zh-CN"/>
        </w:rPr>
        <w:t>This Variation must be</w:t>
      </w:r>
      <w:r w:rsidRPr="00871477">
        <w:rPr>
          <w:rFonts w:eastAsia="STZhongsong" w:cs="Times New Roman"/>
          <w:szCs w:val="18"/>
          <w:lang w:eastAsia="zh-CN"/>
        </w:rPr>
        <w:t xml:space="preserve"> agreed and signed by both Parties and shall only be effective from the date it is signed by the Authority.</w:t>
      </w:r>
    </w:p>
    <w:p w:rsidR="00871477" w:rsidRPr="00871477" w:rsidRDefault="00871477" w:rsidP="00871477">
      <w:pPr>
        <w:keepNext/>
        <w:numPr>
          <w:ilvl w:val="0"/>
          <w:numId w:val="12"/>
        </w:numPr>
        <w:overflowPunct/>
        <w:autoSpaceDE/>
        <w:autoSpaceDN/>
        <w:spacing w:before="240" w:after="120"/>
        <w:ind w:left="567" w:hanging="425"/>
        <w:textAlignment w:val="auto"/>
        <w:rPr>
          <w:rFonts w:eastAsia="STZhongsong"/>
          <w:lang w:eastAsia="zh-CN"/>
        </w:rPr>
      </w:pPr>
      <w:r w:rsidRPr="00871477">
        <w:rPr>
          <w:rFonts w:eastAsia="STZhongsong"/>
          <w:lang w:eastAsia="zh-CN"/>
        </w:rPr>
        <w:t>Words and expressions in this Variation shall have the meanings given to them in the Framework Agreement.</w:t>
      </w:r>
    </w:p>
    <w:p w:rsidR="00871477" w:rsidRPr="00871477" w:rsidRDefault="00871477" w:rsidP="00871477">
      <w:pPr>
        <w:keepNext/>
        <w:numPr>
          <w:ilvl w:val="0"/>
          <w:numId w:val="12"/>
        </w:numPr>
        <w:overflowPunct/>
        <w:autoSpaceDE/>
        <w:autoSpaceDN/>
        <w:spacing w:before="240" w:after="120"/>
        <w:ind w:left="567" w:hanging="425"/>
        <w:textAlignment w:val="auto"/>
        <w:rPr>
          <w:rFonts w:eastAsia="STZhongsong" w:cs="Times New Roman"/>
          <w:lang w:eastAsia="zh-CN"/>
        </w:rPr>
      </w:pPr>
      <w:r w:rsidRPr="00871477">
        <w:rPr>
          <w:rFonts w:eastAsia="STZhongsong"/>
          <w:lang w:eastAsia="zh-CN"/>
        </w:rPr>
        <w:t>The Framework Agreement, including any previous Variations, shall remain effective and unaltered except as amended by this Variation.</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spacing w:before="240" w:after="120"/>
        <w:ind w:left="142"/>
        <w:textAlignment w:val="auto"/>
        <w:rPr>
          <w:rFonts w:eastAsia="STZhongsong" w:cs="Times New Roman"/>
          <w:lang w:eastAsia="zh-CN"/>
        </w:rPr>
      </w:pPr>
    </w:p>
    <w:p w:rsidR="00871477" w:rsidRPr="00871477" w:rsidRDefault="00871477" w:rsidP="00871477">
      <w:pPr>
        <w:spacing w:after="120"/>
        <w:ind w:left="34"/>
        <w:rPr>
          <w:bCs/>
        </w:rPr>
      </w:pPr>
      <w:r w:rsidRPr="00871477">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871477" w:rsidRPr="00871477" w:rsidTr="00871477">
        <w:tc>
          <w:tcPr>
            <w:tcW w:w="2210" w:type="dxa"/>
            <w:tcBorders>
              <w:bottom w:val="nil"/>
            </w:tcBorders>
          </w:tcPr>
          <w:p w:rsidR="00871477" w:rsidRPr="00871477" w:rsidRDefault="00871477" w:rsidP="00871477">
            <w:pPr>
              <w:spacing w:after="120"/>
              <w:ind w:left="34"/>
            </w:pPr>
            <w:r w:rsidRPr="00871477">
              <w:t>Signature</w:t>
            </w:r>
          </w:p>
        </w:tc>
        <w:tc>
          <w:tcPr>
            <w:tcW w:w="5940" w:type="dxa"/>
          </w:tcPr>
          <w:p w:rsidR="00871477" w:rsidRPr="00871477" w:rsidRDefault="00871477" w:rsidP="00871477">
            <w:pPr>
              <w:ind w:left="142"/>
            </w:pPr>
          </w:p>
        </w:tc>
      </w:tr>
      <w:tr w:rsidR="00871477" w:rsidRPr="00871477" w:rsidTr="00871477">
        <w:tc>
          <w:tcPr>
            <w:tcW w:w="2210" w:type="dxa"/>
            <w:tcBorders>
              <w:top w:val="nil"/>
              <w:bottom w:val="nil"/>
            </w:tcBorders>
          </w:tcPr>
          <w:p w:rsidR="00871477" w:rsidRPr="00871477" w:rsidRDefault="00871477" w:rsidP="00871477">
            <w:pPr>
              <w:spacing w:after="120"/>
              <w:ind w:left="34"/>
            </w:pPr>
            <w:r w:rsidRPr="00871477">
              <w:t>Date</w:t>
            </w:r>
          </w:p>
        </w:tc>
        <w:tc>
          <w:tcPr>
            <w:tcW w:w="5940" w:type="dxa"/>
          </w:tcPr>
          <w:p w:rsidR="00871477" w:rsidRPr="00871477" w:rsidRDefault="00871477" w:rsidP="00871477">
            <w:pPr>
              <w:ind w:left="142"/>
            </w:pPr>
          </w:p>
        </w:tc>
      </w:tr>
      <w:tr w:rsidR="00871477" w:rsidRPr="00871477" w:rsidTr="00871477">
        <w:tc>
          <w:tcPr>
            <w:tcW w:w="2210" w:type="dxa"/>
            <w:tcBorders>
              <w:top w:val="nil"/>
              <w:bottom w:val="nil"/>
            </w:tcBorders>
          </w:tcPr>
          <w:p w:rsidR="00871477" w:rsidRPr="00871477" w:rsidRDefault="00871477" w:rsidP="00871477">
            <w:pPr>
              <w:spacing w:after="120"/>
              <w:ind w:left="34"/>
            </w:pPr>
            <w:r w:rsidRPr="00871477">
              <w:t>Name (in Capitals)</w:t>
            </w:r>
          </w:p>
        </w:tc>
        <w:tc>
          <w:tcPr>
            <w:tcW w:w="5940" w:type="dxa"/>
          </w:tcPr>
          <w:p w:rsidR="00871477" w:rsidRPr="00871477" w:rsidRDefault="00871477" w:rsidP="00871477">
            <w:pPr>
              <w:ind w:left="142"/>
            </w:pPr>
          </w:p>
        </w:tc>
      </w:tr>
      <w:tr w:rsidR="00871477" w:rsidRPr="00871477" w:rsidTr="00871477">
        <w:tc>
          <w:tcPr>
            <w:tcW w:w="2210" w:type="dxa"/>
            <w:tcBorders>
              <w:top w:val="nil"/>
              <w:bottom w:val="nil"/>
            </w:tcBorders>
          </w:tcPr>
          <w:p w:rsidR="00871477" w:rsidRPr="00871477" w:rsidRDefault="00871477" w:rsidP="00871477">
            <w:pPr>
              <w:spacing w:after="120"/>
              <w:ind w:left="34"/>
            </w:pPr>
            <w:r w:rsidRPr="00871477">
              <w:t>Address</w:t>
            </w:r>
          </w:p>
        </w:tc>
        <w:tc>
          <w:tcPr>
            <w:tcW w:w="5940" w:type="dxa"/>
          </w:tcPr>
          <w:p w:rsidR="00871477" w:rsidRPr="00871477" w:rsidRDefault="00871477" w:rsidP="00871477">
            <w:pPr>
              <w:ind w:left="142"/>
            </w:pPr>
          </w:p>
        </w:tc>
      </w:tr>
      <w:tr w:rsidR="00871477" w:rsidRPr="00871477" w:rsidTr="00871477">
        <w:tc>
          <w:tcPr>
            <w:tcW w:w="2210" w:type="dxa"/>
            <w:tcBorders>
              <w:top w:val="nil"/>
            </w:tcBorders>
          </w:tcPr>
          <w:p w:rsidR="00871477" w:rsidRPr="00871477" w:rsidRDefault="00871477" w:rsidP="00871477">
            <w:pPr>
              <w:ind w:left="142"/>
            </w:pPr>
          </w:p>
        </w:tc>
        <w:tc>
          <w:tcPr>
            <w:tcW w:w="5940" w:type="dxa"/>
          </w:tcPr>
          <w:p w:rsidR="00871477" w:rsidRPr="00871477" w:rsidRDefault="00871477" w:rsidP="00871477">
            <w:pPr>
              <w:ind w:left="142"/>
            </w:pPr>
          </w:p>
        </w:tc>
      </w:tr>
    </w:tbl>
    <w:p w:rsidR="00871477" w:rsidRPr="00871477" w:rsidRDefault="00871477" w:rsidP="00871477">
      <w:pPr>
        <w:spacing w:after="120"/>
        <w:ind w:left="34"/>
      </w:pPr>
      <w:r w:rsidRPr="0087147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871477" w:rsidRPr="00871477" w:rsidTr="00871477">
        <w:tc>
          <w:tcPr>
            <w:tcW w:w="2208" w:type="dxa"/>
            <w:tcBorders>
              <w:bottom w:val="nil"/>
            </w:tcBorders>
          </w:tcPr>
          <w:p w:rsidR="00871477" w:rsidRPr="00871477" w:rsidRDefault="00871477" w:rsidP="00871477">
            <w:pPr>
              <w:spacing w:after="120"/>
              <w:ind w:left="34"/>
            </w:pPr>
            <w:r w:rsidRPr="00871477">
              <w:t>Signature</w:t>
            </w:r>
          </w:p>
        </w:tc>
        <w:tc>
          <w:tcPr>
            <w:tcW w:w="5980" w:type="dxa"/>
          </w:tcPr>
          <w:p w:rsidR="00871477" w:rsidRPr="00871477" w:rsidRDefault="00871477" w:rsidP="00871477">
            <w:pPr>
              <w:ind w:left="142"/>
            </w:pPr>
          </w:p>
        </w:tc>
      </w:tr>
      <w:tr w:rsidR="00871477" w:rsidRPr="00871477" w:rsidTr="00871477">
        <w:tc>
          <w:tcPr>
            <w:tcW w:w="2208" w:type="dxa"/>
            <w:tcBorders>
              <w:top w:val="nil"/>
              <w:bottom w:val="nil"/>
            </w:tcBorders>
          </w:tcPr>
          <w:p w:rsidR="00871477" w:rsidRPr="00871477" w:rsidRDefault="00871477" w:rsidP="00871477">
            <w:pPr>
              <w:spacing w:after="120"/>
              <w:ind w:left="34"/>
            </w:pPr>
            <w:r w:rsidRPr="00871477">
              <w:t>Date</w:t>
            </w:r>
          </w:p>
        </w:tc>
        <w:tc>
          <w:tcPr>
            <w:tcW w:w="5980" w:type="dxa"/>
          </w:tcPr>
          <w:p w:rsidR="00871477" w:rsidRPr="00871477" w:rsidRDefault="00871477" w:rsidP="00871477">
            <w:pPr>
              <w:ind w:left="142"/>
            </w:pPr>
          </w:p>
        </w:tc>
      </w:tr>
      <w:tr w:rsidR="00871477" w:rsidRPr="00871477" w:rsidTr="00871477">
        <w:tc>
          <w:tcPr>
            <w:tcW w:w="2208" w:type="dxa"/>
            <w:tcBorders>
              <w:top w:val="nil"/>
              <w:bottom w:val="nil"/>
            </w:tcBorders>
          </w:tcPr>
          <w:p w:rsidR="00871477" w:rsidRPr="00871477" w:rsidRDefault="00871477" w:rsidP="00871477">
            <w:pPr>
              <w:spacing w:after="120"/>
              <w:ind w:left="34"/>
            </w:pPr>
            <w:r w:rsidRPr="00871477">
              <w:t>Name (in Capitals)</w:t>
            </w:r>
          </w:p>
        </w:tc>
        <w:tc>
          <w:tcPr>
            <w:tcW w:w="5980" w:type="dxa"/>
          </w:tcPr>
          <w:p w:rsidR="00871477" w:rsidRPr="00871477" w:rsidRDefault="00871477" w:rsidP="00871477">
            <w:pPr>
              <w:ind w:left="142"/>
            </w:pPr>
          </w:p>
        </w:tc>
      </w:tr>
      <w:tr w:rsidR="00871477" w:rsidRPr="00871477" w:rsidTr="00871477">
        <w:tc>
          <w:tcPr>
            <w:tcW w:w="2208" w:type="dxa"/>
            <w:tcBorders>
              <w:top w:val="nil"/>
              <w:bottom w:val="nil"/>
            </w:tcBorders>
          </w:tcPr>
          <w:p w:rsidR="00871477" w:rsidRPr="00871477" w:rsidRDefault="00871477" w:rsidP="00871477">
            <w:pPr>
              <w:spacing w:after="120"/>
              <w:ind w:left="34"/>
            </w:pPr>
            <w:r w:rsidRPr="00871477">
              <w:t>Address</w:t>
            </w:r>
          </w:p>
        </w:tc>
        <w:tc>
          <w:tcPr>
            <w:tcW w:w="5980" w:type="dxa"/>
          </w:tcPr>
          <w:p w:rsidR="00871477" w:rsidRPr="00871477" w:rsidRDefault="00871477" w:rsidP="00871477">
            <w:pPr>
              <w:ind w:left="142"/>
            </w:pPr>
          </w:p>
        </w:tc>
      </w:tr>
      <w:tr w:rsidR="00871477" w:rsidRPr="00871477" w:rsidTr="00871477">
        <w:tc>
          <w:tcPr>
            <w:tcW w:w="2208" w:type="dxa"/>
            <w:tcBorders>
              <w:top w:val="nil"/>
            </w:tcBorders>
          </w:tcPr>
          <w:p w:rsidR="00871477" w:rsidRPr="00871477" w:rsidRDefault="00871477" w:rsidP="00871477">
            <w:pPr>
              <w:ind w:left="142"/>
            </w:pPr>
          </w:p>
        </w:tc>
        <w:tc>
          <w:tcPr>
            <w:tcW w:w="5980" w:type="dxa"/>
          </w:tcPr>
          <w:p w:rsidR="00871477" w:rsidRPr="00871477" w:rsidRDefault="00871477" w:rsidP="00871477">
            <w:pPr>
              <w:ind w:left="142"/>
            </w:pPr>
          </w:p>
        </w:tc>
      </w:tr>
    </w:tbl>
    <w:p w:rsidR="00871477" w:rsidRPr="00871477" w:rsidRDefault="00871477" w:rsidP="00871477">
      <w:pPr>
        <w:spacing w:after="0"/>
        <w:rPr>
          <w:color w:val="FFFFFF"/>
          <w:sz w:val="16"/>
          <w:szCs w:val="16"/>
        </w:rPr>
      </w:pP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spacing w:after="0"/>
        <w:rPr>
          <w:color w:val="FFFFFF"/>
          <w:sz w:val="16"/>
          <w:szCs w:val="16"/>
        </w:rPr>
      </w:pPr>
      <w:r w:rsidRPr="00871477">
        <w:rPr>
          <w:color w:val="FFFFFF"/>
          <w:sz w:val="16"/>
          <w:szCs w:val="16"/>
        </w:rPr>
        <w:lastRenderedPageBreak/>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bookmarkStart w:id="102" w:name="_Toc492462956"/>
      <w:r w:rsidRPr="00871477">
        <w:rPr>
          <w:rFonts w:ascii="Arial Bold" w:eastAsia="STZhongsong" w:hAnsi="Arial Bold" w:cs="Times New Roman"/>
          <w:b/>
          <w:caps/>
          <w:lang w:eastAsia="zh-CN"/>
        </w:rPr>
        <w:t>FRAMEWORK SCHEDULE 20: CONDUCT OF CLAIMS</w:t>
      </w:r>
      <w:bookmarkEnd w:id="102"/>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INDEMNITIES</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This Schedule shall apply to the conduct by a Party from whom an indemnity is sought under this  Framework Agreement or any Call Off Contract (the “</w:t>
      </w:r>
      <w:r w:rsidRPr="00871477">
        <w:rPr>
          <w:b/>
          <w:lang w:eastAsia="zh-CN"/>
        </w:rPr>
        <w:t>Indemnifier</w:t>
      </w:r>
      <w:r w:rsidRPr="00871477">
        <w:rPr>
          <w:lang w:eastAsia="zh-CN"/>
        </w:rPr>
        <w:t>”), of claims made by a third person against a party having (or claiming to have) the benefit of the indemnity (the “Beneficiary”).</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If the Beneficiary receives any notice of any claim for which it appears that the Beneficiary is, or may become, entitled to indemnification under this Framework Agreement or any Call Off Contract (a “</w:t>
      </w:r>
      <w:r w:rsidRPr="00871477">
        <w:rPr>
          <w:b/>
          <w:lang w:eastAsia="zh-CN"/>
        </w:rPr>
        <w:t>Claim</w:t>
      </w:r>
      <w:r w:rsidRPr="00871477">
        <w:rPr>
          <w:lang w:eastAsia="zh-CN"/>
        </w:rPr>
        <w:t>”), the Beneficiary shall give notice in writing to the Indemnifier as soon as reasonably practicable and in any event within 10 Working Days of receipt of the same.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 With respect to any Claim conducted by the Indemnifier pursuant to Paragraph 1.3:</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shall keep the Beneficiary fully informed and consult with it about material elements of the conduct of the Claim;</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shall not bring the name of the Beneficiary into disrepute;</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shall not pay or settle such Claim without the prior written consent of the Beneficiary, such consent not to be unreasonably withheld or delayed;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shall conduct the Claim with all due diligence.</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The Beneficiary shall be entitled to have conduct of the Claim and shall be free to pay or settle any Claim on such terms as it thinks fit and without prejudice to its rights and remedies under this Framework Agreement or any Call Off Contract if: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is not entitled to take conduct of the Claim in accordance with Paragraph 1.3;</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Indemnifier fails to comply in any material respect with the provisions of Paragraph 1.4.</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 xml:space="preserve">RECOVERY OF SUMS </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an amount equal to the sum recovered (or the value of the discount, credit, saving, relief, other benefit or amount otherwise obtained) less any out-of-pocket costs and expenses properly incurred by the Beneficiary in recovering or obtaining the same; and</w:t>
      </w:r>
    </w:p>
    <w:p w:rsidR="00871477" w:rsidRPr="00871477" w:rsidRDefault="00871477" w:rsidP="00871477">
      <w:pPr>
        <w:numPr>
          <w:ilvl w:val="2"/>
          <w:numId w:val="8"/>
        </w:numPr>
        <w:tabs>
          <w:tab w:val="left" w:pos="1985"/>
        </w:tabs>
        <w:overflowPunct/>
        <w:autoSpaceDE/>
        <w:autoSpaceDN/>
        <w:spacing w:before="120" w:after="120"/>
        <w:ind w:left="1985" w:hanging="851"/>
        <w:textAlignment w:val="auto"/>
        <w:rPr>
          <w:lang w:eastAsia="zh-CN"/>
        </w:rPr>
      </w:pPr>
      <w:r w:rsidRPr="00871477">
        <w:rPr>
          <w:lang w:eastAsia="zh-CN"/>
        </w:rPr>
        <w:t>the amount paid to the Beneficiary by the Indemnifier in respect of the Claim under the relevant indemnity.</w:t>
      </w: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MITIGATION</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CSL and the Supplier shall at all times take all reasonable steps to minimise and mitigate any loss for which the relevant Party is entitled to bring a claim against the other Party pursuant to the indemnities in this Schedule.</w:t>
      </w:r>
    </w:p>
    <w:p w:rsidR="00871477" w:rsidRPr="00871477" w:rsidRDefault="00871477" w:rsidP="00871477">
      <w:pPr>
        <w:spacing w:after="0"/>
        <w:rPr>
          <w:color w:val="FFFFFF"/>
          <w:sz w:val="16"/>
          <w:szCs w:val="16"/>
        </w:rPr>
      </w:pPr>
      <w:r w:rsidRPr="00871477">
        <w:rPr>
          <w:color w:val="FFFFFF"/>
          <w:sz w:val="16"/>
          <w:szCs w:val="16"/>
        </w:rPr>
        <w:fldChar w:fldCharType="begin"/>
      </w:r>
      <w:r w:rsidRPr="00871477">
        <w:rPr>
          <w:color w:val="FFFFFF"/>
          <w:sz w:val="16"/>
          <w:szCs w:val="16"/>
        </w:rPr>
        <w:instrText>LISTNUM \l 1 \s 0</w:instrText>
      </w:r>
      <w:r w:rsidRPr="00871477">
        <w:rPr>
          <w:color w:val="FFFFFF"/>
          <w:sz w:val="16"/>
          <w:szCs w:val="16"/>
        </w:rPr>
        <w:fldChar w:fldCharType="end"/>
      </w: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103" w:name="_Toc492462957"/>
      <w:r w:rsidRPr="00871477">
        <w:rPr>
          <w:rFonts w:ascii="Arial Bold" w:eastAsia="STZhongsong" w:hAnsi="Arial Bold" w:cs="Times New Roman"/>
          <w:b/>
          <w:caps/>
          <w:lang w:eastAsia="zh-CN"/>
        </w:rPr>
        <w:lastRenderedPageBreak/>
        <w:t>FRAMEWORK SCHEDULE 21: TENDER</w:t>
      </w:r>
      <w:bookmarkEnd w:id="103"/>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p>
    <w:p w:rsidR="00871477" w:rsidRPr="00871477" w:rsidRDefault="00871477" w:rsidP="00871477">
      <w:pPr>
        <w:numPr>
          <w:ilvl w:val="0"/>
          <w:numId w:val="8"/>
        </w:numPr>
        <w:tabs>
          <w:tab w:val="left" w:pos="142"/>
        </w:tabs>
        <w:overflowPunct/>
        <w:autoSpaceDE/>
        <w:autoSpaceDN/>
        <w:spacing w:before="120"/>
        <w:textAlignment w:val="auto"/>
        <w:rPr>
          <w:rFonts w:eastAsia="STZhongsong"/>
          <w:b/>
          <w:caps/>
          <w:lang w:eastAsia="zh-CN"/>
        </w:rPr>
      </w:pPr>
      <w:r w:rsidRPr="00871477">
        <w:rPr>
          <w:rFonts w:eastAsia="STZhongsong"/>
          <w:b/>
          <w:caps/>
          <w:lang w:eastAsia="zh-CN"/>
        </w:rPr>
        <w:t>General</w:t>
      </w:r>
    </w:p>
    <w:p w:rsidR="00351B23" w:rsidRPr="00871477" w:rsidRDefault="00351B23" w:rsidP="00351B23">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 xml:space="preserve">This Framework Schedule 21 sets out a copy of the Supplier’s Tender responses to the </w:t>
      </w:r>
      <w:r>
        <w:rPr>
          <w:lang w:eastAsia="zh-CN"/>
        </w:rPr>
        <w:t>award question AQA2 (a-c) in</w:t>
      </w:r>
      <w:r w:rsidRPr="00871477">
        <w:rPr>
          <w:lang w:eastAsia="zh-CN"/>
        </w:rPr>
        <w:t xml:space="preserve"> accordance with section A of the award questionnaire to the ITT.</w:t>
      </w:r>
    </w:p>
    <w:p w:rsidR="00871477" w:rsidRPr="00871477" w:rsidRDefault="00871477" w:rsidP="00871477">
      <w:pPr>
        <w:numPr>
          <w:ilvl w:val="1"/>
          <w:numId w:val="8"/>
        </w:numPr>
        <w:tabs>
          <w:tab w:val="left" w:pos="709"/>
          <w:tab w:val="left" w:pos="1134"/>
        </w:tabs>
        <w:overflowPunct/>
        <w:autoSpaceDE/>
        <w:autoSpaceDN/>
        <w:spacing w:before="120" w:after="120"/>
        <w:textAlignment w:val="auto"/>
        <w:rPr>
          <w:lang w:eastAsia="zh-CN"/>
        </w:rPr>
      </w:pPr>
      <w:r w:rsidRPr="00871477">
        <w:rPr>
          <w:lang w:eastAsia="zh-CN"/>
        </w:rPr>
        <w:t>Subject to Clauses 1.2.2 and 1.2.3, in addition to any other obligations on the Supplier under this Framework Agreement and any Call Off Contract the Supplier shall provide the Goods and/or Services to CSL in accordance with the Tender.</w:t>
      </w:r>
      <w:r w:rsidRPr="00871477" w:rsidDel="00F24179">
        <w:rPr>
          <w:lang w:eastAsia="zh-CN"/>
        </w:rPr>
        <w:t xml:space="preserve"> </w:t>
      </w:r>
    </w:p>
    <w:p w:rsidR="00871477" w:rsidRDefault="00871477" w:rsidP="00871477">
      <w:pPr>
        <w:jc w:val="center"/>
        <w:rPr>
          <w:rFonts w:ascii="Arial" w:hAnsi="Arial"/>
          <w:sz w:val="20"/>
          <w:szCs w:val="20"/>
          <w:lang w:eastAsia="zh-CN"/>
        </w:rPr>
      </w:pPr>
    </w:p>
    <w:p w:rsidR="00B2672D" w:rsidRPr="00871477" w:rsidRDefault="00B2672D" w:rsidP="00871477">
      <w:pPr>
        <w:jc w:val="center"/>
        <w:rPr>
          <w:rFonts w:ascii="Arial" w:hAnsi="Arial"/>
          <w:sz w:val="20"/>
          <w:szCs w:val="20"/>
          <w:lang w:eastAsia="zh-CN"/>
        </w:rPr>
      </w:pPr>
      <w:r>
        <w:rPr>
          <w:rFonts w:ascii="Arial" w:eastAsia="STZhongsong" w:hAnsi="Arial"/>
          <w:b/>
          <w:color w:val="000000" w:themeColor="text1"/>
          <w:sz w:val="20"/>
          <w:szCs w:val="20"/>
          <w:lang w:eastAsia="zh-CN"/>
        </w:rPr>
        <w:t>&lt;REDACTED&gt;</w:t>
      </w:r>
    </w:p>
    <w:p w:rsidR="00871477" w:rsidRPr="00871477" w:rsidRDefault="00871477" w:rsidP="00871477">
      <w:pPr>
        <w:rPr>
          <w:rFonts w:ascii="Arial" w:hAnsi="Arial"/>
          <w:lang w:eastAsia="zh-CN"/>
        </w:rPr>
      </w:pP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b/>
          <w:caps/>
          <w:lang w:eastAsia="zh-CN"/>
        </w:rPr>
        <w:br w:type="page"/>
      </w:r>
      <w:bookmarkStart w:id="104" w:name="_Toc492462958"/>
      <w:r w:rsidRPr="00871477">
        <w:rPr>
          <w:rFonts w:ascii="Arial Bold" w:eastAsia="STZhongsong" w:hAnsi="Arial Bold" w:cs="Times New Roman"/>
          <w:b/>
          <w:caps/>
          <w:lang w:eastAsia="zh-CN"/>
        </w:rPr>
        <w:lastRenderedPageBreak/>
        <w:t>FRAMEWORK Schedule 22: Transparency reports</w:t>
      </w:r>
      <w:bookmarkEnd w:id="104"/>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p>
    <w:p w:rsidR="00871477" w:rsidRPr="002E5A02" w:rsidRDefault="00871477" w:rsidP="002E5A02">
      <w:pPr>
        <w:pStyle w:val="GPSL1CLAUSEHEADING"/>
        <w:numPr>
          <w:ilvl w:val="0"/>
          <w:numId w:val="37"/>
        </w:numPr>
      </w:pPr>
      <w:bookmarkStart w:id="105" w:name="_Toc492388019"/>
      <w:bookmarkStart w:id="106" w:name="_Toc492392722"/>
      <w:bookmarkStart w:id="107" w:name="_Toc492459371"/>
      <w:bookmarkStart w:id="108" w:name="_Toc492462959"/>
      <w:r w:rsidRPr="002E5A02">
        <w:t>General</w:t>
      </w:r>
      <w:bookmarkEnd w:id="105"/>
      <w:bookmarkEnd w:id="106"/>
      <w:bookmarkEnd w:id="107"/>
      <w:bookmarkEnd w:id="108"/>
    </w:p>
    <w:p w:rsidR="00871477" w:rsidRPr="00871477" w:rsidRDefault="00871477" w:rsidP="00871477">
      <w:pPr>
        <w:numPr>
          <w:ilvl w:val="1"/>
          <w:numId w:val="10"/>
        </w:numPr>
        <w:tabs>
          <w:tab w:val="left" w:pos="567"/>
        </w:tabs>
        <w:overflowPunct/>
        <w:autoSpaceDE/>
        <w:autoSpaceDN/>
        <w:spacing w:before="120" w:after="120"/>
        <w:ind w:left="567" w:hanging="567"/>
        <w:textAlignment w:val="auto"/>
        <w:rPr>
          <w:rFonts w:eastAsia="Calibri"/>
          <w:spacing w:val="-3"/>
          <w:lang w:val="en-US" w:eastAsia="zh-CN"/>
        </w:rPr>
      </w:pPr>
      <w:r w:rsidRPr="00871477">
        <w:rPr>
          <w:rFonts w:eastAsia="Calibri"/>
          <w:spacing w:val="-3"/>
          <w:lang w:val="en-US" w:eastAsia="zh-CN"/>
        </w:rPr>
        <w:t>Within three (3) months of the</w:t>
      </w:r>
      <w:r w:rsidRPr="002E5A02">
        <w:rPr>
          <w:rFonts w:eastAsia="Calibri"/>
          <w:spacing w:val="-3"/>
          <w:lang w:val="en-US" w:eastAsia="zh-CN"/>
        </w:rPr>
        <w:t xml:space="preserve"> Framework Commencement Date or the dat</w:t>
      </w:r>
      <w:r w:rsidR="002E5A02" w:rsidRPr="002E5A02">
        <w:rPr>
          <w:rFonts w:eastAsia="Calibri"/>
          <w:spacing w:val="-3"/>
          <w:lang w:val="en-US" w:eastAsia="zh-CN"/>
        </w:rPr>
        <w:t>e so specified by the Authority</w:t>
      </w:r>
      <w:r w:rsidRPr="00871477">
        <w:rPr>
          <w:rFonts w:eastAsia="Calibri"/>
          <w:spacing w:val="-3"/>
          <w:lang w:val="en-US" w:eastAsia="zh-CN"/>
        </w:rPr>
        <w:t xml:space="preserve"> the Supplier shall submit to the Authority for Approval (such Approval not to be unreasonably withheld or delayed) draft Transparency Reports consistent with the content requirements and format set out in Annex 1 of this Schedule 22 below.</w:t>
      </w:r>
    </w:p>
    <w:p w:rsidR="00871477" w:rsidRPr="00871477" w:rsidRDefault="00871477" w:rsidP="00871477">
      <w:pPr>
        <w:numPr>
          <w:ilvl w:val="1"/>
          <w:numId w:val="10"/>
        </w:numPr>
        <w:tabs>
          <w:tab w:val="left" w:pos="567"/>
        </w:tabs>
        <w:overflowPunct/>
        <w:autoSpaceDE/>
        <w:autoSpaceDN/>
        <w:spacing w:before="120" w:after="120"/>
        <w:ind w:left="567" w:hanging="567"/>
        <w:textAlignment w:val="auto"/>
        <w:rPr>
          <w:rFonts w:eastAsia="Calibri"/>
          <w:spacing w:val="-3"/>
          <w:lang w:val="en-US" w:eastAsia="zh-CN"/>
        </w:rPr>
      </w:pPr>
      <w:r w:rsidRPr="00871477">
        <w:rPr>
          <w:rFonts w:eastAsia="Calibri"/>
          <w:spacing w:val="-3"/>
          <w:lang w:val="en-US" w:eastAsia="zh-CN"/>
        </w:rPr>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 </w:t>
      </w:r>
    </w:p>
    <w:p w:rsidR="00871477" w:rsidRPr="00871477" w:rsidRDefault="00871477" w:rsidP="00871477">
      <w:pPr>
        <w:numPr>
          <w:ilvl w:val="1"/>
          <w:numId w:val="10"/>
        </w:numPr>
        <w:tabs>
          <w:tab w:val="left" w:pos="567"/>
        </w:tabs>
        <w:overflowPunct/>
        <w:autoSpaceDE/>
        <w:autoSpaceDN/>
        <w:spacing w:before="120" w:after="120"/>
        <w:ind w:left="567" w:hanging="567"/>
        <w:textAlignment w:val="auto"/>
        <w:rPr>
          <w:rFonts w:eastAsia="Calibri"/>
          <w:spacing w:val="-3"/>
          <w:lang w:val="en-US" w:eastAsia="zh-CN"/>
        </w:rPr>
      </w:pPr>
      <w:r w:rsidRPr="00871477">
        <w:rPr>
          <w:rFonts w:eastAsia="Calibri"/>
          <w:spacing w:val="-3"/>
          <w:lang w:val="en-US" w:eastAsia="zh-CN"/>
        </w:rPr>
        <w:t>The Supplier shall provide accurate and up-to-date versions of each Transparency Report to the Authority at the frequency referred to in Annex 1 of this Schedule 22 below.</w:t>
      </w:r>
    </w:p>
    <w:p w:rsidR="00871477" w:rsidRPr="00871477" w:rsidRDefault="00871477" w:rsidP="00871477">
      <w:pPr>
        <w:numPr>
          <w:ilvl w:val="1"/>
          <w:numId w:val="10"/>
        </w:numPr>
        <w:tabs>
          <w:tab w:val="left" w:pos="567"/>
        </w:tabs>
        <w:overflowPunct/>
        <w:autoSpaceDE/>
        <w:autoSpaceDN/>
        <w:spacing w:before="120" w:after="120"/>
        <w:ind w:left="567" w:hanging="567"/>
        <w:textAlignment w:val="auto"/>
        <w:rPr>
          <w:rFonts w:eastAsia="Calibri"/>
          <w:spacing w:val="-3"/>
          <w:lang w:val="en-US" w:eastAsia="zh-CN"/>
        </w:rPr>
      </w:pPr>
      <w:r w:rsidRPr="00871477">
        <w:rPr>
          <w:rFonts w:eastAsia="Calibri"/>
          <w:spacing w:val="-3"/>
          <w:lang w:val="en-US" w:eastAsia="zh-CN"/>
        </w:rPr>
        <w:t xml:space="preserve">Any disagreement in connection with the preparation and/or approval of Transparency Reports, other than under paragraph 1.2 above in relation to the contents of a Transparency Report, shall be treated as a Dispute. </w:t>
      </w:r>
    </w:p>
    <w:p w:rsidR="00871477" w:rsidRPr="00871477" w:rsidRDefault="00871477" w:rsidP="00871477">
      <w:pPr>
        <w:numPr>
          <w:ilvl w:val="1"/>
          <w:numId w:val="10"/>
        </w:numPr>
        <w:tabs>
          <w:tab w:val="left" w:pos="567"/>
        </w:tabs>
        <w:overflowPunct/>
        <w:autoSpaceDE/>
        <w:autoSpaceDN/>
        <w:spacing w:before="120" w:after="120"/>
        <w:ind w:left="567" w:hanging="567"/>
        <w:textAlignment w:val="auto"/>
        <w:rPr>
          <w:rFonts w:eastAsia="Calibri"/>
          <w:spacing w:val="-3"/>
          <w:lang w:val="en-US" w:eastAsia="zh-CN"/>
        </w:rPr>
      </w:pPr>
      <w:r w:rsidRPr="00871477">
        <w:rPr>
          <w:rFonts w:eastAsia="Calibri"/>
          <w:spacing w:val="-3"/>
          <w:lang w:val="en-US" w:eastAsia="zh-CN"/>
        </w:rPr>
        <w:t xml:space="preserve">The requirements in this Schedule 22 are in addition to any other reporting requirements set out in this Framework Agreement. </w:t>
      </w:r>
    </w:p>
    <w:p w:rsidR="00871477" w:rsidRPr="00871477" w:rsidRDefault="00871477" w:rsidP="00871477">
      <w:pPr>
        <w:overflowPunct/>
        <w:spacing w:after="0"/>
        <w:jc w:val="left"/>
        <w:textAlignment w:val="auto"/>
        <w:rPr>
          <w:rFonts w:eastAsia="Calibri" w:cs="Trebuchet MS"/>
          <w:b/>
          <w:bCs/>
          <w:color w:val="000000"/>
          <w:lang w:eastAsia="en-GB"/>
        </w:rPr>
      </w:pPr>
    </w:p>
    <w:p w:rsidR="00871477" w:rsidRPr="00871477" w:rsidRDefault="00871477" w:rsidP="00871477">
      <w:pPr>
        <w:overflowPunct/>
        <w:spacing w:after="0"/>
        <w:jc w:val="left"/>
        <w:textAlignment w:val="auto"/>
        <w:rPr>
          <w:rFonts w:eastAsia="Calibri"/>
          <w:color w:val="000000"/>
          <w:lang w:eastAsia="en-GB"/>
        </w:rPr>
      </w:pPr>
      <w:r w:rsidRPr="00871477">
        <w:rPr>
          <w:rFonts w:eastAsia="Calibri"/>
          <w:color w:val="000000"/>
          <w:lang w:eastAsia="en-GB"/>
        </w:rPr>
        <w:br w:type="page"/>
      </w:r>
    </w:p>
    <w:p w:rsidR="00871477" w:rsidRPr="00871477" w:rsidRDefault="00871477" w:rsidP="00871477">
      <w:pPr>
        <w:overflowPunct/>
        <w:spacing w:after="0"/>
        <w:jc w:val="center"/>
        <w:textAlignment w:val="auto"/>
        <w:rPr>
          <w:rFonts w:eastAsia="Calibri"/>
          <w:b/>
          <w:color w:val="000000"/>
          <w:lang w:eastAsia="en-GB"/>
        </w:rPr>
      </w:pPr>
      <w:r w:rsidRPr="00871477">
        <w:rPr>
          <w:rFonts w:eastAsia="Calibri"/>
          <w:b/>
          <w:color w:val="000000"/>
          <w:lang w:eastAsia="en-GB"/>
        </w:rPr>
        <w:lastRenderedPageBreak/>
        <w:t xml:space="preserve">ANNEX 1: LIST OF </w:t>
      </w:r>
      <w:r w:rsidRPr="00871477">
        <w:rPr>
          <w:b/>
        </w:rPr>
        <w:t>TRANSPARENCY</w:t>
      </w:r>
      <w:r w:rsidRPr="00871477">
        <w:rPr>
          <w:rFonts w:eastAsia="Calibri"/>
          <w:b/>
          <w:color w:val="000000"/>
          <w:lang w:eastAsia="en-GB"/>
        </w:rPr>
        <w:t xml:space="preserve"> REPORTS</w:t>
      </w:r>
    </w:p>
    <w:p w:rsidR="00871477" w:rsidRPr="00871477" w:rsidRDefault="00871477" w:rsidP="00871477">
      <w:pPr>
        <w:overflowPunct/>
        <w:spacing w:after="0"/>
        <w:jc w:val="center"/>
        <w:textAlignment w:val="auto"/>
        <w:rPr>
          <w:rFonts w:eastAsia="Calibri"/>
          <w:b/>
          <w:color w:val="000000"/>
          <w:lang w:eastAsia="en-GB"/>
        </w:rPr>
      </w:pPr>
    </w:p>
    <w:p w:rsidR="00871477" w:rsidRPr="00871477" w:rsidRDefault="00871477" w:rsidP="0087147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871477" w:rsidRPr="00871477" w:rsidTr="00871477">
        <w:trPr>
          <w:trHeight w:val="123"/>
        </w:trPr>
        <w:tc>
          <w:tcPr>
            <w:tcW w:w="294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lang w:eastAsia="en-GB"/>
              </w:rPr>
            </w:pPr>
            <w:r w:rsidRPr="00871477">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lang w:eastAsia="en-GB"/>
              </w:rPr>
            </w:pPr>
            <w:r w:rsidRPr="0087147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lang w:eastAsia="en-GB"/>
              </w:rPr>
            </w:pPr>
            <w:r w:rsidRPr="0087147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lang w:eastAsia="en-GB"/>
              </w:rPr>
            </w:pPr>
            <w:r w:rsidRPr="00871477">
              <w:rPr>
                <w:rFonts w:eastAsia="Calibri"/>
                <w:b/>
                <w:bCs/>
                <w:color w:val="000000"/>
                <w:lang w:eastAsia="en-GB"/>
              </w:rPr>
              <w:t xml:space="preserve">Frequency </w:t>
            </w:r>
          </w:p>
        </w:tc>
      </w:tr>
      <w:tr w:rsidR="00871477" w:rsidRPr="00871477" w:rsidTr="00871477">
        <w:trPr>
          <w:trHeight w:val="214"/>
        </w:trPr>
        <w:tc>
          <w:tcPr>
            <w:tcW w:w="294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tabs>
                <w:tab w:val="left" w:pos="3380"/>
              </w:tabs>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[Performance]</w:t>
            </w:r>
            <w:r w:rsidRPr="00871477">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r>
      <w:tr w:rsidR="00871477" w:rsidRPr="00871477" w:rsidTr="00871477">
        <w:trPr>
          <w:trHeight w:val="155"/>
        </w:trPr>
        <w:tc>
          <w:tcPr>
            <w:tcW w:w="294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r>
      <w:tr w:rsidR="00871477" w:rsidRPr="00871477" w:rsidTr="00871477">
        <w:trPr>
          <w:trHeight w:val="155"/>
        </w:trPr>
        <w:tc>
          <w:tcPr>
            <w:tcW w:w="294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r>
      <w:tr w:rsidR="00871477" w:rsidRPr="00871477" w:rsidTr="00871477">
        <w:trPr>
          <w:trHeight w:val="155"/>
        </w:trPr>
        <w:tc>
          <w:tcPr>
            <w:tcW w:w="294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r>
      <w:tr w:rsidR="00871477" w:rsidRPr="00871477" w:rsidTr="00871477">
        <w:trPr>
          <w:trHeight w:val="214"/>
        </w:trPr>
        <w:tc>
          <w:tcPr>
            <w:tcW w:w="294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overflowPunct/>
              <w:spacing w:after="0"/>
              <w:jc w:val="left"/>
              <w:textAlignment w:val="auto"/>
              <w:rPr>
                <w:rFonts w:eastAsia="Calibri"/>
                <w:highlight w:val="green"/>
                <w:lang w:eastAsia="en-GB"/>
              </w:rPr>
            </w:pPr>
          </w:p>
          <w:p w:rsidR="00871477" w:rsidRPr="00871477" w:rsidRDefault="00871477" w:rsidP="00871477">
            <w:pPr>
              <w:overflowPunct/>
              <w:spacing w:after="0"/>
              <w:jc w:val="left"/>
              <w:textAlignment w:val="auto"/>
              <w:rPr>
                <w:rFonts w:eastAsia="Calibri"/>
                <w:color w:val="000000"/>
                <w:highlight w:val="green"/>
                <w:lang w:eastAsia="en-GB"/>
              </w:rPr>
            </w:pPr>
            <w:r w:rsidRPr="00871477">
              <w:rPr>
                <w:rFonts w:eastAsia="Calibri"/>
                <w:color w:val="000000"/>
                <w:highlight w:val="green"/>
                <w:lang w:eastAsia="en-GB"/>
              </w:rPr>
              <w:t>[ ]</w:t>
            </w:r>
          </w:p>
        </w:tc>
      </w:tr>
    </w:tbl>
    <w:p w:rsidR="00871477" w:rsidRPr="00871477" w:rsidRDefault="00871477" w:rsidP="00871477">
      <w:pPr>
        <w:keepNext/>
        <w:overflowPunct/>
        <w:autoSpaceDE/>
        <w:autoSpaceDN/>
        <w:jc w:val="left"/>
        <w:textAlignment w:val="auto"/>
        <w:outlineLvl w:val="0"/>
        <w:rPr>
          <w:rFonts w:eastAsia="STZhongsong" w:cs="Times New Roman"/>
          <w:b/>
          <w:caps/>
          <w:lang w:eastAsia="zh-CN"/>
        </w:rPr>
      </w:pPr>
    </w:p>
    <w:p w:rsidR="00871477" w:rsidRPr="00871477" w:rsidRDefault="00871477" w:rsidP="00871477">
      <w:pPr>
        <w:keepNext/>
        <w:overflowPunct/>
        <w:autoSpaceDE/>
        <w:autoSpaceDN/>
        <w:ind w:firstLine="426"/>
        <w:jc w:val="center"/>
        <w:textAlignment w:val="auto"/>
        <w:outlineLvl w:val="0"/>
        <w:rPr>
          <w:rFonts w:ascii="Arial Bold" w:eastAsia="STZhongsong" w:hAnsi="Arial Bold" w:cs="Times New Roman" w:hint="eastAsia"/>
          <w:b/>
          <w:caps/>
          <w:lang w:eastAsia="zh-CN"/>
        </w:rPr>
      </w:pPr>
      <w:r w:rsidRPr="00871477">
        <w:rPr>
          <w:rFonts w:ascii="Arial Bold" w:eastAsia="STZhongsong" w:hAnsi="Arial Bold" w:cs="Times New Roman"/>
          <w:lang w:eastAsia="zh-CN"/>
        </w:rPr>
        <w:br w:type="page"/>
      </w:r>
      <w:bookmarkStart w:id="109" w:name="_Toc492462960"/>
      <w:r w:rsidRPr="00871477">
        <w:rPr>
          <w:rFonts w:ascii="Arial Bold" w:eastAsia="STZhongsong" w:hAnsi="Arial Bold" w:cs="Times New Roman"/>
          <w:b/>
          <w:caps/>
          <w:lang w:eastAsia="zh-CN"/>
        </w:rPr>
        <w:lastRenderedPageBreak/>
        <w:t>FRAMEWORK Schedule 23: SECURITY MANAGEMENT</w:t>
      </w:r>
      <w:bookmarkEnd w:id="109"/>
    </w:p>
    <w:p w:rsidR="00871477" w:rsidRPr="00871477" w:rsidRDefault="00871477" w:rsidP="00871477">
      <w:pPr>
        <w:keepNext/>
        <w:numPr>
          <w:ilvl w:val="0"/>
          <w:numId w:val="23"/>
        </w:numPr>
        <w:spacing w:before="120" w:after="120"/>
        <w:rPr>
          <w:b/>
          <w:bCs/>
          <w:u w:val="single"/>
        </w:rPr>
      </w:pPr>
      <w:r w:rsidRPr="00871477">
        <w:rPr>
          <w:b/>
          <w:bCs/>
          <w:u w:val="single"/>
        </w:rPr>
        <w:t>DEFINITIONS</w:t>
      </w:r>
    </w:p>
    <w:p w:rsidR="00871477" w:rsidRPr="00871477" w:rsidRDefault="00871477" w:rsidP="00871477">
      <w:pPr>
        <w:spacing w:before="120" w:after="120"/>
        <w:ind w:left="709"/>
      </w:pPr>
      <w:r w:rsidRPr="00871477">
        <w:t>In this Framework Schedule 23,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5560"/>
      </w:tblGrid>
      <w:tr w:rsidR="00871477" w:rsidRPr="00871477" w:rsidTr="00871477">
        <w:tc>
          <w:tcPr>
            <w:tcW w:w="2754" w:type="dxa"/>
          </w:tcPr>
          <w:p w:rsidR="00871477" w:rsidRPr="00871477" w:rsidRDefault="00871477" w:rsidP="00871477">
            <w:pPr>
              <w:spacing w:before="120" w:after="120"/>
              <w:rPr>
                <w:b/>
                <w:bCs/>
              </w:rPr>
            </w:pPr>
            <w:r w:rsidRPr="00871477">
              <w:rPr>
                <w:b/>
                <w:bCs/>
              </w:rPr>
              <w:t>“Baseline Security Implementation Objectives”</w:t>
            </w:r>
          </w:p>
        </w:tc>
        <w:tc>
          <w:tcPr>
            <w:tcW w:w="5553" w:type="dxa"/>
          </w:tcPr>
          <w:p w:rsidR="00871477" w:rsidRPr="00871477" w:rsidRDefault="00871477" w:rsidP="00871477">
            <w:pPr>
              <w:spacing w:before="120" w:after="120"/>
              <w:rPr>
                <w:lang w:eastAsia="fr-FR"/>
              </w:rPr>
            </w:pPr>
            <w:r w:rsidRPr="00871477">
              <w:rPr>
                <w:lang w:eastAsia="fr-FR"/>
              </w:rPr>
              <w:t>Has the meaning set out in Appendix 1 of this Framework Schedule 23.</w:t>
            </w:r>
          </w:p>
        </w:tc>
      </w:tr>
      <w:tr w:rsidR="00871477" w:rsidRPr="00871477" w:rsidTr="00871477">
        <w:tc>
          <w:tcPr>
            <w:tcW w:w="2754" w:type="dxa"/>
          </w:tcPr>
          <w:p w:rsidR="00871477" w:rsidRPr="00871477" w:rsidRDefault="00871477" w:rsidP="00871477">
            <w:pPr>
              <w:spacing w:before="120" w:after="120"/>
            </w:pPr>
            <w:r w:rsidRPr="00871477">
              <w:rPr>
                <w:b/>
                <w:bCs/>
              </w:rPr>
              <w:t>“Breach of Security”</w:t>
            </w:r>
          </w:p>
        </w:tc>
        <w:tc>
          <w:tcPr>
            <w:tcW w:w="5553" w:type="dxa"/>
          </w:tcPr>
          <w:p w:rsidR="00871477" w:rsidRPr="00871477" w:rsidRDefault="00871477" w:rsidP="00871477">
            <w:pPr>
              <w:spacing w:before="120" w:after="120"/>
              <w:rPr>
                <w:lang w:eastAsia="fr-FR"/>
              </w:rPr>
            </w:pPr>
            <w:r w:rsidRPr="00871477">
              <w:rPr>
                <w:lang w:eastAsia="fr-FR"/>
              </w:rPr>
              <w:t>the occurrence of:</w:t>
            </w:r>
          </w:p>
          <w:p w:rsidR="00871477" w:rsidRPr="00871477" w:rsidRDefault="00871477" w:rsidP="00871477">
            <w:pPr>
              <w:widowControl w:val="0"/>
              <w:numPr>
                <w:ilvl w:val="0"/>
                <w:numId w:val="24"/>
              </w:numPr>
              <w:spacing w:before="120" w:after="120"/>
              <w:ind w:left="446" w:hanging="446"/>
              <w:rPr>
                <w:lang w:eastAsia="fr-FR"/>
              </w:rPr>
            </w:pPr>
            <w:r w:rsidRPr="00871477">
              <w:rPr>
                <w:lang w:eastAsia="fr-FR"/>
              </w:rPr>
              <w:t xml:space="preserve">any unauthorised access to or use of the Services, the Authority’s Premises, the Sites, the Information System and/or any information or data (including the Confidential Information and the Authority Data) used by the Supplier or any Sub-Contractor in connection with this Agreement; </w:t>
            </w:r>
          </w:p>
          <w:p w:rsidR="00871477" w:rsidRPr="00871477" w:rsidRDefault="00871477" w:rsidP="00871477">
            <w:pPr>
              <w:widowControl w:val="0"/>
              <w:numPr>
                <w:ilvl w:val="0"/>
                <w:numId w:val="24"/>
              </w:numPr>
              <w:spacing w:before="120" w:after="120"/>
              <w:ind w:left="446" w:hanging="446"/>
              <w:rPr>
                <w:lang w:eastAsia="fr-FR"/>
              </w:rPr>
            </w:pPr>
            <w:r w:rsidRPr="00871477">
              <w:rPr>
                <w:lang w:eastAsia="fr-FR"/>
              </w:rPr>
              <w:t>the loss (physical or otherwise) and/or unauthorised disclosure of any information or data (including the Confidential Information and the Authority Data), including copies of such information or data, used by the Supplier or any Sub-Contractor in connection with this Agreement; and/or</w:t>
            </w:r>
          </w:p>
          <w:p w:rsidR="00871477" w:rsidRPr="00871477" w:rsidRDefault="00871477" w:rsidP="00871477">
            <w:pPr>
              <w:spacing w:before="120" w:after="120"/>
              <w:rPr>
                <w:lang w:eastAsia="en-GB"/>
              </w:rPr>
            </w:pPr>
            <w:r w:rsidRPr="00871477">
              <w:rPr>
                <w:lang w:eastAsia="fr-FR"/>
              </w:rPr>
              <w:t>any part of the Information System ceasing to be compliant with the Certification Requirements;</w:t>
            </w:r>
            <w:r w:rsidRPr="00871477">
              <w:rPr>
                <w:lang w:eastAsia="en-GB"/>
              </w:rPr>
              <w:t xml:space="preserve"> </w:t>
            </w:r>
          </w:p>
          <w:p w:rsidR="00871477" w:rsidRPr="00871477" w:rsidRDefault="00871477" w:rsidP="00871477">
            <w:pPr>
              <w:spacing w:before="120" w:after="120"/>
            </w:pPr>
            <w:r w:rsidRPr="00871477">
              <w:rPr>
                <w:lang w:eastAsia="en-GB"/>
              </w:rPr>
              <w:t xml:space="preserve">in either case as more particularly set out in the security </w:t>
            </w:r>
            <w:r w:rsidRPr="00871477">
              <w:rPr>
                <w:snapToGrid w:val="0"/>
                <w:lang w:val="en-US"/>
              </w:rPr>
              <w:t>requirements in Schedule 2.1 (</w:t>
            </w:r>
            <w:r w:rsidRPr="00871477">
              <w:rPr>
                <w:i/>
                <w:snapToGrid w:val="0"/>
                <w:lang w:val="en-US"/>
              </w:rPr>
              <w:t>Services Description</w:t>
            </w:r>
            <w:r w:rsidRPr="00871477">
              <w:rPr>
                <w:snapToGrid w:val="0"/>
                <w:lang w:val="en-US"/>
              </w:rPr>
              <w:t xml:space="preserve">) and the </w:t>
            </w:r>
            <w:r w:rsidRPr="00871477">
              <w:t>Baseline Security Requirements</w:t>
            </w:r>
            <w:r w:rsidRPr="00871477">
              <w:rPr>
                <w:snapToGrid w:val="0"/>
                <w:lang w:val="en-US"/>
              </w:rPr>
              <w:t>;</w:t>
            </w:r>
          </w:p>
        </w:tc>
      </w:tr>
      <w:tr w:rsidR="00871477" w:rsidRPr="00871477" w:rsidTr="00871477">
        <w:tc>
          <w:tcPr>
            <w:tcW w:w="2754" w:type="dxa"/>
          </w:tcPr>
          <w:p w:rsidR="00871477" w:rsidRPr="00871477" w:rsidRDefault="00871477" w:rsidP="00871477">
            <w:pPr>
              <w:spacing w:before="120" w:after="120"/>
              <w:rPr>
                <w:b/>
                <w:bCs/>
              </w:rPr>
            </w:pPr>
            <w:r w:rsidRPr="00871477">
              <w:rPr>
                <w:b/>
              </w:rPr>
              <w:t>"Certification Requirements"</w:t>
            </w:r>
          </w:p>
        </w:tc>
        <w:tc>
          <w:tcPr>
            <w:tcW w:w="5553" w:type="dxa"/>
          </w:tcPr>
          <w:p w:rsidR="00871477" w:rsidRPr="00871477" w:rsidRDefault="00871477" w:rsidP="00871477">
            <w:pPr>
              <w:spacing w:before="120" w:after="120"/>
            </w:pPr>
            <w:r w:rsidRPr="00871477">
              <w:t>Means the requirements given in paragraph 6 of this Framework Schedule 23</w:t>
            </w:r>
          </w:p>
        </w:tc>
      </w:tr>
      <w:tr w:rsidR="00871477" w:rsidRPr="00871477" w:rsidTr="00871477">
        <w:tc>
          <w:tcPr>
            <w:tcW w:w="2801" w:type="dxa"/>
          </w:tcPr>
          <w:p w:rsidR="00871477" w:rsidRPr="00871477" w:rsidRDefault="00871477" w:rsidP="00871477">
            <w:pPr>
              <w:spacing w:before="120" w:after="120"/>
              <w:rPr>
                <w:b/>
                <w:bCs/>
              </w:rPr>
            </w:pPr>
            <w:r w:rsidRPr="00871477">
              <w:rPr>
                <w:b/>
                <w:bCs/>
              </w:rPr>
              <w:t>“Information System”</w:t>
            </w:r>
          </w:p>
        </w:tc>
        <w:tc>
          <w:tcPr>
            <w:tcW w:w="5732" w:type="dxa"/>
          </w:tcPr>
          <w:p w:rsidR="00871477" w:rsidRPr="00871477" w:rsidRDefault="00871477" w:rsidP="00871477">
            <w:pPr>
              <w:spacing w:before="120" w:after="120"/>
            </w:pPr>
            <w:r w:rsidRPr="00871477">
              <w:t>Has the meaning given in paragraph 3.1 of this Framework Schedule 23</w:t>
            </w:r>
          </w:p>
        </w:tc>
      </w:tr>
      <w:tr w:rsidR="00871477" w:rsidRPr="00871477" w:rsidTr="00871477">
        <w:tc>
          <w:tcPr>
            <w:tcW w:w="2801" w:type="dxa"/>
          </w:tcPr>
          <w:p w:rsidR="00871477" w:rsidRPr="00871477" w:rsidRDefault="00871477" w:rsidP="00871477">
            <w:pPr>
              <w:spacing w:before="120" w:after="120"/>
              <w:rPr>
                <w:b/>
                <w:bCs/>
              </w:rPr>
            </w:pPr>
            <w:r w:rsidRPr="00871477">
              <w:rPr>
                <w:b/>
                <w:bCs/>
              </w:rPr>
              <w:t>“COTS Products”</w:t>
            </w:r>
          </w:p>
        </w:tc>
        <w:tc>
          <w:tcPr>
            <w:tcW w:w="5732" w:type="dxa"/>
          </w:tcPr>
          <w:p w:rsidR="00871477" w:rsidRPr="00871477" w:rsidRDefault="00871477" w:rsidP="00871477">
            <w:pPr>
              <w:spacing w:before="120" w:after="120"/>
            </w:pPr>
            <w:r w:rsidRPr="00871477">
              <w:t>is software that:</w:t>
            </w:r>
          </w:p>
          <w:p w:rsidR="00871477" w:rsidRPr="00871477" w:rsidRDefault="00871477" w:rsidP="00871477">
            <w:pPr>
              <w:numPr>
                <w:ilvl w:val="0"/>
                <w:numId w:val="25"/>
              </w:numPr>
              <w:spacing w:before="120" w:after="120"/>
            </w:pPr>
            <w:r w:rsidRPr="00871477">
              <w:t>the licensor of that software makes generally available commercially prior to the date of this Agreement (whether by way of sale, lease or licence) on standard terms which are not typically negotiated by the licensor save as to price; and</w:t>
            </w:r>
          </w:p>
          <w:p w:rsidR="00871477" w:rsidRPr="00871477" w:rsidRDefault="00871477" w:rsidP="00871477">
            <w:pPr>
              <w:spacing w:before="120" w:after="120"/>
            </w:pPr>
            <w:r w:rsidRPr="00871477">
              <w:t>has a Non-trivial Customer Base</w:t>
            </w:r>
          </w:p>
        </w:tc>
      </w:tr>
      <w:tr w:rsidR="00871477" w:rsidRPr="00871477" w:rsidTr="00871477">
        <w:tc>
          <w:tcPr>
            <w:tcW w:w="2801" w:type="dxa"/>
          </w:tcPr>
          <w:p w:rsidR="00871477" w:rsidRPr="00871477" w:rsidRDefault="00871477" w:rsidP="00871477">
            <w:pPr>
              <w:spacing w:before="120" w:after="120"/>
              <w:rPr>
                <w:b/>
                <w:bCs/>
              </w:rPr>
            </w:pPr>
            <w:r w:rsidRPr="00871477">
              <w:rPr>
                <w:b/>
                <w:bCs/>
              </w:rPr>
              <w:t>“Risk Appetite”</w:t>
            </w:r>
          </w:p>
        </w:tc>
        <w:tc>
          <w:tcPr>
            <w:tcW w:w="5732" w:type="dxa"/>
          </w:tcPr>
          <w:p w:rsidR="00871477" w:rsidRPr="00871477" w:rsidRDefault="00871477" w:rsidP="00871477">
            <w:pPr>
              <w:spacing w:before="120" w:after="120"/>
            </w:pPr>
            <w:r w:rsidRPr="00871477">
              <w:rPr>
                <w:lang w:val="en-US"/>
              </w:rPr>
              <w:t>The security risks the Authority will accept or not accept to achieve the organizational goals</w:t>
            </w:r>
          </w:p>
        </w:tc>
      </w:tr>
      <w:tr w:rsidR="00871477" w:rsidRPr="00871477" w:rsidTr="00871477">
        <w:tc>
          <w:tcPr>
            <w:tcW w:w="2801" w:type="dxa"/>
          </w:tcPr>
          <w:p w:rsidR="00871477" w:rsidRPr="00871477" w:rsidRDefault="00871477" w:rsidP="00871477">
            <w:pPr>
              <w:spacing w:before="120" w:after="120"/>
              <w:rPr>
                <w:b/>
                <w:bCs/>
              </w:rPr>
            </w:pPr>
            <w:r w:rsidRPr="00871477">
              <w:rPr>
                <w:b/>
                <w:bCs/>
              </w:rPr>
              <w:t>“Information Risk Management Approval”</w:t>
            </w:r>
          </w:p>
        </w:tc>
        <w:tc>
          <w:tcPr>
            <w:tcW w:w="5732" w:type="dxa"/>
          </w:tcPr>
          <w:p w:rsidR="00871477" w:rsidRPr="00871477" w:rsidRDefault="00871477" w:rsidP="00871477">
            <w:pPr>
              <w:spacing w:before="120" w:after="120"/>
            </w:pPr>
            <w:r w:rsidRPr="00871477">
              <w:t xml:space="preserve">Is the assessment of any information system by an independent information risk manager/professional which </w:t>
            </w:r>
            <w:r w:rsidRPr="00871477">
              <w:lastRenderedPageBreak/>
              <w:t>results in a statement that the risks to the information system have been appropriately considered and the residual risks reduced to an acceptable level</w:t>
            </w:r>
          </w:p>
        </w:tc>
      </w:tr>
      <w:tr w:rsidR="00871477" w:rsidRPr="00871477" w:rsidTr="00871477">
        <w:tc>
          <w:tcPr>
            <w:tcW w:w="2801" w:type="dxa"/>
          </w:tcPr>
          <w:p w:rsidR="00871477" w:rsidRPr="00871477" w:rsidRDefault="00871477" w:rsidP="00871477">
            <w:pPr>
              <w:spacing w:before="120" w:after="120"/>
              <w:rPr>
                <w:b/>
                <w:bCs/>
              </w:rPr>
            </w:pPr>
            <w:r w:rsidRPr="00871477">
              <w:rPr>
                <w:b/>
                <w:bCs/>
              </w:rPr>
              <w:lastRenderedPageBreak/>
              <w:t>“Risk Management Approval Statement”</w:t>
            </w:r>
          </w:p>
        </w:tc>
        <w:tc>
          <w:tcPr>
            <w:tcW w:w="5732" w:type="dxa"/>
          </w:tcPr>
          <w:p w:rsidR="00871477" w:rsidRPr="00871477" w:rsidRDefault="00871477" w:rsidP="00871477">
            <w:pPr>
              <w:spacing w:before="120" w:after="120"/>
            </w:pPr>
            <w:r w:rsidRPr="00871477">
              <w:t xml:space="preserve">Sets out the information risks associated with using the “THE Information System </w:t>
            </w:r>
          </w:p>
        </w:tc>
      </w:tr>
      <w:tr w:rsidR="00871477" w:rsidRPr="00871477" w:rsidTr="00871477">
        <w:tc>
          <w:tcPr>
            <w:tcW w:w="2801" w:type="dxa"/>
          </w:tcPr>
          <w:p w:rsidR="00871477" w:rsidRPr="00871477" w:rsidRDefault="00871477" w:rsidP="00871477">
            <w:pPr>
              <w:spacing w:before="120" w:after="120"/>
              <w:rPr>
                <w:b/>
                <w:bCs/>
              </w:rPr>
            </w:pPr>
            <w:r w:rsidRPr="00871477">
              <w:rPr>
                <w:b/>
                <w:bCs/>
              </w:rPr>
              <w:t>“Data”</w:t>
            </w:r>
          </w:p>
        </w:tc>
        <w:tc>
          <w:tcPr>
            <w:tcW w:w="5732" w:type="dxa"/>
          </w:tcPr>
          <w:p w:rsidR="00871477" w:rsidRPr="00871477" w:rsidRDefault="00871477" w:rsidP="00871477">
            <w:pPr>
              <w:spacing w:before="120" w:after="120"/>
            </w:pPr>
            <w:r w:rsidRPr="00871477">
              <w:t>All information (including pensions data) provided to the Supplier by the Authority</w:t>
            </w:r>
          </w:p>
        </w:tc>
      </w:tr>
      <w:tr w:rsidR="00871477" w:rsidRPr="00871477" w:rsidTr="00871477">
        <w:tc>
          <w:tcPr>
            <w:tcW w:w="2801" w:type="dxa"/>
          </w:tcPr>
          <w:p w:rsidR="00871477" w:rsidRPr="00871477" w:rsidRDefault="00871477" w:rsidP="00871477">
            <w:pPr>
              <w:spacing w:before="120" w:after="120"/>
              <w:rPr>
                <w:b/>
                <w:bCs/>
              </w:rPr>
            </w:pPr>
            <w:r w:rsidRPr="00871477">
              <w:rPr>
                <w:b/>
                <w:bCs/>
              </w:rPr>
              <w:t>“Security Delivery Outcomes”</w:t>
            </w:r>
          </w:p>
        </w:tc>
        <w:tc>
          <w:tcPr>
            <w:tcW w:w="5732" w:type="dxa"/>
          </w:tcPr>
          <w:p w:rsidR="00871477" w:rsidRPr="00871477" w:rsidRDefault="00871477" w:rsidP="00871477">
            <w:pPr>
              <w:spacing w:before="120" w:after="120"/>
            </w:pPr>
            <w:r w:rsidRPr="00871477">
              <w:t>Has the meaning set out in Appendix 2 of this Framework Schedule 23.</w:t>
            </w:r>
          </w:p>
        </w:tc>
      </w:tr>
      <w:tr w:rsidR="00871477" w:rsidRPr="00871477" w:rsidTr="00871477">
        <w:tc>
          <w:tcPr>
            <w:tcW w:w="2801" w:type="dxa"/>
          </w:tcPr>
          <w:p w:rsidR="00871477" w:rsidRPr="00871477" w:rsidRDefault="00871477" w:rsidP="00871477">
            <w:pPr>
              <w:spacing w:before="120" w:after="120"/>
              <w:rPr>
                <w:b/>
                <w:bCs/>
              </w:rPr>
            </w:pPr>
            <w:r w:rsidRPr="00871477">
              <w:rPr>
                <w:b/>
                <w:bCs/>
              </w:rPr>
              <w:t>“Statement of Information Risk Appetite”</w:t>
            </w:r>
          </w:p>
        </w:tc>
        <w:tc>
          <w:tcPr>
            <w:tcW w:w="5732" w:type="dxa"/>
          </w:tcPr>
          <w:p w:rsidR="00871477" w:rsidRPr="00871477" w:rsidRDefault="00871477" w:rsidP="00871477">
            <w:pPr>
              <w:spacing w:before="120" w:after="120"/>
            </w:pPr>
            <w:r w:rsidRPr="00871477">
              <w:t>Has the meaning given in paragraph 4.1 of this Framework Schedule 23 and Appendix 3.</w:t>
            </w:r>
          </w:p>
        </w:tc>
      </w:tr>
      <w:tr w:rsidR="00871477" w:rsidRPr="00871477" w:rsidTr="00871477">
        <w:tc>
          <w:tcPr>
            <w:tcW w:w="2801" w:type="dxa"/>
          </w:tcPr>
          <w:p w:rsidR="00871477" w:rsidRPr="00871477" w:rsidRDefault="00871477" w:rsidP="00871477">
            <w:pPr>
              <w:spacing w:before="120" w:after="120"/>
              <w:rPr>
                <w:b/>
                <w:bCs/>
              </w:rPr>
            </w:pPr>
            <w:r w:rsidRPr="00871477">
              <w:rPr>
                <w:b/>
                <w:bCs/>
              </w:rPr>
              <w:t>“Risk Management Documentation”</w:t>
            </w:r>
          </w:p>
        </w:tc>
        <w:tc>
          <w:tcPr>
            <w:tcW w:w="5732" w:type="dxa"/>
          </w:tcPr>
          <w:p w:rsidR="00871477" w:rsidRPr="00871477" w:rsidRDefault="00871477" w:rsidP="00871477">
            <w:pPr>
              <w:spacing w:before="120" w:after="120"/>
            </w:pPr>
            <w:r w:rsidRPr="00871477">
              <w:t xml:space="preserve">Has the meaning given in paragraph 5 of this Framework Schedule 23 </w:t>
            </w:r>
          </w:p>
        </w:tc>
      </w:tr>
      <w:tr w:rsidR="00871477" w:rsidRPr="00871477" w:rsidTr="00871477">
        <w:tc>
          <w:tcPr>
            <w:tcW w:w="2801" w:type="dxa"/>
          </w:tcPr>
          <w:p w:rsidR="00871477" w:rsidRPr="00871477" w:rsidRDefault="00871477" w:rsidP="00871477">
            <w:pPr>
              <w:spacing w:before="120" w:after="120"/>
              <w:rPr>
                <w:b/>
                <w:bCs/>
              </w:rPr>
            </w:pPr>
            <w:r w:rsidRPr="00871477">
              <w:rPr>
                <w:b/>
                <w:bCs/>
              </w:rPr>
              <w:t>“Security Management Plan”</w:t>
            </w:r>
          </w:p>
        </w:tc>
        <w:tc>
          <w:tcPr>
            <w:tcW w:w="5732" w:type="dxa"/>
          </w:tcPr>
          <w:p w:rsidR="00871477" w:rsidRPr="00871477" w:rsidRDefault="00871477" w:rsidP="00871477">
            <w:pPr>
              <w:spacing w:before="120" w:after="120"/>
            </w:pPr>
            <w:r w:rsidRPr="00871477">
              <w:t xml:space="preserve">Has the meaning given in paragraph 5.4.1 of this Framework Schedule 23 </w:t>
            </w:r>
          </w:p>
        </w:tc>
      </w:tr>
      <w:tr w:rsidR="00871477" w:rsidRPr="00871477" w:rsidTr="00871477">
        <w:tc>
          <w:tcPr>
            <w:tcW w:w="2801" w:type="dxa"/>
          </w:tcPr>
          <w:p w:rsidR="00871477" w:rsidRPr="00871477" w:rsidRDefault="00871477" w:rsidP="00871477">
            <w:pPr>
              <w:spacing w:before="120" w:after="120"/>
            </w:pPr>
            <w:r w:rsidRPr="00871477">
              <w:rPr>
                <w:bCs/>
              </w:rPr>
              <w:t>"</w:t>
            </w:r>
            <w:r w:rsidRPr="00871477">
              <w:rPr>
                <w:b/>
                <w:bCs/>
              </w:rPr>
              <w:t>Approval Date"</w:t>
            </w:r>
          </w:p>
        </w:tc>
        <w:tc>
          <w:tcPr>
            <w:tcW w:w="5732" w:type="dxa"/>
          </w:tcPr>
          <w:p w:rsidR="00871477" w:rsidRPr="00871477" w:rsidRDefault="00871477" w:rsidP="00871477">
            <w:pPr>
              <w:spacing w:before="120" w:after="120"/>
            </w:pPr>
            <w:r w:rsidRPr="00871477">
              <w:rPr>
                <w:bCs/>
              </w:rPr>
              <w:t>Has the meaning given in paragraph 5.4.1</w:t>
            </w:r>
            <w:r w:rsidRPr="00871477">
              <w:t xml:space="preserve"> </w:t>
            </w:r>
            <w:r w:rsidRPr="00871477">
              <w:rPr>
                <w:bCs/>
              </w:rPr>
              <w:t xml:space="preserve">of this Framework Schedule 23 </w:t>
            </w:r>
          </w:p>
        </w:tc>
      </w:tr>
      <w:tr w:rsidR="00871477" w:rsidRPr="00871477" w:rsidTr="00871477">
        <w:tc>
          <w:tcPr>
            <w:tcW w:w="2754" w:type="dxa"/>
          </w:tcPr>
          <w:p w:rsidR="00871477" w:rsidRPr="00871477" w:rsidRDefault="00871477" w:rsidP="00871477">
            <w:pPr>
              <w:spacing w:before="120" w:after="120"/>
              <w:rPr>
                <w:b/>
                <w:bCs/>
              </w:rPr>
            </w:pPr>
            <w:r w:rsidRPr="00871477">
              <w:rPr>
                <w:b/>
                <w:bCs/>
              </w:rPr>
              <w:t>“IT Health Check”</w:t>
            </w:r>
          </w:p>
        </w:tc>
        <w:tc>
          <w:tcPr>
            <w:tcW w:w="5553" w:type="dxa"/>
          </w:tcPr>
          <w:p w:rsidR="00871477" w:rsidRPr="00871477" w:rsidRDefault="00871477" w:rsidP="00871477">
            <w:pPr>
              <w:spacing w:before="120" w:after="120"/>
            </w:pPr>
            <w:r w:rsidRPr="00871477">
              <w:t xml:space="preserve">has the meaning given paragraph 7.1 of this Framework Schedule 23 </w:t>
            </w:r>
          </w:p>
        </w:tc>
      </w:tr>
      <w:tr w:rsidR="00871477" w:rsidRPr="00871477" w:rsidTr="00871477">
        <w:tc>
          <w:tcPr>
            <w:tcW w:w="2754" w:type="dxa"/>
          </w:tcPr>
          <w:p w:rsidR="00871477" w:rsidRPr="00871477" w:rsidRDefault="00871477" w:rsidP="00871477">
            <w:pPr>
              <w:spacing w:before="120" w:after="120"/>
            </w:pPr>
            <w:r w:rsidRPr="00871477">
              <w:rPr>
                <w:b/>
                <w:bCs/>
              </w:rPr>
              <w:t>“Security Tests”</w:t>
            </w:r>
          </w:p>
        </w:tc>
        <w:tc>
          <w:tcPr>
            <w:tcW w:w="5553" w:type="dxa"/>
          </w:tcPr>
          <w:p w:rsidR="00871477" w:rsidRPr="00871477" w:rsidRDefault="00871477" w:rsidP="00871477">
            <w:pPr>
              <w:spacing w:before="120" w:after="120"/>
            </w:pPr>
            <w:r w:rsidRPr="00871477">
              <w:t xml:space="preserve">has the meaning given paragraph 7.1.4 of this Framework Schedule 23 </w:t>
            </w:r>
          </w:p>
        </w:tc>
      </w:tr>
      <w:tr w:rsidR="00871477" w:rsidRPr="00871477" w:rsidTr="00871477">
        <w:tc>
          <w:tcPr>
            <w:tcW w:w="2754" w:type="dxa"/>
          </w:tcPr>
          <w:p w:rsidR="00871477" w:rsidRPr="00871477" w:rsidRDefault="00871477" w:rsidP="00871477">
            <w:pPr>
              <w:spacing w:before="120" w:after="120"/>
              <w:rPr>
                <w:b/>
                <w:bCs/>
              </w:rPr>
            </w:pPr>
            <w:r w:rsidRPr="00871477">
              <w:rPr>
                <w:b/>
                <w:bCs/>
              </w:rPr>
              <w:t>"Vulnerability Correction Plans"</w:t>
            </w:r>
          </w:p>
        </w:tc>
        <w:tc>
          <w:tcPr>
            <w:tcW w:w="5553" w:type="dxa"/>
          </w:tcPr>
          <w:p w:rsidR="00871477" w:rsidRPr="00871477" w:rsidRDefault="00871477" w:rsidP="00871477">
            <w:pPr>
              <w:spacing w:before="120" w:after="120"/>
            </w:pPr>
            <w:r w:rsidRPr="00871477">
              <w:t xml:space="preserve">has the meaning given paragraph 7.2.2 of this Framework Schedule 23 </w:t>
            </w:r>
          </w:p>
        </w:tc>
      </w:tr>
    </w:tbl>
    <w:p w:rsidR="00871477" w:rsidRPr="00871477" w:rsidRDefault="00871477" w:rsidP="00871477">
      <w:pPr>
        <w:keepNext/>
        <w:numPr>
          <w:ilvl w:val="0"/>
          <w:numId w:val="26"/>
        </w:numPr>
        <w:spacing w:before="120" w:after="120"/>
        <w:rPr>
          <w:b/>
          <w:bCs/>
        </w:rPr>
      </w:pPr>
      <w:r w:rsidRPr="00871477">
        <w:rPr>
          <w:b/>
          <w:bCs/>
        </w:rPr>
        <w:lastRenderedPageBreak/>
        <w:t>Introduction</w:t>
      </w:r>
    </w:p>
    <w:p w:rsidR="00871477" w:rsidRPr="00871477" w:rsidRDefault="00871477" w:rsidP="00871477">
      <w:pPr>
        <w:keepNext/>
        <w:spacing w:before="120" w:after="120"/>
        <w:ind w:left="1429" w:hanging="720"/>
        <w:rPr>
          <w:bCs/>
        </w:rPr>
      </w:pPr>
      <w:r w:rsidRPr="00871477">
        <w:rPr>
          <w:bCs/>
        </w:rPr>
        <w:t>1.1</w:t>
      </w:r>
      <w:r w:rsidRPr="00871477">
        <w:rPr>
          <w:bCs/>
        </w:rPr>
        <w:tab/>
        <w:t>This Framework Schedule 23 sets out the principles of protective security to be applied by the Supplier in performing its obligations under this Framework Agreement and in delivering the Services.</w:t>
      </w:r>
    </w:p>
    <w:p w:rsidR="00871477" w:rsidRPr="00871477" w:rsidRDefault="00871477" w:rsidP="00871477">
      <w:pPr>
        <w:keepNext/>
        <w:spacing w:before="120" w:after="120"/>
        <w:ind w:left="709"/>
        <w:rPr>
          <w:bCs/>
        </w:rPr>
      </w:pPr>
      <w:r w:rsidRPr="00871477">
        <w:rPr>
          <w:bCs/>
        </w:rPr>
        <w:t>1.2</w:t>
      </w:r>
      <w:r w:rsidRPr="00871477">
        <w:rPr>
          <w:bCs/>
        </w:rPr>
        <w:tab/>
        <w:t>This Framework Schedule 23 also sets out:</w:t>
      </w:r>
    </w:p>
    <w:p w:rsidR="00871477" w:rsidRPr="00871477" w:rsidRDefault="00871477" w:rsidP="00871477">
      <w:pPr>
        <w:keepNext/>
        <w:spacing w:before="120" w:after="120"/>
        <w:ind w:left="720"/>
        <w:rPr>
          <w:bCs/>
        </w:rPr>
      </w:pPr>
      <w:r w:rsidRPr="00871477">
        <w:rPr>
          <w:bCs/>
        </w:rPr>
        <w:t>1.2.1</w:t>
      </w:r>
      <w:r w:rsidRPr="00871477">
        <w:rPr>
          <w:bCs/>
        </w:rPr>
        <w:tab/>
        <w:t>the process which shall apply to the Information Risk Management Approval of the Information System;</w:t>
      </w:r>
    </w:p>
    <w:p w:rsidR="00871477" w:rsidRPr="00871477" w:rsidRDefault="00871477" w:rsidP="00871477">
      <w:pPr>
        <w:keepNext/>
        <w:spacing w:before="120" w:after="120"/>
        <w:ind w:left="709"/>
        <w:rPr>
          <w:bCs/>
        </w:rPr>
      </w:pPr>
      <w:r w:rsidRPr="00871477">
        <w:rPr>
          <w:bCs/>
        </w:rPr>
        <w:t>1.2.2</w:t>
      </w:r>
      <w:r w:rsidRPr="00871477">
        <w:rPr>
          <w:bCs/>
        </w:rPr>
        <w:tab/>
        <w:t xml:space="preserve">the requirement for the Supplier to ensure that: </w:t>
      </w:r>
    </w:p>
    <w:p w:rsidR="00871477" w:rsidRPr="00871477" w:rsidRDefault="00871477" w:rsidP="00871477">
      <w:pPr>
        <w:keepNext/>
        <w:spacing w:before="120" w:after="120"/>
        <w:ind w:left="1429" w:firstLine="11"/>
        <w:rPr>
          <w:bCs/>
        </w:rPr>
      </w:pPr>
      <w:r w:rsidRPr="00871477">
        <w:rPr>
          <w:bCs/>
        </w:rPr>
        <w:t>(a)</w:t>
      </w:r>
      <w:r w:rsidRPr="00871477">
        <w:rPr>
          <w:bCs/>
        </w:rPr>
        <w:tab/>
        <w:t>each Sub-Contractor who will Process the Data; and</w:t>
      </w:r>
    </w:p>
    <w:p w:rsidR="00871477" w:rsidRPr="00871477" w:rsidRDefault="00871477" w:rsidP="00871477">
      <w:pPr>
        <w:keepNext/>
        <w:spacing w:before="120" w:after="120"/>
        <w:ind w:left="2149" w:hanging="720"/>
        <w:rPr>
          <w:bCs/>
        </w:rPr>
      </w:pPr>
      <w:r w:rsidRPr="00871477">
        <w:rPr>
          <w:bCs/>
        </w:rPr>
        <w:t>(b)</w:t>
      </w:r>
      <w:r w:rsidRPr="00871477">
        <w:rPr>
          <w:bCs/>
        </w:rPr>
        <w:tab/>
        <w:t>any ICT system which the Supplier or its Sub-Contractors will use to store, process or transmit the Data,</w:t>
      </w:r>
    </w:p>
    <w:p w:rsidR="00871477" w:rsidRPr="00871477" w:rsidRDefault="00871477" w:rsidP="00871477">
      <w:pPr>
        <w:keepNext/>
        <w:spacing w:before="120" w:after="120"/>
        <w:ind w:left="1418" w:firstLine="11"/>
        <w:rPr>
          <w:bCs/>
        </w:rPr>
      </w:pPr>
      <w:r w:rsidRPr="00871477">
        <w:rPr>
          <w:bCs/>
        </w:rPr>
        <w:t xml:space="preserve">it is and continues to be compliant with the Certification Requirements; </w:t>
      </w:r>
    </w:p>
    <w:p w:rsidR="00871477" w:rsidRPr="00871477" w:rsidRDefault="00871477" w:rsidP="00871477">
      <w:pPr>
        <w:keepNext/>
        <w:spacing w:before="120" w:after="120"/>
        <w:ind w:left="1429" w:firstLine="11"/>
        <w:rPr>
          <w:bCs/>
        </w:rPr>
      </w:pPr>
      <w:r w:rsidRPr="00871477">
        <w:rPr>
          <w:bCs/>
        </w:rPr>
        <w:t>(c)</w:t>
      </w:r>
      <w:r w:rsidRPr="00871477">
        <w:rPr>
          <w:bCs/>
        </w:rPr>
        <w:tab/>
        <w:t>the requirements on the Supplier to conduct Security Tests; and</w:t>
      </w:r>
    </w:p>
    <w:p w:rsidR="00871477" w:rsidRPr="00871477" w:rsidRDefault="00871477" w:rsidP="00871477">
      <w:pPr>
        <w:keepNext/>
        <w:spacing w:before="120" w:after="120"/>
        <w:ind w:left="2149" w:hanging="720"/>
        <w:rPr>
          <w:bCs/>
        </w:rPr>
      </w:pPr>
      <w:r w:rsidRPr="00871477">
        <w:rPr>
          <w:bCs/>
        </w:rPr>
        <w:t>(d)</w:t>
      </w:r>
      <w:r w:rsidRPr="00871477">
        <w:rPr>
          <w:bCs/>
        </w:rPr>
        <w:tab/>
        <w:t>each Party's obligations in the event of an actual or attempted Breach of Security.</w:t>
      </w:r>
    </w:p>
    <w:p w:rsidR="00871477" w:rsidRPr="00871477" w:rsidRDefault="00871477" w:rsidP="00871477">
      <w:pPr>
        <w:keepNext/>
        <w:spacing w:before="120" w:after="120"/>
        <w:ind w:left="709"/>
        <w:rPr>
          <w:bCs/>
        </w:rPr>
      </w:pPr>
    </w:p>
    <w:p w:rsidR="00871477" w:rsidRPr="00871477" w:rsidRDefault="00871477" w:rsidP="00871477">
      <w:pPr>
        <w:keepNext/>
        <w:spacing w:before="120" w:after="120"/>
        <w:ind w:left="709"/>
        <w:rPr>
          <w:bCs/>
        </w:rPr>
      </w:pPr>
      <w:r w:rsidRPr="00871477">
        <w:rPr>
          <w:bCs/>
        </w:rPr>
        <w:t>2.</w:t>
      </w:r>
      <w:r w:rsidRPr="00871477">
        <w:rPr>
          <w:bCs/>
        </w:rPr>
        <w:tab/>
      </w:r>
      <w:r w:rsidRPr="00871477">
        <w:rPr>
          <w:b/>
          <w:bCs/>
        </w:rPr>
        <w:t>Principles of Security</w:t>
      </w:r>
    </w:p>
    <w:p w:rsidR="00871477" w:rsidRPr="00871477" w:rsidRDefault="00871477" w:rsidP="00871477">
      <w:pPr>
        <w:keepNext/>
        <w:numPr>
          <w:ilvl w:val="1"/>
          <w:numId w:val="27"/>
        </w:numPr>
        <w:spacing w:before="120" w:after="120"/>
        <w:ind w:left="1440" w:hanging="720"/>
        <w:rPr>
          <w:bCs/>
        </w:rPr>
      </w:pPr>
      <w:r w:rsidRPr="00871477">
        <w:rPr>
          <w:bCs/>
        </w:rPr>
        <w:t xml:space="preserve"> The Supplier shall have a Board level responsibility for proactively managing the information security risk associated with the service.  This responsible Board member shall ensure:</w:t>
      </w:r>
    </w:p>
    <w:p w:rsidR="00871477" w:rsidRPr="00871477" w:rsidRDefault="00871477" w:rsidP="00871477">
      <w:pPr>
        <w:keepNext/>
        <w:numPr>
          <w:ilvl w:val="2"/>
          <w:numId w:val="27"/>
        </w:numPr>
        <w:spacing w:before="120" w:after="120"/>
        <w:rPr>
          <w:bCs/>
        </w:rPr>
      </w:pPr>
      <w:r w:rsidRPr="00871477">
        <w:rPr>
          <w:bCs/>
        </w:rPr>
        <w:t xml:space="preserve">The Authorities security approval is obtained prior to the service processing any HMG data; </w:t>
      </w:r>
    </w:p>
    <w:p w:rsidR="00871477" w:rsidRPr="00871477" w:rsidRDefault="00871477" w:rsidP="00871477">
      <w:pPr>
        <w:keepNext/>
        <w:numPr>
          <w:ilvl w:val="2"/>
          <w:numId w:val="27"/>
        </w:numPr>
        <w:spacing w:before="120" w:after="120"/>
        <w:rPr>
          <w:bCs/>
        </w:rPr>
      </w:pPr>
      <w:r w:rsidRPr="00871477">
        <w:rPr>
          <w:bCs/>
        </w:rPr>
        <w:t xml:space="preserve">The effective delivery of Security controls throughout the period of this Framework Agreement; and </w:t>
      </w:r>
    </w:p>
    <w:p w:rsidR="00871477" w:rsidRPr="00871477" w:rsidRDefault="00871477" w:rsidP="00871477">
      <w:pPr>
        <w:keepNext/>
        <w:numPr>
          <w:ilvl w:val="2"/>
          <w:numId w:val="27"/>
        </w:numPr>
        <w:spacing w:before="120" w:after="120"/>
        <w:rPr>
          <w:bCs/>
        </w:rPr>
      </w:pPr>
      <w:r w:rsidRPr="00871477">
        <w:rPr>
          <w:bCs/>
        </w:rPr>
        <w:t>Any change to the service is subject to a security impact assessment and any which have a major impact upon the service security policy are notified to the Authority.</w:t>
      </w:r>
    </w:p>
    <w:p w:rsidR="00871477" w:rsidRPr="00871477" w:rsidRDefault="00871477" w:rsidP="00871477">
      <w:pPr>
        <w:keepNext/>
        <w:spacing w:before="120" w:after="120"/>
        <w:ind w:left="1429" w:hanging="720"/>
        <w:rPr>
          <w:bCs/>
        </w:rPr>
      </w:pPr>
      <w:r w:rsidRPr="00871477">
        <w:rPr>
          <w:bCs/>
        </w:rPr>
        <w:t>2.2</w:t>
      </w:r>
      <w:r w:rsidRPr="00871477">
        <w:rPr>
          <w:bCs/>
        </w:rPr>
        <w:tab/>
        <w:t xml:space="preserve">Each Party shall provide access to members of its information assurance personnel in accordance with the Security Management Plan to facilitate the design, implementation, operation, management and continual improvement of the Risk Management Documentation and the security of the Information System and </w:t>
      </w:r>
      <w:r w:rsidRPr="00871477">
        <w:rPr>
          <w:bCs/>
        </w:rPr>
        <w:lastRenderedPageBreak/>
        <w:t>otherwise at reasonable times on reasonable notice.  The Security Plan shall address the high level Security Delivery Outcomes defined in Appendix 2.</w:t>
      </w:r>
    </w:p>
    <w:p w:rsidR="00871477" w:rsidRPr="00871477" w:rsidRDefault="00871477" w:rsidP="00871477">
      <w:pPr>
        <w:keepNext/>
        <w:spacing w:before="120" w:after="120"/>
        <w:ind w:left="709"/>
        <w:rPr>
          <w:bCs/>
        </w:rPr>
      </w:pPr>
      <w:r w:rsidRPr="00871477">
        <w:rPr>
          <w:bCs/>
        </w:rPr>
        <w:t>3.</w:t>
      </w:r>
      <w:r w:rsidRPr="00871477">
        <w:rPr>
          <w:bCs/>
        </w:rPr>
        <w:tab/>
      </w:r>
      <w:r w:rsidRPr="00871477">
        <w:rPr>
          <w:b/>
          <w:bCs/>
        </w:rPr>
        <w:t>The Information System</w:t>
      </w:r>
    </w:p>
    <w:p w:rsidR="00871477" w:rsidRPr="00871477" w:rsidRDefault="00871477" w:rsidP="00871477">
      <w:pPr>
        <w:keepNext/>
        <w:spacing w:before="120" w:after="120"/>
        <w:ind w:left="1429" w:hanging="720"/>
        <w:rPr>
          <w:bCs/>
        </w:rPr>
      </w:pPr>
      <w:r w:rsidRPr="00871477">
        <w:rPr>
          <w:bCs/>
        </w:rPr>
        <w:t>3.1</w:t>
      </w:r>
      <w:r w:rsidRPr="00871477">
        <w:rPr>
          <w:bCs/>
        </w:rPr>
        <w:tab/>
        <w:t>The information assets, ICT systems, associated business processes and/or premises which have been agreed between the parties to constitute the system and shall be detailed in a diagram included in the Risk Management Documentation.</w:t>
      </w:r>
    </w:p>
    <w:p w:rsidR="00871477" w:rsidRPr="00871477" w:rsidRDefault="00871477" w:rsidP="00871477">
      <w:pPr>
        <w:keepNext/>
        <w:spacing w:before="120" w:after="120"/>
        <w:ind w:left="1429" w:hanging="720"/>
        <w:rPr>
          <w:bCs/>
        </w:rPr>
      </w:pPr>
      <w:r w:rsidRPr="00871477">
        <w:rPr>
          <w:bCs/>
        </w:rPr>
        <w:t>3.2</w:t>
      </w:r>
      <w:r w:rsidRPr="00871477">
        <w:rPr>
          <w:bCs/>
        </w:rPr>
        <w:tab/>
        <w:t>The Authority may change the scope of the Information System in accordance with the process set out in Clause 19 (Change) of this Framework Agreement.</w:t>
      </w:r>
    </w:p>
    <w:p w:rsidR="00871477" w:rsidRPr="00871477" w:rsidRDefault="00871477" w:rsidP="00871477">
      <w:pPr>
        <w:keepNext/>
        <w:spacing w:before="120" w:after="120"/>
        <w:ind w:left="709"/>
        <w:rPr>
          <w:bCs/>
        </w:rPr>
      </w:pPr>
      <w:r w:rsidRPr="00871477">
        <w:rPr>
          <w:bCs/>
        </w:rPr>
        <w:t>4.</w:t>
      </w:r>
      <w:r w:rsidRPr="00871477">
        <w:rPr>
          <w:bCs/>
        </w:rPr>
        <w:tab/>
      </w:r>
      <w:r w:rsidRPr="00871477">
        <w:rPr>
          <w:b/>
          <w:bCs/>
        </w:rPr>
        <w:t xml:space="preserve">Statement of Information Risk Appetite and Baseline Security Requirements </w:t>
      </w:r>
    </w:p>
    <w:p w:rsidR="00871477" w:rsidRPr="00871477" w:rsidRDefault="00871477" w:rsidP="00871477">
      <w:pPr>
        <w:keepNext/>
        <w:spacing w:before="120" w:after="120"/>
        <w:ind w:left="1429" w:hanging="720"/>
        <w:rPr>
          <w:bCs/>
        </w:rPr>
      </w:pPr>
      <w:r w:rsidRPr="00871477">
        <w:rPr>
          <w:bCs/>
        </w:rPr>
        <w:t>4.1</w:t>
      </w:r>
      <w:r w:rsidRPr="00871477">
        <w:rPr>
          <w:bCs/>
        </w:rPr>
        <w:tab/>
        <w:t xml:space="preserve">The Authority has provided the Supplier with its Statement of Information Risk Appetite for the Information System and the Services (the Statement of Information Risk Appetite – Appendix 3). </w:t>
      </w:r>
    </w:p>
    <w:p w:rsidR="00871477" w:rsidRPr="00871477" w:rsidRDefault="00871477" w:rsidP="00871477">
      <w:pPr>
        <w:keepNext/>
        <w:spacing w:before="120" w:after="120"/>
        <w:ind w:left="1429" w:hanging="720"/>
        <w:rPr>
          <w:bCs/>
        </w:rPr>
      </w:pPr>
      <w:r w:rsidRPr="00871477">
        <w:rPr>
          <w:bCs/>
        </w:rPr>
        <w:t>4.2</w:t>
      </w:r>
      <w:r w:rsidRPr="00871477">
        <w:rPr>
          <w:bCs/>
        </w:rPr>
        <w:tab/>
        <w:t>The Authority's Baseline Security Implementation Objectives in respect of the Information System are set out in Appendix 1.</w:t>
      </w:r>
    </w:p>
    <w:p w:rsidR="00871477" w:rsidRPr="00871477" w:rsidRDefault="00871477" w:rsidP="00871477">
      <w:pPr>
        <w:keepNext/>
        <w:spacing w:before="120" w:after="120"/>
        <w:ind w:left="1429" w:hanging="720"/>
        <w:rPr>
          <w:bCs/>
        </w:rPr>
      </w:pPr>
      <w:r w:rsidRPr="00871477">
        <w:rPr>
          <w:bCs/>
        </w:rPr>
        <w:t>4.3</w:t>
      </w:r>
      <w:r w:rsidRPr="00871477">
        <w:rPr>
          <w:bCs/>
        </w:rPr>
        <w:tab/>
        <w:t>The Statement of Information Risk Appetite and the Baseline Security Implementation Objectives shall inform the Information Risk Management Approval of the Information System.</w:t>
      </w:r>
    </w:p>
    <w:p w:rsidR="00871477" w:rsidRPr="00871477" w:rsidRDefault="00871477" w:rsidP="00871477">
      <w:pPr>
        <w:keepNext/>
        <w:spacing w:before="120" w:after="120"/>
        <w:ind w:left="709"/>
        <w:rPr>
          <w:bCs/>
        </w:rPr>
      </w:pPr>
      <w:r w:rsidRPr="00871477">
        <w:rPr>
          <w:bCs/>
        </w:rPr>
        <w:t>5.</w:t>
      </w:r>
      <w:r w:rsidRPr="00871477">
        <w:rPr>
          <w:bCs/>
        </w:rPr>
        <w:tab/>
      </w:r>
      <w:r w:rsidRPr="00871477">
        <w:rPr>
          <w:b/>
          <w:bCs/>
        </w:rPr>
        <w:t>Information Risk Management Approval of the Information System</w:t>
      </w:r>
    </w:p>
    <w:p w:rsidR="00871477" w:rsidRPr="00871477" w:rsidRDefault="00871477" w:rsidP="00871477">
      <w:pPr>
        <w:keepNext/>
        <w:spacing w:before="120" w:after="120"/>
        <w:ind w:left="1429" w:hanging="720"/>
        <w:rPr>
          <w:bCs/>
        </w:rPr>
      </w:pPr>
      <w:r w:rsidRPr="00871477">
        <w:rPr>
          <w:bCs/>
        </w:rPr>
        <w:t>5.1</w:t>
      </w:r>
      <w:r w:rsidRPr="00871477">
        <w:rPr>
          <w:bCs/>
        </w:rPr>
        <w:tab/>
        <w:t>The Information System shall be subject to Information Risk Management Approval in accordance with this Paragraph 5 and reviewed annually.</w:t>
      </w:r>
    </w:p>
    <w:p w:rsidR="00871477" w:rsidRPr="00871477" w:rsidRDefault="00871477" w:rsidP="00871477">
      <w:pPr>
        <w:keepNext/>
        <w:spacing w:before="120" w:after="120"/>
        <w:ind w:left="1429" w:hanging="720"/>
        <w:rPr>
          <w:bCs/>
        </w:rPr>
      </w:pPr>
      <w:r w:rsidRPr="00871477">
        <w:rPr>
          <w:bCs/>
        </w:rPr>
        <w:t>5.2</w:t>
      </w:r>
      <w:r w:rsidRPr="00871477">
        <w:rPr>
          <w:bCs/>
        </w:rPr>
        <w:tab/>
        <w:t>Information Risk Management Approval of the Information System shall be performed by representatives appointed by the Authority.</w:t>
      </w:r>
    </w:p>
    <w:p w:rsidR="00871477" w:rsidRPr="00871477" w:rsidRDefault="00871477" w:rsidP="00871477">
      <w:pPr>
        <w:keepNext/>
        <w:spacing w:before="120" w:after="120"/>
        <w:ind w:left="1429" w:hanging="720"/>
        <w:rPr>
          <w:bCs/>
        </w:rPr>
      </w:pPr>
      <w:r w:rsidRPr="00871477">
        <w:rPr>
          <w:bCs/>
        </w:rPr>
        <w:t>5.3</w:t>
      </w:r>
      <w:r w:rsidRPr="00871477">
        <w:rPr>
          <w:bCs/>
        </w:rPr>
        <w:tab/>
        <w:t>The Supplier shall prepare risk management documentation (the Risk Management Documentatio</w:t>
      </w:r>
      <w:r w:rsidRPr="00871477">
        <w:rPr>
          <w:b/>
          <w:bCs/>
        </w:rPr>
        <w:t>n</w:t>
      </w:r>
      <w:r w:rsidRPr="00871477">
        <w:rPr>
          <w:bCs/>
        </w:rPr>
        <w:t xml:space="preserve">") for any part of the Information System which is not subject to a </w:t>
      </w:r>
      <w:r w:rsidRPr="00871477">
        <w:rPr>
          <w:bCs/>
        </w:rPr>
        <w:lastRenderedPageBreak/>
        <w:t xml:space="preserve">separate HMG Risk Management Approval process, which shall be subject to approval by the Authority in accordance with this Paragraph 5.  </w:t>
      </w:r>
    </w:p>
    <w:p w:rsidR="00871477" w:rsidRPr="00871477" w:rsidRDefault="00871477" w:rsidP="00871477">
      <w:pPr>
        <w:keepNext/>
        <w:spacing w:before="120" w:after="120"/>
        <w:ind w:left="1429" w:hanging="720"/>
        <w:rPr>
          <w:bCs/>
        </w:rPr>
      </w:pPr>
      <w:r w:rsidRPr="00871477">
        <w:rPr>
          <w:bCs/>
        </w:rPr>
        <w:t>5.4</w:t>
      </w:r>
      <w:r w:rsidRPr="00871477">
        <w:rPr>
          <w:bCs/>
        </w:rPr>
        <w:tab/>
        <w:t>The Risk Management Documentation shall be structured in accordance with the template as agreed with the Authority and include:</w:t>
      </w:r>
    </w:p>
    <w:p w:rsidR="00871477" w:rsidRPr="00871477" w:rsidRDefault="00871477" w:rsidP="00871477">
      <w:pPr>
        <w:keepNext/>
        <w:spacing w:before="120" w:after="120"/>
        <w:ind w:left="1440"/>
        <w:rPr>
          <w:bCs/>
        </w:rPr>
      </w:pPr>
      <w:r w:rsidRPr="00871477">
        <w:rPr>
          <w:bCs/>
        </w:rPr>
        <w:t>5.4.1</w:t>
      </w:r>
      <w:r w:rsidRPr="00871477">
        <w:rPr>
          <w:bCs/>
        </w:rPr>
        <w:tab/>
        <w:t xml:space="preserve">an initial Security Management Plan which shall include: </w:t>
      </w:r>
    </w:p>
    <w:p w:rsidR="00871477" w:rsidRPr="00871477" w:rsidRDefault="00871477" w:rsidP="00871477">
      <w:pPr>
        <w:keepNext/>
        <w:spacing w:before="120" w:after="120"/>
        <w:ind w:left="2160"/>
        <w:rPr>
          <w:bCs/>
        </w:rPr>
      </w:pPr>
      <w:r w:rsidRPr="00871477">
        <w:rPr>
          <w:bCs/>
        </w:rPr>
        <w:t>(a)</w:t>
      </w:r>
      <w:r w:rsidRPr="00871477">
        <w:rPr>
          <w:bCs/>
        </w:rPr>
        <w:tab/>
        <w:t xml:space="preserve">define compliance with the security delivery objective described in Appendix 2. </w:t>
      </w:r>
    </w:p>
    <w:p w:rsidR="00871477" w:rsidRPr="00871477" w:rsidRDefault="00871477" w:rsidP="00871477">
      <w:pPr>
        <w:keepNext/>
        <w:spacing w:before="120" w:after="120"/>
        <w:ind w:left="2160"/>
        <w:rPr>
          <w:bCs/>
        </w:rPr>
      </w:pPr>
      <w:r w:rsidRPr="00871477">
        <w:rPr>
          <w:bCs/>
        </w:rPr>
        <w:t>(b)</w:t>
      </w:r>
      <w:r w:rsidRPr="00871477">
        <w:rPr>
          <w:bCs/>
        </w:rPr>
        <w:tab/>
        <w:t xml:space="preserve">the dates on which each subsequent iteration of the Risk Management Documentation will be delivered to the Authority for review and staged approval; </w:t>
      </w:r>
    </w:p>
    <w:p w:rsidR="00871477" w:rsidRPr="00871477" w:rsidRDefault="00871477" w:rsidP="00871477">
      <w:pPr>
        <w:keepNext/>
        <w:spacing w:before="120" w:after="120"/>
        <w:ind w:left="2160"/>
        <w:rPr>
          <w:bCs/>
        </w:rPr>
      </w:pPr>
      <w:r w:rsidRPr="00871477">
        <w:rPr>
          <w:bCs/>
        </w:rPr>
        <w:t>(c)</w:t>
      </w:r>
      <w:r w:rsidRPr="00871477">
        <w:rPr>
          <w:bCs/>
        </w:rPr>
        <w:tab/>
        <w:t>the date by which the Information System must achieve Risk Management Approval and acceptance of residual risks ("Approval Date");</w:t>
      </w:r>
    </w:p>
    <w:p w:rsidR="00871477" w:rsidRPr="00871477" w:rsidRDefault="00871477" w:rsidP="00871477">
      <w:pPr>
        <w:keepNext/>
        <w:spacing w:before="120" w:after="120"/>
        <w:ind w:left="2160"/>
        <w:rPr>
          <w:bCs/>
        </w:rPr>
      </w:pPr>
      <w:r w:rsidRPr="00871477">
        <w:rPr>
          <w:bCs/>
        </w:rPr>
        <w:t>(d)</w:t>
      </w:r>
      <w:r w:rsidRPr="00871477">
        <w:rPr>
          <w:bCs/>
        </w:rPr>
        <w:tab/>
        <w:t>the tasks, milestones, timescales and any dependencies on the Authority for the security approval of the Information System.</w:t>
      </w:r>
    </w:p>
    <w:p w:rsidR="00871477" w:rsidRPr="00871477" w:rsidRDefault="00871477" w:rsidP="00871477">
      <w:pPr>
        <w:keepNext/>
        <w:spacing w:before="120" w:after="120"/>
        <w:ind w:left="1440"/>
        <w:rPr>
          <w:bCs/>
        </w:rPr>
      </w:pPr>
      <w:r w:rsidRPr="00871477">
        <w:rPr>
          <w:bCs/>
        </w:rPr>
        <w:t>5.4.2</w:t>
      </w:r>
      <w:r w:rsidRPr="00871477">
        <w:rPr>
          <w:bCs/>
        </w:rPr>
        <w:tab/>
        <w:t>evidence that the Supplier and each applicable Sub-Contractor is compliant with the Assurance Requirements.</w:t>
      </w:r>
    </w:p>
    <w:p w:rsidR="00871477" w:rsidRPr="00871477" w:rsidRDefault="00871477" w:rsidP="00871477">
      <w:pPr>
        <w:keepNext/>
        <w:spacing w:before="120" w:after="120"/>
        <w:ind w:left="1429" w:hanging="720"/>
        <w:rPr>
          <w:bCs/>
        </w:rPr>
      </w:pPr>
      <w:r w:rsidRPr="00871477">
        <w:rPr>
          <w:bCs/>
        </w:rPr>
        <w:t>5.5</w:t>
      </w:r>
      <w:r w:rsidRPr="00871477">
        <w:rPr>
          <w:bCs/>
        </w:rPr>
        <w:tab/>
        <w:t>The Authority shall, by the relevant date set out in the Security  Management Plan, issue a Risk Management Approval Statement which will form part of the Risk Management Documentation (“Risk Management Approval Statement ") confirming either:</w:t>
      </w:r>
    </w:p>
    <w:p w:rsidR="00871477" w:rsidRPr="00871477" w:rsidRDefault="00871477" w:rsidP="00871477">
      <w:pPr>
        <w:keepNext/>
        <w:spacing w:before="120" w:after="120"/>
        <w:ind w:left="1440"/>
        <w:rPr>
          <w:bCs/>
        </w:rPr>
      </w:pPr>
      <w:r w:rsidRPr="00871477">
        <w:rPr>
          <w:bCs/>
        </w:rPr>
        <w:t>5.5.1</w:t>
      </w:r>
      <w:r w:rsidRPr="00871477">
        <w:rPr>
          <w:bCs/>
        </w:rPr>
        <w:tab/>
        <w:t>that the Authority is satisfied that the identified risks to the Information System have been adequately and appropriately addressed and that the residual risks are understood and accepted by the Authority.</w:t>
      </w:r>
    </w:p>
    <w:p w:rsidR="00871477" w:rsidRPr="00871477" w:rsidRDefault="00871477" w:rsidP="00871477">
      <w:pPr>
        <w:keepNext/>
        <w:spacing w:before="120" w:after="120"/>
        <w:ind w:left="1440"/>
        <w:rPr>
          <w:bCs/>
        </w:rPr>
      </w:pPr>
      <w:r w:rsidRPr="00871477">
        <w:rPr>
          <w:bCs/>
        </w:rPr>
        <w:t>5.5.2</w:t>
      </w:r>
      <w:r w:rsidRPr="00871477">
        <w:rPr>
          <w:bCs/>
        </w:rPr>
        <w:tab/>
        <w:t xml:space="preserve">the Authority considers that the residual risks to the Information System have not been reduced to a level acceptable by the Authority.  </w:t>
      </w:r>
    </w:p>
    <w:p w:rsidR="00871477" w:rsidRPr="00871477" w:rsidRDefault="00871477" w:rsidP="00871477">
      <w:pPr>
        <w:keepNext/>
        <w:spacing w:before="120" w:after="120"/>
        <w:ind w:left="1429" w:hanging="720"/>
        <w:rPr>
          <w:bCs/>
        </w:rPr>
      </w:pPr>
      <w:r w:rsidRPr="00871477">
        <w:rPr>
          <w:bCs/>
        </w:rPr>
        <w:t>5.6</w:t>
      </w:r>
      <w:r w:rsidRPr="00871477">
        <w:rPr>
          <w:bCs/>
        </w:rPr>
        <w:tab/>
        <w:t>The Supplier acknowledges that it shall not be permitted to use the Information System to receive, store or Process any Data until the Board Level responsible individual has confirmed that all residual risks are being managed.  The Authority shall be notified of any such decision and shall be presented within 20 days of any such decision being made an agreed set of documentation to enable independent assurance that the risk which is being managed is within the Authority’s Risk Appetite.  If the Authority is not content that the risks are within the stated risk appetite the supplier shall be informed in writing and shall take immediate action to put in place additional security controls as directed by the Authority.</w:t>
      </w:r>
    </w:p>
    <w:p w:rsidR="00871477" w:rsidRPr="00871477" w:rsidRDefault="00871477" w:rsidP="00871477">
      <w:pPr>
        <w:keepNext/>
        <w:spacing w:before="120" w:after="120"/>
        <w:ind w:left="1429" w:hanging="720"/>
        <w:rPr>
          <w:bCs/>
        </w:rPr>
      </w:pPr>
      <w:r w:rsidRPr="00871477">
        <w:rPr>
          <w:bCs/>
        </w:rPr>
        <w:t>5.7</w:t>
      </w:r>
      <w:r w:rsidRPr="00871477">
        <w:rPr>
          <w:bCs/>
        </w:rPr>
        <w:tab/>
        <w:t xml:space="preserve">The Supplier shall keep the Information System and the Risk Management Documentation under review and shall update this documentation at least annually and the Supplier shall submit each update to the Information Risk Management Documentation to the Authority for approval as appropriate.   </w:t>
      </w:r>
    </w:p>
    <w:p w:rsidR="00871477" w:rsidRPr="00871477" w:rsidRDefault="00871477" w:rsidP="00871477">
      <w:pPr>
        <w:keepNext/>
        <w:spacing w:before="120" w:after="120"/>
        <w:ind w:left="1429" w:hanging="720"/>
        <w:rPr>
          <w:bCs/>
        </w:rPr>
      </w:pPr>
      <w:r w:rsidRPr="00871477">
        <w:rPr>
          <w:bCs/>
        </w:rPr>
        <w:t>5.8</w:t>
      </w:r>
      <w:r w:rsidRPr="00871477">
        <w:rPr>
          <w:bCs/>
        </w:rPr>
        <w:tab/>
        <w:t xml:space="preserve">The Supplier shall review each request for a Variation against the Information Risk Management Documentation to establish whether the documentation would need to be amended and should an amendment be necessary to the Information Risk </w:t>
      </w:r>
      <w:r w:rsidRPr="00871477">
        <w:rPr>
          <w:bCs/>
        </w:rPr>
        <w:lastRenderedPageBreak/>
        <w:t xml:space="preserve">Management Documentation, the Supplier shall submit the updated document for consideration and approval by the Authority.  </w:t>
      </w:r>
    </w:p>
    <w:p w:rsidR="00871477" w:rsidRPr="00871477" w:rsidRDefault="00871477" w:rsidP="00871477">
      <w:pPr>
        <w:keepNext/>
        <w:spacing w:before="120" w:after="120"/>
        <w:ind w:left="1429" w:hanging="720"/>
        <w:rPr>
          <w:bCs/>
        </w:rPr>
      </w:pPr>
      <w:r w:rsidRPr="00871477">
        <w:rPr>
          <w:bCs/>
        </w:rPr>
        <w:t>5.9</w:t>
      </w:r>
      <w:r w:rsidRPr="00871477">
        <w:rPr>
          <w:bCs/>
        </w:rPr>
        <w:tab/>
        <w:t>The Supplier shall be solely responsible for the costs associated with developing and updating the Information Risk Management Documentation and carrying out any remedial action required by the Authority as part of the Information Risk Management Approval process.</w:t>
      </w:r>
    </w:p>
    <w:p w:rsidR="00871477" w:rsidRPr="00871477" w:rsidRDefault="00871477" w:rsidP="00871477">
      <w:pPr>
        <w:keepNext/>
        <w:spacing w:before="120" w:after="120"/>
        <w:ind w:left="709"/>
        <w:rPr>
          <w:bCs/>
        </w:rPr>
      </w:pPr>
      <w:r w:rsidRPr="00871477">
        <w:rPr>
          <w:bCs/>
        </w:rPr>
        <w:t>6.</w:t>
      </w:r>
      <w:r w:rsidRPr="00871477">
        <w:rPr>
          <w:bCs/>
        </w:rPr>
        <w:tab/>
      </w:r>
      <w:r w:rsidRPr="00871477">
        <w:rPr>
          <w:b/>
          <w:bCs/>
        </w:rPr>
        <w:t>Certification Requirements</w:t>
      </w:r>
      <w:r w:rsidRPr="00871477">
        <w:rPr>
          <w:bCs/>
        </w:rPr>
        <w:t xml:space="preserve"> </w:t>
      </w:r>
    </w:p>
    <w:p w:rsidR="00871477" w:rsidRPr="00871477" w:rsidRDefault="00871477" w:rsidP="00871477">
      <w:pPr>
        <w:keepNext/>
        <w:spacing w:before="120" w:after="120"/>
        <w:ind w:left="1429" w:hanging="720"/>
        <w:rPr>
          <w:bCs/>
        </w:rPr>
      </w:pPr>
      <w:r w:rsidRPr="00871477">
        <w:rPr>
          <w:bCs/>
        </w:rPr>
        <w:t>6.1</w:t>
      </w:r>
      <w:r w:rsidRPr="00871477">
        <w:rPr>
          <w:bCs/>
        </w:rPr>
        <w:tab/>
        <w:t>The Supplier shall ensure at all times during the Framework Period the Services are compliant with Cyber Essentials requirement and shall provide the Authority with a copy of each such Certificate of compliance.  Unless otherwise agreed with the Authority the Supplier shall not be permitted to operate the Information System to receive, store or Process any Authority Data unless such certification is in place.</w:t>
      </w:r>
    </w:p>
    <w:p w:rsidR="00871477" w:rsidRPr="00871477" w:rsidRDefault="00871477" w:rsidP="00871477">
      <w:pPr>
        <w:keepNext/>
        <w:spacing w:before="120" w:after="120"/>
        <w:ind w:left="1429" w:hanging="720"/>
        <w:rPr>
          <w:bCs/>
        </w:rPr>
      </w:pPr>
      <w:r w:rsidRPr="00871477">
        <w:rPr>
          <w:bCs/>
        </w:rPr>
        <w:t>6.2</w:t>
      </w:r>
      <w:r w:rsidRPr="00871477">
        <w:rPr>
          <w:bCs/>
        </w:rPr>
        <w:tab/>
        <w:t xml:space="preserve">The Supplier shall notify the Authority as soon as reasonably practicable and, in any event within 2 Working Days, should it cease to be compliant with the Certification Requirements and, on request from the Authority: </w:t>
      </w:r>
    </w:p>
    <w:p w:rsidR="00871477" w:rsidRPr="00871477" w:rsidRDefault="00871477" w:rsidP="00871477">
      <w:pPr>
        <w:keepNext/>
        <w:spacing w:before="120" w:after="120"/>
        <w:ind w:left="1440"/>
        <w:rPr>
          <w:bCs/>
        </w:rPr>
      </w:pPr>
      <w:r w:rsidRPr="00871477">
        <w:rPr>
          <w:bCs/>
        </w:rPr>
        <w:t>6.2.1</w:t>
      </w:r>
      <w:r w:rsidRPr="00871477">
        <w:rPr>
          <w:bCs/>
        </w:rPr>
        <w:tab/>
        <w:t>immediately ceases using the Data; and</w:t>
      </w:r>
    </w:p>
    <w:p w:rsidR="00871477" w:rsidRPr="00871477" w:rsidRDefault="00871477" w:rsidP="00871477">
      <w:pPr>
        <w:keepNext/>
        <w:spacing w:before="120" w:after="120"/>
        <w:ind w:left="2160" w:hanging="720"/>
        <w:rPr>
          <w:bCs/>
        </w:rPr>
      </w:pPr>
      <w:r w:rsidRPr="00871477">
        <w:rPr>
          <w:bCs/>
        </w:rPr>
        <w:t>6.2.2</w:t>
      </w:r>
      <w:r w:rsidRPr="00871477">
        <w:rPr>
          <w:bCs/>
        </w:rPr>
        <w:tab/>
        <w:t xml:space="preserve">promptly returns, destroys and/or erases the Data in accordance with Baseline Security Requirements. </w:t>
      </w:r>
    </w:p>
    <w:p w:rsidR="00871477" w:rsidRPr="00871477" w:rsidRDefault="00871477" w:rsidP="00871477">
      <w:pPr>
        <w:keepNext/>
        <w:spacing w:before="120" w:after="120"/>
        <w:ind w:left="709"/>
        <w:rPr>
          <w:bCs/>
        </w:rPr>
      </w:pPr>
      <w:r w:rsidRPr="00871477">
        <w:rPr>
          <w:bCs/>
        </w:rPr>
        <w:t>7.</w:t>
      </w:r>
      <w:r w:rsidRPr="00871477">
        <w:rPr>
          <w:bCs/>
        </w:rPr>
        <w:tab/>
      </w:r>
      <w:r w:rsidRPr="00871477">
        <w:rPr>
          <w:b/>
          <w:bCs/>
        </w:rPr>
        <w:t>Security Testing</w:t>
      </w:r>
    </w:p>
    <w:p w:rsidR="00871477" w:rsidRPr="00871477" w:rsidRDefault="00871477" w:rsidP="00871477">
      <w:pPr>
        <w:keepNext/>
        <w:spacing w:before="120" w:after="120"/>
        <w:ind w:left="709"/>
        <w:rPr>
          <w:bCs/>
        </w:rPr>
      </w:pPr>
      <w:r w:rsidRPr="00871477">
        <w:rPr>
          <w:bCs/>
        </w:rPr>
        <w:t>7.1</w:t>
      </w:r>
      <w:r w:rsidRPr="00871477">
        <w:rPr>
          <w:bCs/>
        </w:rPr>
        <w:tab/>
        <w:t xml:space="preserve">The Supplier shall, at its own cost and expense, when it Processing Authority Data: </w:t>
      </w:r>
    </w:p>
    <w:p w:rsidR="00871477" w:rsidRPr="00871477" w:rsidRDefault="00871477" w:rsidP="00871477">
      <w:pPr>
        <w:keepNext/>
        <w:spacing w:before="120" w:after="120"/>
        <w:ind w:left="2138" w:hanging="720"/>
        <w:rPr>
          <w:bCs/>
        </w:rPr>
      </w:pPr>
      <w:r w:rsidRPr="00871477">
        <w:rPr>
          <w:bCs/>
        </w:rPr>
        <w:t>7.1.1</w:t>
      </w:r>
      <w:r w:rsidRPr="00871477">
        <w:rPr>
          <w:bCs/>
        </w:rPr>
        <w:tab/>
        <w:t xml:space="preserve">undertake the security assurance activities as defined in the “Authority’s” Security Assurance Framework to evidence that the risk is within the Authority’s risk tolerance.  The Supplier can propose alternative security testing not defined in the Security Assurance Framework but shall need to demonstrate to the satisfaction of the “Authority’s” security assurance lead </w:t>
      </w:r>
      <w:r w:rsidRPr="00871477">
        <w:rPr>
          <w:bCs/>
        </w:rPr>
        <w:lastRenderedPageBreak/>
        <w:t>that the proposed Security test delivers comparable level of assurance to test defined in the security assurance framework.</w:t>
      </w:r>
    </w:p>
    <w:p w:rsidR="00871477" w:rsidRPr="00871477" w:rsidRDefault="00871477" w:rsidP="00871477">
      <w:pPr>
        <w:keepNext/>
        <w:spacing w:before="120" w:after="120"/>
        <w:ind w:left="2160" w:hanging="720"/>
        <w:rPr>
          <w:bCs/>
        </w:rPr>
      </w:pPr>
      <w:r w:rsidRPr="00871477">
        <w:rPr>
          <w:bCs/>
        </w:rPr>
        <w:t>7.1.2</w:t>
      </w:r>
      <w:r w:rsidRPr="00871477">
        <w:rPr>
          <w:bCs/>
        </w:rPr>
        <w:tab/>
        <w:t>procure a Security Test of the Information System by a NCSC approved member of the CHECK Scheme once every 12 months during the Framework Period unless additional IT Health Checks are required by Paragraph 7.2;</w:t>
      </w:r>
    </w:p>
    <w:p w:rsidR="00871477" w:rsidRPr="00871477" w:rsidRDefault="00871477" w:rsidP="00871477">
      <w:pPr>
        <w:keepNext/>
        <w:spacing w:before="120" w:after="120"/>
        <w:ind w:left="2160" w:hanging="720"/>
        <w:rPr>
          <w:bCs/>
        </w:rPr>
      </w:pPr>
      <w:r w:rsidRPr="00871477">
        <w:rPr>
          <w:bCs/>
        </w:rPr>
        <w:t>7.1. 3</w:t>
      </w:r>
      <w:r w:rsidRPr="00871477">
        <w:rPr>
          <w:bCs/>
        </w:rPr>
        <w:tab/>
        <w:t>commission external vulnerability scanning of the “Information System monthly;</w:t>
      </w:r>
    </w:p>
    <w:p w:rsidR="00871477" w:rsidRPr="00871477" w:rsidRDefault="00871477" w:rsidP="00871477">
      <w:pPr>
        <w:keepNext/>
        <w:spacing w:before="120" w:after="120"/>
        <w:ind w:left="1440"/>
        <w:rPr>
          <w:bCs/>
        </w:rPr>
      </w:pPr>
      <w:r w:rsidRPr="00871477">
        <w:rPr>
          <w:bCs/>
        </w:rPr>
        <w:t>7.1.4</w:t>
      </w:r>
      <w:r w:rsidRPr="00871477">
        <w:rPr>
          <w:bCs/>
        </w:rPr>
        <w:tab/>
        <w:t xml:space="preserve">conduct such other tests as are required by: </w:t>
      </w:r>
    </w:p>
    <w:p w:rsidR="00871477" w:rsidRPr="00871477" w:rsidRDefault="00871477" w:rsidP="00871477">
      <w:pPr>
        <w:keepNext/>
        <w:spacing w:before="120" w:after="120"/>
        <w:ind w:left="2160"/>
        <w:rPr>
          <w:bCs/>
        </w:rPr>
      </w:pPr>
      <w:r w:rsidRPr="00871477">
        <w:rPr>
          <w:bCs/>
        </w:rPr>
        <w:t>(a)</w:t>
      </w:r>
      <w:r w:rsidRPr="00871477">
        <w:rPr>
          <w:bCs/>
        </w:rPr>
        <w:tab/>
        <w:t xml:space="preserve">any Vulnerability Correction Plans; </w:t>
      </w:r>
    </w:p>
    <w:p w:rsidR="00871477" w:rsidRPr="00871477" w:rsidRDefault="00871477" w:rsidP="00871477">
      <w:pPr>
        <w:keepNext/>
        <w:spacing w:before="120" w:after="120"/>
        <w:ind w:left="2160"/>
        <w:rPr>
          <w:bCs/>
        </w:rPr>
      </w:pPr>
      <w:r w:rsidRPr="00871477">
        <w:rPr>
          <w:bCs/>
        </w:rPr>
        <w:t>(b)</w:t>
      </w:r>
      <w:r w:rsidRPr="00871477">
        <w:rPr>
          <w:bCs/>
        </w:rPr>
        <w:tab/>
        <w:t>the Information Risk Management Documentation; and</w:t>
      </w:r>
    </w:p>
    <w:p w:rsidR="00871477" w:rsidRPr="00871477" w:rsidRDefault="00871477" w:rsidP="00871477">
      <w:pPr>
        <w:keepNext/>
        <w:spacing w:before="120" w:after="120"/>
        <w:ind w:left="2160"/>
        <w:rPr>
          <w:bCs/>
        </w:rPr>
      </w:pPr>
      <w:r w:rsidRPr="00871477">
        <w:rPr>
          <w:bCs/>
        </w:rPr>
        <w:t>(c)</w:t>
      </w:r>
      <w:r w:rsidRPr="00871477">
        <w:rPr>
          <w:bCs/>
        </w:rPr>
        <w:tab/>
        <w:t>the Authority following a Breach of Security or a significant change to the components or architecture of the Information System, (each a "Security Test").</w:t>
      </w:r>
    </w:p>
    <w:p w:rsidR="00871477" w:rsidRPr="00871477" w:rsidRDefault="00871477" w:rsidP="00871477">
      <w:pPr>
        <w:keepNext/>
        <w:spacing w:before="120" w:after="120"/>
        <w:ind w:left="1429" w:hanging="720"/>
        <w:rPr>
          <w:bCs/>
        </w:rPr>
      </w:pPr>
      <w:r w:rsidRPr="00871477">
        <w:rPr>
          <w:bCs/>
        </w:rPr>
        <w:t>7.2</w:t>
      </w:r>
      <w:r w:rsidRPr="00871477">
        <w:rPr>
          <w:bCs/>
        </w:rPr>
        <w:tab/>
        <w:t xml:space="preserve">In relation to each Security Test, the Supplier shall promptly, following receipt of each Security Test report: </w:t>
      </w:r>
    </w:p>
    <w:p w:rsidR="00871477" w:rsidRPr="00871477" w:rsidRDefault="00871477" w:rsidP="00871477">
      <w:pPr>
        <w:keepNext/>
        <w:spacing w:before="120" w:after="120"/>
        <w:ind w:left="1418"/>
        <w:rPr>
          <w:bCs/>
        </w:rPr>
      </w:pPr>
      <w:r w:rsidRPr="00871477">
        <w:rPr>
          <w:bCs/>
        </w:rPr>
        <w:t>7.2.1</w:t>
      </w:r>
      <w:r w:rsidRPr="00871477">
        <w:rPr>
          <w:bCs/>
        </w:rPr>
        <w:tab/>
        <w:t>provide the Authority with a copy of the Security Test report;</w:t>
      </w:r>
    </w:p>
    <w:p w:rsidR="00871477" w:rsidRPr="00871477" w:rsidRDefault="00871477" w:rsidP="00871477">
      <w:pPr>
        <w:keepNext/>
        <w:spacing w:before="120" w:after="120"/>
        <w:ind w:left="2138" w:hanging="720"/>
        <w:rPr>
          <w:bCs/>
        </w:rPr>
      </w:pPr>
      <w:r w:rsidRPr="00871477">
        <w:rPr>
          <w:bCs/>
        </w:rPr>
        <w:t>7.2.2</w:t>
      </w:r>
      <w:r w:rsidRPr="00871477">
        <w:rPr>
          <w:bCs/>
        </w:rPr>
        <w:tab/>
        <w:t>in the event that the Security Test identifies any issues, the Supplier shall</w:t>
      </w:r>
      <w:r w:rsidRPr="00871477">
        <w:rPr>
          <w:bCs/>
        </w:rPr>
        <w:tab/>
        <w:t xml:space="preserve">define a remedial plan by the Authority (each a "Vulnerability Correction Plan") which sets out in respect of each issue identified in the Security Test report: </w:t>
      </w:r>
    </w:p>
    <w:p w:rsidR="00871477" w:rsidRPr="00871477" w:rsidRDefault="00871477" w:rsidP="00871477">
      <w:pPr>
        <w:keepNext/>
        <w:spacing w:before="120" w:after="120"/>
        <w:ind w:left="1429" w:hanging="720"/>
        <w:rPr>
          <w:bCs/>
        </w:rPr>
      </w:pPr>
      <w:r w:rsidRPr="00871477">
        <w:rPr>
          <w:bCs/>
        </w:rPr>
        <w:t>7.3</w:t>
      </w:r>
      <w:r w:rsidRPr="00871477">
        <w:rPr>
          <w:bCs/>
        </w:rPr>
        <w:tab/>
        <w:t xml:space="preserve">The Security Tests shall be designed and implemented by the Supplier so as to minimise the impact on the delivery of the Services and the date, timing, content and conduct of such Security Tests shall be agreed in advance with the Authority.  Subject to compliance by the Supplier with the foregoing requirements, if any Security Tests adversely affect the Supplier’s ability to deliver the Services so as to meet the Service Levels, the Supplier shall be granted relief against any resultant under-performance for the period of the Security Tests. </w:t>
      </w:r>
    </w:p>
    <w:p w:rsidR="00871477" w:rsidRPr="00871477" w:rsidRDefault="00871477" w:rsidP="00871477">
      <w:pPr>
        <w:keepNext/>
        <w:spacing w:before="120" w:after="120"/>
        <w:ind w:left="1429" w:hanging="720"/>
        <w:rPr>
          <w:bCs/>
        </w:rPr>
      </w:pPr>
      <w:r w:rsidRPr="00871477">
        <w:rPr>
          <w:bCs/>
        </w:rPr>
        <w:t>7.4</w:t>
      </w:r>
      <w:r w:rsidRPr="00871477">
        <w:rPr>
          <w:bCs/>
        </w:rPr>
        <w:tab/>
        <w:t xml:space="preserve">Without prejudice to any other right of audit or access granted to the Authority pursuant to this Agreement, the Authority and/or its authorised representatives shall be entitled, at any time and without giving notice to the Supplier, to carry out such tests (including security tests by CHECK certified company) as it may deem necessary in relation to the Service, the Information System and/or the Supplier's compliance with the Information Risk Management Documentation.  The Authority shall take reasonable steps to notify the Supplier prior to carrying out such Security Tests to the extent that it is reasonably practicable for it to do so taking into account the nature of the Security Test. </w:t>
      </w:r>
    </w:p>
    <w:p w:rsidR="00871477" w:rsidRPr="00871477" w:rsidRDefault="00871477" w:rsidP="00871477">
      <w:pPr>
        <w:keepNext/>
        <w:spacing w:before="120" w:after="120"/>
        <w:ind w:left="1429" w:hanging="720"/>
        <w:rPr>
          <w:bCs/>
        </w:rPr>
      </w:pPr>
      <w:r w:rsidRPr="00871477">
        <w:rPr>
          <w:bCs/>
        </w:rPr>
        <w:t>7.5</w:t>
      </w:r>
      <w:r w:rsidRPr="00871477">
        <w:rPr>
          <w:bCs/>
        </w:rPr>
        <w:tab/>
        <w:t xml:space="preserve">The Authority shall notify the Supplier of the results of such Security Tests after completion of each such test.  </w:t>
      </w:r>
    </w:p>
    <w:p w:rsidR="00871477" w:rsidRPr="00871477" w:rsidRDefault="00871477" w:rsidP="00871477">
      <w:pPr>
        <w:keepNext/>
        <w:spacing w:before="120" w:after="120"/>
        <w:ind w:left="1429" w:hanging="720"/>
        <w:rPr>
          <w:bCs/>
        </w:rPr>
      </w:pPr>
      <w:r w:rsidRPr="00871477">
        <w:rPr>
          <w:bCs/>
        </w:rPr>
        <w:t>7.6</w:t>
      </w:r>
      <w:r w:rsidRPr="00871477">
        <w:rPr>
          <w:bCs/>
        </w:rPr>
        <w:tab/>
        <w:t xml:space="preserve">The Security Tests shall be designed and implemented so as to minimise their impact on the delivery of the Services.  If such Security Tests adversely affect the Supplier's ability to deliver the Services so as to meet the Service Levels, the Supplier shall be granted relief against any resultant under-performance to the extent directly arising </w:t>
      </w:r>
      <w:r w:rsidRPr="00871477">
        <w:rPr>
          <w:bCs/>
        </w:rPr>
        <w:lastRenderedPageBreak/>
        <w:t>as a result of the Authority and/or its authorised representatives carrying out such Security Tests.</w:t>
      </w:r>
    </w:p>
    <w:p w:rsidR="00871477" w:rsidRPr="00871477" w:rsidRDefault="00871477" w:rsidP="00871477">
      <w:pPr>
        <w:keepNext/>
        <w:numPr>
          <w:ilvl w:val="1"/>
          <w:numId w:val="28"/>
        </w:numPr>
        <w:overflowPunct/>
        <w:autoSpaceDE/>
        <w:autoSpaceDN/>
        <w:adjustRightInd/>
        <w:spacing w:before="120" w:after="120" w:line="259" w:lineRule="auto"/>
        <w:ind w:left="1429" w:hanging="720"/>
        <w:contextualSpacing/>
        <w:jc w:val="left"/>
        <w:textAlignment w:val="auto"/>
        <w:rPr>
          <w:rFonts w:eastAsia="Calibri" w:cs="Times New Roman"/>
          <w:bCs/>
        </w:rPr>
      </w:pPr>
      <w:r w:rsidRPr="00871477">
        <w:rPr>
          <w:rFonts w:eastAsia="Calibri" w:cs="Times New Roman"/>
          <w:bCs/>
        </w:rPr>
        <w:t xml:space="preserve">Without prejudice to the provisions of Paragraph 7.2.2, where any Security Test carried out pursuant to this Paragraph 7 reveals any actual or potential Breach of Security or weaknesses (including un-patched vulnerabilities, poor configuration and/or incorrect system management), the Supplier shall promptly notify the Authority of any changes to the Information System and/or the Information Risk Management Documentation (and the implementation thereof) which the Supplier proposes to make in order to correct such failure or weakness.  </w:t>
      </w:r>
    </w:p>
    <w:p w:rsidR="00871477" w:rsidRPr="00871477" w:rsidRDefault="00871477" w:rsidP="00871477">
      <w:pPr>
        <w:keepNext/>
        <w:overflowPunct/>
        <w:autoSpaceDE/>
        <w:autoSpaceDN/>
        <w:adjustRightInd/>
        <w:spacing w:before="120" w:after="120" w:line="259" w:lineRule="auto"/>
        <w:ind w:left="1429"/>
        <w:contextualSpacing/>
        <w:jc w:val="left"/>
        <w:textAlignment w:val="auto"/>
        <w:rPr>
          <w:rFonts w:eastAsia="Calibri" w:cs="Times New Roman"/>
          <w:bCs/>
        </w:rPr>
      </w:pPr>
    </w:p>
    <w:p w:rsidR="00871477" w:rsidRPr="00871477" w:rsidRDefault="00871477" w:rsidP="00871477">
      <w:pPr>
        <w:keepNext/>
        <w:numPr>
          <w:ilvl w:val="1"/>
          <w:numId w:val="28"/>
        </w:numPr>
        <w:overflowPunct/>
        <w:autoSpaceDE/>
        <w:autoSpaceDN/>
        <w:adjustRightInd/>
        <w:spacing w:before="120" w:after="120" w:line="259" w:lineRule="auto"/>
        <w:ind w:left="1429" w:hanging="720"/>
        <w:contextualSpacing/>
        <w:jc w:val="left"/>
        <w:textAlignment w:val="auto"/>
        <w:rPr>
          <w:rFonts w:eastAsia="Calibri" w:cs="Times New Roman"/>
          <w:bCs/>
        </w:rPr>
      </w:pPr>
      <w:r w:rsidRPr="00871477">
        <w:rPr>
          <w:bCs/>
        </w:rPr>
        <w:t xml:space="preserve">Where the Supplier shall implement such changes to the Information System and/or the Information Risk Management Documentation and repeat the relevant Security </w:t>
      </w:r>
      <w:r w:rsidRPr="00871477">
        <w:rPr>
          <w:bCs/>
        </w:rPr>
        <w:lastRenderedPageBreak/>
        <w:t xml:space="preserve">Tests in accordance with the timetable agreed with the Authority or, otherwise, as soon as reasonably possible.  </w:t>
      </w:r>
    </w:p>
    <w:p w:rsidR="00871477" w:rsidRPr="00871477" w:rsidRDefault="00871477" w:rsidP="00871477">
      <w:pPr>
        <w:keepNext/>
        <w:spacing w:before="120" w:after="120"/>
        <w:ind w:left="1429" w:hanging="720"/>
        <w:rPr>
          <w:bCs/>
        </w:rPr>
      </w:pPr>
      <w:r w:rsidRPr="00871477">
        <w:rPr>
          <w:bCs/>
        </w:rPr>
        <w:t>7.9</w:t>
      </w:r>
      <w:r w:rsidRPr="00871477">
        <w:rPr>
          <w:bCs/>
        </w:rPr>
        <w:tab/>
        <w:t>For the avoidance of doubt, where a change to the Information System and/or the Information Risk Management Documentation is required to remedy non-compliance with</w:t>
      </w:r>
      <w:r w:rsidRPr="00871477">
        <w:t xml:space="preserve"> the </w:t>
      </w:r>
      <w:r w:rsidRPr="00871477">
        <w:rPr>
          <w:bCs/>
        </w:rPr>
        <w:t xml:space="preserve">Information Risk Management Documentation, the </w:t>
      </w:r>
    </w:p>
    <w:p w:rsidR="00871477" w:rsidRPr="00871477" w:rsidRDefault="00871477" w:rsidP="00871477">
      <w:pPr>
        <w:keepNext/>
        <w:spacing w:before="120" w:after="120"/>
        <w:ind w:left="1429"/>
        <w:rPr>
          <w:bCs/>
        </w:rPr>
      </w:pPr>
      <w:r w:rsidRPr="00871477">
        <w:rPr>
          <w:bCs/>
        </w:rPr>
        <w:t xml:space="preserve">Baseline Security Requirements and/or any obligation in this Agreement, the Supplier shall effect such change at its own cost and expense.  </w:t>
      </w:r>
    </w:p>
    <w:p w:rsidR="00871477" w:rsidRPr="00871477" w:rsidRDefault="00871477" w:rsidP="00871477">
      <w:pPr>
        <w:keepNext/>
        <w:spacing w:before="120" w:after="120"/>
        <w:ind w:left="1429" w:hanging="720"/>
        <w:rPr>
          <w:bCs/>
        </w:rPr>
      </w:pPr>
      <w:r w:rsidRPr="00871477">
        <w:rPr>
          <w:bCs/>
        </w:rPr>
        <w:t>7.10</w:t>
      </w:r>
      <w:r w:rsidRPr="00871477">
        <w:rPr>
          <w:bCs/>
        </w:rPr>
        <w:tab/>
        <w:t>If any repeat Security Test carried out pursuant to Paragraph 7.7 reveals an actual or potential Breach of Security or weakness exploiting the same root cause failure, such circumstance shall constitute a material Default.</w:t>
      </w:r>
    </w:p>
    <w:p w:rsidR="00871477" w:rsidRPr="00871477" w:rsidRDefault="00871477" w:rsidP="00871477">
      <w:pPr>
        <w:keepNext/>
        <w:spacing w:before="120" w:after="120"/>
        <w:ind w:left="1429" w:hanging="720"/>
        <w:rPr>
          <w:bCs/>
        </w:rPr>
      </w:pPr>
      <w:r w:rsidRPr="00871477">
        <w:rPr>
          <w:bCs/>
        </w:rPr>
        <w:t>7.11</w:t>
      </w:r>
      <w:r w:rsidRPr="00871477">
        <w:rPr>
          <w:bCs/>
        </w:rPr>
        <w:tab/>
        <w:t>On each anniversary of the Framework Commencement Date, the Supplier shall provide to the Authority a letter from its chief executive officer (or equivalent officer) confirming that having made due and careful enquiry:</w:t>
      </w:r>
    </w:p>
    <w:p w:rsidR="00871477" w:rsidRPr="00871477" w:rsidRDefault="00871477" w:rsidP="00871477">
      <w:pPr>
        <w:keepNext/>
        <w:spacing w:before="120" w:after="120"/>
        <w:ind w:left="2138" w:hanging="720"/>
        <w:rPr>
          <w:bCs/>
        </w:rPr>
      </w:pPr>
      <w:r w:rsidRPr="00871477">
        <w:rPr>
          <w:bCs/>
        </w:rPr>
        <w:t>7.11.1</w:t>
      </w:r>
      <w:r w:rsidRPr="00871477">
        <w:rPr>
          <w:bCs/>
        </w:rPr>
        <w:tab/>
        <w:t>the Supplier has in the previous year carried out all tests and has in place all procedures required in relation to security matters under this Framework Agreement; and</w:t>
      </w:r>
    </w:p>
    <w:p w:rsidR="00871477" w:rsidRPr="00871477" w:rsidRDefault="00871477" w:rsidP="00871477">
      <w:pPr>
        <w:keepNext/>
        <w:spacing w:before="120" w:after="120"/>
        <w:ind w:left="2138" w:hanging="720"/>
        <w:rPr>
          <w:bCs/>
        </w:rPr>
      </w:pPr>
      <w:r w:rsidRPr="00871477">
        <w:rPr>
          <w:bCs/>
        </w:rPr>
        <w:t>7.11.2</w:t>
      </w:r>
      <w:r w:rsidRPr="00871477">
        <w:rPr>
          <w:bCs/>
        </w:rPr>
        <w:tab/>
        <w:t>the Supplier is confident that its security and risk mitigation procedures with respect to the Services remain effective.</w:t>
      </w:r>
    </w:p>
    <w:p w:rsidR="00871477" w:rsidRPr="00871477" w:rsidRDefault="00871477" w:rsidP="00871477">
      <w:pPr>
        <w:keepNext/>
        <w:spacing w:before="120" w:after="120"/>
        <w:ind w:left="709"/>
        <w:rPr>
          <w:bCs/>
        </w:rPr>
      </w:pPr>
      <w:r w:rsidRPr="00871477">
        <w:rPr>
          <w:bCs/>
        </w:rPr>
        <w:t>8.</w:t>
      </w:r>
      <w:r w:rsidRPr="00871477">
        <w:rPr>
          <w:bCs/>
        </w:rPr>
        <w:tab/>
      </w:r>
      <w:r w:rsidRPr="00871477">
        <w:rPr>
          <w:b/>
          <w:bCs/>
        </w:rPr>
        <w:t>Breach of Security – General Principles</w:t>
      </w:r>
    </w:p>
    <w:p w:rsidR="00871477" w:rsidRPr="00871477" w:rsidRDefault="00871477" w:rsidP="00871477">
      <w:pPr>
        <w:keepNext/>
        <w:spacing w:before="120" w:after="120"/>
        <w:ind w:left="1429" w:hanging="720"/>
        <w:rPr>
          <w:bCs/>
        </w:rPr>
      </w:pPr>
      <w:r w:rsidRPr="00871477">
        <w:rPr>
          <w:bCs/>
        </w:rPr>
        <w:t>8.1</w:t>
      </w:r>
      <w:r w:rsidRPr="00871477">
        <w:rPr>
          <w:bCs/>
        </w:rPr>
        <w:tab/>
        <w:t>If either Party becomes aware of a Breach of Security or an attempted Breach of Security it shall notify the other in accordance with the security incident management process as set out in the Information Risk Management Documentation.</w:t>
      </w:r>
    </w:p>
    <w:p w:rsidR="00871477" w:rsidRPr="00871477" w:rsidRDefault="00871477" w:rsidP="00871477">
      <w:pPr>
        <w:keepNext/>
        <w:spacing w:before="120" w:after="120"/>
        <w:ind w:left="1429" w:hanging="720"/>
        <w:rPr>
          <w:bCs/>
        </w:rPr>
      </w:pPr>
      <w:r w:rsidRPr="00871477">
        <w:rPr>
          <w:bCs/>
        </w:rPr>
        <w:t>8.2</w:t>
      </w:r>
      <w:r w:rsidRPr="00871477">
        <w:rPr>
          <w:bCs/>
        </w:rPr>
        <w:tab/>
        <w:t>Without prejudice to the security incident management process set out in the Information Risk Management Documentation, upon becoming aware of any of the circumstances referred to in Paragraph 8.1, the Supplier shall:</w:t>
      </w:r>
    </w:p>
    <w:p w:rsidR="00871477" w:rsidRPr="00871477" w:rsidRDefault="00871477" w:rsidP="00871477">
      <w:pPr>
        <w:keepNext/>
        <w:spacing w:before="120" w:after="120"/>
        <w:ind w:left="2138" w:hanging="720"/>
        <w:rPr>
          <w:bCs/>
        </w:rPr>
      </w:pPr>
      <w:r w:rsidRPr="00871477">
        <w:rPr>
          <w:bCs/>
        </w:rPr>
        <w:t>8.2.1</w:t>
      </w:r>
      <w:r w:rsidRPr="00871477">
        <w:rPr>
          <w:bCs/>
        </w:rPr>
        <w:tab/>
        <w:t>immediately take all reasonable steps (which shall include any action or changes reasonably required by the Authority) necessary to:</w:t>
      </w:r>
    </w:p>
    <w:p w:rsidR="00871477" w:rsidRPr="00871477" w:rsidRDefault="00871477" w:rsidP="00871477">
      <w:pPr>
        <w:keepNext/>
        <w:spacing w:before="120" w:after="120"/>
        <w:ind w:left="2869" w:hanging="720"/>
        <w:rPr>
          <w:bCs/>
        </w:rPr>
      </w:pPr>
      <w:r w:rsidRPr="00871477">
        <w:rPr>
          <w:bCs/>
        </w:rPr>
        <w:t>(a)</w:t>
      </w:r>
      <w:r w:rsidRPr="00871477">
        <w:rPr>
          <w:bCs/>
        </w:rPr>
        <w:tab/>
        <w:t>minimise the extent of actual or potential harm caused by such Breach of Security;</w:t>
      </w:r>
    </w:p>
    <w:p w:rsidR="00871477" w:rsidRPr="00871477" w:rsidRDefault="00871477" w:rsidP="00871477">
      <w:pPr>
        <w:keepNext/>
        <w:spacing w:before="120" w:after="120"/>
        <w:ind w:left="2869" w:hanging="720"/>
        <w:rPr>
          <w:bCs/>
        </w:rPr>
      </w:pPr>
      <w:r w:rsidRPr="00871477">
        <w:rPr>
          <w:bCs/>
        </w:rPr>
        <w:t>(b)</w:t>
      </w:r>
      <w:r w:rsidRPr="00871477">
        <w:rPr>
          <w:bCs/>
        </w:rPr>
        <w:tab/>
        <w:t xml:space="preserve">remedy such Breach of Security to the extent possible and protect the integrity of the Information System against any such potential or attempted Breach of Security; </w:t>
      </w:r>
    </w:p>
    <w:p w:rsidR="00871477" w:rsidRPr="00871477" w:rsidRDefault="00871477" w:rsidP="00871477">
      <w:pPr>
        <w:keepNext/>
        <w:spacing w:before="120" w:after="120"/>
        <w:ind w:left="2869" w:hanging="720"/>
        <w:rPr>
          <w:bCs/>
        </w:rPr>
      </w:pPr>
      <w:r w:rsidRPr="00871477">
        <w:rPr>
          <w:bCs/>
        </w:rPr>
        <w:t>(c)</w:t>
      </w:r>
      <w:r w:rsidRPr="00871477">
        <w:rPr>
          <w:bCs/>
        </w:rPr>
        <w:tab/>
        <w:t xml:space="preserve">apply a tested mitigation against any such Breach of Security or potential or attempted Breach of Security and, provided that reasonable testing has been undertaken by the Supplier, if the mitigation adversely affects the Supplier’s ability to deliver the Services so as to meet the Service Levels, the Supplier shall be granted relief against any resultant under-performance for such period as the </w:t>
      </w:r>
      <w:r w:rsidRPr="00871477">
        <w:rPr>
          <w:bCs/>
        </w:rPr>
        <w:lastRenderedPageBreak/>
        <w:t>Authority, acting reasonably, may specify by written notice to the Supplier; and</w:t>
      </w:r>
    </w:p>
    <w:p w:rsidR="00871477" w:rsidRPr="00871477" w:rsidRDefault="00871477" w:rsidP="00871477">
      <w:pPr>
        <w:keepNext/>
        <w:spacing w:before="120" w:after="120"/>
        <w:ind w:left="2869" w:hanging="720"/>
        <w:rPr>
          <w:bCs/>
        </w:rPr>
      </w:pPr>
      <w:r w:rsidRPr="00871477">
        <w:rPr>
          <w:bCs/>
        </w:rPr>
        <w:t>(d)</w:t>
      </w:r>
      <w:r w:rsidRPr="00871477">
        <w:rPr>
          <w:bCs/>
        </w:rPr>
        <w:tab/>
        <w:t>prevent a further Breach of Security or attempted Breach of Security in the future exploiting the same root cause failure;</w:t>
      </w:r>
    </w:p>
    <w:p w:rsidR="00871477" w:rsidRPr="00871477" w:rsidRDefault="00871477" w:rsidP="00871477">
      <w:pPr>
        <w:keepNext/>
        <w:spacing w:before="120" w:after="120"/>
        <w:ind w:left="1418"/>
        <w:rPr>
          <w:bCs/>
        </w:rPr>
      </w:pPr>
      <w:r w:rsidRPr="00871477">
        <w:rPr>
          <w:bCs/>
        </w:rPr>
        <w:t>8.2.2</w:t>
      </w:r>
      <w:r w:rsidRPr="00871477">
        <w:rPr>
          <w:bCs/>
        </w:rPr>
        <w:tab/>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rsidR="00871477" w:rsidRPr="00871477" w:rsidRDefault="00871477" w:rsidP="00871477">
      <w:pPr>
        <w:keepNext/>
        <w:spacing w:before="120" w:after="120"/>
        <w:ind w:left="1429" w:hanging="720"/>
        <w:rPr>
          <w:bCs/>
        </w:rPr>
      </w:pPr>
      <w:r w:rsidRPr="00871477">
        <w:rPr>
          <w:bCs/>
        </w:rPr>
        <w:t>8.3</w:t>
      </w:r>
      <w:r w:rsidRPr="00871477">
        <w:rPr>
          <w:bCs/>
        </w:rPr>
        <w:tab/>
        <w:t>In the event that any action is taken in response to a Breach of Security or attempted Breach of Security as a result of non-compliance of the Information System and/or the Information Risk Management Documentation with the Baseline Security Requirements and/or this Framework Agreement, then such action and any required change to the Information System and/or Information Risk Management Documentation shall be at no cost to the Authority.</w:t>
      </w:r>
    </w:p>
    <w:p w:rsidR="00871477" w:rsidRPr="00871477" w:rsidRDefault="00871477" w:rsidP="00871477">
      <w:pPr>
        <w:keepNext/>
        <w:spacing w:before="120" w:after="120"/>
        <w:ind w:left="709"/>
        <w:rPr>
          <w:bCs/>
        </w:rPr>
      </w:pPr>
      <w:r w:rsidRPr="00871477">
        <w:rPr>
          <w:bCs/>
        </w:rPr>
        <w:t>9.</w:t>
      </w:r>
      <w:r w:rsidRPr="00871477">
        <w:rPr>
          <w:bCs/>
        </w:rPr>
        <w:tab/>
      </w:r>
      <w:r w:rsidRPr="00871477">
        <w:rPr>
          <w:b/>
          <w:bCs/>
        </w:rPr>
        <w:t>Breach of Security – IT Environment</w:t>
      </w:r>
    </w:p>
    <w:p w:rsidR="00871477" w:rsidRPr="00871477" w:rsidRDefault="00871477" w:rsidP="00871477">
      <w:pPr>
        <w:keepNext/>
        <w:spacing w:before="120" w:after="120"/>
        <w:ind w:left="1429" w:hanging="720"/>
        <w:rPr>
          <w:bCs/>
        </w:rPr>
      </w:pPr>
      <w:r w:rsidRPr="00871477">
        <w:rPr>
          <w:bCs/>
        </w:rPr>
        <w:t>9.1</w:t>
      </w:r>
      <w:r w:rsidRPr="00871477">
        <w:rPr>
          <w:bCs/>
        </w:rPr>
        <w:tab/>
        <w:t>The Supplier shall, as an enduring obligation throughout the Framework Period, use its reasonable endeavours to prevent any Breach of Security for any reason including as a result of malicious, accidental or inadvertent behaviour.  In accordance with the patching policy (which shall form part of the Information Risk Management Documentation and which shall be agreed with the Authority), this shall include an obligation to use the latest versions of anti-virus definitions, firmware and software available from industry accepted anti-virus software vendors.</w:t>
      </w:r>
    </w:p>
    <w:p w:rsidR="00871477" w:rsidRPr="00871477" w:rsidRDefault="00871477" w:rsidP="00871477">
      <w:pPr>
        <w:keepNext/>
        <w:spacing w:before="120" w:after="120"/>
        <w:ind w:left="1429" w:hanging="720"/>
        <w:rPr>
          <w:bCs/>
        </w:rPr>
      </w:pPr>
      <w:r w:rsidRPr="00871477">
        <w:rPr>
          <w:bCs/>
        </w:rPr>
        <w:t>9.2</w:t>
      </w:r>
      <w:r w:rsidRPr="00871477">
        <w:rPr>
          <w:bCs/>
        </w:rPr>
        <w:tab/>
        <w:t xml:space="preserve">Notwithstanding Paragraph 9.1, if a Breach of Security is detected in the Authority System or the Information System, the Parties shall co-operate to reduce the effect of the Breach of Security and, particularly if the Breach of Security causes loss of operational efficiency or loss or corruption of Authority Data, assist each other to mitigate any losses and to restore the Ordered Services to their desired operating efficiency.  </w:t>
      </w:r>
    </w:p>
    <w:p w:rsidR="00871477" w:rsidRPr="00871477" w:rsidRDefault="00871477" w:rsidP="00871477">
      <w:pPr>
        <w:keepNext/>
        <w:spacing w:before="120" w:after="120"/>
        <w:ind w:left="1429" w:hanging="720"/>
        <w:rPr>
          <w:bCs/>
        </w:rPr>
      </w:pPr>
      <w:r w:rsidRPr="00871477">
        <w:rPr>
          <w:bCs/>
        </w:rPr>
        <w:t>9.3</w:t>
      </w:r>
      <w:r w:rsidRPr="00871477">
        <w:rPr>
          <w:bCs/>
        </w:rPr>
        <w:tab/>
        <w:t>Any cost arising out of the actions of the Parties taken in compliance with the provisions of Paragraphs 8 and 9.2 shall be borne by the Parties as follows:</w:t>
      </w:r>
    </w:p>
    <w:p w:rsidR="00871477" w:rsidRPr="00871477" w:rsidRDefault="00871477" w:rsidP="00871477">
      <w:pPr>
        <w:keepNext/>
        <w:spacing w:before="120" w:after="120"/>
        <w:ind w:left="2138" w:hanging="720"/>
        <w:rPr>
          <w:bCs/>
        </w:rPr>
      </w:pPr>
      <w:r w:rsidRPr="00871477">
        <w:rPr>
          <w:bCs/>
        </w:rPr>
        <w:t>9.3.1</w:t>
      </w:r>
      <w:r w:rsidRPr="00871477">
        <w:rPr>
          <w:bCs/>
        </w:rPr>
        <w:tab/>
        <w:t xml:space="preserve">by the Supplier where the Breach of Security originates from defeat of the Supplier's or any Sub-Contractor’s security controls, the Supplier Software, the Third Party Software or the Data (whilst the Data was under the control of the Supplier); </w:t>
      </w:r>
    </w:p>
    <w:p w:rsidR="00871477" w:rsidRPr="00871477" w:rsidRDefault="00871477" w:rsidP="00871477">
      <w:pPr>
        <w:keepNext/>
        <w:spacing w:before="120" w:after="120"/>
        <w:ind w:left="2138" w:hanging="720"/>
        <w:rPr>
          <w:bCs/>
        </w:rPr>
      </w:pPr>
      <w:r w:rsidRPr="00871477">
        <w:rPr>
          <w:bCs/>
        </w:rPr>
        <w:t>9.3.2</w:t>
      </w:r>
      <w:r w:rsidRPr="00871477">
        <w:rPr>
          <w:bCs/>
        </w:rPr>
        <w:tab/>
        <w:t>by the Authority if the Breach of Security originates from defeat of the Authority's security controls or the Data (whilst the Data was under the control of the Authority); and</w:t>
      </w:r>
    </w:p>
    <w:p w:rsidR="00871477" w:rsidRPr="00871477" w:rsidRDefault="00871477" w:rsidP="00871477">
      <w:pPr>
        <w:keepNext/>
        <w:spacing w:before="120" w:after="120"/>
        <w:ind w:left="1418"/>
        <w:rPr>
          <w:bCs/>
        </w:rPr>
      </w:pPr>
      <w:r w:rsidRPr="00871477">
        <w:rPr>
          <w:bCs/>
        </w:rPr>
        <w:t>9.3.3</w:t>
      </w:r>
      <w:r w:rsidRPr="00871477">
        <w:rPr>
          <w:bCs/>
        </w:rPr>
        <w:tab/>
        <w:t xml:space="preserve">in all other cases each Party shall bear its own costs.  </w:t>
      </w:r>
    </w:p>
    <w:p w:rsidR="00871477" w:rsidRPr="00871477" w:rsidRDefault="00871477" w:rsidP="00871477">
      <w:pPr>
        <w:keepNext/>
        <w:spacing w:before="120" w:after="120"/>
        <w:ind w:left="709"/>
        <w:rPr>
          <w:bCs/>
        </w:rPr>
      </w:pPr>
      <w:r w:rsidRPr="00871477">
        <w:rPr>
          <w:bCs/>
        </w:rPr>
        <w:t>10.</w:t>
      </w:r>
      <w:r w:rsidRPr="00871477">
        <w:rPr>
          <w:b/>
          <w:bCs/>
        </w:rPr>
        <w:tab/>
        <w:t>Vulnerabilities and Corrective Action</w:t>
      </w:r>
    </w:p>
    <w:p w:rsidR="00871477" w:rsidRPr="00871477" w:rsidRDefault="00871477" w:rsidP="00871477">
      <w:pPr>
        <w:keepNext/>
        <w:spacing w:before="120" w:after="120"/>
        <w:ind w:left="1429" w:hanging="720"/>
        <w:rPr>
          <w:bCs/>
        </w:rPr>
      </w:pPr>
      <w:r w:rsidRPr="00871477">
        <w:rPr>
          <w:bCs/>
        </w:rPr>
        <w:t>10.1</w:t>
      </w:r>
      <w:r w:rsidRPr="00871477">
        <w:rPr>
          <w:bCs/>
        </w:rPr>
        <w:tab/>
        <w:t xml:space="preserve">The Authority and the Supplier acknowledge that from time to time vulnerabilities in the Information System will be discovered which unless mitigated will present an unacceptable risk to the Data. </w:t>
      </w:r>
    </w:p>
    <w:p w:rsidR="00871477" w:rsidRPr="00871477" w:rsidRDefault="00871477" w:rsidP="00871477">
      <w:pPr>
        <w:keepNext/>
        <w:spacing w:before="120" w:after="120"/>
        <w:ind w:left="1429" w:hanging="720"/>
        <w:rPr>
          <w:bCs/>
        </w:rPr>
      </w:pPr>
      <w:r w:rsidRPr="00871477">
        <w:rPr>
          <w:bCs/>
        </w:rPr>
        <w:t>10.2</w:t>
      </w:r>
      <w:r w:rsidRPr="00871477">
        <w:rPr>
          <w:bCs/>
        </w:rPr>
        <w:tab/>
        <w:t xml:space="preserve">The severity of threat vulnerabilities for Supplier COTS Software and Third Party COTS Software shall be categorised by the Supplier as ‘Critical’, ‘Important’ and ‘Other’ by </w:t>
      </w:r>
      <w:r w:rsidRPr="00871477">
        <w:rPr>
          <w:bCs/>
        </w:rPr>
        <w:lastRenderedPageBreak/>
        <w:t>aligning these categories to the vulnerability scoring according to the agreed method in the Information Risk Management Documentation and using the appropriate vulnerability scoring systems including:</w:t>
      </w:r>
    </w:p>
    <w:p w:rsidR="00871477" w:rsidRPr="00871477" w:rsidRDefault="00871477" w:rsidP="00871477">
      <w:pPr>
        <w:keepNext/>
        <w:spacing w:before="120" w:after="120"/>
        <w:ind w:left="2138" w:hanging="720"/>
        <w:rPr>
          <w:bCs/>
        </w:rPr>
      </w:pPr>
      <w:r w:rsidRPr="00871477">
        <w:rPr>
          <w:bCs/>
        </w:rPr>
        <w:t>10.2.1</w:t>
      </w:r>
      <w:r w:rsidRPr="00871477">
        <w:rPr>
          <w:bCs/>
        </w:rPr>
        <w:tab/>
        <w:t xml:space="preserve">the ‘National Vulnerability Database’ ‘Vulnerability Severity Ratings’: ‘High’, ‘Medium’ and ‘Low’ respectively (these in turn are aligned to CVSS as set out by NIST http://nvd.nist.gov/cvss.cfm); and </w:t>
      </w:r>
    </w:p>
    <w:p w:rsidR="00871477" w:rsidRPr="00871477" w:rsidRDefault="00871477" w:rsidP="00871477">
      <w:pPr>
        <w:keepNext/>
        <w:spacing w:before="120" w:after="120"/>
        <w:ind w:left="2138" w:hanging="720"/>
        <w:rPr>
          <w:bCs/>
        </w:rPr>
      </w:pPr>
      <w:r w:rsidRPr="00871477">
        <w:rPr>
          <w:bCs/>
        </w:rPr>
        <w:t>10.2.2</w:t>
      </w:r>
      <w:r w:rsidRPr="00871477">
        <w:rPr>
          <w:bCs/>
        </w:rPr>
        <w:tab/>
        <w:t>Microsoft’s ‘Security Bulletin Severity Rating System’ ratings ‘Critical’, ‘Important’, and the two remaining levels (‘Moderate’ and ‘Low’) respectively.</w:t>
      </w:r>
    </w:p>
    <w:p w:rsidR="00871477" w:rsidRPr="00871477" w:rsidRDefault="00871477" w:rsidP="00871477">
      <w:pPr>
        <w:keepNext/>
        <w:spacing w:before="120" w:after="120"/>
        <w:ind w:left="1429" w:hanging="720"/>
        <w:rPr>
          <w:bCs/>
        </w:rPr>
      </w:pPr>
      <w:r w:rsidRPr="00871477">
        <w:rPr>
          <w:bCs/>
        </w:rPr>
        <w:t>10.3</w:t>
      </w:r>
      <w:r w:rsidRPr="00871477">
        <w:rPr>
          <w:bCs/>
        </w:rPr>
        <w:tab/>
        <w:t>The Supplier shall procure the application of security patches to vulnerabilities in the Information System within a maximum period from the public release of such patches with those vulnerabilities categorised as ‘Critical’ within 7 days of release, ‘Important’ within 30 days of release and all ‘Other’ within 60 Working Days of release, except where:</w:t>
      </w:r>
    </w:p>
    <w:p w:rsidR="00871477" w:rsidRPr="00871477" w:rsidRDefault="00871477" w:rsidP="00871477">
      <w:pPr>
        <w:keepNext/>
        <w:spacing w:before="120" w:after="120"/>
        <w:ind w:left="2149" w:hanging="720"/>
        <w:rPr>
          <w:bCs/>
        </w:rPr>
      </w:pPr>
      <w:r w:rsidRPr="00871477">
        <w:rPr>
          <w:bCs/>
        </w:rPr>
        <w:t>10.3.1</w:t>
      </w:r>
      <w:r w:rsidRPr="00871477">
        <w:rPr>
          <w:bCs/>
        </w:rPr>
        <w:tab/>
        <w:t>the Supplier can demonstrate that a vulnerability in the Information System is not exploitable within the context of the Services (e.g. because it resides in a software component which is not running in the service) provided vulnerabilities which the Supplier asserts cannot be exploited within the context of the Services must be remedied by the Supplier within the above timescales if the vulnerability becomes exploitable within the context of the Services;</w:t>
      </w:r>
    </w:p>
    <w:p w:rsidR="00871477" w:rsidRPr="00871477" w:rsidRDefault="00871477" w:rsidP="00871477">
      <w:pPr>
        <w:keepNext/>
        <w:spacing w:before="120" w:after="120"/>
        <w:ind w:left="2149" w:hanging="720"/>
        <w:rPr>
          <w:bCs/>
        </w:rPr>
      </w:pPr>
      <w:r w:rsidRPr="00871477">
        <w:rPr>
          <w:bCs/>
        </w:rPr>
        <w:t>10.3.2</w:t>
      </w:r>
      <w:r w:rsidRPr="00871477">
        <w:rPr>
          <w:bCs/>
        </w:rPr>
        <w:tab/>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rsidR="00871477" w:rsidRPr="00871477" w:rsidRDefault="00871477" w:rsidP="00871477">
      <w:pPr>
        <w:keepNext/>
        <w:spacing w:before="120" w:after="120"/>
        <w:ind w:left="2149" w:hanging="720"/>
        <w:rPr>
          <w:bCs/>
        </w:rPr>
      </w:pPr>
      <w:r w:rsidRPr="00871477">
        <w:rPr>
          <w:bCs/>
        </w:rPr>
        <w:t>10.3.3</w:t>
      </w:r>
      <w:r w:rsidRPr="00871477">
        <w:rPr>
          <w:bCs/>
        </w:rPr>
        <w:tab/>
        <w:t xml:space="preserve">the Authority agrees a different maximum period after a case-by-case consultation with the Supplier under the processes defined in the Information Risk Management Documentation.   </w:t>
      </w:r>
    </w:p>
    <w:p w:rsidR="00871477" w:rsidRPr="00871477" w:rsidRDefault="00871477" w:rsidP="00871477">
      <w:pPr>
        <w:keepNext/>
        <w:spacing w:before="120" w:after="120"/>
        <w:ind w:left="1429" w:hanging="720"/>
        <w:rPr>
          <w:bCs/>
        </w:rPr>
      </w:pPr>
      <w:r w:rsidRPr="00871477">
        <w:rPr>
          <w:bCs/>
        </w:rPr>
        <w:t>10.4</w:t>
      </w:r>
      <w:r w:rsidRPr="00871477">
        <w:rPr>
          <w:bCs/>
        </w:rPr>
        <w:tab/>
        <w:t xml:space="preserve">The Information Risk Management Documentation shall include provisions for major version upgrades of all Supplier Software and Third Party Software which are COTS Products to be kept up to date such that all Supplier Software and Third Party Software </w:t>
      </w:r>
      <w:r w:rsidRPr="00871477">
        <w:rPr>
          <w:bCs/>
        </w:rPr>
        <w:lastRenderedPageBreak/>
        <w:t>which are COTS Products are always in mainstream support throughout the Framework Period unless otherwise agreed by the Authority in writing.</w:t>
      </w:r>
    </w:p>
    <w:p w:rsidR="00871477" w:rsidRPr="00871477" w:rsidRDefault="00871477" w:rsidP="00871477">
      <w:pPr>
        <w:keepNext/>
        <w:spacing w:before="120" w:after="120"/>
        <w:ind w:left="709"/>
        <w:rPr>
          <w:bCs/>
        </w:rPr>
      </w:pPr>
      <w:r w:rsidRPr="00871477">
        <w:rPr>
          <w:bCs/>
        </w:rPr>
        <w:t>10.5</w:t>
      </w:r>
      <w:r w:rsidRPr="00871477">
        <w:rPr>
          <w:bCs/>
        </w:rPr>
        <w:tab/>
        <w:t>The Supplier shall:</w:t>
      </w:r>
    </w:p>
    <w:p w:rsidR="00871477" w:rsidRPr="00871477" w:rsidRDefault="00871477" w:rsidP="00871477">
      <w:pPr>
        <w:keepNext/>
        <w:spacing w:before="120" w:after="120"/>
        <w:ind w:left="2138" w:hanging="720"/>
        <w:rPr>
          <w:bCs/>
        </w:rPr>
      </w:pPr>
      <w:r w:rsidRPr="00871477">
        <w:rPr>
          <w:bCs/>
        </w:rPr>
        <w:t>10.5.1</w:t>
      </w:r>
      <w:r w:rsidRPr="00871477">
        <w:rPr>
          <w:bCs/>
        </w:rPr>
        <w:tab/>
        <w:t>implement a mechanism for receiving, analysing and acting upon threat information supplied by GovCertUK, or any other competent Central Government Body;</w:t>
      </w:r>
    </w:p>
    <w:p w:rsidR="00871477" w:rsidRPr="00871477" w:rsidRDefault="00871477" w:rsidP="00871477">
      <w:pPr>
        <w:keepNext/>
        <w:spacing w:before="120" w:after="120"/>
        <w:ind w:left="2138" w:hanging="720"/>
        <w:rPr>
          <w:bCs/>
        </w:rPr>
      </w:pPr>
      <w:r w:rsidRPr="00871477">
        <w:rPr>
          <w:bCs/>
        </w:rPr>
        <w:t>10.5.2</w:t>
      </w:r>
      <w:r w:rsidRPr="00871477">
        <w:rPr>
          <w:bCs/>
        </w:rPr>
        <w:tab/>
        <w:t xml:space="preserve">promptly notify GovCertUK of any actual or sustained attempted Breach of Security; </w:t>
      </w:r>
    </w:p>
    <w:p w:rsidR="00871477" w:rsidRPr="00871477" w:rsidRDefault="00871477" w:rsidP="00871477">
      <w:pPr>
        <w:keepNext/>
        <w:spacing w:before="120" w:after="120"/>
        <w:ind w:left="2138" w:hanging="720"/>
        <w:rPr>
          <w:bCs/>
        </w:rPr>
      </w:pPr>
      <w:r w:rsidRPr="00871477">
        <w:rPr>
          <w:bCs/>
        </w:rPr>
        <w:t>10.5.3</w:t>
      </w:r>
      <w:r w:rsidRPr="00871477">
        <w:rPr>
          <w:bCs/>
        </w:rPr>
        <w:tab/>
        <w:t>ensure that the Information System is monitored to facilitate the detection of anomalous behaviour that would be indicative of system compromise;</w:t>
      </w:r>
    </w:p>
    <w:p w:rsidR="00871477" w:rsidRPr="00871477" w:rsidRDefault="00871477" w:rsidP="00871477">
      <w:pPr>
        <w:keepNext/>
        <w:spacing w:before="120" w:after="120"/>
        <w:ind w:left="2138" w:hanging="720"/>
        <w:rPr>
          <w:bCs/>
        </w:rPr>
      </w:pPr>
      <w:r w:rsidRPr="00871477">
        <w:rPr>
          <w:bCs/>
        </w:rPr>
        <w:t>10.5.4</w:t>
      </w:r>
      <w:r w:rsidRPr="00871477">
        <w:rPr>
          <w:bCs/>
        </w:rPr>
        <w:tab/>
        <w:t xml:space="preserve">ensure it is knowledgeable about the latest trends in threat, vulnerability and exploitation that are relevant to the Information System by actively monitoring the threat landscape during the Framework Period; </w:t>
      </w:r>
    </w:p>
    <w:p w:rsidR="00871477" w:rsidRPr="00871477" w:rsidRDefault="00871477" w:rsidP="00871477">
      <w:pPr>
        <w:keepNext/>
        <w:spacing w:before="120" w:after="120"/>
        <w:ind w:left="2138" w:hanging="720"/>
        <w:rPr>
          <w:bCs/>
        </w:rPr>
      </w:pPr>
      <w:r w:rsidRPr="00871477">
        <w:rPr>
          <w:bCs/>
        </w:rPr>
        <w:t>10.5.5</w:t>
      </w:r>
      <w:r w:rsidRPr="00871477">
        <w:rPr>
          <w:bCs/>
        </w:rPr>
        <w:tab/>
        <w:t xml:space="preserve">pro-actively scan the Information System for vulnerable components and address discovered vulnerabilities through the processes described in the Information Risk Management Documentation; </w:t>
      </w:r>
    </w:p>
    <w:p w:rsidR="00871477" w:rsidRPr="00871477" w:rsidRDefault="00871477" w:rsidP="00871477">
      <w:pPr>
        <w:keepNext/>
        <w:spacing w:before="120" w:after="120"/>
        <w:ind w:left="2138" w:hanging="720"/>
        <w:rPr>
          <w:bCs/>
        </w:rPr>
      </w:pPr>
      <w:r w:rsidRPr="00871477">
        <w:rPr>
          <w:bCs/>
        </w:rPr>
        <w:t>10.5.6</w:t>
      </w:r>
      <w:r w:rsidRPr="00871477">
        <w:rPr>
          <w:bCs/>
        </w:rPr>
        <w:tab/>
        <w:t>ensure that the Board person responsible shall ensure that the service is patched in accordance with the timescales specified to achieve the security outcomes</w:t>
      </w:r>
    </w:p>
    <w:p w:rsidR="00871477" w:rsidRPr="00871477" w:rsidRDefault="00871477" w:rsidP="00871477">
      <w:pPr>
        <w:keepNext/>
        <w:spacing w:before="120" w:after="120"/>
        <w:ind w:left="2138" w:hanging="720"/>
        <w:rPr>
          <w:bCs/>
        </w:rPr>
      </w:pPr>
      <w:r w:rsidRPr="00871477">
        <w:rPr>
          <w:bCs/>
        </w:rPr>
        <w:t>10.5.7</w:t>
      </w:r>
      <w:r w:rsidRPr="00871477">
        <w:rPr>
          <w:bCs/>
        </w:rPr>
        <w:tab/>
        <w:t>propose interim mitigation measures to vulnerabilities in the Information System known to be exploitable where a security patch is not immediately available;</w:t>
      </w:r>
    </w:p>
    <w:p w:rsidR="00871477" w:rsidRPr="00871477" w:rsidRDefault="00871477" w:rsidP="00871477">
      <w:pPr>
        <w:keepNext/>
        <w:spacing w:before="120" w:after="120"/>
        <w:ind w:left="2138" w:hanging="720"/>
        <w:rPr>
          <w:bCs/>
        </w:rPr>
      </w:pPr>
      <w:r w:rsidRPr="00871477">
        <w:rPr>
          <w:bCs/>
        </w:rPr>
        <w:t>10.5.8</w:t>
      </w:r>
      <w:r w:rsidRPr="00871477">
        <w:rPr>
          <w:bCs/>
        </w:rPr>
        <w:tab/>
        <w:t>remove or disable any extraneous interfaces, services or capabilities that are not needed for the provision of the Services (in order to reduce the attack surface of the Information System); and</w:t>
      </w:r>
    </w:p>
    <w:p w:rsidR="00871477" w:rsidRPr="00871477" w:rsidRDefault="00871477" w:rsidP="00871477">
      <w:pPr>
        <w:keepNext/>
        <w:spacing w:before="120" w:after="120"/>
        <w:ind w:left="2138" w:hanging="720"/>
        <w:rPr>
          <w:bCs/>
        </w:rPr>
      </w:pPr>
      <w:r w:rsidRPr="00871477">
        <w:rPr>
          <w:bCs/>
        </w:rPr>
        <w:t>10.5.9</w:t>
      </w:r>
      <w:r w:rsidRPr="00871477">
        <w:rPr>
          <w:bCs/>
        </w:rPr>
        <w:tab/>
        <w:t>inform the Authority when it becomes aware of any new threat, vulnerability or exploitation technique that has the potential to affect the security of the Information System and provide initial indications of possible mitigations.</w:t>
      </w:r>
    </w:p>
    <w:p w:rsidR="00871477" w:rsidRPr="00871477" w:rsidRDefault="00871477" w:rsidP="00871477">
      <w:pPr>
        <w:keepNext/>
        <w:spacing w:before="120" w:after="120"/>
        <w:ind w:left="1429" w:hanging="720"/>
        <w:rPr>
          <w:bCs/>
        </w:rPr>
      </w:pPr>
      <w:r w:rsidRPr="00871477">
        <w:rPr>
          <w:bCs/>
        </w:rPr>
        <w:t>10.6</w:t>
      </w:r>
      <w:r w:rsidRPr="00871477">
        <w:rPr>
          <w:bCs/>
        </w:rPr>
        <w:tab/>
        <w:t>If the Supplier is unlikely to be able to mitigate the vulnerability within the timescales under Paragraph 10, the Supplier shall immediately notify the Authority.</w:t>
      </w:r>
    </w:p>
    <w:p w:rsidR="00871477" w:rsidRPr="00871477" w:rsidRDefault="00871477" w:rsidP="00871477">
      <w:pPr>
        <w:keepNext/>
        <w:spacing w:before="120" w:after="120"/>
        <w:ind w:left="709"/>
        <w:rPr>
          <w:bCs/>
        </w:rPr>
      </w:pPr>
      <w:r w:rsidRPr="00871477">
        <w:rPr>
          <w:bCs/>
        </w:rPr>
        <w:t>10.7</w:t>
      </w:r>
      <w:r w:rsidRPr="00871477">
        <w:rPr>
          <w:bCs/>
        </w:rPr>
        <w:tab/>
        <w:t>A failure to comply with Paragraph 10.3 shall constitute a material Default.</w:t>
      </w:r>
      <w:r w:rsidRPr="00871477">
        <w:t xml:space="preserve"> </w:t>
      </w:r>
    </w:p>
    <w:p w:rsidR="00871477" w:rsidRPr="00871477" w:rsidRDefault="00871477" w:rsidP="00871477">
      <w:pPr>
        <w:keepNext/>
        <w:spacing w:before="120" w:after="120"/>
        <w:ind w:left="709"/>
        <w:rPr>
          <w:b/>
          <w:bCs/>
        </w:rPr>
      </w:pPr>
      <w:r w:rsidRPr="00871477">
        <w:rPr>
          <w:b/>
          <w:bCs/>
        </w:rPr>
        <w:t>11</w:t>
      </w:r>
      <w:r w:rsidRPr="00871477">
        <w:rPr>
          <w:b/>
          <w:bCs/>
        </w:rPr>
        <w:tab/>
        <w:t>Service Decommissioning</w:t>
      </w:r>
    </w:p>
    <w:p w:rsidR="00871477" w:rsidRPr="00871477" w:rsidRDefault="00871477" w:rsidP="00871477">
      <w:pPr>
        <w:keepNext/>
        <w:spacing w:before="120" w:after="120"/>
        <w:ind w:left="1429" w:hanging="720"/>
        <w:rPr>
          <w:bCs/>
        </w:rPr>
      </w:pPr>
      <w:r w:rsidRPr="00871477">
        <w:rPr>
          <w:bCs/>
        </w:rPr>
        <w:t>11.1 On termination of the Framework Agreement or where an Authority ceases to use the framework agreement the Supplier shall:</w:t>
      </w:r>
    </w:p>
    <w:p w:rsidR="00871477" w:rsidRPr="00871477" w:rsidRDefault="00871477" w:rsidP="00871477">
      <w:pPr>
        <w:keepNext/>
        <w:spacing w:before="120" w:after="120"/>
        <w:ind w:left="1429"/>
        <w:rPr>
          <w:bCs/>
        </w:rPr>
      </w:pPr>
      <w:r w:rsidRPr="00871477">
        <w:rPr>
          <w:bCs/>
        </w:rPr>
        <w:t>11.1.1</w:t>
      </w:r>
      <w:r w:rsidRPr="00871477">
        <w:rPr>
          <w:bCs/>
        </w:rPr>
        <w:tab/>
        <w:t>on demand, provide: the Authority with all Data in an agreed open format;</w:t>
      </w:r>
    </w:p>
    <w:p w:rsidR="00871477" w:rsidRPr="00871477" w:rsidRDefault="00871477" w:rsidP="00871477">
      <w:pPr>
        <w:keepNext/>
        <w:spacing w:before="120" w:after="120"/>
        <w:ind w:left="2149" w:hanging="720"/>
        <w:rPr>
          <w:bCs/>
        </w:rPr>
      </w:pPr>
      <w:r w:rsidRPr="00871477">
        <w:rPr>
          <w:bCs/>
        </w:rPr>
        <w:t>11.1.2</w:t>
      </w:r>
      <w:r w:rsidRPr="00871477">
        <w:rPr>
          <w:bCs/>
        </w:rPr>
        <w:tab/>
        <w:t>have documented processes to guarantee availability of Data in the event of the Supplier ceasing to trade;</w:t>
      </w:r>
    </w:p>
    <w:p w:rsidR="00871477" w:rsidRPr="00871477" w:rsidRDefault="00871477" w:rsidP="00871477">
      <w:pPr>
        <w:keepNext/>
        <w:spacing w:before="120" w:after="120"/>
        <w:ind w:left="2149" w:hanging="720"/>
        <w:rPr>
          <w:bCs/>
        </w:rPr>
      </w:pPr>
      <w:r w:rsidRPr="00871477">
        <w:rPr>
          <w:bCs/>
        </w:rPr>
        <w:t>11.1.3</w:t>
      </w:r>
      <w:r w:rsidRPr="00871477">
        <w:rPr>
          <w:bCs/>
        </w:rPr>
        <w:tab/>
        <w:t>securely erase any or all Data held by the Supplier when requested to do so by the Authority; and</w:t>
      </w:r>
    </w:p>
    <w:p w:rsidR="00871477" w:rsidRPr="00871477" w:rsidRDefault="00871477" w:rsidP="00871477">
      <w:pPr>
        <w:keepNext/>
        <w:spacing w:before="120" w:after="120"/>
        <w:ind w:left="2149" w:hanging="720"/>
        <w:rPr>
          <w:bCs/>
        </w:rPr>
      </w:pPr>
      <w:r w:rsidRPr="00871477">
        <w:rPr>
          <w:bCs/>
        </w:rPr>
        <w:t>11.1.4</w:t>
      </w:r>
      <w:r w:rsidRPr="00871477">
        <w:rPr>
          <w:bCs/>
        </w:rPr>
        <w:tab/>
        <w:t>securely destroy all media that has held Data at the end of life of that media in accordance with any specific requirements in this Agreement and, in the absence of any such requirements, in accordance with Good Industry Practice.</w:t>
      </w:r>
    </w:p>
    <w:p w:rsidR="00871477" w:rsidRPr="00871477" w:rsidRDefault="00871477" w:rsidP="00871477">
      <w:pPr>
        <w:keepNext/>
        <w:numPr>
          <w:ilvl w:val="0"/>
          <w:numId w:val="29"/>
        </w:numPr>
        <w:spacing w:before="120" w:after="120"/>
        <w:contextualSpacing/>
        <w:rPr>
          <w:b/>
          <w:bCs/>
        </w:rPr>
      </w:pPr>
      <w:r w:rsidRPr="00871477">
        <w:rPr>
          <w:b/>
          <w:bCs/>
        </w:rPr>
        <w:lastRenderedPageBreak/>
        <w:t>Audit and Monitoring</w:t>
      </w:r>
    </w:p>
    <w:p w:rsidR="00871477" w:rsidRPr="00871477" w:rsidRDefault="00871477" w:rsidP="00871477">
      <w:pPr>
        <w:keepNext/>
        <w:spacing w:before="120" w:after="120"/>
        <w:ind w:left="1080"/>
        <w:contextualSpacing/>
        <w:rPr>
          <w:b/>
          <w:bCs/>
        </w:rPr>
      </w:pPr>
    </w:p>
    <w:p w:rsidR="00871477" w:rsidRPr="00871477" w:rsidRDefault="00871477" w:rsidP="00871477">
      <w:pPr>
        <w:keepNext/>
        <w:spacing w:before="120" w:after="120"/>
        <w:ind w:left="1440" w:hanging="720"/>
        <w:rPr>
          <w:bCs/>
        </w:rPr>
      </w:pPr>
      <w:r w:rsidRPr="00871477">
        <w:rPr>
          <w:bCs/>
        </w:rPr>
        <w:t>12.1 The Supplier shall collect audit records which relate to security events in the service or that would support the analysis of potential and actual compromises. In order to facilitate effective monitoring and forensic readiness such Supplier audit records should be made available to the Authority, within 5 days, when requested</w:t>
      </w:r>
    </w:p>
    <w:p w:rsidR="00871477" w:rsidRPr="00871477" w:rsidRDefault="00871477" w:rsidP="00871477">
      <w:pPr>
        <w:keepNext/>
        <w:spacing w:before="120" w:after="120"/>
        <w:ind w:left="1429" w:hanging="720"/>
        <w:rPr>
          <w:bCs/>
        </w:rPr>
      </w:pPr>
      <w:r w:rsidRPr="00871477">
        <w:rPr>
          <w:bCs/>
        </w:rPr>
        <w:t xml:space="preserve">12.2 The Supplier and the Authority shall work together to establish any additional audit and monitoring requirements for the Information System. </w:t>
      </w:r>
    </w:p>
    <w:p w:rsidR="00871477" w:rsidRPr="00871477" w:rsidRDefault="00871477" w:rsidP="00871477">
      <w:pPr>
        <w:keepNext/>
        <w:spacing w:before="120" w:after="120"/>
        <w:ind w:left="1429" w:hanging="720"/>
      </w:pPr>
      <w:r w:rsidRPr="00871477">
        <w:rPr>
          <w:bCs/>
        </w:rPr>
        <w:t>12.3The Supplier shall retain audit records collected in compliance with this provision until the Service.</w:t>
      </w:r>
    </w:p>
    <w:p w:rsidR="00871477" w:rsidRPr="00871477" w:rsidRDefault="00871477" w:rsidP="00871477">
      <w:pPr>
        <w:tabs>
          <w:tab w:val="left" w:pos="175"/>
        </w:tabs>
        <w:spacing w:before="120" w:after="120"/>
        <w:ind w:left="170" w:firstLine="5"/>
        <w:rPr>
          <w:b/>
        </w:rPr>
      </w:pPr>
      <w:r w:rsidRPr="00871477">
        <w:rPr>
          <w:bCs/>
        </w:rPr>
        <w:br w:type="page"/>
      </w:r>
      <w:r w:rsidRPr="00871477">
        <w:rPr>
          <w:b/>
        </w:rPr>
        <w:lastRenderedPageBreak/>
        <w:t>Appendix 1 - Baseline Security Requirements</w:t>
      </w:r>
    </w:p>
    <w:p w:rsidR="00871477" w:rsidRPr="00871477" w:rsidRDefault="00871477" w:rsidP="00871477">
      <w:pPr>
        <w:numPr>
          <w:ilvl w:val="1"/>
          <w:numId w:val="31"/>
        </w:numPr>
        <w:tabs>
          <w:tab w:val="left" w:pos="175"/>
        </w:tabs>
        <w:spacing w:before="120" w:after="120"/>
        <w:rPr>
          <w:rFonts w:eastAsia="Calibri"/>
        </w:rPr>
      </w:pPr>
      <w:r w:rsidRPr="00871477">
        <w:rPr>
          <w:b/>
        </w:rPr>
        <w:t>Data Security Outcomes</w:t>
      </w:r>
    </w:p>
    <w:p w:rsidR="00871477" w:rsidRPr="00871477" w:rsidRDefault="00871477" w:rsidP="00871477">
      <w:pPr>
        <w:tabs>
          <w:tab w:val="left" w:pos="2127"/>
        </w:tabs>
        <w:spacing w:before="120" w:after="120"/>
        <w:ind w:left="709"/>
        <w:rPr>
          <w:rFonts w:eastAsia="Calibri"/>
          <w:lang w:eastAsia="zh-CN"/>
        </w:rPr>
      </w:pPr>
      <w:r w:rsidRPr="00871477">
        <w:rPr>
          <w:rFonts w:eastAsia="Calibri"/>
          <w:lang w:eastAsia="zh-CN"/>
        </w:rPr>
        <w:t xml:space="preserve">The Security Policy defines the security characteristics of the Service supplied under the Contract.  The Supplier shall assert, and evidence compliance, of the Service Supplied under the Contract against the Data Security Outcomes defined at Annex 1.  The Security Policy describes the required security outcomes which the service shall need to achieve, in order to provide the Contracting Authority with the assurance and confidence that the Security Risk is being appropriately managed.  </w:t>
      </w:r>
    </w:p>
    <w:p w:rsidR="00871477" w:rsidRPr="00871477" w:rsidRDefault="00871477" w:rsidP="00871477">
      <w:pPr>
        <w:tabs>
          <w:tab w:val="left" w:pos="2127"/>
        </w:tabs>
        <w:spacing w:before="120" w:after="120"/>
        <w:ind w:left="709"/>
        <w:rPr>
          <w:rFonts w:eastAsia="Calibri"/>
          <w:lang w:eastAsia="zh-CN"/>
        </w:rPr>
      </w:pPr>
      <w:r w:rsidRPr="00871477">
        <w:rPr>
          <w:rFonts w:eastAsia="Calibri"/>
          <w:lang w:eastAsia="zh-CN"/>
        </w:rPr>
        <w:t>The Supplier shall also be cognisant of the need to support the Contracting Authorities compliance with EU data protection legislation throughout the life of the Contract.</w:t>
      </w:r>
    </w:p>
    <w:p w:rsidR="00871477" w:rsidRPr="00871477" w:rsidRDefault="00871477" w:rsidP="00871477">
      <w:pPr>
        <w:numPr>
          <w:ilvl w:val="1"/>
          <w:numId w:val="31"/>
        </w:numPr>
        <w:tabs>
          <w:tab w:val="left" w:pos="175"/>
        </w:tabs>
        <w:spacing w:before="120" w:after="120"/>
        <w:rPr>
          <w:rFonts w:eastAsia="Calibri"/>
        </w:rPr>
      </w:pPr>
      <w:r w:rsidRPr="00871477">
        <w:rPr>
          <w:b/>
        </w:rPr>
        <w:t>Handling, Processing and Storage of OFFICIAL-SENSITIVE information</w:t>
      </w:r>
    </w:p>
    <w:p w:rsidR="00871477" w:rsidRPr="00871477" w:rsidRDefault="00871477" w:rsidP="00871477">
      <w:pPr>
        <w:spacing w:before="120" w:after="120"/>
        <w:ind w:left="709"/>
        <w:rPr>
          <w:rFonts w:eastAsia="Calibri"/>
          <w:lang w:eastAsia="ja-JP"/>
        </w:rPr>
      </w:pPr>
      <w:r w:rsidRPr="00871477">
        <w:rPr>
          <w:rFonts w:eastAsia="Calibri"/>
          <w:lang w:eastAsia="ja-JP"/>
        </w:rPr>
        <w:t>Where the Supplier is going to handle, process and store OFFICIAL-SENSITIVE information, the Supplier shall implement additional measures to secure data of this type throughout the lifecycle of the Contract.  The measures defined herein are in addition to the Supplier delivering a Service where the residual risk associated with the Service Supplied under the Contract is acceptable to the Contracting Authority.   For a Supplier Service to handle OFFICIAL-SENSITIVE data the residual risk associated with the additional measures defined below shall be considered acceptable to the Contracting Authority.  The additional measures have been cross referenced to the relevant Security Principle headline defined within the Security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095"/>
      </w:tblGrid>
      <w:tr w:rsidR="00871477" w:rsidRPr="00871477" w:rsidTr="00871477">
        <w:tc>
          <w:tcPr>
            <w:tcW w:w="959"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Serial</w:t>
            </w:r>
          </w:p>
        </w:tc>
        <w:tc>
          <w:tcPr>
            <w:tcW w:w="2268"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Security Principle Headline</w:t>
            </w:r>
          </w:p>
        </w:tc>
        <w:tc>
          <w:tcPr>
            <w:tcW w:w="6095"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Additional Measures</w:t>
            </w:r>
          </w:p>
        </w:tc>
      </w:tr>
      <w:tr w:rsidR="00871477" w:rsidRPr="00871477" w:rsidTr="00871477">
        <w:tc>
          <w:tcPr>
            <w:tcW w:w="959"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numPr>
                <w:ilvl w:val="0"/>
                <w:numId w:val="30"/>
              </w:numPr>
              <w:overflowPunct/>
              <w:autoSpaceDE/>
              <w:autoSpaceDN/>
              <w:adjustRightInd/>
              <w:spacing w:before="120" w:after="120"/>
              <w:jc w:val="left"/>
              <w:textAlignment w:val="auto"/>
            </w:pPr>
          </w:p>
        </w:tc>
        <w:tc>
          <w:tcPr>
            <w:tcW w:w="2268"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 xml:space="preserve">The Supplier shall provide evidence that the infrastructure devices storing any bulk Authority data shall not be directly accessible from a device hosted on the internet.  The Supplier shall assure the protection afforded to bulk data addresses the NCSC guidance </w:t>
            </w:r>
            <w:hyperlink r:id="rId20" w:history="1">
              <w:r w:rsidRPr="00871477">
                <w:rPr>
                  <w:color w:val="0000FF"/>
                  <w:u w:val="single"/>
                </w:rPr>
                <w:t>https://www.ncsc.gov.uk/guidance/protecting-bulk-personal-data-introduction</w:t>
              </w:r>
            </w:hyperlink>
            <w:r w:rsidRPr="00871477">
              <w:t xml:space="preserve"> </w:t>
            </w:r>
          </w:p>
        </w:tc>
      </w:tr>
      <w:tr w:rsidR="00871477" w:rsidRPr="00871477" w:rsidTr="00871477">
        <w:tc>
          <w:tcPr>
            <w:tcW w:w="959"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numPr>
                <w:ilvl w:val="0"/>
                <w:numId w:val="30"/>
              </w:numPr>
              <w:overflowPunct/>
              <w:autoSpaceDE/>
              <w:autoSpaceDN/>
              <w:adjustRightInd/>
              <w:spacing w:before="120" w:after="120"/>
              <w:jc w:val="left"/>
              <w:textAlignment w:val="auto"/>
            </w:pPr>
          </w:p>
        </w:tc>
        <w:tc>
          <w:tcPr>
            <w:tcW w:w="2268"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Governance</w:t>
            </w:r>
          </w:p>
        </w:tc>
        <w:tc>
          <w:tcPr>
            <w:tcW w:w="6095"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pPr>
            <w:r w:rsidRPr="00871477">
              <w:t>The Supplier shall provide evidence of robust handling processes throughout the lifecycle of all information held on the system which conforms to the definition of personal data defined within the Data Protection Act 1998 or other UK regulatory requirements.  The robust handling procedures will need to specify the procedural measures implemented to ensure:</w:t>
            </w:r>
          </w:p>
          <w:p w:rsidR="00871477" w:rsidRPr="00871477" w:rsidRDefault="00871477" w:rsidP="00871477">
            <w:pPr>
              <w:numPr>
                <w:ilvl w:val="0"/>
                <w:numId w:val="32"/>
              </w:numPr>
              <w:overflowPunct/>
              <w:autoSpaceDE/>
              <w:autoSpaceDN/>
              <w:adjustRightInd/>
              <w:spacing w:before="120" w:after="120"/>
              <w:ind w:left="720"/>
              <w:jc w:val="left"/>
              <w:textAlignment w:val="auto"/>
            </w:pPr>
            <w:r w:rsidRPr="00871477">
              <w:t>There are clearly defined roles associated with any access to bulk Authority data.</w:t>
            </w:r>
          </w:p>
          <w:p w:rsidR="00871477" w:rsidRPr="00871477" w:rsidRDefault="00871477" w:rsidP="00871477">
            <w:pPr>
              <w:numPr>
                <w:ilvl w:val="0"/>
                <w:numId w:val="32"/>
              </w:numPr>
              <w:overflowPunct/>
              <w:autoSpaceDE/>
              <w:autoSpaceDN/>
              <w:adjustRightInd/>
              <w:spacing w:before="120" w:after="120"/>
              <w:ind w:left="720"/>
              <w:jc w:val="left"/>
              <w:textAlignment w:val="auto"/>
            </w:pPr>
            <w:r w:rsidRPr="00871477">
              <w:t>Where a role is identified as having access to bulk Authority data there shall be defined responsibilities which detail any actions which can be performed in support of maintaining Service availability.</w:t>
            </w:r>
          </w:p>
          <w:p w:rsidR="00871477" w:rsidRPr="00871477" w:rsidRDefault="00871477" w:rsidP="00871477">
            <w:pPr>
              <w:numPr>
                <w:ilvl w:val="0"/>
                <w:numId w:val="32"/>
              </w:numPr>
              <w:overflowPunct/>
              <w:autoSpaceDE/>
              <w:autoSpaceDN/>
              <w:adjustRightInd/>
              <w:spacing w:before="120" w:after="120"/>
              <w:ind w:left="720"/>
              <w:jc w:val="left"/>
              <w:textAlignment w:val="auto"/>
            </w:pPr>
            <w:r w:rsidRPr="00871477">
              <w:t>There shall be a process defined which authorises Supplier staff to be able access to bulk Authority data for purposes of delivering and maintaining the Service availability.</w:t>
            </w:r>
          </w:p>
          <w:p w:rsidR="00871477" w:rsidRPr="00871477" w:rsidRDefault="00871477" w:rsidP="00871477">
            <w:pPr>
              <w:numPr>
                <w:ilvl w:val="0"/>
                <w:numId w:val="32"/>
              </w:numPr>
              <w:overflowPunct/>
              <w:autoSpaceDE/>
              <w:autoSpaceDN/>
              <w:adjustRightInd/>
              <w:spacing w:before="120" w:after="120"/>
              <w:ind w:left="720"/>
              <w:jc w:val="left"/>
              <w:textAlignment w:val="auto"/>
            </w:pPr>
            <w:r w:rsidRPr="00871477">
              <w:lastRenderedPageBreak/>
              <w:t>Any individual being given access to bulk Authority data is aware of the HMG requirements for data protection.</w:t>
            </w:r>
          </w:p>
          <w:p w:rsidR="00871477" w:rsidRPr="00871477" w:rsidRDefault="00871477" w:rsidP="00871477">
            <w:pPr>
              <w:numPr>
                <w:ilvl w:val="0"/>
                <w:numId w:val="32"/>
              </w:numPr>
              <w:overflowPunct/>
              <w:autoSpaceDE/>
              <w:autoSpaceDN/>
              <w:adjustRightInd/>
              <w:spacing w:before="120" w:after="120"/>
              <w:ind w:left="720"/>
              <w:jc w:val="left"/>
              <w:textAlignment w:val="auto"/>
            </w:pPr>
            <w:r w:rsidRPr="00871477">
              <w:t>The Supplier nominates an individual within its organisation who is independent from the programme delivery team and is responsible for ensuring the enforcement of the measures defined above.</w:t>
            </w:r>
          </w:p>
        </w:tc>
      </w:tr>
      <w:tr w:rsidR="00871477" w:rsidRPr="00871477" w:rsidTr="00871477">
        <w:tc>
          <w:tcPr>
            <w:tcW w:w="959" w:type="dxa"/>
            <w:tcBorders>
              <w:top w:val="single" w:sz="4" w:space="0" w:color="auto"/>
              <w:left w:val="single" w:sz="4" w:space="0" w:color="auto"/>
              <w:bottom w:val="single" w:sz="4" w:space="0" w:color="auto"/>
              <w:right w:val="single" w:sz="4" w:space="0" w:color="auto"/>
            </w:tcBorders>
          </w:tcPr>
          <w:p w:rsidR="00871477" w:rsidRPr="00871477" w:rsidRDefault="00871477" w:rsidP="00871477">
            <w:pPr>
              <w:numPr>
                <w:ilvl w:val="0"/>
                <w:numId w:val="30"/>
              </w:numPr>
              <w:overflowPunct/>
              <w:autoSpaceDE/>
              <w:autoSpaceDN/>
              <w:adjustRightInd/>
              <w:spacing w:before="120" w:after="120"/>
              <w:jc w:val="left"/>
              <w:textAlignment w:val="auto"/>
            </w:pPr>
          </w:p>
        </w:tc>
        <w:tc>
          <w:tcPr>
            <w:tcW w:w="2268"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rPr>
                <w:bCs/>
                <w:color w:val="000000"/>
                <w:lang w:eastAsia="en-GB"/>
              </w:rPr>
            </w:pPr>
            <w:r w:rsidRPr="00871477">
              <w:rPr>
                <w:bCs/>
                <w:color w:val="000000"/>
                <w:lang w:eastAsia="en-GB"/>
              </w:rPr>
              <w:t>Operational security</w:t>
            </w:r>
          </w:p>
        </w:tc>
        <w:tc>
          <w:tcPr>
            <w:tcW w:w="6095" w:type="dxa"/>
            <w:tcBorders>
              <w:top w:val="single" w:sz="4" w:space="0" w:color="auto"/>
              <w:left w:val="single" w:sz="4" w:space="0" w:color="auto"/>
              <w:bottom w:val="single" w:sz="4" w:space="0" w:color="auto"/>
              <w:right w:val="single" w:sz="4" w:space="0" w:color="auto"/>
            </w:tcBorders>
            <w:hideMark/>
          </w:tcPr>
          <w:p w:rsidR="00871477" w:rsidRPr="00871477" w:rsidRDefault="00871477" w:rsidP="00871477">
            <w:pPr>
              <w:spacing w:before="120" w:after="120"/>
              <w:rPr>
                <w:lang w:eastAsia="ja-JP"/>
              </w:rPr>
            </w:pPr>
            <w:r w:rsidRPr="00871477">
              <w:rPr>
                <w:color w:val="000000"/>
                <w:lang w:eastAsia="en-GB"/>
              </w:rPr>
              <w:t>This Supplier incident reporting process shall include reporting security incidents to the Data Controller and ICO</w:t>
            </w:r>
            <w:r w:rsidRPr="00871477">
              <w:rPr>
                <w:color w:val="000000"/>
                <w:lang w:eastAsia="en-GB"/>
              </w:rPr>
              <w:br/>
            </w:r>
            <w:r w:rsidRPr="00871477">
              <w:rPr>
                <w:color w:val="000000"/>
                <w:lang w:eastAsia="en-GB"/>
              </w:rPr>
              <w:br/>
              <w:t>The supplier shall agree with Authority triggers and timescales for sharing such incidents with service Contracting Authority (s) which have compromised OFFICIAL-SENISITIVE data.</w:t>
            </w:r>
            <w:r w:rsidRPr="00871477">
              <w:rPr>
                <w:color w:val="000000"/>
                <w:lang w:eastAsia="en-GB"/>
              </w:rPr>
              <w:br/>
            </w:r>
            <w:r w:rsidRPr="00871477">
              <w:rPr>
                <w:color w:val="000000"/>
                <w:lang w:eastAsia="en-GB"/>
              </w:rPr>
              <w:br/>
              <w:t>The Supplier shall publish and agreed with the Authority the content and format of security incident notifications for sharing information involving OFFICIAL SENISTIVE.  The Supplier shall agree with the Authority a restricted distribution group with individuals who have a “need to know” for incident involving OFFICIAL SENISITIVE data.</w:t>
            </w:r>
            <w:r w:rsidRPr="00871477">
              <w:rPr>
                <w:color w:val="000000"/>
                <w:lang w:eastAsia="en-GB"/>
              </w:rPr>
              <w:br/>
            </w:r>
          </w:p>
        </w:tc>
      </w:tr>
    </w:tbl>
    <w:p w:rsidR="00871477" w:rsidRPr="00871477" w:rsidRDefault="00871477" w:rsidP="00871477">
      <w:pPr>
        <w:spacing w:before="120" w:after="120"/>
        <w:rPr>
          <w:rFonts w:eastAsia="MS Mincho"/>
          <w:lang w:eastAsia="ja-JP"/>
        </w:rPr>
      </w:pPr>
    </w:p>
    <w:p w:rsidR="00871477" w:rsidRPr="00871477" w:rsidRDefault="00871477" w:rsidP="00871477">
      <w:pPr>
        <w:spacing w:before="120" w:after="120"/>
        <w:rPr>
          <w:rFonts w:eastAsia="STZhongsong"/>
          <w:b/>
          <w:caps/>
          <w:lang w:eastAsia="zh-CN"/>
        </w:rPr>
        <w:sectPr w:rsidR="00871477" w:rsidRPr="00871477" w:rsidSect="00871477">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9" w:h="16834" w:code="9"/>
          <w:pgMar w:top="1526" w:right="1440" w:bottom="1800" w:left="1440" w:header="426" w:footer="720" w:gutter="0"/>
          <w:pgNumType w:start="1"/>
          <w:cols w:space="720"/>
          <w:noEndnote/>
        </w:sect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pPr>
    </w:p>
    <w:p w:rsidR="00871477" w:rsidRPr="00871477" w:rsidRDefault="00871477" w:rsidP="00871477">
      <w:pPr>
        <w:spacing w:before="120" w:after="120"/>
        <w:jc w:val="center"/>
        <w:outlineLvl w:val="1"/>
        <w:rPr>
          <w:rFonts w:eastAsia="STZhongsong"/>
          <w:b/>
          <w:caps/>
          <w:lang w:eastAsia="zh-CN"/>
        </w:rPr>
        <w:sectPr w:rsidR="00871477" w:rsidRPr="00871477" w:rsidSect="0003592B">
          <w:endnotePr>
            <w:numFmt w:val="decimal"/>
          </w:endnotePr>
          <w:type w:val="continuous"/>
          <w:pgSz w:w="11909" w:h="16834" w:code="9"/>
          <w:pgMar w:top="1525" w:right="1440" w:bottom="1797" w:left="1440" w:header="425" w:footer="720" w:gutter="0"/>
          <w:cols w:space="720"/>
          <w:noEndnote/>
        </w:sectPr>
      </w:pPr>
      <w:bookmarkStart w:id="110" w:name="_Toc492462961"/>
      <w:r w:rsidRPr="00871477">
        <w:rPr>
          <w:rFonts w:eastAsia="STZhongsong"/>
          <w:b/>
          <w:caps/>
          <w:lang w:eastAsia="zh-CN"/>
        </w:rPr>
        <w:lastRenderedPageBreak/>
        <w:t>ANNEX 1: Security Policy</w:t>
      </w:r>
      <w:bookmarkEnd w:id="110"/>
    </w:p>
    <w:p w:rsidR="00871477" w:rsidRPr="00871477" w:rsidRDefault="00871477" w:rsidP="00871477">
      <w:pPr>
        <w:spacing w:before="120" w:after="120"/>
        <w:rPr>
          <w:rFonts w:eastAsia="Calibri"/>
          <w:b/>
          <w:u w:val="single"/>
          <w:lang w:eastAsia="ja-JP"/>
        </w:rPr>
      </w:pPr>
    </w:p>
    <w:p w:rsidR="00871477" w:rsidRPr="00871477" w:rsidRDefault="00871477" w:rsidP="00871477">
      <w:pPr>
        <w:spacing w:before="120" w:after="120"/>
        <w:rPr>
          <w:rFonts w:eastAsia="Calibri"/>
          <w:b/>
          <w:u w:val="single"/>
          <w:lang w:eastAsia="ja-JP"/>
        </w:rPr>
      </w:pPr>
      <w:r w:rsidRPr="00871477">
        <w:rPr>
          <w:rFonts w:eastAsia="Calibri"/>
          <w:b/>
          <w:u w:val="single"/>
          <w:lang w:eastAsia="ja-JP"/>
        </w:rPr>
        <w:t>Data Security Principles/Implementation Objectives Matrix</w:t>
      </w:r>
    </w:p>
    <w:tbl>
      <w:tblPr>
        <w:tblW w:w="0" w:type="auto"/>
        <w:tblInd w:w="93" w:type="dxa"/>
        <w:tblLayout w:type="fixed"/>
        <w:tblLook w:val="04A0" w:firstRow="1" w:lastRow="0" w:firstColumn="1" w:lastColumn="0" w:noHBand="0" w:noVBand="1"/>
      </w:tblPr>
      <w:tblGrid>
        <w:gridCol w:w="480"/>
        <w:gridCol w:w="3079"/>
        <w:gridCol w:w="3119"/>
        <w:gridCol w:w="1984"/>
        <w:gridCol w:w="5043"/>
      </w:tblGrid>
      <w:tr w:rsidR="00871477" w:rsidRPr="00871477" w:rsidTr="00871477">
        <w:trPr>
          <w:trHeight w:val="615"/>
        </w:trPr>
        <w:tc>
          <w:tcPr>
            <w:tcW w:w="480" w:type="dxa"/>
            <w:tcBorders>
              <w:top w:val="single" w:sz="8" w:space="0" w:color="auto"/>
              <w:left w:val="single" w:sz="8" w:space="0" w:color="auto"/>
              <w:bottom w:val="nil"/>
              <w:right w:val="nil"/>
            </w:tcBorders>
            <w:shd w:val="clear" w:color="auto" w:fill="auto"/>
            <w:noWrap/>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079"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xml:space="preserve">Headline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Principle</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Sub-points</w:t>
            </w:r>
          </w:p>
        </w:tc>
        <w:tc>
          <w:tcPr>
            <w:tcW w:w="5043" w:type="dxa"/>
            <w:tcBorders>
              <w:top w:val="single" w:sz="8" w:space="0" w:color="auto"/>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Implementation Objectives</w:t>
            </w:r>
          </w:p>
        </w:tc>
      </w:tr>
      <w:tr w:rsidR="00871477" w:rsidRPr="00871477" w:rsidTr="00871477">
        <w:trPr>
          <w:trHeight w:val="1967"/>
        </w:trPr>
        <w:tc>
          <w:tcPr>
            <w:tcW w:w="480" w:type="dxa"/>
            <w:tcBorders>
              <w:top w:val="single" w:sz="8" w:space="0" w:color="auto"/>
              <w:left w:val="single" w:sz="8" w:space="0" w:color="auto"/>
              <w:bottom w:val="nil"/>
              <w:right w:val="single" w:sz="8" w:space="0" w:color="auto"/>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t>1</w:t>
            </w:r>
          </w:p>
        </w:tc>
        <w:tc>
          <w:tcPr>
            <w:tcW w:w="3079" w:type="dxa"/>
            <w:tcBorders>
              <w:top w:val="nil"/>
              <w:left w:val="nil"/>
              <w:bottom w:val="nil"/>
              <w:right w:val="single" w:sz="8" w:space="0" w:color="auto"/>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Data in transit protection</w:t>
            </w:r>
          </w:p>
        </w:tc>
        <w:tc>
          <w:tcPr>
            <w:tcW w:w="3119" w:type="dxa"/>
            <w:tcBorders>
              <w:top w:val="nil"/>
              <w:left w:val="nil"/>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OFFICIAL data transiting from a Contracting Authority service consumer across untrusted networks should be adequately protected against tampering and eavesdropping (integrity and confidentiality).</w:t>
            </w:r>
          </w:p>
        </w:tc>
        <w:tc>
          <w:tcPr>
            <w:tcW w:w="1984" w:type="dxa"/>
            <w:tcBorders>
              <w:top w:val="nil"/>
              <w:left w:val="nil"/>
              <w:bottom w:val="nil"/>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 </w:t>
            </w:r>
          </w:p>
        </w:tc>
        <w:tc>
          <w:tcPr>
            <w:tcW w:w="5043" w:type="dxa"/>
            <w:tcBorders>
              <w:top w:val="single" w:sz="4" w:space="0" w:color="auto"/>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in transit is protected between the Contracting Authority’s end user devices and the service.</w:t>
            </w:r>
            <w:r w:rsidRPr="00871477">
              <w:rPr>
                <w:rFonts w:eastAsia="MS Mincho"/>
                <w:color w:val="000000"/>
                <w:lang w:eastAsia="en-GB"/>
              </w:rPr>
              <w:br/>
            </w:r>
          </w:p>
        </w:tc>
      </w:tr>
      <w:tr w:rsidR="00871477" w:rsidRPr="00871477" w:rsidTr="00871477">
        <w:trPr>
          <w:trHeight w:val="1810"/>
        </w:trPr>
        <w:tc>
          <w:tcPr>
            <w:tcW w:w="480" w:type="dxa"/>
            <w:tcBorders>
              <w:top w:val="single" w:sz="8" w:space="0" w:color="auto"/>
              <w:left w:val="single" w:sz="8" w:space="0" w:color="auto"/>
              <w:bottom w:val="nil"/>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nil"/>
              <w:right w:val="single" w:sz="8" w:space="0" w:color="auto"/>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8" w:space="0" w:color="auto"/>
              <w:left w:val="nil"/>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OFFICIAL data transiting the Supplier's internal networks should be adequately protected against tampering and eavesdropping (integrity and confidentiality).</w:t>
            </w:r>
          </w:p>
        </w:tc>
        <w:tc>
          <w:tcPr>
            <w:tcW w:w="1984" w:type="dxa"/>
            <w:tcBorders>
              <w:top w:val="single" w:sz="8" w:space="0" w:color="auto"/>
              <w:left w:val="nil"/>
              <w:bottom w:val="nil"/>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 </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in transit is protected internally within the service.</w:t>
            </w:r>
          </w:p>
        </w:tc>
      </w:tr>
      <w:tr w:rsidR="00871477" w:rsidRPr="00871477" w:rsidTr="00871477">
        <w:trPr>
          <w:trHeight w:val="1540"/>
        </w:trPr>
        <w:tc>
          <w:tcPr>
            <w:tcW w:w="480" w:type="dxa"/>
            <w:tcBorders>
              <w:top w:val="single" w:sz="8" w:space="0" w:color="auto"/>
              <w:left w:val="single" w:sz="8" w:space="0" w:color="auto"/>
              <w:bottom w:val="single" w:sz="8" w:space="0" w:color="auto"/>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OFFICIAL data transiting untrusted networks should be adequately protected against tampering and eavesdropping (integrity and confidentiality).</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in transit is protected between the service and other services (e.g. where APIs are exposed).</w:t>
            </w:r>
          </w:p>
        </w:tc>
      </w:tr>
      <w:tr w:rsidR="00871477" w:rsidRPr="00871477" w:rsidTr="00871477">
        <w:trPr>
          <w:trHeight w:val="3666"/>
        </w:trPr>
        <w:tc>
          <w:tcPr>
            <w:tcW w:w="480" w:type="dxa"/>
            <w:tcBorders>
              <w:top w:val="single" w:sz="8" w:space="0" w:color="auto"/>
              <w:left w:val="single" w:sz="8" w:space="0" w:color="auto"/>
              <w:bottom w:val="nil"/>
              <w:right w:val="single" w:sz="8" w:space="0" w:color="auto"/>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2</w:t>
            </w:r>
          </w:p>
        </w:tc>
        <w:tc>
          <w:tcPr>
            <w:tcW w:w="3079" w:type="dxa"/>
            <w:tcBorders>
              <w:top w:val="single" w:sz="8" w:space="0" w:color="auto"/>
              <w:left w:val="nil"/>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Asset protection and resilience</w:t>
            </w:r>
          </w:p>
        </w:tc>
        <w:tc>
          <w:tcPr>
            <w:tcW w:w="3119" w:type="dxa"/>
            <w:tcBorders>
              <w:top w:val="single" w:sz="8" w:space="0" w:color="auto"/>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Contracting Authority or Contracting Authority data, and the assets storing or processing it, should be protected against physical tampering, loss, damage or seizure.</w:t>
            </w:r>
            <w:r w:rsidRPr="00871477">
              <w:rPr>
                <w:rFonts w:eastAsia="MS Mincho"/>
                <w:lang w:eastAsia="en-GB"/>
              </w:rPr>
              <w:br/>
            </w:r>
            <w:r w:rsidRPr="00871477">
              <w:rPr>
                <w:rFonts w:eastAsia="MS Mincho"/>
                <w:lang w:eastAsia="en-GB"/>
              </w:rPr>
              <w:br/>
              <w:t>OFFICIAL data shall be protected to a level which is comparable with that required under UK legislation</w:t>
            </w:r>
          </w:p>
        </w:tc>
        <w:tc>
          <w:tcPr>
            <w:tcW w:w="1984" w:type="dxa"/>
            <w:tcBorders>
              <w:top w:val="single" w:sz="8" w:space="0" w:color="auto"/>
              <w:left w:val="nil"/>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Physical location and legal jurisdiction</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Suppliers shall ensure that the following information is made available to the Contracting Authorities: </w:t>
            </w:r>
            <w:r w:rsidRPr="00871477">
              <w:rPr>
                <w:rFonts w:eastAsia="MS Mincho"/>
                <w:color w:val="000000"/>
                <w:lang w:eastAsia="en-GB"/>
              </w:rPr>
              <w:br/>
            </w:r>
            <w:r w:rsidRPr="00871477">
              <w:rPr>
                <w:rFonts w:eastAsia="MS Mincho"/>
                <w:color w:val="000000"/>
                <w:lang w:eastAsia="en-GB"/>
              </w:rPr>
              <w:br/>
              <w:t xml:space="preserve">The geographic locations where Contracting Authority data is stored, processed or managed from. </w:t>
            </w:r>
            <w:r w:rsidRPr="00871477">
              <w:rPr>
                <w:rFonts w:eastAsia="MS Mincho"/>
                <w:color w:val="000000"/>
                <w:lang w:eastAsia="en-GB"/>
              </w:rPr>
              <w:br/>
            </w:r>
            <w:r w:rsidRPr="00871477">
              <w:rPr>
                <w:rFonts w:eastAsia="MS Mincho"/>
                <w:color w:val="000000"/>
                <w:lang w:eastAsia="en-GB"/>
              </w:rPr>
              <w:br/>
              <w:t>The applicable legal jurisdictions that the Suppliers operates within and how it provides comparable controls to those required under UK legislation.</w:t>
            </w:r>
            <w:r w:rsidRPr="00871477">
              <w:rPr>
                <w:rFonts w:eastAsia="MS Mincho"/>
                <w:color w:val="000000"/>
                <w:lang w:eastAsia="en-GB"/>
              </w:rPr>
              <w:br/>
            </w:r>
            <w:r w:rsidRPr="00871477">
              <w:rPr>
                <w:rFonts w:eastAsia="MS Mincho"/>
                <w:color w:val="000000"/>
                <w:lang w:eastAsia="en-GB"/>
              </w:rPr>
              <w:br/>
              <w:t>The Contracting Authority (where applicable) shall be informed of any changes to the above.</w:t>
            </w:r>
          </w:p>
        </w:tc>
      </w:tr>
      <w:tr w:rsidR="00871477" w:rsidRPr="00871477" w:rsidTr="00871477">
        <w:trPr>
          <w:trHeight w:val="1534"/>
        </w:trPr>
        <w:tc>
          <w:tcPr>
            <w:tcW w:w="480" w:type="dxa"/>
            <w:tcBorders>
              <w:top w:val="nil"/>
              <w:left w:val="single" w:sz="8" w:space="0" w:color="auto"/>
              <w:bottom w:val="nil"/>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8"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OFFICIAL data shall physical protection against unauthorised access, tampering, theft and /or reconfiguration of data processing services.</w:t>
            </w:r>
          </w:p>
        </w:tc>
        <w:tc>
          <w:tcPr>
            <w:tcW w:w="1984" w:type="dxa"/>
            <w:tcBorders>
              <w:top w:val="nil"/>
              <w:left w:val="nil"/>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Datacentre security</w:t>
            </w:r>
          </w:p>
        </w:tc>
        <w:tc>
          <w:tcPr>
            <w:tcW w:w="5043" w:type="dxa"/>
            <w:tcBorders>
              <w:top w:val="nil"/>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processing locations used to deliver the service are adequately protected.</w:t>
            </w:r>
          </w:p>
        </w:tc>
      </w:tr>
      <w:tr w:rsidR="00871477" w:rsidRPr="00871477" w:rsidTr="00871477">
        <w:trPr>
          <w:trHeight w:val="1553"/>
        </w:trPr>
        <w:tc>
          <w:tcPr>
            <w:tcW w:w="480" w:type="dxa"/>
            <w:tcBorders>
              <w:top w:val="nil"/>
              <w:left w:val="single" w:sz="8" w:space="0" w:color="auto"/>
              <w:bottom w:val="nil"/>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OFFICIAL data when stored on any type of removable media or storage within a service shall not be accessible by local unauthorised parties.</w:t>
            </w:r>
          </w:p>
        </w:tc>
        <w:tc>
          <w:tcPr>
            <w:tcW w:w="1984" w:type="dxa"/>
            <w:tcBorders>
              <w:top w:val="single" w:sz="4" w:space="0" w:color="auto"/>
              <w:left w:val="nil"/>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at rest protection</w:t>
            </w:r>
          </w:p>
        </w:tc>
        <w:tc>
          <w:tcPr>
            <w:tcW w:w="5043" w:type="dxa"/>
            <w:tcBorders>
              <w:top w:val="nil"/>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Contracting Authority has confidence that removable storage media containing their data is adequately protected from unauthorised access.</w:t>
            </w:r>
          </w:p>
        </w:tc>
      </w:tr>
      <w:tr w:rsidR="00871477" w:rsidRPr="00871477" w:rsidTr="00871477">
        <w:trPr>
          <w:trHeight w:val="1550"/>
        </w:trPr>
        <w:tc>
          <w:tcPr>
            <w:tcW w:w="480" w:type="dxa"/>
            <w:tcBorders>
              <w:top w:val="nil"/>
              <w:left w:val="single" w:sz="8" w:space="0" w:color="auto"/>
              <w:bottom w:val="nil"/>
              <w:right w:val="single" w:sz="8" w:space="0" w:color="auto"/>
            </w:tcBorders>
            <w:shd w:val="clear" w:color="000000" w:fill="FFFFFF"/>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nil"/>
              <w:right w:val="nil"/>
            </w:tcBorders>
            <w:shd w:val="clear" w:color="000000" w:fill="FFFFFF"/>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4" w:space="0" w:color="auto"/>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process of provisioning, migrating and de-provisioning resources shall not result in unauthorised access to the Contracting Authority's data.</w:t>
            </w:r>
          </w:p>
        </w:tc>
        <w:tc>
          <w:tcPr>
            <w:tcW w:w="1984" w:type="dxa"/>
            <w:tcBorders>
              <w:top w:val="single" w:sz="4" w:space="0" w:color="auto"/>
              <w:left w:val="nil"/>
              <w:bottom w:val="single" w:sz="8" w:space="0" w:color="auto"/>
              <w:right w:val="single" w:sz="8" w:space="0" w:color="auto"/>
            </w:tcBorders>
            <w:shd w:val="clear" w:color="000000" w:fill="FFFFFF"/>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sanitisation - retention period</w:t>
            </w:r>
          </w:p>
        </w:tc>
        <w:tc>
          <w:tcPr>
            <w:tcW w:w="5043" w:type="dxa"/>
            <w:tcBorders>
              <w:top w:val="single" w:sz="4" w:space="0" w:color="auto"/>
              <w:left w:val="single" w:sz="8" w:space="0" w:color="auto"/>
              <w:bottom w:val="single" w:sz="8" w:space="0" w:color="auto"/>
              <w:right w:val="single" w:sz="8" w:space="0" w:color="auto"/>
            </w:tcBorders>
            <w:shd w:val="clear" w:color="000000" w:fill="FFFFFF"/>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Suppliers shall inform Contracting Authority’s how long it will take to securely erase Contracting Authority data (including from any backups) from the Services.</w:t>
            </w:r>
          </w:p>
        </w:tc>
      </w:tr>
      <w:tr w:rsidR="00871477" w:rsidRPr="00871477" w:rsidTr="00871477">
        <w:trPr>
          <w:trHeight w:val="1173"/>
        </w:trPr>
        <w:tc>
          <w:tcPr>
            <w:tcW w:w="480" w:type="dxa"/>
            <w:tcBorders>
              <w:top w:val="nil"/>
              <w:left w:val="single" w:sz="8" w:space="0" w:color="auto"/>
              <w:bottom w:val="nil"/>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lastRenderedPageBreak/>
              <w:t> </w:t>
            </w:r>
          </w:p>
        </w:tc>
        <w:tc>
          <w:tcPr>
            <w:tcW w:w="3079" w:type="dxa"/>
            <w:tcBorders>
              <w:top w:val="nil"/>
              <w:left w:val="nil"/>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nil"/>
              <w:left w:val="single" w:sz="8" w:space="0" w:color="auto"/>
              <w:bottom w:val="single" w:sz="4" w:space="0" w:color="auto"/>
              <w:right w:val="single" w:sz="8" w:space="0" w:color="auto"/>
            </w:tcBorders>
            <w:shd w:val="clear" w:color="000000" w:fill="FFFFFF"/>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Data sanitisation - Contracting Authority  on-boarding and off-boarding</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The Supplier shall securely erase Contracting Authority data when components are moved or re-provisioned, upon request by the Contracting Authority or when the Contracting Authority leaves the service.  The Supplier shall sanitise media in accordance with NCSC guidance </w:t>
            </w:r>
            <w:hyperlink r:id="rId27" w:history="1">
              <w:r w:rsidRPr="00871477">
                <w:rPr>
                  <w:rFonts w:eastAsia="MS Mincho"/>
                  <w:color w:val="0000FF"/>
                  <w:u w:val="single"/>
                  <w:lang w:eastAsia="en-GB"/>
                </w:rPr>
                <w:t>https://www.ncsc.gov.uk/guidance/secure-sanitisation-storage-media</w:t>
              </w:r>
            </w:hyperlink>
            <w:r w:rsidRPr="00871477">
              <w:rPr>
                <w:rFonts w:eastAsia="MS Mincho"/>
                <w:color w:val="000000"/>
                <w:lang w:eastAsia="en-GB"/>
              </w:rPr>
              <w:t xml:space="preserve"> </w:t>
            </w:r>
          </w:p>
        </w:tc>
      </w:tr>
      <w:tr w:rsidR="00871477" w:rsidRPr="00871477" w:rsidTr="00871477">
        <w:trPr>
          <w:trHeight w:val="2111"/>
        </w:trPr>
        <w:tc>
          <w:tcPr>
            <w:tcW w:w="480" w:type="dxa"/>
            <w:tcBorders>
              <w:top w:val="nil"/>
              <w:left w:val="single" w:sz="8" w:space="0" w:color="auto"/>
              <w:bottom w:val="nil"/>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Once equipment used to deliver the service reaches the end of it useful life it should be disposed of in a way that does not compromise the security of the service or Contracting Authority 's data </w:t>
            </w:r>
          </w:p>
        </w:tc>
        <w:tc>
          <w:tcPr>
            <w:tcW w:w="1984" w:type="dxa"/>
            <w:tcBorders>
              <w:top w:val="nil"/>
              <w:left w:val="nil"/>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Equipment Disposal</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All equipment potentially holding Contracting Authority data, credentials, or configuration information for the service shall be identified.</w:t>
            </w:r>
            <w:r w:rsidRPr="00871477">
              <w:rPr>
                <w:rFonts w:eastAsia="MS Mincho"/>
                <w:color w:val="000000"/>
                <w:lang w:eastAsia="en-GB"/>
              </w:rPr>
              <w:br w:type="page"/>
            </w:r>
            <w:r w:rsidRPr="00871477">
              <w:rPr>
                <w:rFonts w:eastAsia="MS Mincho"/>
                <w:color w:val="000000"/>
                <w:lang w:eastAsia="en-GB"/>
              </w:rPr>
              <w:br w:type="page"/>
              <w:t>Storage media which has held Contracting Authority data shall be appropriately sanitised or securely destroyed at the end of its lifecycle.</w:t>
            </w:r>
            <w:r w:rsidRPr="00871477">
              <w:rPr>
                <w:rFonts w:eastAsia="MS Mincho"/>
                <w:color w:val="000000"/>
                <w:lang w:eastAsia="en-GB"/>
              </w:rPr>
              <w:br w:type="page"/>
            </w:r>
            <w:r w:rsidRPr="00871477">
              <w:rPr>
                <w:rFonts w:eastAsia="MS Mincho"/>
                <w:color w:val="000000"/>
                <w:lang w:eastAsia="en-GB"/>
              </w:rPr>
              <w:br w:type="page"/>
              <w:t>Accounts or credentials specific to the redundant equipment are revoked.</w:t>
            </w:r>
          </w:p>
        </w:tc>
      </w:tr>
      <w:tr w:rsidR="00871477" w:rsidRPr="00871477" w:rsidTr="00871477">
        <w:trPr>
          <w:trHeight w:val="1844"/>
        </w:trPr>
        <w:tc>
          <w:tcPr>
            <w:tcW w:w="480" w:type="dxa"/>
            <w:tcBorders>
              <w:top w:val="nil"/>
              <w:left w:val="single" w:sz="8" w:space="0" w:color="auto"/>
              <w:bottom w:val="single" w:sz="8" w:space="0" w:color="auto"/>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nil"/>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service shall have the ability to operate normally in the event of failures, incidents or attacks</w:t>
            </w:r>
          </w:p>
        </w:tc>
        <w:tc>
          <w:tcPr>
            <w:tcW w:w="1984" w:type="dxa"/>
            <w:tcBorders>
              <w:top w:val="nil"/>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Physical resilience and availability</w:t>
            </w:r>
          </w:p>
        </w:tc>
        <w:tc>
          <w:tcPr>
            <w:tcW w:w="5043" w:type="dxa"/>
            <w:tcBorders>
              <w:top w:val="nil"/>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The Supplier shall clearly articulate the availability capabilities and commitments of the service. </w:t>
            </w:r>
            <w:r w:rsidRPr="00871477">
              <w:rPr>
                <w:rFonts w:eastAsia="MS Mincho"/>
                <w:color w:val="000000"/>
                <w:lang w:eastAsia="en-GB"/>
              </w:rPr>
              <w:br/>
            </w:r>
            <w:r w:rsidRPr="00871477">
              <w:rPr>
                <w:rFonts w:eastAsia="MS Mincho"/>
                <w:color w:val="000000"/>
                <w:lang w:eastAsia="en-GB"/>
              </w:rPr>
              <w:br/>
              <w:t>The service has adequate resiliency measures in place.</w:t>
            </w:r>
          </w:p>
        </w:tc>
      </w:tr>
      <w:tr w:rsidR="00871477" w:rsidRPr="00871477" w:rsidTr="00871477">
        <w:trPr>
          <w:trHeight w:val="2957"/>
        </w:trPr>
        <w:tc>
          <w:tcPr>
            <w:tcW w:w="480" w:type="dxa"/>
            <w:tcBorders>
              <w:top w:val="nil"/>
              <w:left w:val="single" w:sz="8" w:space="0" w:color="auto"/>
              <w:bottom w:val="single" w:sz="8" w:space="0" w:color="auto"/>
              <w:right w:val="single" w:sz="8" w:space="0" w:color="auto"/>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3</w:t>
            </w:r>
          </w:p>
        </w:tc>
        <w:tc>
          <w:tcPr>
            <w:tcW w:w="3079" w:type="dxa"/>
            <w:tcBorders>
              <w:top w:val="nil"/>
              <w:left w:val="nil"/>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Separation between tenants</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Separation should exist between Contracting Authority (s) of a service to prevent a malicious or compromised Contracting Authority from affecting the confidentiality, integrity or availability of another Contracting Authority of the service. </w:t>
            </w:r>
          </w:p>
        </w:tc>
        <w:tc>
          <w:tcPr>
            <w:tcW w:w="1984" w:type="dxa"/>
            <w:tcBorders>
              <w:top w:val="nil"/>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Contracting Authority should be informed of any other Contracting Authority they share the platform or service with</w:t>
            </w:r>
            <w:r w:rsidRPr="00871477">
              <w:rPr>
                <w:rFonts w:eastAsia="MS Mincho"/>
                <w:color w:val="000000"/>
                <w:lang w:eastAsia="en-GB"/>
              </w:rPr>
              <w:br/>
            </w:r>
            <w:r w:rsidRPr="00871477">
              <w:rPr>
                <w:rFonts w:eastAsia="MS Mincho"/>
                <w:color w:val="000000"/>
                <w:lang w:eastAsia="en-GB"/>
              </w:rPr>
              <w:br/>
              <w:t>Separation between Contracting Authority (s) shall be enforced at all points within the service where the service is exposed to Contracting Authority (s). One Contracting Authority shall not be able to affect the confidentiality, integrity or availability of another Contracting Authority.</w:t>
            </w:r>
            <w:r w:rsidRPr="00871477">
              <w:rPr>
                <w:rFonts w:eastAsia="MS Mincho"/>
                <w:color w:val="000000"/>
                <w:lang w:eastAsia="en-GB"/>
              </w:rPr>
              <w:br/>
            </w:r>
          </w:p>
        </w:tc>
      </w:tr>
      <w:tr w:rsidR="00871477" w:rsidRPr="00871477" w:rsidTr="00871477">
        <w:trPr>
          <w:trHeight w:val="6780"/>
        </w:trPr>
        <w:tc>
          <w:tcPr>
            <w:tcW w:w="480" w:type="dxa"/>
            <w:tcBorders>
              <w:top w:val="single" w:sz="8" w:space="0" w:color="auto"/>
              <w:left w:val="single" w:sz="8" w:space="0" w:color="auto"/>
              <w:bottom w:val="nil"/>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4</w:t>
            </w:r>
          </w:p>
        </w:tc>
        <w:tc>
          <w:tcPr>
            <w:tcW w:w="3079" w:type="dxa"/>
            <w:tcBorders>
              <w:top w:val="single" w:sz="8" w:space="0" w:color="auto"/>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Governance</w:t>
            </w:r>
          </w:p>
        </w:tc>
        <w:tc>
          <w:tcPr>
            <w:tcW w:w="3119" w:type="dxa"/>
            <w:tcBorders>
              <w:top w:val="single" w:sz="8" w:space="0" w:color="auto"/>
              <w:left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 has a security governance framework that co-ordinates and directs the provider’s overall approach to the management of ICT systems, services and information.</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IA Risk Management Processes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A clearly identified, and named, board representative (or a person with the direct delegated authority of) shall be responsible for the security of the cloud service. This is typically someone with the title Chief Security Officer, Chief Information Officer or Chief Technical Officer.</w:t>
            </w:r>
            <w:r w:rsidRPr="00871477">
              <w:rPr>
                <w:rFonts w:eastAsia="MS Mincho"/>
                <w:color w:val="000000"/>
                <w:lang w:eastAsia="en-GB"/>
              </w:rPr>
              <w:br/>
            </w:r>
            <w:r w:rsidRPr="00871477">
              <w:rPr>
                <w:rFonts w:eastAsia="MS Mincho"/>
                <w:color w:val="000000"/>
                <w:lang w:eastAsia="en-GB"/>
              </w:rPr>
              <w:br/>
              <w:t xml:space="preserve">The Supplier’s security governance framework is formally documented, as are policies governing key aspects of information security relating to the service. </w:t>
            </w:r>
            <w:r w:rsidRPr="00871477">
              <w:rPr>
                <w:rFonts w:eastAsia="MS Mincho"/>
                <w:color w:val="000000"/>
                <w:lang w:eastAsia="en-GB"/>
              </w:rPr>
              <w:br/>
            </w:r>
            <w:r w:rsidRPr="00871477">
              <w:rPr>
                <w:rFonts w:eastAsia="MS Mincho"/>
                <w:color w:val="000000"/>
                <w:lang w:eastAsia="en-GB"/>
              </w:rPr>
              <w:br/>
              <w:t>Information security is incorporated into the Supplier’s financial and operational risk reporting mechanisms for the service.</w:t>
            </w:r>
            <w:r w:rsidRPr="00871477">
              <w:rPr>
                <w:rFonts w:eastAsia="MS Mincho"/>
                <w:color w:val="000000"/>
                <w:lang w:eastAsia="en-GB"/>
              </w:rPr>
              <w:br/>
            </w:r>
            <w:r w:rsidRPr="00871477">
              <w:rPr>
                <w:rFonts w:eastAsia="MS Mincho"/>
                <w:color w:val="000000"/>
                <w:lang w:eastAsia="en-GB"/>
              </w:rPr>
              <w:br/>
              <w:t>The Supplier has defined roles and responsibilities for information security within the service and allocated them to named individuals. This includes a named individual with responsibility for managing the security aspects of the service.</w:t>
            </w:r>
            <w:r w:rsidRPr="00871477">
              <w:rPr>
                <w:rFonts w:eastAsia="MS Mincho"/>
                <w:color w:val="000000"/>
                <w:lang w:eastAsia="en-GB"/>
              </w:rPr>
              <w:br/>
            </w:r>
            <w:r w:rsidRPr="00871477">
              <w:rPr>
                <w:rFonts w:eastAsia="MS Mincho"/>
                <w:color w:val="000000"/>
                <w:lang w:eastAsia="en-GB"/>
              </w:rPr>
              <w:br/>
              <w:t>The Supplier has processes in place to identify and ensure compliance with applicable legal and regulatory requirements relating to the service.</w:t>
            </w:r>
          </w:p>
        </w:tc>
      </w:tr>
      <w:tr w:rsidR="00871477" w:rsidRPr="00871477" w:rsidTr="00871477">
        <w:trPr>
          <w:trHeight w:val="831"/>
        </w:trPr>
        <w:tc>
          <w:tcPr>
            <w:tcW w:w="480" w:type="dxa"/>
            <w:tcBorders>
              <w:top w:val="nil"/>
              <w:left w:val="single" w:sz="8" w:space="0" w:color="auto"/>
              <w:bottom w:val="single" w:sz="8" w:space="0" w:color="auto"/>
              <w:right w:val="nil"/>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IA Organisational Maturity </w:t>
            </w:r>
          </w:p>
        </w:tc>
        <w:tc>
          <w:tcPr>
            <w:tcW w:w="5043" w:type="dxa"/>
            <w:tcBorders>
              <w:top w:val="single" w:sz="8" w:space="0" w:color="auto"/>
              <w:left w:val="nil"/>
              <w:bottom w:val="single" w:sz="8" w:space="0" w:color="auto"/>
              <w:right w:val="single" w:sz="4"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 can demonstrate a sufficient degree of IA Maturity.</w:t>
            </w:r>
          </w:p>
        </w:tc>
      </w:tr>
      <w:tr w:rsidR="00871477" w:rsidRPr="00871477" w:rsidTr="00871477">
        <w:trPr>
          <w:trHeight w:val="2107"/>
        </w:trPr>
        <w:tc>
          <w:tcPr>
            <w:tcW w:w="480" w:type="dxa"/>
            <w:tcBorders>
              <w:top w:val="single" w:sz="8" w:space="0" w:color="auto"/>
              <w:left w:val="single" w:sz="8" w:space="0" w:color="auto"/>
              <w:bottom w:val="nil"/>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5</w:t>
            </w:r>
          </w:p>
        </w:tc>
        <w:tc>
          <w:tcPr>
            <w:tcW w:w="3079" w:type="dxa"/>
            <w:tcBorders>
              <w:top w:val="single" w:sz="8" w:space="0" w:color="auto"/>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Operational security</w:t>
            </w:r>
          </w:p>
        </w:tc>
        <w:tc>
          <w:tcPr>
            <w:tcW w:w="3119" w:type="dxa"/>
            <w:tcBorders>
              <w:top w:val="single" w:sz="8" w:space="0" w:color="auto"/>
              <w:left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The Supplier has processes and procedures in place to ensure the operational security of the service.</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Configuration and change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status, location and configuration of service components (including hardware and software components) shall be tracked to ensure they can be effectively managed and remain securely configured.</w:t>
            </w:r>
            <w:r w:rsidRPr="00871477">
              <w:rPr>
                <w:rFonts w:eastAsia="MS Mincho"/>
                <w:color w:val="000000"/>
                <w:lang w:eastAsia="en-GB"/>
              </w:rPr>
              <w:br/>
              <w:t xml:space="preserve">Changes to the service shall be assessed for potential security impact. They shall be managed and tracked through to completion. </w:t>
            </w:r>
          </w:p>
        </w:tc>
      </w:tr>
      <w:tr w:rsidR="00871477" w:rsidRPr="00871477" w:rsidTr="00871477">
        <w:trPr>
          <w:trHeight w:val="1965"/>
        </w:trPr>
        <w:tc>
          <w:tcPr>
            <w:tcW w:w="480" w:type="dxa"/>
            <w:tcBorders>
              <w:top w:val="nil"/>
              <w:left w:val="single" w:sz="8" w:space="0" w:color="auto"/>
              <w:bottom w:val="nil"/>
              <w:right w:val="nil"/>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Vulnerability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Potential new threats, vulnerabilities or exploitation techniques which could affect the service are assessed and corrective action is taken.</w:t>
            </w:r>
          </w:p>
        </w:tc>
      </w:tr>
      <w:tr w:rsidR="00871477" w:rsidRPr="00871477" w:rsidTr="00871477">
        <w:trPr>
          <w:trHeight w:val="5850"/>
        </w:trPr>
        <w:tc>
          <w:tcPr>
            <w:tcW w:w="480" w:type="dxa"/>
            <w:tcBorders>
              <w:top w:val="nil"/>
              <w:left w:val="single" w:sz="8" w:space="0" w:color="auto"/>
              <w:bottom w:val="nil"/>
              <w:right w:val="nil"/>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lastRenderedPageBreak/>
              <w:t> </w:t>
            </w:r>
          </w:p>
        </w:tc>
        <w:tc>
          <w:tcPr>
            <w:tcW w:w="3079" w:type="dxa"/>
            <w:tcBorders>
              <w:top w:val="nil"/>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Protective monitoring</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service shall collect data events from all relevant Contractor devices to support effective identification that all implementation objectives are operating effectively.</w:t>
            </w:r>
            <w:r w:rsidRPr="00871477">
              <w:rPr>
                <w:rFonts w:eastAsia="MS Mincho"/>
                <w:color w:val="000000"/>
                <w:lang w:eastAsia="en-GB"/>
              </w:rPr>
              <w:br w:type="page"/>
            </w:r>
            <w:r w:rsidRPr="00871477">
              <w:rPr>
                <w:rFonts w:eastAsia="MS Mincho"/>
                <w:color w:val="000000"/>
                <w:lang w:eastAsia="en-GB"/>
              </w:rPr>
              <w:br w:type="page"/>
              <w:t>There shall be effective automated analysis systems in place, supported by adequately trained staff, which identify and prioritise indications in the data that may be related to malicious activities.</w:t>
            </w:r>
            <w:r w:rsidRPr="00871477">
              <w:rPr>
                <w:rFonts w:eastAsia="MS Mincho"/>
                <w:color w:val="000000"/>
                <w:lang w:eastAsia="en-GB"/>
              </w:rPr>
              <w:br w:type="page"/>
            </w:r>
            <w:r w:rsidRPr="00871477">
              <w:rPr>
                <w:rFonts w:eastAsia="MS Mincho"/>
                <w:color w:val="000000"/>
                <w:lang w:eastAsia="en-GB"/>
              </w:rPr>
              <w:br w:type="page"/>
              <w:t>The Supplier shall provide Contracting Authority’s with alerts resulting from protective monitoring which impact the implementation objectives within 24 hours. NCSC Security Operation Centre provides recommended Good Practice for the implementation of a protective monitoring solution.</w:t>
            </w:r>
          </w:p>
        </w:tc>
      </w:tr>
      <w:tr w:rsidR="00871477" w:rsidRPr="00871477" w:rsidTr="00871477">
        <w:trPr>
          <w:trHeight w:val="4365"/>
        </w:trPr>
        <w:tc>
          <w:tcPr>
            <w:tcW w:w="480" w:type="dxa"/>
            <w:tcBorders>
              <w:top w:val="nil"/>
              <w:left w:val="single" w:sz="8" w:space="0" w:color="auto"/>
              <w:bottom w:val="nil"/>
              <w:right w:val="nil"/>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strike/>
                <w:color w:val="000000"/>
                <w:lang w:eastAsia="en-GB"/>
              </w:rPr>
              <w:lastRenderedPageBreak/>
              <w:t> </w:t>
            </w:r>
          </w:p>
        </w:tc>
        <w:tc>
          <w:tcPr>
            <w:tcW w:w="3079" w:type="dxa"/>
            <w:tcBorders>
              <w:top w:val="nil"/>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strike/>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1984" w:type="dxa"/>
            <w:tcBorders>
              <w:top w:val="single" w:sz="8" w:space="0" w:color="auto"/>
              <w:left w:val="nil"/>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Incident management</w:t>
            </w:r>
          </w:p>
        </w:tc>
        <w:tc>
          <w:tcPr>
            <w:tcW w:w="5043" w:type="dxa"/>
            <w:tcBorders>
              <w:top w:val="single" w:sz="8" w:space="0" w:color="auto"/>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A defined process and contact route shall exist for reporting of security incidents by Contracting Authority (s) and external entities.</w:t>
            </w:r>
            <w:r w:rsidRPr="00871477">
              <w:rPr>
                <w:rFonts w:eastAsia="MS Mincho"/>
                <w:color w:val="000000"/>
                <w:lang w:eastAsia="en-GB"/>
              </w:rPr>
              <w:br/>
            </w:r>
            <w:r w:rsidRPr="00871477">
              <w:rPr>
                <w:rFonts w:eastAsia="MS Mincho"/>
                <w:color w:val="000000"/>
                <w:lang w:eastAsia="en-GB"/>
              </w:rPr>
              <w:br/>
              <w:t>A definition of a security incident shall be published for the service and the triggers and timescales for sharing such incidents with service Contracting Authority (s).</w:t>
            </w:r>
            <w:r w:rsidRPr="00871477">
              <w:rPr>
                <w:rFonts w:eastAsia="MS Mincho"/>
                <w:color w:val="000000"/>
                <w:lang w:eastAsia="en-GB"/>
              </w:rPr>
              <w:br/>
            </w:r>
            <w:r w:rsidRPr="00871477">
              <w:rPr>
                <w:rFonts w:eastAsia="MS Mincho"/>
                <w:color w:val="000000"/>
                <w:lang w:eastAsia="en-GB"/>
              </w:rPr>
              <w:br/>
              <w:t>The content and format of security incident notifications for sharing information with Contracting Authority (s) shall be published.</w:t>
            </w:r>
            <w:r w:rsidRPr="00871477">
              <w:rPr>
                <w:rFonts w:eastAsia="MS Mincho"/>
                <w:color w:val="000000"/>
                <w:lang w:eastAsia="en-GB"/>
              </w:rPr>
              <w:br/>
            </w:r>
            <w:r w:rsidRPr="00871477">
              <w:rPr>
                <w:rFonts w:eastAsia="MS Mincho"/>
                <w:color w:val="000000"/>
                <w:lang w:eastAsia="en-GB"/>
              </w:rPr>
              <w:br/>
              <w:t>The Supplier shall initiate investigations into incidents within five hours.</w:t>
            </w:r>
          </w:p>
        </w:tc>
      </w:tr>
      <w:tr w:rsidR="00871477" w:rsidRPr="00871477" w:rsidTr="00871477">
        <w:trPr>
          <w:trHeight w:val="1545"/>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t>6</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Personnel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Supplier staff should be subjected to adequate personnel security screening and security education for their role. </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Contracting Authority</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Supplier staff that have logical or physical access to the service shall be subjected to adequate personnel security screening for their role. At a minimum these checks shall include identity, unspent criminal convictions, and right to work checks.</w:t>
            </w:r>
          </w:p>
        </w:tc>
      </w:tr>
      <w:tr w:rsidR="00871477" w:rsidRPr="00871477" w:rsidTr="00871477">
        <w:trPr>
          <w:trHeight w:val="4410"/>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7</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Secure development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Services should be designed and developed to identify and mitigate threats to their security.</w:t>
            </w:r>
          </w:p>
        </w:tc>
        <w:tc>
          <w:tcPr>
            <w:tcW w:w="1984" w:type="dxa"/>
            <w:tcBorders>
              <w:top w:val="single" w:sz="8" w:space="0" w:color="auto"/>
              <w:left w:val="nil"/>
              <w:bottom w:val="single" w:sz="8" w:space="0" w:color="auto"/>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 shall have a process in place to review new and evolving threats regularly and have development plans in place to progressively improve and reinforce the security of their service against these threats.</w:t>
            </w:r>
            <w:r w:rsidRPr="00871477">
              <w:rPr>
                <w:rFonts w:eastAsia="MS Mincho"/>
                <w:color w:val="000000"/>
                <w:lang w:eastAsia="en-GB"/>
              </w:rPr>
              <w:br/>
            </w:r>
            <w:r w:rsidRPr="00871477">
              <w:rPr>
                <w:rFonts w:eastAsia="MS Mincho"/>
                <w:color w:val="000000"/>
                <w:lang w:eastAsia="en-GB"/>
              </w:rPr>
              <w:br/>
              <w:t>Software development is carried out in line with industry good practice.</w:t>
            </w:r>
            <w:r w:rsidRPr="00871477">
              <w:rPr>
                <w:rFonts w:eastAsia="MS Mincho"/>
                <w:color w:val="000000"/>
                <w:lang w:eastAsia="en-GB"/>
              </w:rPr>
              <w:br/>
            </w:r>
            <w:r w:rsidRPr="00871477">
              <w:rPr>
                <w:rFonts w:eastAsia="MS Mincho"/>
                <w:color w:val="000000"/>
                <w:lang w:eastAsia="en-GB"/>
              </w:rPr>
              <w:br/>
              <w:t>Configuration management processes are in place to ensure the integrity of the components of any software.</w:t>
            </w:r>
          </w:p>
          <w:p w:rsidR="00871477" w:rsidRPr="00871477" w:rsidRDefault="00871477" w:rsidP="00871477">
            <w:pPr>
              <w:spacing w:before="120" w:after="120"/>
              <w:rPr>
                <w:rFonts w:eastAsia="MS Mincho"/>
                <w:color w:val="000000"/>
                <w:lang w:eastAsia="en-GB"/>
              </w:rPr>
            </w:pPr>
          </w:p>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NCSC guidance on Security Design Principles for Digital Services provides best practice advice.</w:t>
            </w:r>
          </w:p>
        </w:tc>
      </w:tr>
      <w:tr w:rsidR="00871477" w:rsidRPr="00871477" w:rsidTr="00871477">
        <w:trPr>
          <w:trHeight w:val="1540"/>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t>8</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Supply chain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 should ensure that its supply chain satisfactorily supports all of the security principles that the service claims to deliver.</w:t>
            </w:r>
          </w:p>
        </w:tc>
        <w:tc>
          <w:tcPr>
            <w:tcW w:w="1984" w:type="dxa"/>
            <w:tcBorders>
              <w:top w:val="single" w:sz="8" w:space="0" w:color="auto"/>
              <w:left w:val="nil"/>
              <w:bottom w:val="single" w:sz="8" w:space="0" w:color="auto"/>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 shall clearly define information is shared with or accessible by its third party Contractors (and their supply chains).</w:t>
            </w:r>
            <w:r w:rsidRPr="00871477">
              <w:rPr>
                <w:rFonts w:eastAsia="MS Mincho"/>
                <w:color w:val="000000"/>
                <w:lang w:eastAsia="en-GB"/>
              </w:rPr>
              <w:br/>
            </w:r>
            <w:r w:rsidRPr="00871477">
              <w:rPr>
                <w:rFonts w:eastAsia="MS Mincho"/>
                <w:color w:val="000000"/>
                <w:lang w:eastAsia="en-GB"/>
              </w:rPr>
              <w:br/>
              <w:t>The Supplier’s procurement processes shall ensure that the minimum relevant security requirements for all third party Contractors and delivery partners are explicitly documented.</w:t>
            </w:r>
            <w:r w:rsidRPr="00871477">
              <w:rPr>
                <w:rFonts w:eastAsia="MS Mincho"/>
                <w:color w:val="000000"/>
                <w:lang w:eastAsia="en-GB"/>
              </w:rPr>
              <w:br/>
            </w:r>
            <w:r w:rsidRPr="00871477">
              <w:rPr>
                <w:rFonts w:eastAsia="MS Mincho"/>
                <w:color w:val="000000"/>
                <w:lang w:eastAsia="en-GB"/>
              </w:rPr>
              <w:br/>
              <w:t>The risks to the Supplier from Sub-Contractors and delivery partners shall be regularly assessed and appropriate security controls implemented.</w:t>
            </w:r>
            <w:r w:rsidRPr="00871477">
              <w:rPr>
                <w:rFonts w:eastAsia="MS Mincho"/>
                <w:color w:val="000000"/>
                <w:lang w:eastAsia="en-GB"/>
              </w:rPr>
              <w:br/>
            </w:r>
            <w:r w:rsidRPr="00871477">
              <w:rPr>
                <w:rFonts w:eastAsia="MS Mincho"/>
                <w:color w:val="000000"/>
                <w:lang w:eastAsia="en-GB"/>
              </w:rPr>
              <w:br/>
              <w:t>The Supplier shall monitor its potential Sub-Contractor's compliance with security requirements and initiate remedial action where necessary.</w:t>
            </w:r>
            <w:r w:rsidRPr="00871477">
              <w:rPr>
                <w:rFonts w:eastAsia="MS Mincho"/>
                <w:color w:val="000000"/>
                <w:lang w:eastAsia="en-GB"/>
              </w:rPr>
              <w:br/>
            </w:r>
            <w:r w:rsidRPr="00871477">
              <w:rPr>
                <w:rFonts w:eastAsia="MS Mincho"/>
                <w:color w:val="000000"/>
                <w:lang w:eastAsia="en-GB"/>
              </w:rPr>
              <w:lastRenderedPageBreak/>
              <w:br/>
              <w:t>The Supplier’s procurement process shall ensure that following contract termination all assets are returned, removed (or appropriately destroyed) and any Sub-Contractors’ access rights to the Supplier’s internal systems or information are removed.</w:t>
            </w:r>
            <w:r w:rsidRPr="00871477">
              <w:rPr>
                <w:rFonts w:eastAsia="MS Mincho"/>
                <w:color w:val="000000"/>
                <w:lang w:eastAsia="en-GB"/>
              </w:rPr>
              <w:br/>
            </w:r>
            <w:r w:rsidRPr="00871477">
              <w:rPr>
                <w:rFonts w:eastAsia="MS Mincho"/>
                <w:color w:val="000000"/>
                <w:lang w:eastAsia="en-GB"/>
              </w:rPr>
              <w:br/>
              <w:t>The Supplier shall categorise each Sub-Contractor as one of the following:</w:t>
            </w:r>
            <w:r w:rsidRPr="00871477">
              <w:rPr>
                <w:rFonts w:eastAsia="MS Mincho"/>
                <w:color w:val="000000"/>
                <w:lang w:eastAsia="en-GB"/>
              </w:rPr>
              <w:br/>
            </w:r>
            <w:r w:rsidRPr="00871477">
              <w:rPr>
                <w:rFonts w:eastAsia="MS Mincho"/>
                <w:color w:val="000000"/>
                <w:lang w:eastAsia="en-GB"/>
              </w:rPr>
              <w:br/>
              <w:t xml:space="preserve">Type 1 - access to aggregated Contracting Authority Consumer data </w:t>
            </w:r>
            <w:r w:rsidRPr="00871477">
              <w:rPr>
                <w:rFonts w:eastAsia="MS Mincho"/>
                <w:color w:val="000000"/>
                <w:lang w:eastAsia="en-GB"/>
              </w:rPr>
              <w:br/>
              <w:t xml:space="preserve">Type  2 – access to limited number (less than 10) individual Contracting Authority Consumer records </w:t>
            </w:r>
            <w:r w:rsidRPr="00871477">
              <w:rPr>
                <w:rFonts w:eastAsia="MS Mincho"/>
                <w:color w:val="000000"/>
                <w:lang w:eastAsia="en-GB"/>
              </w:rPr>
              <w:br/>
              <w:t xml:space="preserve">Type 3 – access to only part of an I individual Contracting Authority Consumer records </w:t>
            </w:r>
            <w:r w:rsidRPr="00871477">
              <w:rPr>
                <w:rFonts w:eastAsia="MS Mincho"/>
                <w:color w:val="000000"/>
                <w:lang w:eastAsia="en-GB"/>
              </w:rPr>
              <w:br/>
              <w:t xml:space="preserve">Type 4 – no access to Contracting Authority Consumer records </w:t>
            </w:r>
          </w:p>
        </w:tc>
      </w:tr>
      <w:tr w:rsidR="00871477" w:rsidRPr="00871477" w:rsidTr="00871477">
        <w:trPr>
          <w:trHeight w:val="2107"/>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9</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Contracting Authority management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Contracting Authority should be provided with tools to enable them to securely manage their service.</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Authentication of Contracting Authority to management interfaces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Only properly authorised individuals from the Contracting Authority organisation can authenticate to, and access management tools for the service.</w:t>
            </w:r>
            <w:r w:rsidRPr="00871477">
              <w:rPr>
                <w:rFonts w:eastAsia="MS Mincho"/>
                <w:color w:val="000000"/>
                <w:lang w:eastAsia="en-GB"/>
              </w:rPr>
              <w:br/>
            </w:r>
            <w:r w:rsidRPr="00871477">
              <w:rPr>
                <w:rFonts w:eastAsia="MS Mincho"/>
                <w:color w:val="000000"/>
                <w:lang w:eastAsia="en-GB"/>
              </w:rPr>
              <w:br/>
              <w:t>Only authorised individuals from the Contracting Authority are able to perform actions  affecting the service through support channels</w:t>
            </w:r>
          </w:p>
        </w:tc>
      </w:tr>
      <w:tr w:rsidR="00871477" w:rsidRPr="00871477" w:rsidTr="00871477">
        <w:trPr>
          <w:trHeight w:val="2248"/>
        </w:trPr>
        <w:tc>
          <w:tcPr>
            <w:tcW w:w="480" w:type="dxa"/>
            <w:tcBorders>
              <w:top w:val="single" w:sz="8" w:space="0" w:color="auto"/>
              <w:left w:val="single" w:sz="8" w:space="0" w:color="auto"/>
              <w:bottom w:val="nil"/>
              <w:right w:val="nil"/>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lastRenderedPageBreak/>
              <w:t> </w:t>
            </w:r>
          </w:p>
        </w:tc>
        <w:tc>
          <w:tcPr>
            <w:tcW w:w="3079" w:type="dxa"/>
            <w:tcBorders>
              <w:top w:val="single" w:sz="8" w:space="0" w:color="auto"/>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single" w:sz="8" w:space="0" w:color="auto"/>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Separation of Contracting Authority within management interfaces</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No other Contracting Authority service consumer can access management tools for the service.</w:t>
            </w:r>
            <w:r w:rsidRPr="00871477">
              <w:rPr>
                <w:rFonts w:eastAsia="MS Mincho"/>
                <w:color w:val="000000"/>
                <w:lang w:eastAsia="en-GB"/>
              </w:rPr>
              <w:br/>
            </w:r>
            <w:r w:rsidRPr="00871477">
              <w:rPr>
                <w:rFonts w:eastAsia="MS Mincho"/>
                <w:color w:val="000000"/>
                <w:lang w:eastAsia="en-GB"/>
              </w:rPr>
              <w:br/>
              <w:t>The contracting shall be able to constrain permissions granted to authorised individuals from the Contracting Authority to perform actions affecting the service.</w:t>
            </w:r>
          </w:p>
        </w:tc>
      </w:tr>
      <w:tr w:rsidR="00871477" w:rsidRPr="00871477" w:rsidTr="00871477">
        <w:trPr>
          <w:trHeight w:val="1553"/>
        </w:trPr>
        <w:tc>
          <w:tcPr>
            <w:tcW w:w="480" w:type="dxa"/>
            <w:tcBorders>
              <w:top w:val="nil"/>
              <w:left w:val="single" w:sz="8" w:space="0" w:color="auto"/>
              <w:bottom w:val="nil"/>
              <w:right w:val="nil"/>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3079" w:type="dxa"/>
            <w:tcBorders>
              <w:top w:val="nil"/>
              <w:left w:val="single" w:sz="8" w:space="0" w:color="auto"/>
              <w:bottom w:val="nil"/>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1984" w:type="dxa"/>
            <w:tcBorders>
              <w:top w:val="nil"/>
              <w:left w:val="nil"/>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Secure Contracting Authority Service Change Authorisation</w:t>
            </w:r>
          </w:p>
        </w:tc>
        <w:tc>
          <w:tcPr>
            <w:tcW w:w="5043" w:type="dxa"/>
            <w:tcBorders>
              <w:top w:val="nil"/>
              <w:left w:val="single" w:sz="8" w:space="0" w:color="auto"/>
              <w:bottom w:val="nil"/>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A Supplier support procedures shall identify when a support action is security related (such as altering a user’s access permissions, or changing user credentials) and ensure appropriate authorisation is in place for this change.</w:t>
            </w:r>
          </w:p>
        </w:tc>
      </w:tr>
      <w:tr w:rsidR="00871477" w:rsidRPr="00871477" w:rsidTr="00871477">
        <w:trPr>
          <w:trHeight w:val="1537"/>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t>10</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Identity and Authentication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Contracting Authority and Supplier access to all service interfaces should be constrained to authenticated and authorised individuals.</w:t>
            </w:r>
          </w:p>
        </w:tc>
        <w:tc>
          <w:tcPr>
            <w:tcW w:w="1984" w:type="dxa"/>
            <w:tcBorders>
              <w:top w:val="single" w:sz="8" w:space="0" w:color="auto"/>
              <w:left w:val="nil"/>
              <w:bottom w:val="single" w:sz="8" w:space="0" w:color="auto"/>
              <w:right w:val="single" w:sz="8" w:space="0" w:color="auto"/>
            </w:tcBorders>
            <w:shd w:val="clear" w:color="auto" w:fill="auto"/>
            <w:noWrap/>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Supplier shall implement controls which provide confidence that a user has authorisation to access a specific interface.</w:t>
            </w:r>
            <w:r w:rsidRPr="00871477">
              <w:rPr>
                <w:rFonts w:eastAsia="MS Mincho"/>
                <w:color w:val="000000"/>
                <w:lang w:eastAsia="en-GB"/>
              </w:rPr>
              <w:br w:type="page"/>
            </w:r>
          </w:p>
        </w:tc>
      </w:tr>
      <w:tr w:rsidR="00871477" w:rsidRPr="00871477" w:rsidTr="00871477">
        <w:trPr>
          <w:trHeight w:val="1682"/>
        </w:trPr>
        <w:tc>
          <w:tcPr>
            <w:tcW w:w="480" w:type="dxa"/>
            <w:tcBorders>
              <w:top w:val="nil"/>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t>11</w:t>
            </w:r>
          </w:p>
        </w:tc>
        <w:tc>
          <w:tcPr>
            <w:tcW w:w="3079" w:type="dxa"/>
            <w:tcBorders>
              <w:top w:val="nil"/>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External interface protection</w:t>
            </w:r>
          </w:p>
        </w:tc>
        <w:tc>
          <w:tcPr>
            <w:tcW w:w="3119" w:type="dxa"/>
            <w:tcBorders>
              <w:top w:val="nil"/>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All external interfaces of the service should be identified and have appropriate protections to defend against attacks through them. </w:t>
            </w:r>
          </w:p>
        </w:tc>
        <w:tc>
          <w:tcPr>
            <w:tcW w:w="1984" w:type="dxa"/>
            <w:tcBorders>
              <w:top w:val="nil"/>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FF0000"/>
                <w:lang w:eastAsia="en-GB"/>
              </w:rPr>
            </w:pPr>
            <w:r w:rsidRPr="00871477">
              <w:rPr>
                <w:rFonts w:eastAsia="MS Mincho"/>
                <w:color w:val="FF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service controls and protects access to elements of the service by Contracting Authority (s) and outsiders.</w:t>
            </w:r>
          </w:p>
        </w:tc>
      </w:tr>
      <w:tr w:rsidR="00871477" w:rsidRPr="00871477" w:rsidTr="00871477">
        <w:trPr>
          <w:trHeight w:val="3241"/>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12</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Secure service administration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 xml:space="preserve">The methods used by the Supplier’s administrators to manage the operational service (monitor system health, apply patches, update configuration etc.) should be designed to mitigate any risk of exploitation which could undermine the security of the service. </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lang w:eastAsia="en-GB"/>
              </w:rPr>
            </w:pPr>
            <w:r w:rsidRPr="00871477">
              <w:rPr>
                <w:rFonts w:eastAsia="MS Mincho"/>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xml:space="preserve">The networks and devices used to perform administration /management of the service shall be appropriate to protect the Contracting Authority 's data </w:t>
            </w:r>
            <w:r w:rsidRPr="00871477">
              <w:rPr>
                <w:rFonts w:eastAsia="MS Mincho"/>
                <w:color w:val="000000"/>
                <w:lang w:eastAsia="en-GB"/>
              </w:rPr>
              <w:br/>
            </w:r>
            <w:r w:rsidRPr="00871477">
              <w:rPr>
                <w:rFonts w:eastAsia="MS Mincho"/>
                <w:color w:val="000000"/>
                <w:lang w:eastAsia="en-GB"/>
              </w:rPr>
              <w:br/>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NCSC guidance on implementation of system administration architectures provides best practice.</w:t>
            </w:r>
          </w:p>
        </w:tc>
      </w:tr>
      <w:tr w:rsidR="00871477" w:rsidRPr="00871477" w:rsidTr="00871477">
        <w:trPr>
          <w:trHeight w:val="3383"/>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t>13</w:t>
            </w:r>
          </w:p>
        </w:tc>
        <w:tc>
          <w:tcPr>
            <w:tcW w:w="307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Audit information for tenants</w:t>
            </w:r>
          </w:p>
        </w:tc>
        <w:tc>
          <w:tcPr>
            <w:tcW w:w="3119"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Contracting Authority (s) should be provided with the audit records they need in order to monitor access to their service and the data held within it.</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Audit information shall be retained for a minimum of two years or until the</w:t>
            </w:r>
            <w:r w:rsidRPr="00871477">
              <w:rPr>
                <w:rFonts w:eastAsia="MS Mincho"/>
                <w:lang w:eastAsia="ja-JP"/>
              </w:rPr>
              <w:t xml:space="preserve"> </w:t>
            </w:r>
            <w:r w:rsidRPr="00871477">
              <w:rPr>
                <w:rFonts w:eastAsia="MS Mincho"/>
                <w:color w:val="000000"/>
                <w:lang w:eastAsia="en-GB"/>
              </w:rPr>
              <w:t>Contracting Authority leaves the service. The audit information shall be accessible online for a minimum of six months from the point of event collection.</w:t>
            </w:r>
            <w:r w:rsidRPr="00871477">
              <w:rPr>
                <w:rFonts w:eastAsia="MS Mincho"/>
                <w:color w:val="000000"/>
                <w:lang w:eastAsia="en-GB"/>
              </w:rPr>
              <w:br/>
            </w:r>
            <w:r w:rsidRPr="00871477">
              <w:rPr>
                <w:rFonts w:eastAsia="MS Mincho"/>
                <w:color w:val="000000"/>
                <w:lang w:eastAsia="en-GB"/>
              </w:rPr>
              <w:br/>
              <w:t xml:space="preserve">The Supplier shall make tenants aware of: </w:t>
            </w:r>
            <w:r w:rsidRPr="00871477">
              <w:rPr>
                <w:rFonts w:eastAsia="MS Mincho"/>
                <w:color w:val="000000"/>
                <w:lang w:eastAsia="en-GB"/>
              </w:rPr>
              <w:br/>
            </w:r>
            <w:r w:rsidRPr="00871477">
              <w:rPr>
                <w:rFonts w:eastAsia="MS Mincho"/>
                <w:color w:val="000000"/>
                <w:lang w:eastAsia="en-GB"/>
              </w:rPr>
              <w:br/>
              <w:t>The audit information that will be provided.</w:t>
            </w:r>
            <w:r w:rsidRPr="00871477">
              <w:rPr>
                <w:rFonts w:eastAsia="MS Mincho"/>
                <w:color w:val="000000"/>
                <w:lang w:eastAsia="en-GB"/>
              </w:rPr>
              <w:br/>
            </w:r>
            <w:r w:rsidRPr="00871477">
              <w:rPr>
                <w:rFonts w:eastAsia="MS Mincho"/>
                <w:color w:val="000000"/>
                <w:lang w:eastAsia="en-GB"/>
              </w:rPr>
              <w:br/>
              <w:t>The format of the data and the schedule by which it will be provisioned (e.g. on demand, daily etc.).</w:t>
            </w:r>
          </w:p>
        </w:tc>
      </w:tr>
      <w:tr w:rsidR="00871477" w:rsidRPr="00871477" w:rsidTr="00871477">
        <w:trPr>
          <w:trHeight w:val="2940"/>
        </w:trPr>
        <w:tc>
          <w:tcPr>
            <w:tcW w:w="480" w:type="dxa"/>
            <w:tcBorders>
              <w:top w:val="single" w:sz="8" w:space="0" w:color="auto"/>
              <w:left w:val="single" w:sz="8" w:space="0" w:color="auto"/>
              <w:bottom w:val="single" w:sz="8" w:space="0" w:color="auto"/>
              <w:right w:val="nil"/>
            </w:tcBorders>
            <w:shd w:val="clear" w:color="auto" w:fill="auto"/>
            <w:noWrap/>
            <w:hideMark/>
          </w:tcPr>
          <w:p w:rsidR="00871477" w:rsidRPr="00871477" w:rsidRDefault="00871477" w:rsidP="00871477">
            <w:pPr>
              <w:spacing w:before="120" w:after="120"/>
              <w:jc w:val="right"/>
              <w:rPr>
                <w:rFonts w:eastAsia="MS Mincho"/>
                <w:color w:val="000000"/>
                <w:lang w:eastAsia="en-GB"/>
              </w:rPr>
            </w:pPr>
            <w:r w:rsidRPr="00871477">
              <w:rPr>
                <w:rFonts w:eastAsia="MS Mincho"/>
                <w:color w:val="000000"/>
                <w:lang w:eastAsia="en-GB"/>
              </w:rPr>
              <w:lastRenderedPageBreak/>
              <w:t>14</w:t>
            </w:r>
          </w:p>
        </w:tc>
        <w:tc>
          <w:tcPr>
            <w:tcW w:w="3079" w:type="dxa"/>
            <w:tcBorders>
              <w:top w:val="single" w:sz="8" w:space="0" w:color="auto"/>
              <w:left w:val="single" w:sz="8" w:space="0" w:color="auto"/>
              <w:bottom w:val="single" w:sz="8" w:space="0" w:color="auto"/>
              <w:right w:val="nil"/>
            </w:tcBorders>
            <w:shd w:val="clear" w:color="auto" w:fill="auto"/>
            <w:hideMark/>
          </w:tcPr>
          <w:p w:rsidR="00871477" w:rsidRPr="00871477" w:rsidRDefault="00871477" w:rsidP="00871477">
            <w:pPr>
              <w:spacing w:before="120" w:after="120"/>
              <w:rPr>
                <w:rFonts w:eastAsia="MS Mincho"/>
                <w:b/>
                <w:bCs/>
                <w:color w:val="000000"/>
                <w:lang w:eastAsia="en-GB"/>
              </w:rPr>
            </w:pPr>
            <w:r w:rsidRPr="00871477">
              <w:rPr>
                <w:rFonts w:eastAsia="MS Mincho"/>
                <w:b/>
                <w:bCs/>
                <w:color w:val="000000"/>
                <w:lang w:eastAsia="en-GB"/>
              </w:rPr>
              <w:t>Security use of the Service by the consumer</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Service consumers are clear on their responsibilities when accessing the service.</w:t>
            </w:r>
          </w:p>
        </w:tc>
        <w:tc>
          <w:tcPr>
            <w:tcW w:w="1984" w:type="dxa"/>
            <w:tcBorders>
              <w:top w:val="single" w:sz="8" w:space="0" w:color="auto"/>
              <w:left w:val="nil"/>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871477" w:rsidRPr="00871477" w:rsidRDefault="00871477" w:rsidP="00871477">
            <w:pPr>
              <w:spacing w:before="120" w:after="120"/>
              <w:rPr>
                <w:rFonts w:eastAsia="MS Mincho"/>
                <w:color w:val="000000"/>
                <w:lang w:eastAsia="en-GB"/>
              </w:rPr>
            </w:pPr>
            <w:r w:rsidRPr="00871477">
              <w:rPr>
                <w:rFonts w:eastAsia="MS Mincho"/>
                <w:color w:val="000000"/>
                <w:lang w:eastAsia="en-GB"/>
              </w:rPr>
              <w:t>The Service consumer understands any service configuration options available to them and the security implications</w:t>
            </w:r>
            <w:r w:rsidRPr="00871477">
              <w:rPr>
                <w:rFonts w:eastAsia="MS Mincho"/>
                <w:color w:val="000000"/>
                <w:lang w:eastAsia="en-GB"/>
              </w:rPr>
              <w:br/>
            </w:r>
            <w:r w:rsidRPr="00871477">
              <w:rPr>
                <w:rFonts w:eastAsia="MS Mincho"/>
                <w:color w:val="000000"/>
                <w:lang w:eastAsia="en-GB"/>
              </w:rPr>
              <w:br/>
              <w:t>The Service consumer understands the security requirements on their processes, uses and infrastructure related to use of the service.</w:t>
            </w:r>
            <w:r w:rsidRPr="00871477">
              <w:rPr>
                <w:rFonts w:eastAsia="MS Mincho"/>
                <w:color w:val="000000"/>
                <w:lang w:eastAsia="en-GB"/>
              </w:rPr>
              <w:br/>
            </w:r>
            <w:r w:rsidRPr="00871477">
              <w:rPr>
                <w:rFonts w:eastAsia="MS Mincho"/>
                <w:color w:val="000000"/>
                <w:lang w:eastAsia="en-GB"/>
              </w:rPr>
              <w:br/>
              <w:t>The Contracting Authority is able to educate its privileged users in how to use it safely and securely.</w:t>
            </w:r>
          </w:p>
        </w:tc>
      </w:tr>
    </w:tbl>
    <w:p w:rsidR="00871477" w:rsidRPr="00871477" w:rsidRDefault="00871477" w:rsidP="00871477">
      <w:pPr>
        <w:spacing w:before="120" w:after="120"/>
        <w:rPr>
          <w:rFonts w:eastAsia="MS Mincho"/>
          <w:lang w:eastAsia="ja-JP"/>
        </w:rPr>
      </w:pPr>
    </w:p>
    <w:p w:rsidR="00871477" w:rsidRPr="00871477" w:rsidRDefault="00871477" w:rsidP="00871477">
      <w:pPr>
        <w:spacing w:before="120" w:after="120"/>
        <w:rPr>
          <w:bCs/>
        </w:rPr>
      </w:pPr>
    </w:p>
    <w:p w:rsidR="00871477" w:rsidRPr="00871477" w:rsidRDefault="00871477" w:rsidP="00871477">
      <w:pPr>
        <w:spacing w:before="120" w:after="120"/>
        <w:rPr>
          <w:bCs/>
        </w:rPr>
      </w:pPr>
    </w:p>
    <w:p w:rsidR="00871477" w:rsidRPr="00871477" w:rsidRDefault="00871477" w:rsidP="00871477">
      <w:pPr>
        <w:spacing w:before="120" w:after="120"/>
        <w:rPr>
          <w:bCs/>
        </w:rPr>
      </w:pPr>
    </w:p>
    <w:p w:rsidR="00871477" w:rsidRPr="00871477" w:rsidRDefault="00871477" w:rsidP="00871477">
      <w:pPr>
        <w:spacing w:before="120" w:after="120"/>
        <w:rPr>
          <w:b/>
          <w:bCs/>
        </w:rPr>
        <w:sectPr w:rsidR="00871477" w:rsidRPr="00871477" w:rsidSect="003A0818">
          <w:endnotePr>
            <w:numFmt w:val="decimal"/>
          </w:endnotePr>
          <w:pgSz w:w="16834" w:h="11909" w:orient="landscape" w:code="9"/>
          <w:pgMar w:top="1440" w:right="1525" w:bottom="1440" w:left="1797" w:header="425" w:footer="720" w:gutter="0"/>
          <w:cols w:space="720"/>
          <w:noEndnote/>
        </w:sectPr>
      </w:pPr>
    </w:p>
    <w:p w:rsidR="00871477" w:rsidRPr="00871477" w:rsidRDefault="00871477" w:rsidP="00871477">
      <w:pPr>
        <w:spacing w:before="120" w:after="120"/>
        <w:rPr>
          <w:b/>
          <w:bCs/>
        </w:rPr>
      </w:pPr>
      <w:r w:rsidRPr="00871477">
        <w:rPr>
          <w:b/>
          <w:bCs/>
        </w:rPr>
        <w:lastRenderedPageBreak/>
        <w:t>Appendix 2 – Security Delivery Objectives</w:t>
      </w:r>
    </w:p>
    <w:p w:rsidR="00871477" w:rsidRPr="00871477" w:rsidRDefault="00871477" w:rsidP="00871477">
      <w:pPr>
        <w:spacing w:before="120" w:after="120"/>
        <w:rPr>
          <w:bCs/>
        </w:rPr>
      </w:pPr>
    </w:p>
    <w:p w:rsidR="00871477" w:rsidRPr="00871477" w:rsidRDefault="00871477" w:rsidP="00871477">
      <w:pPr>
        <w:spacing w:before="120" w:after="120"/>
        <w:rPr>
          <w:bCs/>
        </w:rPr>
      </w:pPr>
      <w:r w:rsidRPr="00871477">
        <w:rPr>
          <w:bCs/>
        </w:rPr>
        <w:t>Security Governance</w:t>
      </w:r>
    </w:p>
    <w:p w:rsidR="00871477" w:rsidRPr="00871477" w:rsidRDefault="00871477" w:rsidP="00871477">
      <w:pPr>
        <w:spacing w:before="120" w:after="120"/>
        <w:rPr>
          <w:bCs/>
        </w:rPr>
      </w:pPr>
      <w:r w:rsidRPr="00871477">
        <w:rPr>
          <w:bCs/>
        </w:rPr>
        <w:tab/>
        <w:t>Security Working Group</w:t>
      </w:r>
    </w:p>
    <w:p w:rsidR="00871477" w:rsidRPr="00871477" w:rsidRDefault="00871477" w:rsidP="00871477">
      <w:pPr>
        <w:spacing w:before="120" w:after="120"/>
        <w:rPr>
          <w:bCs/>
        </w:rPr>
      </w:pPr>
      <w:r w:rsidRPr="00871477">
        <w:rPr>
          <w:bCs/>
        </w:rPr>
        <w:tab/>
        <w:t xml:space="preserve">Security Management Plan </w:t>
      </w:r>
    </w:p>
    <w:p w:rsidR="00871477" w:rsidRPr="00871477" w:rsidRDefault="00871477" w:rsidP="00871477">
      <w:pPr>
        <w:spacing w:before="120" w:after="120"/>
        <w:rPr>
          <w:bCs/>
        </w:rPr>
      </w:pPr>
      <w:r w:rsidRPr="00871477">
        <w:rPr>
          <w:bCs/>
        </w:rPr>
        <w:tab/>
        <w:t>Security Risk Register</w:t>
      </w:r>
    </w:p>
    <w:p w:rsidR="00871477" w:rsidRPr="00871477" w:rsidRDefault="00871477" w:rsidP="00871477">
      <w:pPr>
        <w:spacing w:before="120" w:after="120"/>
        <w:rPr>
          <w:bCs/>
        </w:rPr>
      </w:pPr>
      <w:r w:rsidRPr="00871477">
        <w:rPr>
          <w:bCs/>
        </w:rPr>
        <w:t>Security Risk Acceptance</w:t>
      </w:r>
    </w:p>
    <w:p w:rsidR="00871477" w:rsidRPr="00871477" w:rsidRDefault="00871477" w:rsidP="00871477">
      <w:pPr>
        <w:spacing w:before="120" w:after="120"/>
        <w:rPr>
          <w:bCs/>
        </w:rPr>
      </w:pPr>
      <w:r w:rsidRPr="00871477">
        <w:rPr>
          <w:bCs/>
        </w:rPr>
        <w:tab/>
        <w:t>Risk Management Document</w:t>
      </w:r>
    </w:p>
    <w:p w:rsidR="00871477" w:rsidRPr="00871477" w:rsidRDefault="00871477" w:rsidP="00871477">
      <w:pPr>
        <w:spacing w:before="120" w:after="120"/>
        <w:rPr>
          <w:bCs/>
        </w:rPr>
      </w:pPr>
      <w:r w:rsidRPr="00871477">
        <w:rPr>
          <w:bCs/>
        </w:rPr>
        <w:tab/>
        <w:t>Privacy Impact Assessment</w:t>
      </w:r>
    </w:p>
    <w:p w:rsidR="00871477" w:rsidRPr="00871477" w:rsidRDefault="00871477" w:rsidP="00871477">
      <w:pPr>
        <w:spacing w:before="120" w:after="120"/>
        <w:rPr>
          <w:bCs/>
        </w:rPr>
      </w:pPr>
      <w:r w:rsidRPr="00871477">
        <w:rPr>
          <w:bCs/>
        </w:rPr>
        <w:t>Security Assurance</w:t>
      </w:r>
    </w:p>
    <w:p w:rsidR="00871477" w:rsidRPr="00871477" w:rsidRDefault="00871477" w:rsidP="00871477">
      <w:pPr>
        <w:spacing w:before="120" w:after="120"/>
        <w:rPr>
          <w:bCs/>
        </w:rPr>
      </w:pPr>
      <w:r w:rsidRPr="00871477">
        <w:rPr>
          <w:bCs/>
        </w:rPr>
        <w:tab/>
        <w:t>Security Assurance Plan</w:t>
      </w:r>
    </w:p>
    <w:p w:rsidR="00871477" w:rsidRPr="00871477" w:rsidRDefault="00871477" w:rsidP="00871477">
      <w:pPr>
        <w:spacing w:before="120" w:after="120"/>
        <w:rPr>
          <w:bCs/>
        </w:rPr>
      </w:pPr>
      <w:r w:rsidRPr="00871477">
        <w:rPr>
          <w:bCs/>
        </w:rPr>
        <w:tab/>
        <w:t>Cyber Essential Scheme Certification</w:t>
      </w:r>
    </w:p>
    <w:p w:rsidR="00871477" w:rsidRPr="00871477" w:rsidRDefault="00871477" w:rsidP="00871477">
      <w:pPr>
        <w:spacing w:before="120" w:after="120"/>
        <w:rPr>
          <w:bCs/>
        </w:rPr>
      </w:pPr>
      <w:r w:rsidRPr="00871477">
        <w:rPr>
          <w:bCs/>
        </w:rPr>
        <w:t xml:space="preserve">Operational Security </w:t>
      </w:r>
    </w:p>
    <w:p w:rsidR="00871477" w:rsidRPr="00871477" w:rsidRDefault="00871477" w:rsidP="00871477">
      <w:pPr>
        <w:spacing w:before="120" w:after="120"/>
        <w:rPr>
          <w:bCs/>
        </w:rPr>
      </w:pPr>
      <w:r w:rsidRPr="00871477">
        <w:rPr>
          <w:bCs/>
        </w:rPr>
        <w:tab/>
        <w:t>Operational Security Management Report</w:t>
      </w:r>
    </w:p>
    <w:p w:rsidR="00871477" w:rsidRPr="00871477" w:rsidRDefault="00871477" w:rsidP="00871477">
      <w:pPr>
        <w:spacing w:before="120" w:after="120"/>
        <w:sectPr w:rsidR="00871477" w:rsidRPr="00871477" w:rsidSect="00871477">
          <w:endnotePr>
            <w:numFmt w:val="decimal"/>
          </w:endnotePr>
          <w:pgSz w:w="11909" w:h="16834" w:code="9"/>
          <w:pgMar w:top="1525" w:right="1440" w:bottom="1797" w:left="1440" w:header="425" w:footer="720" w:gutter="0"/>
          <w:cols w:space="720"/>
          <w:noEndnote/>
        </w:sectPr>
      </w:pPr>
    </w:p>
    <w:p w:rsidR="00871477" w:rsidRPr="00871477" w:rsidRDefault="00871477" w:rsidP="00871477">
      <w:pPr>
        <w:spacing w:before="120" w:after="120"/>
      </w:pPr>
    </w:p>
    <w:p w:rsidR="00871477" w:rsidRPr="00871477" w:rsidRDefault="00871477" w:rsidP="00871477">
      <w:pPr>
        <w:spacing w:before="120" w:after="120"/>
      </w:pPr>
    </w:p>
    <w:p w:rsidR="00871477" w:rsidRPr="00871477" w:rsidRDefault="00871477" w:rsidP="00871477">
      <w:pPr>
        <w:spacing w:before="120" w:after="120"/>
      </w:pPr>
    </w:p>
    <w:p w:rsidR="00871477" w:rsidRPr="00871477" w:rsidRDefault="00871477" w:rsidP="00871477">
      <w:pPr>
        <w:spacing w:before="120" w:after="120"/>
      </w:pPr>
    </w:p>
    <w:p w:rsidR="00871477" w:rsidRPr="00871477" w:rsidRDefault="00871477" w:rsidP="00871477">
      <w:pPr>
        <w:spacing w:before="120" w:after="120"/>
      </w:pPr>
    </w:p>
    <w:p w:rsidR="00871477" w:rsidRPr="00871477" w:rsidRDefault="00871477" w:rsidP="00871477">
      <w:pPr>
        <w:spacing w:before="120" w:after="120"/>
      </w:pPr>
    </w:p>
    <w:p w:rsidR="00871477" w:rsidRPr="00871477" w:rsidRDefault="00871477" w:rsidP="00871477">
      <w:pPr>
        <w:spacing w:before="120" w:after="120"/>
      </w:pPr>
    </w:p>
    <w:p w:rsidR="00871477" w:rsidRPr="00871477" w:rsidRDefault="00871477" w:rsidP="00871477">
      <w:pPr>
        <w:shd w:val="clear" w:color="auto" w:fill="FFFFFF"/>
        <w:spacing w:after="0"/>
        <w:jc w:val="left"/>
        <w:rPr>
          <w:b/>
          <w:bCs/>
        </w:rPr>
        <w:sectPr w:rsidR="00871477" w:rsidRPr="00871477" w:rsidSect="003A0818">
          <w:endnotePr>
            <w:numFmt w:val="decimal"/>
          </w:endnotePr>
          <w:pgSz w:w="16834" w:h="11909" w:orient="landscape" w:code="9"/>
          <w:pgMar w:top="1440" w:right="1525" w:bottom="1440" w:left="1797" w:header="425" w:footer="720" w:gutter="0"/>
          <w:cols w:space="720"/>
          <w:noEndnote/>
        </w:sectPr>
      </w:pPr>
    </w:p>
    <w:p w:rsidR="00871477" w:rsidRPr="00871477" w:rsidRDefault="00871477" w:rsidP="00871477">
      <w:pPr>
        <w:shd w:val="clear" w:color="auto" w:fill="FFFFFF"/>
        <w:spacing w:after="0"/>
        <w:jc w:val="left"/>
        <w:rPr>
          <w:b/>
          <w:lang w:eastAsia="en-GB"/>
        </w:rPr>
      </w:pPr>
      <w:r w:rsidRPr="00871477">
        <w:rPr>
          <w:b/>
          <w:bCs/>
        </w:rPr>
        <w:lastRenderedPageBreak/>
        <w:t xml:space="preserve">Appendix 3 – </w:t>
      </w:r>
      <w:r w:rsidRPr="00871477">
        <w:rPr>
          <w:b/>
          <w:lang w:eastAsia="en-GB"/>
        </w:rPr>
        <w:t>The Statement of Information System Risk Appetite</w:t>
      </w:r>
    </w:p>
    <w:p w:rsidR="00871477" w:rsidRPr="00871477" w:rsidRDefault="00871477" w:rsidP="00871477">
      <w:pPr>
        <w:spacing w:before="120" w:after="120"/>
        <w:ind w:left="360"/>
        <w:rPr>
          <w:b/>
          <w:bCs/>
        </w:rPr>
      </w:pPr>
    </w:p>
    <w:p w:rsidR="00871477" w:rsidRPr="00871477" w:rsidRDefault="00871477" w:rsidP="00871477">
      <w:pPr>
        <w:numPr>
          <w:ilvl w:val="1"/>
          <w:numId w:val="33"/>
        </w:numPr>
        <w:spacing w:before="120" w:after="120"/>
        <w:rPr>
          <w:b/>
          <w:bCs/>
        </w:rPr>
      </w:pPr>
      <w:r w:rsidRPr="00871477">
        <w:rPr>
          <w:lang w:eastAsia="en-GB"/>
        </w:rPr>
        <w:t>The data held by the system (once fully operational) will consist of:</w:t>
      </w:r>
    </w:p>
    <w:p w:rsidR="00871477" w:rsidRPr="00871477" w:rsidRDefault="00871477" w:rsidP="00871477">
      <w:pPr>
        <w:numPr>
          <w:ilvl w:val="0"/>
          <w:numId w:val="34"/>
        </w:numPr>
        <w:shd w:val="clear" w:color="auto" w:fill="FFFFFF"/>
        <w:overflowPunct/>
        <w:autoSpaceDE/>
        <w:autoSpaceDN/>
        <w:adjustRightInd/>
        <w:spacing w:after="0"/>
        <w:contextualSpacing/>
        <w:textAlignment w:val="auto"/>
        <w:rPr>
          <w:lang w:eastAsia="en-GB"/>
        </w:rPr>
      </w:pPr>
      <w:r w:rsidRPr="00871477">
        <w:rPr>
          <w:lang w:eastAsia="en-GB"/>
        </w:rPr>
        <w:t>Personal Data</w:t>
      </w:r>
    </w:p>
    <w:p w:rsidR="00871477" w:rsidRPr="00871477" w:rsidRDefault="00871477" w:rsidP="00871477">
      <w:pPr>
        <w:numPr>
          <w:ilvl w:val="0"/>
          <w:numId w:val="34"/>
        </w:numPr>
        <w:shd w:val="clear" w:color="auto" w:fill="FFFFFF"/>
        <w:overflowPunct/>
        <w:autoSpaceDE/>
        <w:autoSpaceDN/>
        <w:adjustRightInd/>
        <w:spacing w:after="0"/>
        <w:contextualSpacing/>
        <w:textAlignment w:val="auto"/>
        <w:rPr>
          <w:lang w:eastAsia="en-GB"/>
        </w:rPr>
      </w:pPr>
      <w:r w:rsidRPr="00871477">
        <w:rPr>
          <w:lang w:eastAsia="en-GB"/>
        </w:rPr>
        <w:t>Commercial Information</w:t>
      </w:r>
    </w:p>
    <w:p w:rsidR="00871477" w:rsidRPr="00871477" w:rsidRDefault="00871477" w:rsidP="00871477">
      <w:pPr>
        <w:numPr>
          <w:ilvl w:val="0"/>
          <w:numId w:val="34"/>
        </w:numPr>
        <w:shd w:val="clear" w:color="auto" w:fill="FFFFFF"/>
        <w:overflowPunct/>
        <w:autoSpaceDE/>
        <w:autoSpaceDN/>
        <w:adjustRightInd/>
        <w:spacing w:after="0"/>
        <w:contextualSpacing/>
        <w:textAlignment w:val="auto"/>
        <w:rPr>
          <w:lang w:eastAsia="en-GB"/>
        </w:rPr>
      </w:pPr>
      <w:r w:rsidRPr="00871477">
        <w:rPr>
          <w:lang w:eastAsia="en-GB"/>
        </w:rPr>
        <w:t>Departmental Corporate Information</w:t>
      </w:r>
    </w:p>
    <w:p w:rsidR="00871477" w:rsidRPr="00871477" w:rsidRDefault="00871477" w:rsidP="00871477">
      <w:pPr>
        <w:shd w:val="clear" w:color="auto" w:fill="FFFFFF"/>
        <w:spacing w:after="0"/>
        <w:rPr>
          <w:lang w:eastAsia="en-GB"/>
        </w:rPr>
      </w:pPr>
    </w:p>
    <w:p w:rsidR="00871477" w:rsidRPr="00871477" w:rsidRDefault="00871477" w:rsidP="00871477">
      <w:pPr>
        <w:numPr>
          <w:ilvl w:val="1"/>
          <w:numId w:val="33"/>
        </w:numPr>
        <w:spacing w:before="120" w:after="120"/>
        <w:rPr>
          <w:b/>
          <w:bCs/>
        </w:rPr>
      </w:pPr>
      <w:r w:rsidRPr="00871477">
        <w:rPr>
          <w:shd w:val="clear" w:color="auto" w:fill="FFFFFF"/>
        </w:rPr>
        <w:t xml:space="preserve">The risk appetite is applicable to the </w:t>
      </w:r>
      <w:r w:rsidRPr="00871477">
        <w:rPr>
          <w:lang w:eastAsia="en-GB"/>
        </w:rPr>
        <w:t xml:space="preserve">Information System </w:t>
      </w:r>
      <w:r w:rsidRPr="00871477">
        <w:rPr>
          <w:shd w:val="clear" w:color="auto" w:fill="FFFFFF"/>
        </w:rPr>
        <w:t>service and the provision of the Ordered Services.</w:t>
      </w:r>
    </w:p>
    <w:p w:rsidR="00871477" w:rsidRPr="00871477" w:rsidRDefault="00871477" w:rsidP="00871477">
      <w:pPr>
        <w:numPr>
          <w:ilvl w:val="1"/>
          <w:numId w:val="33"/>
        </w:numPr>
        <w:spacing w:before="120" w:after="120"/>
        <w:rPr>
          <w:b/>
          <w:bCs/>
        </w:rPr>
      </w:pPr>
      <w:r w:rsidRPr="00871477">
        <w:rPr>
          <w:lang w:eastAsia="en-GB"/>
        </w:rPr>
        <w:t>The Information System will hold a large amount of aggregated with potentially SENISITIVE personal data sets. There is also assessed to be a risk from an integrity perspective of these data sets and user access controls need to be put in place to ensure that there are strict control over who is able to access these. This intent should be satisfied by the Supplier of the System adequately applying the controls from a competent supplier who has been certified under an appropriate security governance regime; ISO27001, Cyber Essential or equivalent standard, and putting additional controls around any potential download and transmission of aggregated data from The Information System. In addition, a robust Protective Monitoring regime should be in place to detect any attempt to download data and export it.</w:t>
      </w:r>
    </w:p>
    <w:p w:rsidR="00871477" w:rsidRPr="00871477" w:rsidRDefault="00871477" w:rsidP="00871477">
      <w:pPr>
        <w:numPr>
          <w:ilvl w:val="1"/>
          <w:numId w:val="33"/>
        </w:numPr>
        <w:spacing w:before="120" w:after="120"/>
        <w:rPr>
          <w:b/>
          <w:bCs/>
        </w:rPr>
      </w:pPr>
      <w:r w:rsidRPr="00871477">
        <w:rPr>
          <w:lang w:eastAsia="en-GB"/>
        </w:rPr>
        <w:t>In addition, the programme will implement appropriate and proportionate controls to maintain the integrity and accuracy of data help on the service and supporting systems.  Good practice and proportionate baseline security controls will be implemented including the segregation of roles and access to update/amend data.</w:t>
      </w:r>
    </w:p>
    <w:p w:rsidR="00871477" w:rsidRPr="00871477" w:rsidRDefault="00871477" w:rsidP="00871477">
      <w:pPr>
        <w:numPr>
          <w:ilvl w:val="1"/>
          <w:numId w:val="33"/>
        </w:numPr>
        <w:spacing w:before="120" w:after="120"/>
        <w:rPr>
          <w:b/>
          <w:bCs/>
        </w:rPr>
      </w:pPr>
      <w:r w:rsidRPr="00871477">
        <w:rPr>
          <w:lang w:eastAsia="en-GB"/>
        </w:rPr>
        <w:t>While these measures will be put in place to mitigate any risk to the confidentiality of the service data where appropriate. The service shall also ensure appropriate protection in in place to mitigate the risk associated with a compromise of the availability as well as the Integrity of the data.</w:t>
      </w:r>
    </w:p>
    <w:p w:rsidR="00871477" w:rsidRPr="00871477" w:rsidRDefault="00871477" w:rsidP="00871477">
      <w:pPr>
        <w:numPr>
          <w:ilvl w:val="1"/>
          <w:numId w:val="33"/>
        </w:numPr>
        <w:spacing w:before="120" w:after="120"/>
        <w:rPr>
          <w:b/>
          <w:bCs/>
        </w:rPr>
      </w:pPr>
      <w:r w:rsidRPr="00871477">
        <w:rPr>
          <w:shd w:val="clear" w:color="auto" w:fill="FFFFFF"/>
        </w:rPr>
        <w:t xml:space="preserve">The risk appetite for the service is </w:t>
      </w:r>
      <w:r w:rsidRPr="00871477">
        <w:rPr>
          <w:b/>
          <w:shd w:val="clear" w:color="auto" w:fill="FFFFFF"/>
        </w:rPr>
        <w:t xml:space="preserve">CAUTIOUS </w:t>
      </w:r>
      <w:r w:rsidRPr="00871477">
        <w:rPr>
          <w:shd w:val="clear" w:color="auto" w:fill="FFFFFF"/>
        </w:rPr>
        <w:t>(see the treasury definitions on GOV.UK) as</w:t>
      </w:r>
      <w:r w:rsidRPr="00871477">
        <w:rPr>
          <w:lang w:eastAsia="en-GB"/>
        </w:rPr>
        <w:t xml:space="preserve"> accepted by </w:t>
      </w:r>
      <w:r w:rsidRPr="00871477">
        <w:rPr>
          <w:color w:val="000000"/>
          <w:lang w:eastAsia="en-GB"/>
        </w:rPr>
        <w:t>the service Senior Programme Executive, the service SRO and the HMG Department Office Senior Information Risk Owner (SIRO).</w:t>
      </w:r>
    </w:p>
    <w:p w:rsidR="00A01460" w:rsidRPr="004B2201" w:rsidRDefault="00A01460" w:rsidP="00871477">
      <w:pPr>
        <w:rPr>
          <w:rFonts w:ascii="Arial" w:hAnsi="Arial"/>
          <w:b/>
          <w:shd w:val="clear" w:color="auto" w:fill="FFFFFF"/>
        </w:rPr>
      </w:pPr>
    </w:p>
    <w:p w:rsidR="00A01460" w:rsidRPr="001E0FEF" w:rsidRDefault="00A01460" w:rsidP="00A01460"/>
    <w:p w:rsidR="00A01460" w:rsidRDefault="00A01460" w:rsidP="0003592B">
      <w:pPr>
        <w:spacing w:before="120" w:after="120"/>
      </w:pPr>
    </w:p>
    <w:p w:rsidR="00CF3026" w:rsidRPr="00F06A24" w:rsidRDefault="00CF3026" w:rsidP="00A01460">
      <w:pPr>
        <w:pStyle w:val="GPSL1CLAUSEHEADING"/>
        <w:numPr>
          <w:ilvl w:val="0"/>
          <w:numId w:val="0"/>
        </w:numPr>
      </w:pPr>
    </w:p>
    <w:sectPr w:rsidR="00CF3026" w:rsidRPr="00F06A24" w:rsidSect="003A0818">
      <w:headerReference w:type="even" r:id="rId28"/>
      <w:headerReference w:type="default" r:id="rId29"/>
      <w:footerReference w:type="even" r:id="rId30"/>
      <w:footerReference w:type="default" r:id="rId31"/>
      <w:headerReference w:type="first" r:id="rId32"/>
      <w:footerReference w:type="first" r:id="rId33"/>
      <w:endnotePr>
        <w:numFmt w:val="decimal"/>
      </w:endnotePr>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7F" w:rsidRDefault="002E457F" w:rsidP="006C7CF5"/>
    <w:p w:rsidR="002E457F" w:rsidRDefault="002E457F" w:rsidP="006C7CF5"/>
    <w:p w:rsidR="002E457F" w:rsidRDefault="002E457F"/>
  </w:endnote>
  <w:endnote w:type="continuationSeparator" w:id="0">
    <w:p w:rsidR="002E457F" w:rsidRDefault="002E457F" w:rsidP="006C7CF5">
      <w:r>
        <w:t xml:space="preserve"> </w:t>
      </w:r>
    </w:p>
    <w:p w:rsidR="002E457F" w:rsidRDefault="002E457F" w:rsidP="006C7CF5"/>
    <w:p w:rsidR="002E457F" w:rsidRDefault="002E457F"/>
  </w:endnote>
  <w:endnote w:type="continuationNotice" w:id="1">
    <w:p w:rsidR="002E457F" w:rsidRDefault="002E457F" w:rsidP="006C7CF5">
      <w:r>
        <w:t xml:space="preserve"> </w:t>
      </w:r>
    </w:p>
    <w:p w:rsidR="002E457F" w:rsidRDefault="002E457F" w:rsidP="006C7CF5"/>
    <w:p w:rsidR="002E457F" w:rsidRDefault="002E4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6C7CF5"/>
  <w:p w:rsidR="00857908" w:rsidRDefault="00857908"/>
  <w:p w:rsidR="00857908" w:rsidRDefault="008579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026049">
    <w:pPr>
      <w:jc w:val="lef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74503F">
      <w:rPr>
        <w:noProof/>
        <w:sz w:val="20"/>
        <w:szCs w:val="20"/>
      </w:rPr>
      <w:t>111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6C7CF5"/>
  <w:p w:rsidR="00857908" w:rsidRDefault="008579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6C7CF5"/>
  <w:p w:rsidR="00857908" w:rsidRDefault="00857908"/>
  <w:p w:rsidR="00857908" w:rsidRDefault="00857908"/>
  <w:p w:rsidR="00857908" w:rsidRDefault="0085790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026049">
    <w:pPr>
      <w:jc w:val="lef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74503F">
      <w:rPr>
        <w:noProof/>
        <w:sz w:val="20"/>
        <w:szCs w:val="20"/>
      </w:rPr>
      <w:t>157</w:t>
    </w:r>
    <w:r w:rsidRPr="002E61F2">
      <w:rPr>
        <w:sz w:val="20"/>
        <w:szCs w:val="20"/>
      </w:rPr>
      <w:fldChar w:fldCharType="end"/>
    </w:r>
    <w:r>
      <w:rPr>
        <w:sz w:val="20"/>
        <w:szCs w:val="20"/>
      </w:rPr>
      <w:t xml:space="preserve">  </w:t>
    </w:r>
  </w:p>
  <w:p w:rsidR="00857908" w:rsidRPr="005D608A" w:rsidRDefault="00857908" w:rsidP="005D608A">
    <w:pPr>
      <w:pStyle w:val="Footer"/>
      <w:pBdr>
        <w:top w:val="single" w:sz="6" w:space="1" w:color="auto"/>
      </w:pBdr>
      <w:tabs>
        <w:tab w:val="right" w:pos="8647"/>
      </w:tabs>
      <w:rPr>
        <w:sz w:val="18"/>
        <w:szCs w:val="18"/>
        <w:lang w:eastAsia="zh-CN"/>
      </w:rPr>
    </w:pPr>
    <w:r w:rsidRPr="005D608A">
      <w:rPr>
        <w:sz w:val="18"/>
        <w:szCs w:val="18"/>
      </w:rPr>
      <w:t>RM3823 Apprenticeship Training and Related Services</w:t>
    </w:r>
  </w:p>
  <w:p w:rsidR="00857908" w:rsidRPr="005D608A" w:rsidRDefault="00857908" w:rsidP="005D608A">
    <w:pPr>
      <w:pStyle w:val="Footer"/>
      <w:pBdr>
        <w:top w:val="single" w:sz="6" w:space="1" w:color="auto"/>
      </w:pBdr>
      <w:tabs>
        <w:tab w:val="right" w:pos="8647"/>
      </w:tabs>
      <w:rPr>
        <w:sz w:val="18"/>
        <w:szCs w:val="18"/>
      </w:rPr>
    </w:pPr>
    <w:r w:rsidRPr="005D608A">
      <w:rPr>
        <w:sz w:val="18"/>
        <w:szCs w:val="18"/>
      </w:rPr>
      <w:t xml:space="preserve">Attachment </w:t>
    </w:r>
    <w:r>
      <w:rPr>
        <w:sz w:val="18"/>
        <w:szCs w:val="18"/>
      </w:rPr>
      <w:t>4</w:t>
    </w:r>
    <w:r w:rsidRPr="005D608A">
      <w:rPr>
        <w:sz w:val="18"/>
        <w:szCs w:val="18"/>
      </w:rPr>
      <w:t xml:space="preserve"> </w:t>
    </w:r>
    <w:r>
      <w:rPr>
        <w:sz w:val="18"/>
        <w:szCs w:val="18"/>
      </w:rPr>
      <w:t xml:space="preserve">- </w:t>
    </w:r>
    <w:r w:rsidRPr="005D608A">
      <w:rPr>
        <w:sz w:val="18"/>
        <w:szCs w:val="18"/>
      </w:rPr>
      <w:t xml:space="preserve">Framework Agreement </w:t>
    </w:r>
    <w:r>
      <w:rPr>
        <w:sz w:val="18"/>
        <w:szCs w:val="18"/>
      </w:rPr>
      <w:t>Lot A</w:t>
    </w:r>
  </w:p>
  <w:p w:rsidR="00857908" w:rsidRPr="005D608A" w:rsidRDefault="00857908" w:rsidP="005D608A">
    <w:pPr>
      <w:pStyle w:val="Footer"/>
      <w:pBdr>
        <w:top w:val="single" w:sz="6" w:space="1" w:color="auto"/>
      </w:pBdr>
      <w:tabs>
        <w:tab w:val="right" w:pos="8647"/>
      </w:tabs>
      <w:rPr>
        <w:sz w:val="18"/>
        <w:szCs w:val="18"/>
      </w:rPr>
    </w:pPr>
    <w:r w:rsidRPr="005D608A">
      <w:rPr>
        <w:sz w:val="18"/>
        <w:szCs w:val="18"/>
      </w:rPr>
      <w:t>V1.0</w:t>
    </w:r>
  </w:p>
  <w:p w:rsidR="00857908" w:rsidRPr="005D608A" w:rsidRDefault="00857908" w:rsidP="005D608A">
    <w:pPr>
      <w:tabs>
        <w:tab w:val="center" w:pos="4153"/>
        <w:tab w:val="right" w:pos="8306"/>
      </w:tabs>
      <w:overflowPunct/>
      <w:autoSpaceDE/>
      <w:autoSpaceDN/>
      <w:adjustRightInd/>
      <w:jc w:val="left"/>
      <w:textAlignment w:val="auto"/>
      <w:rPr>
        <w:rFonts w:eastAsia="SimSun"/>
        <w:sz w:val="18"/>
        <w:szCs w:val="18"/>
        <w:lang w:eastAsia="zh-CN"/>
      </w:rPr>
    </w:pPr>
    <w:r w:rsidRPr="005D608A">
      <w:rPr>
        <w:rFonts w:eastAsia="SimSun"/>
        <w:sz w:val="18"/>
        <w:szCs w:val="18"/>
        <w:lang w:eastAsia="zh-CN"/>
      </w:rPr>
      <w:t>© Crowncopyright2017</w:t>
    </w:r>
  </w:p>
  <w:p w:rsidR="00857908" w:rsidRDefault="0085790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6C7CF5"/>
  <w:p w:rsidR="00857908" w:rsidRDefault="00857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7F" w:rsidRDefault="002E457F" w:rsidP="006C7CF5">
      <w:r>
        <w:separator/>
      </w:r>
    </w:p>
    <w:p w:rsidR="002E457F" w:rsidRDefault="002E457F" w:rsidP="006C7CF5"/>
    <w:p w:rsidR="002E457F" w:rsidRDefault="002E457F"/>
  </w:footnote>
  <w:footnote w:type="continuationSeparator" w:id="0">
    <w:p w:rsidR="002E457F" w:rsidRDefault="002E457F" w:rsidP="006C7CF5">
      <w:r>
        <w:continuationSeparator/>
      </w:r>
    </w:p>
    <w:p w:rsidR="002E457F" w:rsidRDefault="002E457F" w:rsidP="006C7CF5"/>
    <w:p w:rsidR="002E457F" w:rsidRDefault="002E457F"/>
  </w:footnote>
  <w:footnote w:type="continuationNotice" w:id="1">
    <w:p w:rsidR="002E457F" w:rsidRDefault="002E457F" w:rsidP="006C7CF5"/>
    <w:p w:rsidR="002E457F" w:rsidRDefault="002E457F" w:rsidP="006C7CF5"/>
    <w:p w:rsidR="002E457F" w:rsidRDefault="002E45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6C7CF5"/>
  <w:p w:rsidR="00857908" w:rsidRDefault="00857908"/>
  <w:p w:rsidR="00857908" w:rsidRDefault="008579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pPr>
      <w:pStyle w:val="Header"/>
    </w:pPr>
  </w:p>
  <w:p w:rsidR="00857908" w:rsidRDefault="008579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857908" w:rsidP="006C7CF5"/>
  <w:p w:rsidR="00857908" w:rsidRDefault="0085790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2E457F" w:rsidP="006C7CF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360" o:spid="_x0000_s2050" type="#_x0000_t136" style="position:absolute;left:0;text-align:left;margin-left:0;margin-top:0;width:397.8pt;height:238.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857908" w:rsidRDefault="00857908"/>
  <w:p w:rsidR="00857908" w:rsidRDefault="00857908"/>
  <w:p w:rsidR="00857908" w:rsidRDefault="0085790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2E45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361" o:spid="_x0000_s2051" type="#_x0000_t136" style="position:absolute;left:0;text-align:left;margin-left:0;margin-top:0;width:397.8pt;height:238.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857908" w:rsidRDefault="00857908"/>
  <w:p w:rsidR="00857908" w:rsidRDefault="0085790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08" w:rsidRDefault="002E457F" w:rsidP="006C7CF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359" o:spid="_x0000_s2049" type="#_x0000_t136" style="position:absolute;left:0;text-align:left;margin-left:0;margin-top:0;width:397.8pt;height:238.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857908" w:rsidRDefault="008579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2B4763"/>
    <w:multiLevelType w:val="multilevel"/>
    <w:tmpl w:val="C5B67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8997EE9"/>
    <w:multiLevelType w:val="hybridMultilevel"/>
    <w:tmpl w:val="B1AA5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FE6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0E5926"/>
    <w:multiLevelType w:val="hybridMultilevel"/>
    <w:tmpl w:val="C12E7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155F0B"/>
    <w:multiLevelType w:val="hybridMultilevel"/>
    <w:tmpl w:val="D714DD80"/>
    <w:lvl w:ilvl="0" w:tplc="2F88BC8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4C1067"/>
    <w:multiLevelType w:val="multilevel"/>
    <w:tmpl w:val="42DC8216"/>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329B2E99"/>
    <w:multiLevelType w:val="hybridMultilevel"/>
    <w:tmpl w:val="8190FE6A"/>
    <w:lvl w:ilvl="0" w:tplc="67AEDC7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2178AC"/>
    <w:multiLevelType w:val="hybridMultilevel"/>
    <w:tmpl w:val="2AC42252"/>
    <w:lvl w:ilvl="0" w:tplc="19CE4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25" w15:restartNumberingAfterBreak="0">
    <w:nsid w:val="454F36D3"/>
    <w:multiLevelType w:val="hybridMultilevel"/>
    <w:tmpl w:val="B9ACA9E6"/>
    <w:lvl w:ilvl="0" w:tplc="2454F8A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9"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1" w15:restartNumberingAfterBreak="0">
    <w:nsid w:val="607B10D4"/>
    <w:multiLevelType w:val="multilevel"/>
    <w:tmpl w:val="6E9278B0"/>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99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5"/>
  </w:num>
  <w:num w:numId="3">
    <w:abstractNumId w:val="34"/>
  </w:num>
  <w:num w:numId="4">
    <w:abstractNumId w:val="27"/>
  </w:num>
  <w:num w:numId="5">
    <w:abstractNumId w:val="29"/>
  </w:num>
  <w:num w:numId="6">
    <w:abstractNumId w:val="7"/>
  </w:num>
  <w:num w:numId="7">
    <w:abstractNumId w:val="2"/>
  </w:num>
  <w:num w:numId="8">
    <w:abstractNumId w:val="35"/>
  </w:num>
  <w:num w:numId="9">
    <w:abstractNumId w:val="33"/>
  </w:num>
  <w:num w:numId="10">
    <w:abstractNumId w:val="16"/>
  </w:num>
  <w:num w:numId="11">
    <w:abstractNumId w:val="8"/>
  </w:num>
  <w:num w:numId="12">
    <w:abstractNumId w:val="32"/>
  </w:num>
  <w:num w:numId="13">
    <w:abstractNumId w:val="8"/>
    <w:lvlOverride w:ilvl="0">
      <w:startOverride w:val="1"/>
    </w:lvlOverride>
  </w:num>
  <w:num w:numId="14">
    <w:abstractNumId w:val="14"/>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22"/>
  </w:num>
  <w:num w:numId="16">
    <w:abstractNumId w:val="17"/>
  </w:num>
  <w:num w:numId="17">
    <w:abstractNumId w:val="26"/>
  </w:num>
  <w:num w:numId="18">
    <w:abstractNumId w:val="9"/>
  </w:num>
  <w:num w:numId="19">
    <w:abstractNumId w:val="11"/>
  </w:num>
  <w:num w:numId="20">
    <w:abstractNumId w:val="1"/>
  </w:num>
  <w:num w:numId="21">
    <w:abstractNumId w:val="18"/>
  </w:num>
  <w:num w:numId="22">
    <w:abstractNumId w:val="24"/>
  </w:num>
  <w:num w:numId="23">
    <w:abstractNumId w:val="20"/>
  </w:num>
  <w:num w:numId="24">
    <w:abstractNumId w:val="25"/>
  </w:num>
  <w:num w:numId="25">
    <w:abstractNumId w:val="10"/>
  </w:num>
  <w:num w:numId="26">
    <w:abstractNumId w:val="23"/>
  </w:num>
  <w:num w:numId="27">
    <w:abstractNumId w:val="3"/>
  </w:num>
  <w:num w:numId="28">
    <w:abstractNumId w:val="19"/>
  </w:num>
  <w:num w:numId="29">
    <w:abstractNumId w:val="21"/>
  </w:num>
  <w:num w:numId="30">
    <w:abstractNumId w:val="6"/>
  </w:num>
  <w:num w:numId="31">
    <w:abstractNumId w:val="31"/>
  </w:num>
  <w:num w:numId="32">
    <w:abstractNumId w:val="13"/>
  </w:num>
  <w:num w:numId="33">
    <w:abstractNumId w:val="5"/>
  </w:num>
  <w:num w:numId="34">
    <w:abstractNumId w:val="4"/>
  </w:num>
  <w:num w:numId="35">
    <w:abstractNumId w:val="1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6A3"/>
    <w:rsid w:val="00005C2F"/>
    <w:rsid w:val="00006E66"/>
    <w:rsid w:val="000071DE"/>
    <w:rsid w:val="00007B0C"/>
    <w:rsid w:val="00007DEC"/>
    <w:rsid w:val="00007EC8"/>
    <w:rsid w:val="00007ED3"/>
    <w:rsid w:val="000102FA"/>
    <w:rsid w:val="00011959"/>
    <w:rsid w:val="00011A11"/>
    <w:rsid w:val="00011F94"/>
    <w:rsid w:val="00013B55"/>
    <w:rsid w:val="00013CCE"/>
    <w:rsid w:val="000146D8"/>
    <w:rsid w:val="000150C3"/>
    <w:rsid w:val="0001655B"/>
    <w:rsid w:val="00016F91"/>
    <w:rsid w:val="00017263"/>
    <w:rsid w:val="00017A80"/>
    <w:rsid w:val="0002014B"/>
    <w:rsid w:val="000207FC"/>
    <w:rsid w:val="0002180B"/>
    <w:rsid w:val="00022864"/>
    <w:rsid w:val="00022D1B"/>
    <w:rsid w:val="00022E79"/>
    <w:rsid w:val="00022FD5"/>
    <w:rsid w:val="000237E9"/>
    <w:rsid w:val="00025556"/>
    <w:rsid w:val="0002565D"/>
    <w:rsid w:val="00025984"/>
    <w:rsid w:val="00025A29"/>
    <w:rsid w:val="00025B19"/>
    <w:rsid w:val="00025E1C"/>
    <w:rsid w:val="00026049"/>
    <w:rsid w:val="0002621A"/>
    <w:rsid w:val="000269A3"/>
    <w:rsid w:val="00026B7B"/>
    <w:rsid w:val="000277E0"/>
    <w:rsid w:val="00027AE4"/>
    <w:rsid w:val="000306D6"/>
    <w:rsid w:val="00030737"/>
    <w:rsid w:val="0003103E"/>
    <w:rsid w:val="00031C37"/>
    <w:rsid w:val="00033293"/>
    <w:rsid w:val="0003482A"/>
    <w:rsid w:val="00034C60"/>
    <w:rsid w:val="000358FB"/>
    <w:rsid w:val="0003592B"/>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11"/>
    <w:rsid w:val="0004189B"/>
    <w:rsid w:val="00041CE9"/>
    <w:rsid w:val="00042732"/>
    <w:rsid w:val="00042A8C"/>
    <w:rsid w:val="00042B40"/>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347"/>
    <w:rsid w:val="00055647"/>
    <w:rsid w:val="00055E9F"/>
    <w:rsid w:val="000572DB"/>
    <w:rsid w:val="000575B5"/>
    <w:rsid w:val="00057725"/>
    <w:rsid w:val="00060F37"/>
    <w:rsid w:val="00061129"/>
    <w:rsid w:val="00061445"/>
    <w:rsid w:val="00063093"/>
    <w:rsid w:val="00063682"/>
    <w:rsid w:val="0006376E"/>
    <w:rsid w:val="0006499F"/>
    <w:rsid w:val="00066D04"/>
    <w:rsid w:val="00070292"/>
    <w:rsid w:val="00070785"/>
    <w:rsid w:val="000711A4"/>
    <w:rsid w:val="00071858"/>
    <w:rsid w:val="00072743"/>
    <w:rsid w:val="000729FC"/>
    <w:rsid w:val="00072AA9"/>
    <w:rsid w:val="000736E8"/>
    <w:rsid w:val="00073C97"/>
    <w:rsid w:val="00075547"/>
    <w:rsid w:val="000755A7"/>
    <w:rsid w:val="000769F8"/>
    <w:rsid w:val="00077991"/>
    <w:rsid w:val="0008021B"/>
    <w:rsid w:val="00080489"/>
    <w:rsid w:val="00080F6C"/>
    <w:rsid w:val="00082504"/>
    <w:rsid w:val="00084D01"/>
    <w:rsid w:val="000859C6"/>
    <w:rsid w:val="00086CB0"/>
    <w:rsid w:val="00086E70"/>
    <w:rsid w:val="00086ECE"/>
    <w:rsid w:val="00087712"/>
    <w:rsid w:val="00090349"/>
    <w:rsid w:val="000909AC"/>
    <w:rsid w:val="00090C22"/>
    <w:rsid w:val="000913B2"/>
    <w:rsid w:val="000916F6"/>
    <w:rsid w:val="00091995"/>
    <w:rsid w:val="00091EB2"/>
    <w:rsid w:val="000926DE"/>
    <w:rsid w:val="0009385D"/>
    <w:rsid w:val="0009435B"/>
    <w:rsid w:val="00094467"/>
    <w:rsid w:val="00094FE4"/>
    <w:rsid w:val="00095B07"/>
    <w:rsid w:val="00096AF0"/>
    <w:rsid w:val="00097230"/>
    <w:rsid w:val="000976AD"/>
    <w:rsid w:val="000A06DC"/>
    <w:rsid w:val="000A0D05"/>
    <w:rsid w:val="000A0FB3"/>
    <w:rsid w:val="000A1220"/>
    <w:rsid w:val="000A1DC8"/>
    <w:rsid w:val="000A2BE7"/>
    <w:rsid w:val="000A3219"/>
    <w:rsid w:val="000A397C"/>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659F"/>
    <w:rsid w:val="000E6C2D"/>
    <w:rsid w:val="000E79CA"/>
    <w:rsid w:val="000F0DD5"/>
    <w:rsid w:val="000F0E61"/>
    <w:rsid w:val="000F1A07"/>
    <w:rsid w:val="000F1C42"/>
    <w:rsid w:val="000F21F1"/>
    <w:rsid w:val="000F2ACE"/>
    <w:rsid w:val="000F2C08"/>
    <w:rsid w:val="000F2C88"/>
    <w:rsid w:val="000F2F68"/>
    <w:rsid w:val="000F30CF"/>
    <w:rsid w:val="000F358D"/>
    <w:rsid w:val="000F4841"/>
    <w:rsid w:val="000F619C"/>
    <w:rsid w:val="000F62F4"/>
    <w:rsid w:val="000F6362"/>
    <w:rsid w:val="0010001A"/>
    <w:rsid w:val="001006B0"/>
    <w:rsid w:val="0010259E"/>
    <w:rsid w:val="00102A87"/>
    <w:rsid w:val="00102AA7"/>
    <w:rsid w:val="00103AA4"/>
    <w:rsid w:val="00103F8B"/>
    <w:rsid w:val="00104289"/>
    <w:rsid w:val="0010438A"/>
    <w:rsid w:val="00105F96"/>
    <w:rsid w:val="00106C72"/>
    <w:rsid w:val="00106C83"/>
    <w:rsid w:val="00107185"/>
    <w:rsid w:val="001073EF"/>
    <w:rsid w:val="00107FF4"/>
    <w:rsid w:val="001109EA"/>
    <w:rsid w:val="0011187D"/>
    <w:rsid w:val="00113745"/>
    <w:rsid w:val="00113C48"/>
    <w:rsid w:val="00113E02"/>
    <w:rsid w:val="00113F54"/>
    <w:rsid w:val="00113F6A"/>
    <w:rsid w:val="00113F81"/>
    <w:rsid w:val="00114340"/>
    <w:rsid w:val="00115B12"/>
    <w:rsid w:val="00116870"/>
    <w:rsid w:val="00120376"/>
    <w:rsid w:val="00120532"/>
    <w:rsid w:val="0012370A"/>
    <w:rsid w:val="001237F4"/>
    <w:rsid w:val="00123BA8"/>
    <w:rsid w:val="00124236"/>
    <w:rsid w:val="001244E1"/>
    <w:rsid w:val="00124731"/>
    <w:rsid w:val="001247E0"/>
    <w:rsid w:val="00125F01"/>
    <w:rsid w:val="0012662C"/>
    <w:rsid w:val="00127CB6"/>
    <w:rsid w:val="00130BFD"/>
    <w:rsid w:val="00130FFC"/>
    <w:rsid w:val="00131D16"/>
    <w:rsid w:val="001320FF"/>
    <w:rsid w:val="00132775"/>
    <w:rsid w:val="00132BBD"/>
    <w:rsid w:val="001343FB"/>
    <w:rsid w:val="00135BDC"/>
    <w:rsid w:val="00136069"/>
    <w:rsid w:val="001366F7"/>
    <w:rsid w:val="001367C4"/>
    <w:rsid w:val="00137420"/>
    <w:rsid w:val="0013771A"/>
    <w:rsid w:val="00137D75"/>
    <w:rsid w:val="0014045D"/>
    <w:rsid w:val="00140497"/>
    <w:rsid w:val="001404F7"/>
    <w:rsid w:val="00141019"/>
    <w:rsid w:val="00141955"/>
    <w:rsid w:val="0014210C"/>
    <w:rsid w:val="00144CDB"/>
    <w:rsid w:val="001451C6"/>
    <w:rsid w:val="0014559E"/>
    <w:rsid w:val="0014721F"/>
    <w:rsid w:val="00147A4B"/>
    <w:rsid w:val="001501C5"/>
    <w:rsid w:val="00150E84"/>
    <w:rsid w:val="00150F7E"/>
    <w:rsid w:val="001517AA"/>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BB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78CB"/>
    <w:rsid w:val="00177ABF"/>
    <w:rsid w:val="001806A9"/>
    <w:rsid w:val="001806F1"/>
    <w:rsid w:val="00180C8B"/>
    <w:rsid w:val="00181941"/>
    <w:rsid w:val="00181C09"/>
    <w:rsid w:val="001827DA"/>
    <w:rsid w:val="0018315D"/>
    <w:rsid w:val="001837C9"/>
    <w:rsid w:val="001838CC"/>
    <w:rsid w:val="00183FB8"/>
    <w:rsid w:val="00184F98"/>
    <w:rsid w:val="00185148"/>
    <w:rsid w:val="001855E6"/>
    <w:rsid w:val="00186255"/>
    <w:rsid w:val="00186292"/>
    <w:rsid w:val="00187551"/>
    <w:rsid w:val="00187E16"/>
    <w:rsid w:val="00190948"/>
    <w:rsid w:val="00191BFE"/>
    <w:rsid w:val="00192C21"/>
    <w:rsid w:val="00193444"/>
    <w:rsid w:val="00193DE2"/>
    <w:rsid w:val="0019599C"/>
    <w:rsid w:val="00196BAF"/>
    <w:rsid w:val="001976AC"/>
    <w:rsid w:val="001978D2"/>
    <w:rsid w:val="001A0487"/>
    <w:rsid w:val="001A1A4E"/>
    <w:rsid w:val="001A2978"/>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5F6A"/>
    <w:rsid w:val="001C62F9"/>
    <w:rsid w:val="001C6B8A"/>
    <w:rsid w:val="001C790F"/>
    <w:rsid w:val="001C7ACC"/>
    <w:rsid w:val="001C7CCA"/>
    <w:rsid w:val="001C7D8D"/>
    <w:rsid w:val="001D01B4"/>
    <w:rsid w:val="001D024B"/>
    <w:rsid w:val="001D02F4"/>
    <w:rsid w:val="001D0350"/>
    <w:rsid w:val="001D0526"/>
    <w:rsid w:val="001D1079"/>
    <w:rsid w:val="001D1EC7"/>
    <w:rsid w:val="001D46DB"/>
    <w:rsid w:val="001D5403"/>
    <w:rsid w:val="001D59B7"/>
    <w:rsid w:val="001D6A88"/>
    <w:rsid w:val="001D6B86"/>
    <w:rsid w:val="001D7123"/>
    <w:rsid w:val="001D7BE3"/>
    <w:rsid w:val="001E13C1"/>
    <w:rsid w:val="001E1A83"/>
    <w:rsid w:val="001E1F79"/>
    <w:rsid w:val="001E3388"/>
    <w:rsid w:val="001E3F7D"/>
    <w:rsid w:val="001E4423"/>
    <w:rsid w:val="001E562E"/>
    <w:rsid w:val="001E56F6"/>
    <w:rsid w:val="001E5D80"/>
    <w:rsid w:val="001E5DDD"/>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37C4"/>
    <w:rsid w:val="0020406B"/>
    <w:rsid w:val="002045EE"/>
    <w:rsid w:val="002047EF"/>
    <w:rsid w:val="00205647"/>
    <w:rsid w:val="00205A30"/>
    <w:rsid w:val="00206F32"/>
    <w:rsid w:val="0021033B"/>
    <w:rsid w:val="00210AB8"/>
    <w:rsid w:val="00210AFD"/>
    <w:rsid w:val="00210B20"/>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15B"/>
    <w:rsid w:val="0022360C"/>
    <w:rsid w:val="00223EEF"/>
    <w:rsid w:val="00223F2B"/>
    <w:rsid w:val="00224A1C"/>
    <w:rsid w:val="00224D82"/>
    <w:rsid w:val="002259E4"/>
    <w:rsid w:val="00225AD0"/>
    <w:rsid w:val="00225CFA"/>
    <w:rsid w:val="00225F59"/>
    <w:rsid w:val="00225FCA"/>
    <w:rsid w:val="002271E0"/>
    <w:rsid w:val="002278BC"/>
    <w:rsid w:val="00227DC3"/>
    <w:rsid w:val="00227F2A"/>
    <w:rsid w:val="002301C3"/>
    <w:rsid w:val="002303CC"/>
    <w:rsid w:val="00230DC6"/>
    <w:rsid w:val="0023122E"/>
    <w:rsid w:val="002314B5"/>
    <w:rsid w:val="002317AE"/>
    <w:rsid w:val="00231D95"/>
    <w:rsid w:val="00233103"/>
    <w:rsid w:val="00233BF3"/>
    <w:rsid w:val="002344A6"/>
    <w:rsid w:val="00234AF3"/>
    <w:rsid w:val="002350F9"/>
    <w:rsid w:val="0023631F"/>
    <w:rsid w:val="00236587"/>
    <w:rsid w:val="00236783"/>
    <w:rsid w:val="00236CC8"/>
    <w:rsid w:val="00240150"/>
    <w:rsid w:val="002408AF"/>
    <w:rsid w:val="0024114B"/>
    <w:rsid w:val="00241832"/>
    <w:rsid w:val="00242A4D"/>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4BE"/>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776B6"/>
    <w:rsid w:val="002813F6"/>
    <w:rsid w:val="00281613"/>
    <w:rsid w:val="00281D84"/>
    <w:rsid w:val="00281E55"/>
    <w:rsid w:val="00281EB1"/>
    <w:rsid w:val="00282232"/>
    <w:rsid w:val="002824B9"/>
    <w:rsid w:val="0028322A"/>
    <w:rsid w:val="0028338E"/>
    <w:rsid w:val="00284098"/>
    <w:rsid w:val="00284EB2"/>
    <w:rsid w:val="00287EB0"/>
    <w:rsid w:val="00290085"/>
    <w:rsid w:val="002900A9"/>
    <w:rsid w:val="0029042C"/>
    <w:rsid w:val="002917B7"/>
    <w:rsid w:val="00292B5B"/>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4562"/>
    <w:rsid w:val="002C5661"/>
    <w:rsid w:val="002C5718"/>
    <w:rsid w:val="002C5EB0"/>
    <w:rsid w:val="002C651A"/>
    <w:rsid w:val="002C65B3"/>
    <w:rsid w:val="002C6695"/>
    <w:rsid w:val="002C6D2C"/>
    <w:rsid w:val="002C6F1E"/>
    <w:rsid w:val="002C7A61"/>
    <w:rsid w:val="002D0C6B"/>
    <w:rsid w:val="002D1685"/>
    <w:rsid w:val="002D1CF4"/>
    <w:rsid w:val="002D20EC"/>
    <w:rsid w:val="002D2D0D"/>
    <w:rsid w:val="002D3078"/>
    <w:rsid w:val="002D31DA"/>
    <w:rsid w:val="002D3C47"/>
    <w:rsid w:val="002D3DD7"/>
    <w:rsid w:val="002D4F30"/>
    <w:rsid w:val="002D522C"/>
    <w:rsid w:val="002D599B"/>
    <w:rsid w:val="002D59E3"/>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57F"/>
    <w:rsid w:val="002E4CD6"/>
    <w:rsid w:val="002E4EC9"/>
    <w:rsid w:val="002E5447"/>
    <w:rsid w:val="002E55CF"/>
    <w:rsid w:val="002E57CF"/>
    <w:rsid w:val="002E582E"/>
    <w:rsid w:val="002E5A02"/>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5AD8"/>
    <w:rsid w:val="00306707"/>
    <w:rsid w:val="00306966"/>
    <w:rsid w:val="003079E7"/>
    <w:rsid w:val="003100E3"/>
    <w:rsid w:val="00311078"/>
    <w:rsid w:val="00311D7A"/>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16A5"/>
    <w:rsid w:val="0033226E"/>
    <w:rsid w:val="0033279D"/>
    <w:rsid w:val="00333351"/>
    <w:rsid w:val="0033350B"/>
    <w:rsid w:val="0033407F"/>
    <w:rsid w:val="0033420A"/>
    <w:rsid w:val="003346D3"/>
    <w:rsid w:val="0033473D"/>
    <w:rsid w:val="0033503F"/>
    <w:rsid w:val="003350A5"/>
    <w:rsid w:val="00335A2A"/>
    <w:rsid w:val="00335E30"/>
    <w:rsid w:val="003363AD"/>
    <w:rsid w:val="003379EB"/>
    <w:rsid w:val="00337C37"/>
    <w:rsid w:val="00340D59"/>
    <w:rsid w:val="00340FD6"/>
    <w:rsid w:val="00341F17"/>
    <w:rsid w:val="00342351"/>
    <w:rsid w:val="003431F5"/>
    <w:rsid w:val="00343464"/>
    <w:rsid w:val="00344191"/>
    <w:rsid w:val="00344201"/>
    <w:rsid w:val="00345024"/>
    <w:rsid w:val="00345C70"/>
    <w:rsid w:val="00345EB1"/>
    <w:rsid w:val="00345F3C"/>
    <w:rsid w:val="003460D5"/>
    <w:rsid w:val="003461FA"/>
    <w:rsid w:val="00346431"/>
    <w:rsid w:val="00347401"/>
    <w:rsid w:val="003476AD"/>
    <w:rsid w:val="00351B23"/>
    <w:rsid w:val="00352418"/>
    <w:rsid w:val="003524A3"/>
    <w:rsid w:val="00352602"/>
    <w:rsid w:val="00353090"/>
    <w:rsid w:val="00353575"/>
    <w:rsid w:val="003539CE"/>
    <w:rsid w:val="00353C8E"/>
    <w:rsid w:val="003549A4"/>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6F24"/>
    <w:rsid w:val="00387031"/>
    <w:rsid w:val="00387167"/>
    <w:rsid w:val="0038753E"/>
    <w:rsid w:val="003877CA"/>
    <w:rsid w:val="00390081"/>
    <w:rsid w:val="00390112"/>
    <w:rsid w:val="003903E7"/>
    <w:rsid w:val="00391B9F"/>
    <w:rsid w:val="00391FBD"/>
    <w:rsid w:val="00392D4B"/>
    <w:rsid w:val="00393079"/>
    <w:rsid w:val="00393373"/>
    <w:rsid w:val="00394953"/>
    <w:rsid w:val="00394D7C"/>
    <w:rsid w:val="003952B3"/>
    <w:rsid w:val="00395A00"/>
    <w:rsid w:val="00395FB0"/>
    <w:rsid w:val="003A0260"/>
    <w:rsid w:val="003A03A7"/>
    <w:rsid w:val="003A0818"/>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E90"/>
    <w:rsid w:val="003C2459"/>
    <w:rsid w:val="003C2513"/>
    <w:rsid w:val="003C3216"/>
    <w:rsid w:val="003C441C"/>
    <w:rsid w:val="003C4427"/>
    <w:rsid w:val="003C44EA"/>
    <w:rsid w:val="003C479F"/>
    <w:rsid w:val="003C617C"/>
    <w:rsid w:val="003C63ED"/>
    <w:rsid w:val="003C64AE"/>
    <w:rsid w:val="003C651E"/>
    <w:rsid w:val="003C795F"/>
    <w:rsid w:val="003C7D74"/>
    <w:rsid w:val="003D0124"/>
    <w:rsid w:val="003D0F59"/>
    <w:rsid w:val="003D211D"/>
    <w:rsid w:val="003D26C3"/>
    <w:rsid w:val="003D2B98"/>
    <w:rsid w:val="003D34F1"/>
    <w:rsid w:val="003D3A1E"/>
    <w:rsid w:val="003D478F"/>
    <w:rsid w:val="003D489A"/>
    <w:rsid w:val="003D5743"/>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BD7"/>
    <w:rsid w:val="003E2DCE"/>
    <w:rsid w:val="003E2DD5"/>
    <w:rsid w:val="003E31CB"/>
    <w:rsid w:val="003E33E5"/>
    <w:rsid w:val="003E5BF5"/>
    <w:rsid w:val="003E6594"/>
    <w:rsid w:val="003F0930"/>
    <w:rsid w:val="003F0DA5"/>
    <w:rsid w:val="003F12CE"/>
    <w:rsid w:val="003F1321"/>
    <w:rsid w:val="003F25E3"/>
    <w:rsid w:val="003F36AB"/>
    <w:rsid w:val="003F4E4F"/>
    <w:rsid w:val="003F59B8"/>
    <w:rsid w:val="003F6AE3"/>
    <w:rsid w:val="0040001C"/>
    <w:rsid w:val="004004F8"/>
    <w:rsid w:val="004008C2"/>
    <w:rsid w:val="004010DD"/>
    <w:rsid w:val="004014EE"/>
    <w:rsid w:val="004014EF"/>
    <w:rsid w:val="004027BA"/>
    <w:rsid w:val="004033FE"/>
    <w:rsid w:val="00404A39"/>
    <w:rsid w:val="004053AE"/>
    <w:rsid w:val="0040540B"/>
    <w:rsid w:val="00405E4B"/>
    <w:rsid w:val="004065B6"/>
    <w:rsid w:val="00406FDD"/>
    <w:rsid w:val="004106BC"/>
    <w:rsid w:val="0041089E"/>
    <w:rsid w:val="004116F7"/>
    <w:rsid w:val="00413063"/>
    <w:rsid w:val="004132B4"/>
    <w:rsid w:val="004137E3"/>
    <w:rsid w:val="00413BE5"/>
    <w:rsid w:val="0041492D"/>
    <w:rsid w:val="00414FD9"/>
    <w:rsid w:val="0041545F"/>
    <w:rsid w:val="00416009"/>
    <w:rsid w:val="00416431"/>
    <w:rsid w:val="004169AA"/>
    <w:rsid w:val="00416B1C"/>
    <w:rsid w:val="00416F87"/>
    <w:rsid w:val="00417062"/>
    <w:rsid w:val="004173BB"/>
    <w:rsid w:val="0041785A"/>
    <w:rsid w:val="00417F78"/>
    <w:rsid w:val="00420439"/>
    <w:rsid w:val="00420600"/>
    <w:rsid w:val="00421F75"/>
    <w:rsid w:val="00422965"/>
    <w:rsid w:val="004242B1"/>
    <w:rsid w:val="00424861"/>
    <w:rsid w:val="0042510F"/>
    <w:rsid w:val="00425443"/>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B81"/>
    <w:rsid w:val="00436064"/>
    <w:rsid w:val="0043661A"/>
    <w:rsid w:val="00436DFB"/>
    <w:rsid w:val="004416F8"/>
    <w:rsid w:val="004427EF"/>
    <w:rsid w:val="00442B8C"/>
    <w:rsid w:val="00443D82"/>
    <w:rsid w:val="004442CF"/>
    <w:rsid w:val="0044434A"/>
    <w:rsid w:val="0044476F"/>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6E6B"/>
    <w:rsid w:val="0045768B"/>
    <w:rsid w:val="004576A3"/>
    <w:rsid w:val="0045787A"/>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0FF"/>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10A"/>
    <w:rsid w:val="00481366"/>
    <w:rsid w:val="004815F8"/>
    <w:rsid w:val="00481792"/>
    <w:rsid w:val="00482728"/>
    <w:rsid w:val="004828C5"/>
    <w:rsid w:val="00482BD5"/>
    <w:rsid w:val="00482E72"/>
    <w:rsid w:val="00483E8A"/>
    <w:rsid w:val="00484173"/>
    <w:rsid w:val="004846E1"/>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201"/>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2E5F"/>
    <w:rsid w:val="004C2EAC"/>
    <w:rsid w:val="004C31B0"/>
    <w:rsid w:val="004C37FE"/>
    <w:rsid w:val="004C4135"/>
    <w:rsid w:val="004C4898"/>
    <w:rsid w:val="004C4A66"/>
    <w:rsid w:val="004C4E48"/>
    <w:rsid w:val="004C51AE"/>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487"/>
    <w:rsid w:val="004E2133"/>
    <w:rsid w:val="004E245E"/>
    <w:rsid w:val="004E347C"/>
    <w:rsid w:val="004E3BA0"/>
    <w:rsid w:val="004E4256"/>
    <w:rsid w:val="004E44F8"/>
    <w:rsid w:val="004E59E2"/>
    <w:rsid w:val="004E5E8A"/>
    <w:rsid w:val="004E6301"/>
    <w:rsid w:val="004E66B5"/>
    <w:rsid w:val="004E7B0A"/>
    <w:rsid w:val="004F0DE1"/>
    <w:rsid w:val="004F16EE"/>
    <w:rsid w:val="004F19D6"/>
    <w:rsid w:val="004F1A34"/>
    <w:rsid w:val="004F20B7"/>
    <w:rsid w:val="004F218F"/>
    <w:rsid w:val="004F245A"/>
    <w:rsid w:val="004F24C9"/>
    <w:rsid w:val="004F2D42"/>
    <w:rsid w:val="004F2DDC"/>
    <w:rsid w:val="004F35F6"/>
    <w:rsid w:val="004F3EA3"/>
    <w:rsid w:val="004F65EE"/>
    <w:rsid w:val="004F67FD"/>
    <w:rsid w:val="004F7BBD"/>
    <w:rsid w:val="005009DD"/>
    <w:rsid w:val="0050135A"/>
    <w:rsid w:val="00501737"/>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43"/>
    <w:rsid w:val="00512989"/>
    <w:rsid w:val="00512BE7"/>
    <w:rsid w:val="00512C03"/>
    <w:rsid w:val="00512FB7"/>
    <w:rsid w:val="00513144"/>
    <w:rsid w:val="00513B4F"/>
    <w:rsid w:val="00514732"/>
    <w:rsid w:val="00515005"/>
    <w:rsid w:val="0051568D"/>
    <w:rsid w:val="0051672B"/>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4B0F"/>
    <w:rsid w:val="0052522A"/>
    <w:rsid w:val="00525BB2"/>
    <w:rsid w:val="00526828"/>
    <w:rsid w:val="00526C83"/>
    <w:rsid w:val="00526CF8"/>
    <w:rsid w:val="00526E4C"/>
    <w:rsid w:val="005271A0"/>
    <w:rsid w:val="00527254"/>
    <w:rsid w:val="0052751B"/>
    <w:rsid w:val="00527CA6"/>
    <w:rsid w:val="00527D5D"/>
    <w:rsid w:val="005309DD"/>
    <w:rsid w:val="00530C6F"/>
    <w:rsid w:val="005310EC"/>
    <w:rsid w:val="00531544"/>
    <w:rsid w:val="00531713"/>
    <w:rsid w:val="0053220C"/>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932"/>
    <w:rsid w:val="00563DF6"/>
    <w:rsid w:val="00563E56"/>
    <w:rsid w:val="005643A2"/>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67F9"/>
    <w:rsid w:val="00576AF3"/>
    <w:rsid w:val="00576FF7"/>
    <w:rsid w:val="00577626"/>
    <w:rsid w:val="00577BAA"/>
    <w:rsid w:val="00577EE2"/>
    <w:rsid w:val="00580AA8"/>
    <w:rsid w:val="00580E45"/>
    <w:rsid w:val="00580EBA"/>
    <w:rsid w:val="005816CF"/>
    <w:rsid w:val="00581ECE"/>
    <w:rsid w:val="00582A0F"/>
    <w:rsid w:val="00582A75"/>
    <w:rsid w:val="00582F12"/>
    <w:rsid w:val="005832C6"/>
    <w:rsid w:val="005833B0"/>
    <w:rsid w:val="00583F46"/>
    <w:rsid w:val="0058418C"/>
    <w:rsid w:val="00584849"/>
    <w:rsid w:val="0058693E"/>
    <w:rsid w:val="00586A38"/>
    <w:rsid w:val="005909AA"/>
    <w:rsid w:val="00590D22"/>
    <w:rsid w:val="00591030"/>
    <w:rsid w:val="005911AB"/>
    <w:rsid w:val="005919FF"/>
    <w:rsid w:val="00591E11"/>
    <w:rsid w:val="00591E2A"/>
    <w:rsid w:val="0059221E"/>
    <w:rsid w:val="00593390"/>
    <w:rsid w:val="00593513"/>
    <w:rsid w:val="0059384B"/>
    <w:rsid w:val="00593E94"/>
    <w:rsid w:val="00594366"/>
    <w:rsid w:val="00594F07"/>
    <w:rsid w:val="005953A1"/>
    <w:rsid w:val="00595AAB"/>
    <w:rsid w:val="00595B1D"/>
    <w:rsid w:val="00596246"/>
    <w:rsid w:val="00596F94"/>
    <w:rsid w:val="00597197"/>
    <w:rsid w:val="005A0306"/>
    <w:rsid w:val="005A05A8"/>
    <w:rsid w:val="005A0B0C"/>
    <w:rsid w:val="005A1669"/>
    <w:rsid w:val="005A2571"/>
    <w:rsid w:val="005A27DF"/>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3B90"/>
    <w:rsid w:val="005B4136"/>
    <w:rsid w:val="005B4872"/>
    <w:rsid w:val="005B4E53"/>
    <w:rsid w:val="005B5D74"/>
    <w:rsid w:val="005B5E54"/>
    <w:rsid w:val="005B626D"/>
    <w:rsid w:val="005B628B"/>
    <w:rsid w:val="005B6F85"/>
    <w:rsid w:val="005B75F3"/>
    <w:rsid w:val="005C06D7"/>
    <w:rsid w:val="005C0E24"/>
    <w:rsid w:val="005C1915"/>
    <w:rsid w:val="005C2471"/>
    <w:rsid w:val="005C2777"/>
    <w:rsid w:val="005C2FB7"/>
    <w:rsid w:val="005C3AE9"/>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08A"/>
    <w:rsid w:val="005D6735"/>
    <w:rsid w:val="005D6C09"/>
    <w:rsid w:val="005D7D39"/>
    <w:rsid w:val="005E0304"/>
    <w:rsid w:val="005E0488"/>
    <w:rsid w:val="005E0961"/>
    <w:rsid w:val="005E0C97"/>
    <w:rsid w:val="005E0FA9"/>
    <w:rsid w:val="005E1A7F"/>
    <w:rsid w:val="005E2DF9"/>
    <w:rsid w:val="005E3B4B"/>
    <w:rsid w:val="005E41C4"/>
    <w:rsid w:val="005E46CF"/>
    <w:rsid w:val="005E52BD"/>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B32"/>
    <w:rsid w:val="005F7EDB"/>
    <w:rsid w:val="005F7FF9"/>
    <w:rsid w:val="0060087E"/>
    <w:rsid w:val="00601486"/>
    <w:rsid w:val="006017B2"/>
    <w:rsid w:val="0060211C"/>
    <w:rsid w:val="006026E6"/>
    <w:rsid w:val="00602884"/>
    <w:rsid w:val="0060300C"/>
    <w:rsid w:val="00603810"/>
    <w:rsid w:val="0060488A"/>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B22"/>
    <w:rsid w:val="00643EF9"/>
    <w:rsid w:val="0064432A"/>
    <w:rsid w:val="00644355"/>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313"/>
    <w:rsid w:val="00662663"/>
    <w:rsid w:val="006630D0"/>
    <w:rsid w:val="0066362B"/>
    <w:rsid w:val="0066375B"/>
    <w:rsid w:val="006638DC"/>
    <w:rsid w:val="00663991"/>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5892"/>
    <w:rsid w:val="006875AD"/>
    <w:rsid w:val="00687CB7"/>
    <w:rsid w:val="00691C75"/>
    <w:rsid w:val="00692E18"/>
    <w:rsid w:val="00692E24"/>
    <w:rsid w:val="00692FE5"/>
    <w:rsid w:val="006943C1"/>
    <w:rsid w:val="006944C2"/>
    <w:rsid w:val="006945C8"/>
    <w:rsid w:val="0069589F"/>
    <w:rsid w:val="00695FE2"/>
    <w:rsid w:val="00696022"/>
    <w:rsid w:val="00696513"/>
    <w:rsid w:val="006A097B"/>
    <w:rsid w:val="006A0F67"/>
    <w:rsid w:val="006A2346"/>
    <w:rsid w:val="006A2749"/>
    <w:rsid w:val="006A2A42"/>
    <w:rsid w:val="006A367F"/>
    <w:rsid w:val="006A3D67"/>
    <w:rsid w:val="006A4956"/>
    <w:rsid w:val="006A4D1B"/>
    <w:rsid w:val="006A5182"/>
    <w:rsid w:val="006A5BA2"/>
    <w:rsid w:val="006A6011"/>
    <w:rsid w:val="006A615B"/>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5EC7"/>
    <w:rsid w:val="006B6284"/>
    <w:rsid w:val="006B6D52"/>
    <w:rsid w:val="006B7B51"/>
    <w:rsid w:val="006C0978"/>
    <w:rsid w:val="006C12BA"/>
    <w:rsid w:val="006C1542"/>
    <w:rsid w:val="006C1A10"/>
    <w:rsid w:val="006C1DCD"/>
    <w:rsid w:val="006C220C"/>
    <w:rsid w:val="006C232D"/>
    <w:rsid w:val="006C30B5"/>
    <w:rsid w:val="006C33B0"/>
    <w:rsid w:val="006C4ADF"/>
    <w:rsid w:val="006C4C5C"/>
    <w:rsid w:val="006C4C62"/>
    <w:rsid w:val="006C4EF6"/>
    <w:rsid w:val="006C5E0E"/>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1221"/>
    <w:rsid w:val="006E35CC"/>
    <w:rsid w:val="006E3C77"/>
    <w:rsid w:val="006E4ABF"/>
    <w:rsid w:val="006E4DB9"/>
    <w:rsid w:val="006E501D"/>
    <w:rsid w:val="006E5B96"/>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5192"/>
    <w:rsid w:val="00706209"/>
    <w:rsid w:val="00706C7C"/>
    <w:rsid w:val="00707AA7"/>
    <w:rsid w:val="007105D7"/>
    <w:rsid w:val="00710D13"/>
    <w:rsid w:val="00710DAD"/>
    <w:rsid w:val="00710EC1"/>
    <w:rsid w:val="00710EC2"/>
    <w:rsid w:val="00710FB0"/>
    <w:rsid w:val="007115D5"/>
    <w:rsid w:val="007119C2"/>
    <w:rsid w:val="00711ADC"/>
    <w:rsid w:val="00712DF8"/>
    <w:rsid w:val="007139C2"/>
    <w:rsid w:val="00713A10"/>
    <w:rsid w:val="00713C86"/>
    <w:rsid w:val="00714032"/>
    <w:rsid w:val="007145C5"/>
    <w:rsid w:val="00714769"/>
    <w:rsid w:val="007149B4"/>
    <w:rsid w:val="00714BCF"/>
    <w:rsid w:val="00714E08"/>
    <w:rsid w:val="00714F58"/>
    <w:rsid w:val="007151E8"/>
    <w:rsid w:val="00717D39"/>
    <w:rsid w:val="00717FBF"/>
    <w:rsid w:val="00717FF1"/>
    <w:rsid w:val="00720AEA"/>
    <w:rsid w:val="007212AC"/>
    <w:rsid w:val="00721694"/>
    <w:rsid w:val="007216AF"/>
    <w:rsid w:val="0072313B"/>
    <w:rsid w:val="00725897"/>
    <w:rsid w:val="007259CD"/>
    <w:rsid w:val="00726151"/>
    <w:rsid w:val="0072671A"/>
    <w:rsid w:val="007273CC"/>
    <w:rsid w:val="0073096D"/>
    <w:rsid w:val="00730E92"/>
    <w:rsid w:val="00731191"/>
    <w:rsid w:val="007321A8"/>
    <w:rsid w:val="007324A3"/>
    <w:rsid w:val="00732D5C"/>
    <w:rsid w:val="00733314"/>
    <w:rsid w:val="007335FC"/>
    <w:rsid w:val="00733855"/>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03F"/>
    <w:rsid w:val="00745228"/>
    <w:rsid w:val="007452EE"/>
    <w:rsid w:val="00745672"/>
    <w:rsid w:val="007460E2"/>
    <w:rsid w:val="00746914"/>
    <w:rsid w:val="00747369"/>
    <w:rsid w:val="007474C2"/>
    <w:rsid w:val="00747A14"/>
    <w:rsid w:val="00747D6D"/>
    <w:rsid w:val="00747E2E"/>
    <w:rsid w:val="00747F1D"/>
    <w:rsid w:val="00751E2A"/>
    <w:rsid w:val="00751E9A"/>
    <w:rsid w:val="00753994"/>
    <w:rsid w:val="00753D2C"/>
    <w:rsid w:val="00753F25"/>
    <w:rsid w:val="00753F4D"/>
    <w:rsid w:val="00754502"/>
    <w:rsid w:val="007551C3"/>
    <w:rsid w:val="007552CE"/>
    <w:rsid w:val="007555E4"/>
    <w:rsid w:val="00756B7B"/>
    <w:rsid w:val="00757DD2"/>
    <w:rsid w:val="00757F41"/>
    <w:rsid w:val="0076081D"/>
    <w:rsid w:val="00760D9A"/>
    <w:rsid w:val="00761AB4"/>
    <w:rsid w:val="007629C1"/>
    <w:rsid w:val="007639C5"/>
    <w:rsid w:val="00763C90"/>
    <w:rsid w:val="00763D81"/>
    <w:rsid w:val="00763FB6"/>
    <w:rsid w:val="00765509"/>
    <w:rsid w:val="007665CA"/>
    <w:rsid w:val="007666A0"/>
    <w:rsid w:val="00766773"/>
    <w:rsid w:val="00766B82"/>
    <w:rsid w:val="00766C2C"/>
    <w:rsid w:val="00766F34"/>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A62"/>
    <w:rsid w:val="007A0D16"/>
    <w:rsid w:val="007A1193"/>
    <w:rsid w:val="007A14F9"/>
    <w:rsid w:val="007A19EF"/>
    <w:rsid w:val="007A2C5B"/>
    <w:rsid w:val="007A2D3C"/>
    <w:rsid w:val="007A2FE5"/>
    <w:rsid w:val="007A3445"/>
    <w:rsid w:val="007A3538"/>
    <w:rsid w:val="007A399E"/>
    <w:rsid w:val="007A430F"/>
    <w:rsid w:val="007A4B1E"/>
    <w:rsid w:val="007A59DD"/>
    <w:rsid w:val="007A74B5"/>
    <w:rsid w:val="007A798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27"/>
    <w:rsid w:val="007B634E"/>
    <w:rsid w:val="007B63B3"/>
    <w:rsid w:val="007C0019"/>
    <w:rsid w:val="007C0454"/>
    <w:rsid w:val="007C0478"/>
    <w:rsid w:val="007C0BF6"/>
    <w:rsid w:val="007C1DE3"/>
    <w:rsid w:val="007C287B"/>
    <w:rsid w:val="007C2CB6"/>
    <w:rsid w:val="007C311B"/>
    <w:rsid w:val="007C5849"/>
    <w:rsid w:val="007C5D61"/>
    <w:rsid w:val="007C6448"/>
    <w:rsid w:val="007C6496"/>
    <w:rsid w:val="007C6DF2"/>
    <w:rsid w:val="007C7796"/>
    <w:rsid w:val="007C77E0"/>
    <w:rsid w:val="007D03E4"/>
    <w:rsid w:val="007D11FF"/>
    <w:rsid w:val="007D2244"/>
    <w:rsid w:val="007D23CB"/>
    <w:rsid w:val="007D2D3E"/>
    <w:rsid w:val="007D2FB0"/>
    <w:rsid w:val="007D349D"/>
    <w:rsid w:val="007D3548"/>
    <w:rsid w:val="007D3FAF"/>
    <w:rsid w:val="007D4387"/>
    <w:rsid w:val="007D48EA"/>
    <w:rsid w:val="007D49CA"/>
    <w:rsid w:val="007D4D35"/>
    <w:rsid w:val="007D51C5"/>
    <w:rsid w:val="007D53B9"/>
    <w:rsid w:val="007D6897"/>
    <w:rsid w:val="007D7388"/>
    <w:rsid w:val="007D7ED3"/>
    <w:rsid w:val="007E01B3"/>
    <w:rsid w:val="007E0D88"/>
    <w:rsid w:val="007E146D"/>
    <w:rsid w:val="007E1652"/>
    <w:rsid w:val="007E1668"/>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454"/>
    <w:rsid w:val="007F28AB"/>
    <w:rsid w:val="007F3026"/>
    <w:rsid w:val="007F310C"/>
    <w:rsid w:val="007F3953"/>
    <w:rsid w:val="007F4A8F"/>
    <w:rsid w:val="007F560A"/>
    <w:rsid w:val="007F5D7C"/>
    <w:rsid w:val="007F63AE"/>
    <w:rsid w:val="007F6FFC"/>
    <w:rsid w:val="007F7C95"/>
    <w:rsid w:val="00800C11"/>
    <w:rsid w:val="008018A5"/>
    <w:rsid w:val="00801FD2"/>
    <w:rsid w:val="008021B4"/>
    <w:rsid w:val="00802372"/>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3658"/>
    <w:rsid w:val="00833666"/>
    <w:rsid w:val="008342C6"/>
    <w:rsid w:val="008354D8"/>
    <w:rsid w:val="00835679"/>
    <w:rsid w:val="00835D65"/>
    <w:rsid w:val="00835D83"/>
    <w:rsid w:val="0083603D"/>
    <w:rsid w:val="00836090"/>
    <w:rsid w:val="00836468"/>
    <w:rsid w:val="008368E7"/>
    <w:rsid w:val="00836DBC"/>
    <w:rsid w:val="008371E0"/>
    <w:rsid w:val="0083730E"/>
    <w:rsid w:val="00837B44"/>
    <w:rsid w:val="00837F9A"/>
    <w:rsid w:val="008403B9"/>
    <w:rsid w:val="008408D0"/>
    <w:rsid w:val="0084116A"/>
    <w:rsid w:val="00841729"/>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1B8"/>
    <w:rsid w:val="00856732"/>
    <w:rsid w:val="00856BD1"/>
    <w:rsid w:val="00856E99"/>
    <w:rsid w:val="0085722C"/>
    <w:rsid w:val="00857908"/>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477"/>
    <w:rsid w:val="0087172E"/>
    <w:rsid w:val="00871B61"/>
    <w:rsid w:val="00871CC0"/>
    <w:rsid w:val="0087201A"/>
    <w:rsid w:val="00872541"/>
    <w:rsid w:val="008726EA"/>
    <w:rsid w:val="0087307B"/>
    <w:rsid w:val="00875BC1"/>
    <w:rsid w:val="008770CA"/>
    <w:rsid w:val="0087727C"/>
    <w:rsid w:val="00877D4B"/>
    <w:rsid w:val="00880229"/>
    <w:rsid w:val="00880D95"/>
    <w:rsid w:val="008811FF"/>
    <w:rsid w:val="00882416"/>
    <w:rsid w:val="00882723"/>
    <w:rsid w:val="00882CCF"/>
    <w:rsid w:val="00884605"/>
    <w:rsid w:val="00884CB0"/>
    <w:rsid w:val="00884D43"/>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2498"/>
    <w:rsid w:val="008931C6"/>
    <w:rsid w:val="00893741"/>
    <w:rsid w:val="008939CD"/>
    <w:rsid w:val="00894FF1"/>
    <w:rsid w:val="00895303"/>
    <w:rsid w:val="00895536"/>
    <w:rsid w:val="00897B71"/>
    <w:rsid w:val="008A04D8"/>
    <w:rsid w:val="008A100F"/>
    <w:rsid w:val="008A1327"/>
    <w:rsid w:val="008A182F"/>
    <w:rsid w:val="008A1E81"/>
    <w:rsid w:val="008A1FD2"/>
    <w:rsid w:val="008A2390"/>
    <w:rsid w:val="008A2B8F"/>
    <w:rsid w:val="008A2EC3"/>
    <w:rsid w:val="008A35B2"/>
    <w:rsid w:val="008A3638"/>
    <w:rsid w:val="008A3E58"/>
    <w:rsid w:val="008A3FAD"/>
    <w:rsid w:val="008A3FFA"/>
    <w:rsid w:val="008A435F"/>
    <w:rsid w:val="008A4765"/>
    <w:rsid w:val="008A4A76"/>
    <w:rsid w:val="008A561B"/>
    <w:rsid w:val="008A5CA1"/>
    <w:rsid w:val="008A604A"/>
    <w:rsid w:val="008A6B79"/>
    <w:rsid w:val="008B04B5"/>
    <w:rsid w:val="008B04D7"/>
    <w:rsid w:val="008B0559"/>
    <w:rsid w:val="008B1C54"/>
    <w:rsid w:val="008B2FA0"/>
    <w:rsid w:val="008B36AF"/>
    <w:rsid w:val="008B45E3"/>
    <w:rsid w:val="008B4843"/>
    <w:rsid w:val="008B5517"/>
    <w:rsid w:val="008B55A8"/>
    <w:rsid w:val="008B591D"/>
    <w:rsid w:val="008B597D"/>
    <w:rsid w:val="008B5DDC"/>
    <w:rsid w:val="008B633B"/>
    <w:rsid w:val="008B7A63"/>
    <w:rsid w:val="008B7A80"/>
    <w:rsid w:val="008C0505"/>
    <w:rsid w:val="008C0B25"/>
    <w:rsid w:val="008C137D"/>
    <w:rsid w:val="008C1398"/>
    <w:rsid w:val="008C1C8D"/>
    <w:rsid w:val="008C2005"/>
    <w:rsid w:val="008C2053"/>
    <w:rsid w:val="008C2A23"/>
    <w:rsid w:val="008C3173"/>
    <w:rsid w:val="008C3852"/>
    <w:rsid w:val="008C3F83"/>
    <w:rsid w:val="008C4A29"/>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6B0A"/>
    <w:rsid w:val="008D6B9C"/>
    <w:rsid w:val="008D79E7"/>
    <w:rsid w:val="008E1608"/>
    <w:rsid w:val="008E1F36"/>
    <w:rsid w:val="008E21B6"/>
    <w:rsid w:val="008E2B50"/>
    <w:rsid w:val="008E2F71"/>
    <w:rsid w:val="008E3662"/>
    <w:rsid w:val="008E4DC2"/>
    <w:rsid w:val="008E59A6"/>
    <w:rsid w:val="008E5E2E"/>
    <w:rsid w:val="008E5E4A"/>
    <w:rsid w:val="008E71B4"/>
    <w:rsid w:val="008E73F9"/>
    <w:rsid w:val="008F000F"/>
    <w:rsid w:val="008F0186"/>
    <w:rsid w:val="008F051F"/>
    <w:rsid w:val="008F1630"/>
    <w:rsid w:val="008F172B"/>
    <w:rsid w:val="008F1C0F"/>
    <w:rsid w:val="008F2421"/>
    <w:rsid w:val="008F2804"/>
    <w:rsid w:val="008F3FF9"/>
    <w:rsid w:val="008F49E0"/>
    <w:rsid w:val="008F5111"/>
    <w:rsid w:val="008F5C36"/>
    <w:rsid w:val="008F5D85"/>
    <w:rsid w:val="009004F0"/>
    <w:rsid w:val="00901665"/>
    <w:rsid w:val="00901A41"/>
    <w:rsid w:val="0090311E"/>
    <w:rsid w:val="00903A05"/>
    <w:rsid w:val="0090409E"/>
    <w:rsid w:val="00904AE2"/>
    <w:rsid w:val="0090569D"/>
    <w:rsid w:val="00905C84"/>
    <w:rsid w:val="00905E96"/>
    <w:rsid w:val="00905FAC"/>
    <w:rsid w:val="00906C0E"/>
    <w:rsid w:val="0090740F"/>
    <w:rsid w:val="009108EE"/>
    <w:rsid w:val="009112C0"/>
    <w:rsid w:val="009118D9"/>
    <w:rsid w:val="009123D3"/>
    <w:rsid w:val="00912D77"/>
    <w:rsid w:val="00912DC3"/>
    <w:rsid w:val="00912E51"/>
    <w:rsid w:val="009135D1"/>
    <w:rsid w:val="00913B99"/>
    <w:rsid w:val="00913F74"/>
    <w:rsid w:val="009147D1"/>
    <w:rsid w:val="009159F6"/>
    <w:rsid w:val="00915A71"/>
    <w:rsid w:val="009163D9"/>
    <w:rsid w:val="00916427"/>
    <w:rsid w:val="009206E6"/>
    <w:rsid w:val="009206EC"/>
    <w:rsid w:val="009212BE"/>
    <w:rsid w:val="0092216A"/>
    <w:rsid w:val="00922A55"/>
    <w:rsid w:val="00923094"/>
    <w:rsid w:val="009231D5"/>
    <w:rsid w:val="009240C9"/>
    <w:rsid w:val="009247E8"/>
    <w:rsid w:val="00924EB5"/>
    <w:rsid w:val="00925699"/>
    <w:rsid w:val="00926B1D"/>
    <w:rsid w:val="00926DF6"/>
    <w:rsid w:val="00926E82"/>
    <w:rsid w:val="00927683"/>
    <w:rsid w:val="009310B5"/>
    <w:rsid w:val="00932D0F"/>
    <w:rsid w:val="00932D87"/>
    <w:rsid w:val="00932F6E"/>
    <w:rsid w:val="009334D3"/>
    <w:rsid w:val="00933D2F"/>
    <w:rsid w:val="009346ED"/>
    <w:rsid w:val="00935560"/>
    <w:rsid w:val="00935C15"/>
    <w:rsid w:val="00935E50"/>
    <w:rsid w:val="0093625A"/>
    <w:rsid w:val="0093675E"/>
    <w:rsid w:val="009371E5"/>
    <w:rsid w:val="00940A1A"/>
    <w:rsid w:val="009415EF"/>
    <w:rsid w:val="00941F76"/>
    <w:rsid w:val="0094294A"/>
    <w:rsid w:val="009435B9"/>
    <w:rsid w:val="009435C5"/>
    <w:rsid w:val="00943F11"/>
    <w:rsid w:val="00944007"/>
    <w:rsid w:val="00944C17"/>
    <w:rsid w:val="00944DDA"/>
    <w:rsid w:val="009458C4"/>
    <w:rsid w:val="00945DB4"/>
    <w:rsid w:val="00945FEF"/>
    <w:rsid w:val="009467DA"/>
    <w:rsid w:val="00946C53"/>
    <w:rsid w:val="009474A6"/>
    <w:rsid w:val="009474B4"/>
    <w:rsid w:val="009476A9"/>
    <w:rsid w:val="00947D77"/>
    <w:rsid w:val="009504E1"/>
    <w:rsid w:val="00950953"/>
    <w:rsid w:val="00950F60"/>
    <w:rsid w:val="00952D8F"/>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D5C"/>
    <w:rsid w:val="009842BF"/>
    <w:rsid w:val="00984782"/>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3FB"/>
    <w:rsid w:val="00991AAA"/>
    <w:rsid w:val="009925C4"/>
    <w:rsid w:val="009937A9"/>
    <w:rsid w:val="00993F81"/>
    <w:rsid w:val="009947A2"/>
    <w:rsid w:val="0099593B"/>
    <w:rsid w:val="00995BC8"/>
    <w:rsid w:val="00995D41"/>
    <w:rsid w:val="009964C6"/>
    <w:rsid w:val="00997ADC"/>
    <w:rsid w:val="009A0CA0"/>
    <w:rsid w:val="009A1034"/>
    <w:rsid w:val="009A1E13"/>
    <w:rsid w:val="009A1F3C"/>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3B1F"/>
    <w:rsid w:val="009B3C73"/>
    <w:rsid w:val="009B46A3"/>
    <w:rsid w:val="009B4B9C"/>
    <w:rsid w:val="009B5285"/>
    <w:rsid w:val="009B7E67"/>
    <w:rsid w:val="009C00A0"/>
    <w:rsid w:val="009C0134"/>
    <w:rsid w:val="009C08A8"/>
    <w:rsid w:val="009C116D"/>
    <w:rsid w:val="009C19CB"/>
    <w:rsid w:val="009C20DA"/>
    <w:rsid w:val="009C26AA"/>
    <w:rsid w:val="009C2B5A"/>
    <w:rsid w:val="009C30B7"/>
    <w:rsid w:val="009C32C6"/>
    <w:rsid w:val="009C3317"/>
    <w:rsid w:val="009C337B"/>
    <w:rsid w:val="009C3D2F"/>
    <w:rsid w:val="009C439D"/>
    <w:rsid w:val="009C5425"/>
    <w:rsid w:val="009C5685"/>
    <w:rsid w:val="009C5BDD"/>
    <w:rsid w:val="009C5CE4"/>
    <w:rsid w:val="009C6975"/>
    <w:rsid w:val="009C6C86"/>
    <w:rsid w:val="009C6F09"/>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4576"/>
    <w:rsid w:val="009E5AF2"/>
    <w:rsid w:val="009E5C89"/>
    <w:rsid w:val="009E5F27"/>
    <w:rsid w:val="009E62C0"/>
    <w:rsid w:val="009E6B5A"/>
    <w:rsid w:val="009E7408"/>
    <w:rsid w:val="009F044D"/>
    <w:rsid w:val="009F1EA1"/>
    <w:rsid w:val="009F2640"/>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1460"/>
    <w:rsid w:val="00A026E9"/>
    <w:rsid w:val="00A027CF"/>
    <w:rsid w:val="00A02D3F"/>
    <w:rsid w:val="00A04AEB"/>
    <w:rsid w:val="00A04D6A"/>
    <w:rsid w:val="00A051BB"/>
    <w:rsid w:val="00A057C9"/>
    <w:rsid w:val="00A05C3D"/>
    <w:rsid w:val="00A0699D"/>
    <w:rsid w:val="00A06F3C"/>
    <w:rsid w:val="00A07566"/>
    <w:rsid w:val="00A07573"/>
    <w:rsid w:val="00A07A13"/>
    <w:rsid w:val="00A07D3F"/>
    <w:rsid w:val="00A10ACA"/>
    <w:rsid w:val="00A11E85"/>
    <w:rsid w:val="00A147F0"/>
    <w:rsid w:val="00A1535A"/>
    <w:rsid w:val="00A15CCA"/>
    <w:rsid w:val="00A1661A"/>
    <w:rsid w:val="00A16B39"/>
    <w:rsid w:val="00A16B6D"/>
    <w:rsid w:val="00A176C9"/>
    <w:rsid w:val="00A20185"/>
    <w:rsid w:val="00A20301"/>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3C7"/>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603C4"/>
    <w:rsid w:val="00A60D2E"/>
    <w:rsid w:val="00A60E47"/>
    <w:rsid w:val="00A61BCF"/>
    <w:rsid w:val="00A6255A"/>
    <w:rsid w:val="00A62BB4"/>
    <w:rsid w:val="00A62D98"/>
    <w:rsid w:val="00A63233"/>
    <w:rsid w:val="00A63298"/>
    <w:rsid w:val="00A63990"/>
    <w:rsid w:val="00A64B71"/>
    <w:rsid w:val="00A64B7D"/>
    <w:rsid w:val="00A64CDD"/>
    <w:rsid w:val="00A65195"/>
    <w:rsid w:val="00A66113"/>
    <w:rsid w:val="00A6698B"/>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3E8B"/>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6A"/>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B7F4B"/>
    <w:rsid w:val="00AC0D73"/>
    <w:rsid w:val="00AC147E"/>
    <w:rsid w:val="00AC16C8"/>
    <w:rsid w:val="00AC1D98"/>
    <w:rsid w:val="00AC29FD"/>
    <w:rsid w:val="00AC356D"/>
    <w:rsid w:val="00AC35A8"/>
    <w:rsid w:val="00AC4064"/>
    <w:rsid w:val="00AC4572"/>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2FF"/>
    <w:rsid w:val="00AF13EB"/>
    <w:rsid w:val="00AF20A5"/>
    <w:rsid w:val="00AF2258"/>
    <w:rsid w:val="00AF2294"/>
    <w:rsid w:val="00AF3C07"/>
    <w:rsid w:val="00AF449E"/>
    <w:rsid w:val="00AF4A76"/>
    <w:rsid w:val="00AF4FC2"/>
    <w:rsid w:val="00AF50AD"/>
    <w:rsid w:val="00AF5526"/>
    <w:rsid w:val="00AF5E4E"/>
    <w:rsid w:val="00AF6990"/>
    <w:rsid w:val="00AF7455"/>
    <w:rsid w:val="00AF7B47"/>
    <w:rsid w:val="00AF7E79"/>
    <w:rsid w:val="00B004BE"/>
    <w:rsid w:val="00B004CB"/>
    <w:rsid w:val="00B00B11"/>
    <w:rsid w:val="00B0113B"/>
    <w:rsid w:val="00B01F21"/>
    <w:rsid w:val="00B02524"/>
    <w:rsid w:val="00B04B93"/>
    <w:rsid w:val="00B058AE"/>
    <w:rsid w:val="00B05D62"/>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503"/>
    <w:rsid w:val="00B23E94"/>
    <w:rsid w:val="00B24658"/>
    <w:rsid w:val="00B24D9E"/>
    <w:rsid w:val="00B25193"/>
    <w:rsid w:val="00B25D00"/>
    <w:rsid w:val="00B25F1E"/>
    <w:rsid w:val="00B26599"/>
    <w:rsid w:val="00B2672D"/>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BDA"/>
    <w:rsid w:val="00B41E53"/>
    <w:rsid w:val="00B420C6"/>
    <w:rsid w:val="00B42137"/>
    <w:rsid w:val="00B42570"/>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3D2"/>
    <w:rsid w:val="00B537D7"/>
    <w:rsid w:val="00B53C7E"/>
    <w:rsid w:val="00B53D2C"/>
    <w:rsid w:val="00B53DA1"/>
    <w:rsid w:val="00B540E3"/>
    <w:rsid w:val="00B5449D"/>
    <w:rsid w:val="00B5475E"/>
    <w:rsid w:val="00B54A3E"/>
    <w:rsid w:val="00B553B5"/>
    <w:rsid w:val="00B555E0"/>
    <w:rsid w:val="00B562D0"/>
    <w:rsid w:val="00B566F6"/>
    <w:rsid w:val="00B56BEC"/>
    <w:rsid w:val="00B57E73"/>
    <w:rsid w:val="00B612E2"/>
    <w:rsid w:val="00B61CFF"/>
    <w:rsid w:val="00B62219"/>
    <w:rsid w:val="00B623E5"/>
    <w:rsid w:val="00B624E9"/>
    <w:rsid w:val="00B634C9"/>
    <w:rsid w:val="00B63965"/>
    <w:rsid w:val="00B641A2"/>
    <w:rsid w:val="00B64E20"/>
    <w:rsid w:val="00B66190"/>
    <w:rsid w:val="00B66AB3"/>
    <w:rsid w:val="00B6724C"/>
    <w:rsid w:val="00B67550"/>
    <w:rsid w:val="00B70033"/>
    <w:rsid w:val="00B7009E"/>
    <w:rsid w:val="00B70441"/>
    <w:rsid w:val="00B704FE"/>
    <w:rsid w:val="00B70545"/>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874AC"/>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32DA"/>
    <w:rsid w:val="00BA3CE0"/>
    <w:rsid w:val="00BA3D5E"/>
    <w:rsid w:val="00BA5126"/>
    <w:rsid w:val="00BA54E2"/>
    <w:rsid w:val="00BA6461"/>
    <w:rsid w:val="00BB0032"/>
    <w:rsid w:val="00BB01AE"/>
    <w:rsid w:val="00BB0578"/>
    <w:rsid w:val="00BB0DE7"/>
    <w:rsid w:val="00BB1B0C"/>
    <w:rsid w:val="00BB1E20"/>
    <w:rsid w:val="00BB2CA0"/>
    <w:rsid w:val="00BB3137"/>
    <w:rsid w:val="00BB36DC"/>
    <w:rsid w:val="00BB4AA6"/>
    <w:rsid w:val="00BB52AA"/>
    <w:rsid w:val="00BB7147"/>
    <w:rsid w:val="00BB71DC"/>
    <w:rsid w:val="00BB797D"/>
    <w:rsid w:val="00BC0B88"/>
    <w:rsid w:val="00BC1224"/>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689"/>
    <w:rsid w:val="00BE5BAF"/>
    <w:rsid w:val="00BE606C"/>
    <w:rsid w:val="00BE654B"/>
    <w:rsid w:val="00BE692C"/>
    <w:rsid w:val="00BE6A53"/>
    <w:rsid w:val="00BE6ACC"/>
    <w:rsid w:val="00BE6CEA"/>
    <w:rsid w:val="00BE6DE7"/>
    <w:rsid w:val="00BE7661"/>
    <w:rsid w:val="00BE7C31"/>
    <w:rsid w:val="00BE7D64"/>
    <w:rsid w:val="00BF0503"/>
    <w:rsid w:val="00BF266B"/>
    <w:rsid w:val="00BF4B4D"/>
    <w:rsid w:val="00BF4F45"/>
    <w:rsid w:val="00BF5DB0"/>
    <w:rsid w:val="00BF7775"/>
    <w:rsid w:val="00BF7C49"/>
    <w:rsid w:val="00BF7FFC"/>
    <w:rsid w:val="00C0034E"/>
    <w:rsid w:val="00C004DC"/>
    <w:rsid w:val="00C009AF"/>
    <w:rsid w:val="00C009BC"/>
    <w:rsid w:val="00C00FC7"/>
    <w:rsid w:val="00C017F4"/>
    <w:rsid w:val="00C01865"/>
    <w:rsid w:val="00C02492"/>
    <w:rsid w:val="00C02502"/>
    <w:rsid w:val="00C025E7"/>
    <w:rsid w:val="00C04012"/>
    <w:rsid w:val="00C043C3"/>
    <w:rsid w:val="00C04FED"/>
    <w:rsid w:val="00C05B96"/>
    <w:rsid w:val="00C063FA"/>
    <w:rsid w:val="00C06836"/>
    <w:rsid w:val="00C06D81"/>
    <w:rsid w:val="00C06FB6"/>
    <w:rsid w:val="00C070F8"/>
    <w:rsid w:val="00C10C5D"/>
    <w:rsid w:val="00C12B2E"/>
    <w:rsid w:val="00C12C46"/>
    <w:rsid w:val="00C12D64"/>
    <w:rsid w:val="00C12ECE"/>
    <w:rsid w:val="00C13692"/>
    <w:rsid w:val="00C137A3"/>
    <w:rsid w:val="00C1454D"/>
    <w:rsid w:val="00C1551F"/>
    <w:rsid w:val="00C15A85"/>
    <w:rsid w:val="00C15DFF"/>
    <w:rsid w:val="00C1630E"/>
    <w:rsid w:val="00C1779A"/>
    <w:rsid w:val="00C178E9"/>
    <w:rsid w:val="00C20C40"/>
    <w:rsid w:val="00C226F6"/>
    <w:rsid w:val="00C22D05"/>
    <w:rsid w:val="00C241DF"/>
    <w:rsid w:val="00C248C4"/>
    <w:rsid w:val="00C24AD2"/>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1AA"/>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7DB"/>
    <w:rsid w:val="00C52B31"/>
    <w:rsid w:val="00C53E43"/>
    <w:rsid w:val="00C54057"/>
    <w:rsid w:val="00C54423"/>
    <w:rsid w:val="00C54C2E"/>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0CB"/>
    <w:rsid w:val="00C7044C"/>
    <w:rsid w:val="00C70805"/>
    <w:rsid w:val="00C7204F"/>
    <w:rsid w:val="00C72A90"/>
    <w:rsid w:val="00C72DDC"/>
    <w:rsid w:val="00C7302E"/>
    <w:rsid w:val="00C735BB"/>
    <w:rsid w:val="00C74F8C"/>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5AC9"/>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650"/>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170"/>
    <w:rsid w:val="00CC7EB9"/>
    <w:rsid w:val="00CD0628"/>
    <w:rsid w:val="00CD077B"/>
    <w:rsid w:val="00CD2D4F"/>
    <w:rsid w:val="00CD2D71"/>
    <w:rsid w:val="00CD31B9"/>
    <w:rsid w:val="00CD3939"/>
    <w:rsid w:val="00CD48EF"/>
    <w:rsid w:val="00CD4C58"/>
    <w:rsid w:val="00CD5CD8"/>
    <w:rsid w:val="00CD67F4"/>
    <w:rsid w:val="00CD6916"/>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3026"/>
    <w:rsid w:val="00CF338E"/>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2E2"/>
    <w:rsid w:val="00D17865"/>
    <w:rsid w:val="00D17910"/>
    <w:rsid w:val="00D20D67"/>
    <w:rsid w:val="00D21917"/>
    <w:rsid w:val="00D2209A"/>
    <w:rsid w:val="00D221BC"/>
    <w:rsid w:val="00D22276"/>
    <w:rsid w:val="00D22965"/>
    <w:rsid w:val="00D23F00"/>
    <w:rsid w:val="00D24444"/>
    <w:rsid w:val="00D24D1A"/>
    <w:rsid w:val="00D24E58"/>
    <w:rsid w:val="00D252B0"/>
    <w:rsid w:val="00D25479"/>
    <w:rsid w:val="00D268A0"/>
    <w:rsid w:val="00D26C02"/>
    <w:rsid w:val="00D2736B"/>
    <w:rsid w:val="00D318DF"/>
    <w:rsid w:val="00D31B14"/>
    <w:rsid w:val="00D32F13"/>
    <w:rsid w:val="00D33552"/>
    <w:rsid w:val="00D33750"/>
    <w:rsid w:val="00D3389C"/>
    <w:rsid w:val="00D3530F"/>
    <w:rsid w:val="00D35855"/>
    <w:rsid w:val="00D35948"/>
    <w:rsid w:val="00D363BD"/>
    <w:rsid w:val="00D36D53"/>
    <w:rsid w:val="00D36EB0"/>
    <w:rsid w:val="00D36FA0"/>
    <w:rsid w:val="00D3712A"/>
    <w:rsid w:val="00D377B7"/>
    <w:rsid w:val="00D40700"/>
    <w:rsid w:val="00D40A5F"/>
    <w:rsid w:val="00D40A71"/>
    <w:rsid w:val="00D40F00"/>
    <w:rsid w:val="00D4108D"/>
    <w:rsid w:val="00D41341"/>
    <w:rsid w:val="00D41AC3"/>
    <w:rsid w:val="00D41E36"/>
    <w:rsid w:val="00D425C8"/>
    <w:rsid w:val="00D42821"/>
    <w:rsid w:val="00D42835"/>
    <w:rsid w:val="00D42E8F"/>
    <w:rsid w:val="00D43E0A"/>
    <w:rsid w:val="00D455A6"/>
    <w:rsid w:val="00D456D7"/>
    <w:rsid w:val="00D46CE8"/>
    <w:rsid w:val="00D46DF4"/>
    <w:rsid w:val="00D46EC6"/>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413"/>
    <w:rsid w:val="00D5671A"/>
    <w:rsid w:val="00D56F55"/>
    <w:rsid w:val="00D5704D"/>
    <w:rsid w:val="00D601F9"/>
    <w:rsid w:val="00D61038"/>
    <w:rsid w:val="00D613C2"/>
    <w:rsid w:val="00D6198B"/>
    <w:rsid w:val="00D624C4"/>
    <w:rsid w:val="00D62914"/>
    <w:rsid w:val="00D648F3"/>
    <w:rsid w:val="00D649C6"/>
    <w:rsid w:val="00D64F32"/>
    <w:rsid w:val="00D66CB4"/>
    <w:rsid w:val="00D70211"/>
    <w:rsid w:val="00D70415"/>
    <w:rsid w:val="00D70DC6"/>
    <w:rsid w:val="00D712F0"/>
    <w:rsid w:val="00D71A47"/>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555"/>
    <w:rsid w:val="00D83727"/>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886"/>
    <w:rsid w:val="00D97CE8"/>
    <w:rsid w:val="00D97DEF"/>
    <w:rsid w:val="00D97F2E"/>
    <w:rsid w:val="00DA0745"/>
    <w:rsid w:val="00DA14AD"/>
    <w:rsid w:val="00DA1858"/>
    <w:rsid w:val="00DA1A51"/>
    <w:rsid w:val="00DA20C2"/>
    <w:rsid w:val="00DA2325"/>
    <w:rsid w:val="00DA23EF"/>
    <w:rsid w:val="00DA25F4"/>
    <w:rsid w:val="00DA33A1"/>
    <w:rsid w:val="00DA39CC"/>
    <w:rsid w:val="00DA3E40"/>
    <w:rsid w:val="00DA4146"/>
    <w:rsid w:val="00DA4E09"/>
    <w:rsid w:val="00DA4E8E"/>
    <w:rsid w:val="00DA531A"/>
    <w:rsid w:val="00DA5900"/>
    <w:rsid w:val="00DA6A6C"/>
    <w:rsid w:val="00DA7495"/>
    <w:rsid w:val="00DB0153"/>
    <w:rsid w:val="00DB09D0"/>
    <w:rsid w:val="00DB0A31"/>
    <w:rsid w:val="00DB0B51"/>
    <w:rsid w:val="00DB1EBA"/>
    <w:rsid w:val="00DB26E5"/>
    <w:rsid w:val="00DB282A"/>
    <w:rsid w:val="00DB2DCA"/>
    <w:rsid w:val="00DB2E61"/>
    <w:rsid w:val="00DB2FA8"/>
    <w:rsid w:val="00DB2FB6"/>
    <w:rsid w:val="00DB3312"/>
    <w:rsid w:val="00DB435E"/>
    <w:rsid w:val="00DB56B1"/>
    <w:rsid w:val="00DB619F"/>
    <w:rsid w:val="00DB61B1"/>
    <w:rsid w:val="00DB6578"/>
    <w:rsid w:val="00DB65F7"/>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A8C"/>
    <w:rsid w:val="00DD1BC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0A82"/>
    <w:rsid w:val="00DE177D"/>
    <w:rsid w:val="00DE285F"/>
    <w:rsid w:val="00DE28D6"/>
    <w:rsid w:val="00DE2B8D"/>
    <w:rsid w:val="00DE2C8F"/>
    <w:rsid w:val="00DE3178"/>
    <w:rsid w:val="00DE3207"/>
    <w:rsid w:val="00DE42C4"/>
    <w:rsid w:val="00DE4444"/>
    <w:rsid w:val="00DE4487"/>
    <w:rsid w:val="00DE4CA3"/>
    <w:rsid w:val="00DE5160"/>
    <w:rsid w:val="00DE627A"/>
    <w:rsid w:val="00DE6D80"/>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603"/>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0AAA"/>
    <w:rsid w:val="00E218A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2D6"/>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698A"/>
    <w:rsid w:val="00E57150"/>
    <w:rsid w:val="00E572FB"/>
    <w:rsid w:val="00E57724"/>
    <w:rsid w:val="00E618A0"/>
    <w:rsid w:val="00E61CFC"/>
    <w:rsid w:val="00E63B1D"/>
    <w:rsid w:val="00E64A54"/>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BDF"/>
    <w:rsid w:val="00E74DEA"/>
    <w:rsid w:val="00E752FF"/>
    <w:rsid w:val="00E75F50"/>
    <w:rsid w:val="00E773BD"/>
    <w:rsid w:val="00E7754B"/>
    <w:rsid w:val="00E7772D"/>
    <w:rsid w:val="00E80B4E"/>
    <w:rsid w:val="00E80F43"/>
    <w:rsid w:val="00E81259"/>
    <w:rsid w:val="00E81C5C"/>
    <w:rsid w:val="00E82918"/>
    <w:rsid w:val="00E83200"/>
    <w:rsid w:val="00E833D9"/>
    <w:rsid w:val="00E84D99"/>
    <w:rsid w:val="00E850DB"/>
    <w:rsid w:val="00E857AD"/>
    <w:rsid w:val="00E86CA9"/>
    <w:rsid w:val="00E87277"/>
    <w:rsid w:val="00E877D8"/>
    <w:rsid w:val="00E87D01"/>
    <w:rsid w:val="00E87E00"/>
    <w:rsid w:val="00E902BC"/>
    <w:rsid w:val="00E907F6"/>
    <w:rsid w:val="00E90C76"/>
    <w:rsid w:val="00E90DDC"/>
    <w:rsid w:val="00E90E81"/>
    <w:rsid w:val="00E90EE2"/>
    <w:rsid w:val="00E9167A"/>
    <w:rsid w:val="00E91B73"/>
    <w:rsid w:val="00E931AD"/>
    <w:rsid w:val="00E93969"/>
    <w:rsid w:val="00E93A8E"/>
    <w:rsid w:val="00E93EC2"/>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1F74"/>
    <w:rsid w:val="00EB207D"/>
    <w:rsid w:val="00EB2162"/>
    <w:rsid w:val="00EB21D8"/>
    <w:rsid w:val="00EB3198"/>
    <w:rsid w:val="00EB3BB2"/>
    <w:rsid w:val="00EB41A0"/>
    <w:rsid w:val="00EB4539"/>
    <w:rsid w:val="00EB47FA"/>
    <w:rsid w:val="00EB494A"/>
    <w:rsid w:val="00EB4D83"/>
    <w:rsid w:val="00EB61A0"/>
    <w:rsid w:val="00EB6DD7"/>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B97"/>
    <w:rsid w:val="00ED7D5E"/>
    <w:rsid w:val="00EE0370"/>
    <w:rsid w:val="00EE1339"/>
    <w:rsid w:val="00EE229E"/>
    <w:rsid w:val="00EE28B8"/>
    <w:rsid w:val="00EE30D2"/>
    <w:rsid w:val="00EE3C42"/>
    <w:rsid w:val="00EE3F58"/>
    <w:rsid w:val="00EE4501"/>
    <w:rsid w:val="00EE4DFA"/>
    <w:rsid w:val="00EE54FC"/>
    <w:rsid w:val="00EE55A6"/>
    <w:rsid w:val="00EE70BC"/>
    <w:rsid w:val="00EE7D97"/>
    <w:rsid w:val="00EE7ED4"/>
    <w:rsid w:val="00EE7FF2"/>
    <w:rsid w:val="00EF09C3"/>
    <w:rsid w:val="00EF0AE9"/>
    <w:rsid w:val="00EF1354"/>
    <w:rsid w:val="00EF2E63"/>
    <w:rsid w:val="00EF33CF"/>
    <w:rsid w:val="00EF3A77"/>
    <w:rsid w:val="00EF3C3A"/>
    <w:rsid w:val="00EF4075"/>
    <w:rsid w:val="00EF4634"/>
    <w:rsid w:val="00EF4D0D"/>
    <w:rsid w:val="00EF525A"/>
    <w:rsid w:val="00EF5757"/>
    <w:rsid w:val="00EF662A"/>
    <w:rsid w:val="00EF67CF"/>
    <w:rsid w:val="00EF6957"/>
    <w:rsid w:val="00EF6B6B"/>
    <w:rsid w:val="00EF703D"/>
    <w:rsid w:val="00EF7EC9"/>
    <w:rsid w:val="00F004C2"/>
    <w:rsid w:val="00F006F5"/>
    <w:rsid w:val="00F00864"/>
    <w:rsid w:val="00F02021"/>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4D4"/>
    <w:rsid w:val="00F0750A"/>
    <w:rsid w:val="00F07CD8"/>
    <w:rsid w:val="00F07D63"/>
    <w:rsid w:val="00F07DF4"/>
    <w:rsid w:val="00F11C42"/>
    <w:rsid w:val="00F12F0A"/>
    <w:rsid w:val="00F134A2"/>
    <w:rsid w:val="00F14A72"/>
    <w:rsid w:val="00F14C12"/>
    <w:rsid w:val="00F14D22"/>
    <w:rsid w:val="00F14F4F"/>
    <w:rsid w:val="00F14FD4"/>
    <w:rsid w:val="00F1520F"/>
    <w:rsid w:val="00F156C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1AB"/>
    <w:rsid w:val="00F515C9"/>
    <w:rsid w:val="00F518E1"/>
    <w:rsid w:val="00F52410"/>
    <w:rsid w:val="00F52855"/>
    <w:rsid w:val="00F53565"/>
    <w:rsid w:val="00F537B1"/>
    <w:rsid w:val="00F541A9"/>
    <w:rsid w:val="00F550F0"/>
    <w:rsid w:val="00F557D2"/>
    <w:rsid w:val="00F561A4"/>
    <w:rsid w:val="00F56E82"/>
    <w:rsid w:val="00F57874"/>
    <w:rsid w:val="00F57B6D"/>
    <w:rsid w:val="00F60639"/>
    <w:rsid w:val="00F6098C"/>
    <w:rsid w:val="00F60A4E"/>
    <w:rsid w:val="00F623CA"/>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3C57"/>
    <w:rsid w:val="00F8450A"/>
    <w:rsid w:val="00F84CB8"/>
    <w:rsid w:val="00F85215"/>
    <w:rsid w:val="00F85A70"/>
    <w:rsid w:val="00F90AA4"/>
    <w:rsid w:val="00F90C70"/>
    <w:rsid w:val="00F9133E"/>
    <w:rsid w:val="00F926F6"/>
    <w:rsid w:val="00F92BDE"/>
    <w:rsid w:val="00F92D08"/>
    <w:rsid w:val="00F933C7"/>
    <w:rsid w:val="00F934CD"/>
    <w:rsid w:val="00F93D4C"/>
    <w:rsid w:val="00F93EC7"/>
    <w:rsid w:val="00F940F9"/>
    <w:rsid w:val="00F94982"/>
    <w:rsid w:val="00F95D6F"/>
    <w:rsid w:val="00F97362"/>
    <w:rsid w:val="00F97DF4"/>
    <w:rsid w:val="00F97F2A"/>
    <w:rsid w:val="00FA0047"/>
    <w:rsid w:val="00FA0248"/>
    <w:rsid w:val="00FA082F"/>
    <w:rsid w:val="00FA0931"/>
    <w:rsid w:val="00FA13D6"/>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9B9"/>
    <w:rsid w:val="00FC0BE0"/>
    <w:rsid w:val="00FC0DC9"/>
    <w:rsid w:val="00FC114D"/>
    <w:rsid w:val="00FC12A1"/>
    <w:rsid w:val="00FC1626"/>
    <w:rsid w:val="00FC23E8"/>
    <w:rsid w:val="00FC28B1"/>
    <w:rsid w:val="00FC2CB8"/>
    <w:rsid w:val="00FC2E27"/>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460B"/>
    <w:rsid w:val="00FE46D7"/>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493"/>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62"/>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nhideWhenUsed/>
    <w:locked/>
    <w:rsid w:val="00C54423"/>
    <w:pPr>
      <w:tabs>
        <w:tab w:val="center" w:pos="4513"/>
        <w:tab w:val="right" w:pos="9026"/>
      </w:tabs>
      <w:spacing w:after="0"/>
    </w:pPr>
  </w:style>
  <w:style w:type="character" w:customStyle="1" w:styleId="FooterChar">
    <w:name w:val="Footer Char"/>
    <w:link w:val="Footer"/>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ind w:hanging="360"/>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table" w:customStyle="1" w:styleId="TableGrid0">
    <w:name w:val="TableGrid"/>
    <w:rsid w:val="007D4D35"/>
    <w:rPr>
      <w:rFonts w:ascii="Calibri"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03592B"/>
    <w:pPr>
      <w:overflowPunct/>
      <w:autoSpaceDE/>
      <w:autoSpaceDN/>
      <w:adjustRightInd/>
      <w:spacing w:after="160" w:line="259" w:lineRule="auto"/>
      <w:ind w:left="720"/>
      <w:contextualSpacing/>
      <w:jc w:val="left"/>
      <w:textAlignment w:val="auto"/>
    </w:pPr>
    <w:rPr>
      <w:rFonts w:eastAsia="Calibri" w:cs="Times New Roman"/>
    </w:rPr>
  </w:style>
  <w:style w:type="numbering" w:customStyle="1" w:styleId="NoList2">
    <w:name w:val="No List2"/>
    <w:next w:val="NoList"/>
    <w:uiPriority w:val="99"/>
    <w:semiHidden/>
    <w:unhideWhenUsed/>
    <w:rsid w:val="00DE2B8D"/>
  </w:style>
  <w:style w:type="table" w:customStyle="1" w:styleId="TableGrid20">
    <w:name w:val="Table Grid2"/>
    <w:basedOn w:val="TableNormal"/>
    <w:next w:val="TableGrid"/>
    <w:uiPriority w:val="59"/>
    <w:rsid w:val="00DE2B8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uiPriority w:val="99"/>
    <w:rsid w:val="00DE2B8D"/>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MediumGrid2-Accent21">
    <w:name w:val="Medium Grid 2 - Accent 21"/>
    <w:basedOn w:val="TableNormal"/>
    <w:next w:val="MediumGrid2-Accent2"/>
    <w:uiPriority w:val="99"/>
    <w:rsid w:val="00DE2B8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Accent31">
    <w:name w:val="Medium Grid 2 - Accent 31"/>
    <w:basedOn w:val="TableNormal"/>
    <w:next w:val="MediumGrid2-Accent3"/>
    <w:uiPriority w:val="99"/>
    <w:rsid w:val="00DE2B8D"/>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MediumGrid2-Accent41">
    <w:name w:val="Medium Grid 2 - Accent 41"/>
    <w:basedOn w:val="TableNormal"/>
    <w:next w:val="MediumGrid2-Accent4"/>
    <w:uiPriority w:val="99"/>
    <w:rsid w:val="00DE2B8D"/>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MediumGrid2-Accent51">
    <w:name w:val="Medium Grid 2 - Accent 51"/>
    <w:basedOn w:val="TableNormal"/>
    <w:next w:val="MediumGrid2-Accent5"/>
    <w:uiPriority w:val="99"/>
    <w:rsid w:val="00DE2B8D"/>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MediumGrid2-Accent61">
    <w:name w:val="Medium Grid 2 - Accent 61"/>
    <w:basedOn w:val="TableNormal"/>
    <w:next w:val="MediumGrid2-Accent6"/>
    <w:uiPriority w:val="99"/>
    <w:rsid w:val="00DE2B8D"/>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next w:val="ColorfulGrid-Accent6"/>
    <w:uiPriority w:val="99"/>
    <w:rsid w:val="00DE2B8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1">
    <w:name w:val="Colorful List11"/>
    <w:uiPriority w:val="99"/>
    <w:rsid w:val="00DE2B8D"/>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MediumGrid1-Accent21">
    <w:name w:val="Medium Grid 1 - Accent 21"/>
    <w:basedOn w:val="TableNormal"/>
    <w:next w:val="MediumGrid1-Accent2"/>
    <w:uiPriority w:val="99"/>
    <w:rsid w:val="00DE2B8D"/>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customStyle="1" w:styleId="MediumGrid1-Accent31">
    <w:name w:val="Medium Grid 1 - Accent 31"/>
    <w:basedOn w:val="TableNormal"/>
    <w:next w:val="MediumGrid1-Accent3"/>
    <w:uiPriority w:val="99"/>
    <w:rsid w:val="00DE2B8D"/>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MediumGrid1-Accent41">
    <w:name w:val="Medium Grid 1 - Accent 41"/>
    <w:basedOn w:val="TableNormal"/>
    <w:next w:val="MediumGrid1-Accent4"/>
    <w:uiPriority w:val="99"/>
    <w:rsid w:val="00DE2B8D"/>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MediumGrid1-Accent51">
    <w:name w:val="Medium Grid 1 - Accent 51"/>
    <w:basedOn w:val="TableNormal"/>
    <w:next w:val="MediumGrid1-Accent5"/>
    <w:uiPriority w:val="99"/>
    <w:rsid w:val="00DE2B8D"/>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MediumGrid1-Accent61">
    <w:name w:val="Medium Grid 1 - Accent 61"/>
    <w:basedOn w:val="TableNormal"/>
    <w:next w:val="MediumGrid1-Accent6"/>
    <w:uiPriority w:val="99"/>
    <w:rsid w:val="00DE2B8D"/>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next w:val="ColorfulList-Accent6"/>
    <w:uiPriority w:val="99"/>
    <w:rsid w:val="00DE2B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1">
    <w:name w:val="Colorful Shading11"/>
    <w:uiPriority w:val="99"/>
    <w:rsid w:val="00DE2B8D"/>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MediumList2-Accent21">
    <w:name w:val="Medium List 2 - Accent 21"/>
    <w:basedOn w:val="TableNormal"/>
    <w:next w:val="MediumList2-Accent2"/>
    <w:uiPriority w:val="99"/>
    <w:rsid w:val="00DE2B8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MediumList2-Accent31">
    <w:name w:val="Medium List 2 - Accent 31"/>
    <w:basedOn w:val="TableNormal"/>
    <w:next w:val="MediumList2-Accent3"/>
    <w:uiPriority w:val="99"/>
    <w:rsid w:val="00DE2B8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customStyle="1" w:styleId="MediumList2-Accent41">
    <w:name w:val="Medium List 2 - Accent 41"/>
    <w:basedOn w:val="TableNormal"/>
    <w:next w:val="MediumList2-Accent4"/>
    <w:uiPriority w:val="99"/>
    <w:rsid w:val="00DE2B8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customStyle="1" w:styleId="MediumList2-Accent51">
    <w:name w:val="Medium List 2 - Accent 51"/>
    <w:basedOn w:val="TableNormal"/>
    <w:next w:val="MediumList2-Accent5"/>
    <w:uiPriority w:val="99"/>
    <w:rsid w:val="00DE2B8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customStyle="1" w:styleId="MediumList2-Accent61">
    <w:name w:val="Medium List 2 - Accent 61"/>
    <w:basedOn w:val="TableNormal"/>
    <w:next w:val="MediumList2-Accent6"/>
    <w:uiPriority w:val="99"/>
    <w:rsid w:val="00DE2B8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1">
    <w:name w:val="TOC Heading11"/>
    <w:basedOn w:val="TableNormal"/>
    <w:uiPriority w:val="99"/>
    <w:qFormat/>
    <w:rsid w:val="00DE2B8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1">
    <w:name w:val="Dark List11"/>
    <w:uiPriority w:val="99"/>
    <w:rsid w:val="00DE2B8D"/>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MediumList1-Accent21">
    <w:name w:val="Medium List 1 - Accent 21"/>
    <w:basedOn w:val="TableNormal"/>
    <w:next w:val="MediumList1-Accent2"/>
    <w:uiPriority w:val="99"/>
    <w:rsid w:val="00DE2B8D"/>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MediumList1-Accent31">
    <w:name w:val="Medium List 1 - Accent 31"/>
    <w:basedOn w:val="TableNormal"/>
    <w:next w:val="MediumList1-Accent3"/>
    <w:uiPriority w:val="99"/>
    <w:rsid w:val="00DE2B8D"/>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MediumList1-Accent41">
    <w:name w:val="Medium List 1 - Accent 41"/>
    <w:basedOn w:val="TableNormal"/>
    <w:next w:val="MediumList1-Accent4"/>
    <w:uiPriority w:val="99"/>
    <w:rsid w:val="00DE2B8D"/>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MediumList1-Accent51">
    <w:name w:val="Medium List 1 - Accent 51"/>
    <w:basedOn w:val="TableNormal"/>
    <w:next w:val="MediumList1-Accent5"/>
    <w:uiPriority w:val="99"/>
    <w:rsid w:val="00DE2B8D"/>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MediumList1-Accent61">
    <w:name w:val="Medium List 1 - Accent 61"/>
    <w:basedOn w:val="TableNormal"/>
    <w:next w:val="MediumList1-Accent6"/>
    <w:uiPriority w:val="99"/>
    <w:rsid w:val="00DE2B8D"/>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1">
    <w:name w:val="Bibliography11"/>
    <w:basedOn w:val="TableNormal"/>
    <w:uiPriority w:val="99"/>
    <w:rsid w:val="00DE2B8D"/>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LightGrid11">
    <w:name w:val="Light Grid11"/>
    <w:uiPriority w:val="99"/>
    <w:rsid w:val="00DE2B8D"/>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1">
    <w:name w:val="Light Grid - Accent 111"/>
    <w:uiPriority w:val="99"/>
    <w:rsid w:val="00DE2B8D"/>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Shading-Accent21">
    <w:name w:val="Colorful Shading - Accent 21"/>
    <w:basedOn w:val="TableNormal"/>
    <w:next w:val="ColorfulShading-Accent2"/>
    <w:uiPriority w:val="99"/>
    <w:rsid w:val="00DE2B8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Shading-Accent31">
    <w:name w:val="Colorful Shading - Accent 31"/>
    <w:basedOn w:val="TableNormal"/>
    <w:next w:val="ColorfulShading-Accent3"/>
    <w:uiPriority w:val="99"/>
    <w:rsid w:val="00DE2B8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1">
    <w:name w:val="Colorful Shading - Accent 41"/>
    <w:basedOn w:val="TableNormal"/>
    <w:next w:val="ColorfulShading-Accent4"/>
    <w:uiPriority w:val="99"/>
    <w:rsid w:val="00DE2B8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ColorfulShading-Accent51">
    <w:name w:val="Colorful Shading - Accent 51"/>
    <w:basedOn w:val="TableNormal"/>
    <w:next w:val="ColorfulShading-Accent5"/>
    <w:uiPriority w:val="99"/>
    <w:rsid w:val="00DE2B8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Shading-Accent61">
    <w:name w:val="Colorful Shading - Accent 61"/>
    <w:basedOn w:val="TableNormal"/>
    <w:next w:val="ColorfulShading-Accent6"/>
    <w:uiPriority w:val="99"/>
    <w:rsid w:val="00DE2B8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
    <w:name w:val="Light List11"/>
    <w:uiPriority w:val="99"/>
    <w:rsid w:val="00DE2B8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1">
    <w:name w:val="Light List - Accent 111"/>
    <w:uiPriority w:val="99"/>
    <w:rsid w:val="00DE2B8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DarkList-Accent21">
    <w:name w:val="Dark List - Accent 21"/>
    <w:basedOn w:val="TableNormal"/>
    <w:next w:val="DarkList-Accent2"/>
    <w:uiPriority w:val="99"/>
    <w:rsid w:val="00DE2B8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DarkList-Accent31">
    <w:name w:val="Dark List - Accent 31"/>
    <w:basedOn w:val="TableNormal"/>
    <w:next w:val="DarkList-Accent3"/>
    <w:uiPriority w:val="99"/>
    <w:rsid w:val="00DE2B8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DarkList-Accent41">
    <w:name w:val="Dark List - Accent 41"/>
    <w:basedOn w:val="TableNormal"/>
    <w:next w:val="DarkList-Accent4"/>
    <w:uiPriority w:val="99"/>
    <w:rsid w:val="00DE2B8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DarkList-Accent51">
    <w:name w:val="Dark List - Accent 51"/>
    <w:basedOn w:val="TableNormal"/>
    <w:next w:val="DarkList-Accent5"/>
    <w:uiPriority w:val="99"/>
    <w:rsid w:val="00DE2B8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DarkList-Accent61">
    <w:name w:val="Dark List - Accent 61"/>
    <w:basedOn w:val="TableNormal"/>
    <w:next w:val="DarkList-Accent6"/>
    <w:uiPriority w:val="99"/>
    <w:rsid w:val="00DE2B8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1">
    <w:name w:val="Light Shading11"/>
    <w:uiPriority w:val="99"/>
    <w:rsid w:val="00DE2B8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1">
    <w:name w:val="Light Shading - Accent 111"/>
    <w:uiPriority w:val="99"/>
    <w:rsid w:val="00DE2B8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21">
    <w:name w:val="Medium Grid 3 - Accent 21"/>
    <w:basedOn w:val="TableNormal"/>
    <w:next w:val="MediumGrid3-Accent2"/>
    <w:uiPriority w:val="99"/>
    <w:rsid w:val="00DE2B8D"/>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MediumGrid3-Accent31">
    <w:name w:val="Medium Grid 3 - Accent 31"/>
    <w:basedOn w:val="TableNormal"/>
    <w:next w:val="MediumGrid3-Accent3"/>
    <w:uiPriority w:val="99"/>
    <w:rsid w:val="00DE2B8D"/>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MediumGrid3-Accent41">
    <w:name w:val="Medium Grid 3 - Accent 41"/>
    <w:basedOn w:val="TableNormal"/>
    <w:next w:val="MediumGrid3-Accent4"/>
    <w:uiPriority w:val="99"/>
    <w:rsid w:val="00DE2B8D"/>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MediumGrid3-Accent51">
    <w:name w:val="Medium Grid 3 - Accent 51"/>
    <w:basedOn w:val="TableNormal"/>
    <w:next w:val="MediumGrid3-Accent5"/>
    <w:uiPriority w:val="99"/>
    <w:rsid w:val="00DE2B8D"/>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Grid3-Accent61">
    <w:name w:val="Medium Grid 3 - Accent 61"/>
    <w:basedOn w:val="TableNormal"/>
    <w:next w:val="MediumGrid3-Accent6"/>
    <w:uiPriority w:val="99"/>
    <w:rsid w:val="00DE2B8D"/>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MediumGrid111">
    <w:name w:val="Medium Grid 111"/>
    <w:uiPriority w:val="99"/>
    <w:rsid w:val="00DE2B8D"/>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Grid-Accent21">
    <w:name w:val="Light Grid - Accent 21"/>
    <w:basedOn w:val="TableNormal"/>
    <w:next w:val="LightGrid-Accent2"/>
    <w:uiPriority w:val="99"/>
    <w:rsid w:val="00DE2B8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31">
    <w:name w:val="Light Grid - Accent 31"/>
    <w:basedOn w:val="TableNormal"/>
    <w:next w:val="LightGrid-Accent3"/>
    <w:uiPriority w:val="99"/>
    <w:rsid w:val="00DE2B8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LightGrid-Accent41">
    <w:name w:val="Light Grid - Accent 41"/>
    <w:basedOn w:val="TableNormal"/>
    <w:next w:val="LightGrid-Accent4"/>
    <w:uiPriority w:val="99"/>
    <w:rsid w:val="00DE2B8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LightGrid-Accent51">
    <w:name w:val="Light Grid - Accent 51"/>
    <w:basedOn w:val="TableNormal"/>
    <w:next w:val="LightGrid-Accent5"/>
    <w:uiPriority w:val="99"/>
    <w:rsid w:val="00DE2B8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LightGrid-Accent61">
    <w:name w:val="Light Grid - Accent 61"/>
    <w:basedOn w:val="TableNormal"/>
    <w:next w:val="LightGrid-Accent6"/>
    <w:uiPriority w:val="99"/>
    <w:rsid w:val="00DE2B8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1">
    <w:name w:val="Subtle Reference11"/>
    <w:basedOn w:val="TableNormal"/>
    <w:uiPriority w:val="99"/>
    <w:qFormat/>
    <w:rsid w:val="00DE2B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1">
    <w:name w:val="Medium Grid 211"/>
    <w:uiPriority w:val="99"/>
    <w:rsid w:val="00DE2B8D"/>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Shading1-Accent21">
    <w:name w:val="Medium Shading 1 - Accent 21"/>
    <w:basedOn w:val="TableNormal"/>
    <w:next w:val="MediumShading1-Accent2"/>
    <w:uiPriority w:val="99"/>
    <w:rsid w:val="00DE2B8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Shading1-Accent31">
    <w:name w:val="Medium Shading 1 - Accent 31"/>
    <w:basedOn w:val="TableNormal"/>
    <w:next w:val="MediumShading1-Accent3"/>
    <w:uiPriority w:val="99"/>
    <w:rsid w:val="00DE2B8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customStyle="1" w:styleId="MediumShading1-Accent41">
    <w:name w:val="Medium Shading 1 - Accent 41"/>
    <w:basedOn w:val="TableNormal"/>
    <w:next w:val="MediumShading1-Accent4"/>
    <w:uiPriority w:val="99"/>
    <w:rsid w:val="00DE2B8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MediumShading1-Accent51">
    <w:name w:val="Medium Shading 1 - Accent 51"/>
    <w:basedOn w:val="TableNormal"/>
    <w:next w:val="MediumShading1-Accent5"/>
    <w:uiPriority w:val="99"/>
    <w:rsid w:val="00DE2B8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MediumShading1-Accent61">
    <w:name w:val="Medium Shading 1 - Accent 61"/>
    <w:basedOn w:val="TableNormal"/>
    <w:next w:val="MediumShading1-Accent6"/>
    <w:uiPriority w:val="99"/>
    <w:rsid w:val="00DE2B8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1">
    <w:name w:val="Intense Reference11"/>
    <w:basedOn w:val="TableNormal"/>
    <w:uiPriority w:val="99"/>
    <w:qFormat/>
    <w:rsid w:val="00DE2B8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1">
    <w:name w:val="Medium Grid 311"/>
    <w:uiPriority w:val="99"/>
    <w:rsid w:val="00DE2B8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Shading2-Accent21">
    <w:name w:val="Medium Shading 2 - Accent 21"/>
    <w:basedOn w:val="TableNormal"/>
    <w:next w:val="MediumShading2-Accent2"/>
    <w:uiPriority w:val="99"/>
    <w:rsid w:val="00DE2B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31">
    <w:name w:val="Medium Shading 2 - Accent 31"/>
    <w:basedOn w:val="TableNormal"/>
    <w:next w:val="MediumShading2-Accent3"/>
    <w:uiPriority w:val="99"/>
    <w:rsid w:val="00DE2B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Shading2-Accent41">
    <w:name w:val="Medium Shading 2 - Accent 41"/>
    <w:basedOn w:val="TableNormal"/>
    <w:next w:val="MediumShading2-Accent4"/>
    <w:uiPriority w:val="99"/>
    <w:rsid w:val="00DE2B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2-Accent51">
    <w:name w:val="Medium Shading 2 - Accent 51"/>
    <w:basedOn w:val="TableNormal"/>
    <w:next w:val="MediumShading2-Accent5"/>
    <w:uiPriority w:val="99"/>
    <w:rsid w:val="00DE2B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2-Accent61">
    <w:name w:val="Medium Shading 2 - Accent 61"/>
    <w:basedOn w:val="TableNormal"/>
    <w:next w:val="MediumShading2-Accent6"/>
    <w:uiPriority w:val="99"/>
    <w:rsid w:val="00DE2B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1">
    <w:name w:val="Book Title11"/>
    <w:basedOn w:val="TableNormal"/>
    <w:uiPriority w:val="99"/>
    <w:qFormat/>
    <w:rsid w:val="00DE2B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1">
    <w:name w:val="Medium List 111"/>
    <w:uiPriority w:val="99"/>
    <w:rsid w:val="00DE2B8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1">
    <w:name w:val="Medium List 1 - Accent 111"/>
    <w:uiPriority w:val="99"/>
    <w:rsid w:val="00DE2B8D"/>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uiPriority w:val="99"/>
    <w:rsid w:val="00DE2B8D"/>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LightShading-Accent41">
    <w:name w:val="Light Shading - Accent 41"/>
    <w:basedOn w:val="TableNormal"/>
    <w:next w:val="LightShading-Accent4"/>
    <w:uiPriority w:val="99"/>
    <w:rsid w:val="00DE2B8D"/>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LightShading-Accent51">
    <w:name w:val="Light Shading - Accent 51"/>
    <w:basedOn w:val="TableNormal"/>
    <w:next w:val="LightShading-Accent5"/>
    <w:uiPriority w:val="99"/>
    <w:rsid w:val="00DE2B8D"/>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LightShading-Accent61">
    <w:name w:val="Light Shading - Accent 61"/>
    <w:basedOn w:val="TableNormal"/>
    <w:next w:val="LightShading-Accent6"/>
    <w:uiPriority w:val="99"/>
    <w:rsid w:val="00DE2B8D"/>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1">
    <w:name w:val="Subtle Emphasis11"/>
    <w:basedOn w:val="TableNormal"/>
    <w:uiPriority w:val="99"/>
    <w:qFormat/>
    <w:rsid w:val="00DE2B8D"/>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1">
    <w:name w:val="Medium List 211"/>
    <w:uiPriority w:val="99"/>
    <w:rsid w:val="00DE2B8D"/>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DE2B8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31">
    <w:name w:val="Light List - Accent 31"/>
    <w:basedOn w:val="TableNormal"/>
    <w:next w:val="LightList-Accent3"/>
    <w:uiPriority w:val="99"/>
    <w:rsid w:val="00DE2B8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41">
    <w:name w:val="Light List - Accent 41"/>
    <w:basedOn w:val="TableNormal"/>
    <w:next w:val="LightList-Accent4"/>
    <w:uiPriority w:val="99"/>
    <w:rsid w:val="00DE2B8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51">
    <w:name w:val="Light List - Accent 51"/>
    <w:basedOn w:val="TableNormal"/>
    <w:next w:val="LightList-Accent5"/>
    <w:uiPriority w:val="99"/>
    <w:rsid w:val="00DE2B8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61">
    <w:name w:val="Light List - Accent 61"/>
    <w:basedOn w:val="TableNormal"/>
    <w:next w:val="LightList-Accent6"/>
    <w:uiPriority w:val="99"/>
    <w:rsid w:val="00DE2B8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1">
    <w:name w:val="Intense Emphasis11"/>
    <w:basedOn w:val="TableNormal"/>
    <w:uiPriority w:val="99"/>
    <w:qFormat/>
    <w:rsid w:val="00DE2B8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1">
    <w:name w:val="Medium Shading 111"/>
    <w:uiPriority w:val="99"/>
    <w:rsid w:val="00DE2B8D"/>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1">
    <w:name w:val="Medium Shading 1 - Accent 111"/>
    <w:uiPriority w:val="99"/>
    <w:rsid w:val="00DE2B8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olorfulList-Accent21">
    <w:name w:val="Colorful List - Accent 21"/>
    <w:basedOn w:val="TableNormal"/>
    <w:next w:val="ColorfulList-Accent2"/>
    <w:uiPriority w:val="99"/>
    <w:rsid w:val="00DE2B8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ColorfulList-Accent31">
    <w:name w:val="Colorful List - Accent 31"/>
    <w:basedOn w:val="TableNormal"/>
    <w:next w:val="ColorfulList-Accent3"/>
    <w:uiPriority w:val="99"/>
    <w:rsid w:val="00DE2B8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ColorfulList-Accent41">
    <w:name w:val="Colorful List - Accent 41"/>
    <w:basedOn w:val="TableNormal"/>
    <w:next w:val="ColorfulList-Accent4"/>
    <w:uiPriority w:val="99"/>
    <w:rsid w:val="00DE2B8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ColorfulList-Accent51">
    <w:name w:val="Colorful List - Accent 51"/>
    <w:basedOn w:val="TableNormal"/>
    <w:next w:val="ColorfulList-Accent5"/>
    <w:uiPriority w:val="99"/>
    <w:rsid w:val="00DE2B8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1">
    <w:name w:val="Medium Shading 211"/>
    <w:uiPriority w:val="99"/>
    <w:rsid w:val="00DE2B8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1">
    <w:name w:val="Medium Shading 2 - Accent 111"/>
    <w:uiPriority w:val="99"/>
    <w:rsid w:val="00DE2B8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21">
    <w:name w:val="Colorful Grid - Accent 21"/>
    <w:basedOn w:val="TableNormal"/>
    <w:next w:val="ColorfulGrid-Accent2"/>
    <w:uiPriority w:val="99"/>
    <w:rsid w:val="00DE2B8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99"/>
    <w:rsid w:val="00DE2B8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41">
    <w:name w:val="Colorful Grid - Accent 41"/>
    <w:basedOn w:val="TableNormal"/>
    <w:next w:val="ColorfulGrid-Accent4"/>
    <w:uiPriority w:val="99"/>
    <w:rsid w:val="00DE2B8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51">
    <w:name w:val="Colorful Grid - Accent 51"/>
    <w:basedOn w:val="TableNormal"/>
    <w:next w:val="ColorfulGrid-Accent5"/>
    <w:uiPriority w:val="99"/>
    <w:rsid w:val="00DE2B8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rsid w:val="00DE2B8D"/>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rsid w:val="00DE2B8D"/>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DE2B8D"/>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DE2B8D"/>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rsid w:val="00DE2B8D"/>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rsid w:val="00DE2B8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rsid w:val="00DE2B8D"/>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rsid w:val="00DE2B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rsid w:val="00DE2B8D"/>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rsid w:val="00DE2B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rsid w:val="00DE2B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rsid w:val="00DE2B8D"/>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rsid w:val="00DE2B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rsid w:val="00DE2B8D"/>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uiPriority w:val="99"/>
    <w:rsid w:val="00DE2B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uiPriority w:val="99"/>
    <w:rsid w:val="00DE2B8D"/>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rsid w:val="00DE2B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rsid w:val="00DE2B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rsid w:val="00DE2B8D"/>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rsid w:val="00DE2B8D"/>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rsid w:val="00DE2B8D"/>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rsid w:val="00DE2B8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rsid w:val="00DE2B8D"/>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rsid w:val="00DE2B8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rsid w:val="00DE2B8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rsid w:val="00DE2B8D"/>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rsid w:val="00DE2B8D"/>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rsid w:val="00DE2B8D"/>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rsid w:val="00DE2B8D"/>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rsid w:val="00DE2B8D"/>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rsid w:val="00DE2B8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rsid w:val="00DE2B8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rsid w:val="00DE2B8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rsid w:val="00DE2B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rsid w:val="00DE2B8D"/>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rsid w:val="00DE2B8D"/>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rsid w:val="00DE2B8D"/>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rsid w:val="00DE2B8D"/>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rsid w:val="00DE2B8D"/>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DE2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rsid w:val="00DE2B8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rsid w:val="00DE2B8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rsid w:val="00DE2B8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ghtShading-Accent121">
    <w:name w:val="Light Shading - Accent 121"/>
    <w:basedOn w:val="TableNormal"/>
    <w:uiPriority w:val="60"/>
    <w:rsid w:val="00DE2B8D"/>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numbering" w:customStyle="1" w:styleId="NoList11">
    <w:name w:val="No List11"/>
    <w:next w:val="NoList"/>
    <w:uiPriority w:val="99"/>
    <w:semiHidden/>
    <w:unhideWhenUsed/>
    <w:rsid w:val="00DE2B8D"/>
  </w:style>
  <w:style w:type="table" w:customStyle="1" w:styleId="TableGrid110">
    <w:name w:val="Table Grid11"/>
    <w:basedOn w:val="TableNormal"/>
    <w:next w:val="TableGrid"/>
    <w:rsid w:val="00DE2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E2B8D"/>
    <w:rPr>
      <w:rFonts w:ascii="Calibri" w:hAnsi="Calibri"/>
      <w:sz w:val="22"/>
      <w:szCs w:val="22"/>
    </w:rPr>
    <w:tblPr>
      <w:tblCellMar>
        <w:top w:w="0" w:type="dxa"/>
        <w:left w:w="0" w:type="dxa"/>
        <w:bottom w:w="0" w:type="dxa"/>
        <w:right w:w="0" w:type="dxa"/>
      </w:tblCellMar>
    </w:tblPr>
  </w:style>
  <w:style w:type="table" w:customStyle="1" w:styleId="TableGrid30">
    <w:name w:val="Table Grid3"/>
    <w:basedOn w:val="TableNormal"/>
    <w:next w:val="TableGrid"/>
    <w:uiPriority w:val="59"/>
    <w:rsid w:val="00177ABF"/>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315B"/>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numbering" w:customStyle="1" w:styleId="NoList3">
    <w:name w:val="No List3"/>
    <w:next w:val="NoList"/>
    <w:uiPriority w:val="99"/>
    <w:semiHidden/>
    <w:unhideWhenUsed/>
    <w:rsid w:val="00456E6B"/>
  </w:style>
  <w:style w:type="table" w:customStyle="1" w:styleId="TableGrid40">
    <w:name w:val="Table Grid4"/>
    <w:basedOn w:val="TableNormal"/>
    <w:next w:val="TableGrid"/>
    <w:uiPriority w:val="59"/>
    <w:rsid w:val="00456E6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uiPriority w:val="99"/>
    <w:rsid w:val="00456E6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MediumGrid2-Accent22">
    <w:name w:val="Medium Grid 2 - Accent 22"/>
    <w:basedOn w:val="TableNormal"/>
    <w:next w:val="MediumGrid2-Accent2"/>
    <w:uiPriority w:val="99"/>
    <w:rsid w:val="00456E6B"/>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Accent32">
    <w:name w:val="Medium Grid 2 - Accent 32"/>
    <w:basedOn w:val="TableNormal"/>
    <w:next w:val="MediumGrid2-Accent3"/>
    <w:uiPriority w:val="99"/>
    <w:rsid w:val="00456E6B"/>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MediumGrid2-Accent42">
    <w:name w:val="Medium Grid 2 - Accent 42"/>
    <w:basedOn w:val="TableNormal"/>
    <w:next w:val="MediumGrid2-Accent4"/>
    <w:uiPriority w:val="99"/>
    <w:rsid w:val="00456E6B"/>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MediumGrid2-Accent52">
    <w:name w:val="Medium Grid 2 - Accent 52"/>
    <w:basedOn w:val="TableNormal"/>
    <w:next w:val="MediumGrid2-Accent5"/>
    <w:uiPriority w:val="99"/>
    <w:rsid w:val="00456E6B"/>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MediumGrid2-Accent62">
    <w:name w:val="Medium Grid 2 - Accent 62"/>
    <w:basedOn w:val="TableNormal"/>
    <w:next w:val="MediumGrid2-Accent6"/>
    <w:uiPriority w:val="99"/>
    <w:rsid w:val="00456E6B"/>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2">
    <w:name w:val="Colorful Grid - Accent 62"/>
    <w:basedOn w:val="TableNormal"/>
    <w:next w:val="ColorfulGrid-Accent6"/>
    <w:uiPriority w:val="99"/>
    <w:rsid w:val="00456E6B"/>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2">
    <w:name w:val="Colorful List12"/>
    <w:uiPriority w:val="99"/>
    <w:rsid w:val="00456E6B"/>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MediumGrid1-Accent22">
    <w:name w:val="Medium Grid 1 - Accent 22"/>
    <w:basedOn w:val="TableNormal"/>
    <w:next w:val="MediumGrid1-Accent2"/>
    <w:uiPriority w:val="99"/>
    <w:rsid w:val="00456E6B"/>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customStyle="1" w:styleId="MediumGrid1-Accent32">
    <w:name w:val="Medium Grid 1 - Accent 32"/>
    <w:basedOn w:val="TableNormal"/>
    <w:next w:val="MediumGrid1-Accent3"/>
    <w:uiPriority w:val="99"/>
    <w:rsid w:val="00456E6B"/>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MediumGrid1-Accent42">
    <w:name w:val="Medium Grid 1 - Accent 42"/>
    <w:basedOn w:val="TableNormal"/>
    <w:next w:val="MediumGrid1-Accent4"/>
    <w:uiPriority w:val="99"/>
    <w:rsid w:val="00456E6B"/>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MediumGrid1-Accent52">
    <w:name w:val="Medium Grid 1 - Accent 52"/>
    <w:basedOn w:val="TableNormal"/>
    <w:next w:val="MediumGrid1-Accent5"/>
    <w:uiPriority w:val="99"/>
    <w:rsid w:val="00456E6B"/>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MediumGrid1-Accent62">
    <w:name w:val="Medium Grid 1 - Accent 62"/>
    <w:basedOn w:val="TableNormal"/>
    <w:next w:val="MediumGrid1-Accent6"/>
    <w:uiPriority w:val="99"/>
    <w:rsid w:val="00456E6B"/>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2">
    <w:name w:val="Colorful List - Accent 62"/>
    <w:basedOn w:val="TableNormal"/>
    <w:next w:val="ColorfulList-Accent6"/>
    <w:uiPriority w:val="99"/>
    <w:rsid w:val="00456E6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2">
    <w:name w:val="Colorful Shading12"/>
    <w:uiPriority w:val="99"/>
    <w:rsid w:val="00456E6B"/>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MediumList2-Accent22">
    <w:name w:val="Medium List 2 - Accent 22"/>
    <w:basedOn w:val="TableNormal"/>
    <w:next w:val="MediumList2-Accent2"/>
    <w:uiPriority w:val="99"/>
    <w:rsid w:val="00456E6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MediumList2-Accent32">
    <w:name w:val="Medium List 2 - Accent 32"/>
    <w:basedOn w:val="TableNormal"/>
    <w:next w:val="MediumList2-Accent3"/>
    <w:uiPriority w:val="99"/>
    <w:rsid w:val="00456E6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customStyle="1" w:styleId="MediumList2-Accent42">
    <w:name w:val="Medium List 2 - Accent 42"/>
    <w:basedOn w:val="TableNormal"/>
    <w:next w:val="MediumList2-Accent4"/>
    <w:uiPriority w:val="99"/>
    <w:rsid w:val="00456E6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customStyle="1" w:styleId="MediumList2-Accent52">
    <w:name w:val="Medium List 2 - Accent 52"/>
    <w:basedOn w:val="TableNormal"/>
    <w:next w:val="MediumList2-Accent5"/>
    <w:uiPriority w:val="99"/>
    <w:rsid w:val="00456E6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customStyle="1" w:styleId="MediumList2-Accent62">
    <w:name w:val="Medium List 2 - Accent 62"/>
    <w:basedOn w:val="TableNormal"/>
    <w:next w:val="MediumList2-Accent6"/>
    <w:uiPriority w:val="99"/>
    <w:rsid w:val="00456E6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2">
    <w:name w:val="TOC Heading12"/>
    <w:basedOn w:val="TableNormal"/>
    <w:uiPriority w:val="99"/>
    <w:qFormat/>
    <w:rsid w:val="00456E6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2">
    <w:name w:val="Dark List12"/>
    <w:uiPriority w:val="99"/>
    <w:rsid w:val="00456E6B"/>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MediumList1-Accent22">
    <w:name w:val="Medium List 1 - Accent 22"/>
    <w:basedOn w:val="TableNormal"/>
    <w:next w:val="MediumList1-Accent2"/>
    <w:uiPriority w:val="99"/>
    <w:rsid w:val="00456E6B"/>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MediumList1-Accent32">
    <w:name w:val="Medium List 1 - Accent 32"/>
    <w:basedOn w:val="TableNormal"/>
    <w:next w:val="MediumList1-Accent3"/>
    <w:uiPriority w:val="99"/>
    <w:rsid w:val="00456E6B"/>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MediumList1-Accent42">
    <w:name w:val="Medium List 1 - Accent 42"/>
    <w:basedOn w:val="TableNormal"/>
    <w:next w:val="MediumList1-Accent4"/>
    <w:uiPriority w:val="99"/>
    <w:rsid w:val="00456E6B"/>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MediumList1-Accent52">
    <w:name w:val="Medium List 1 - Accent 52"/>
    <w:basedOn w:val="TableNormal"/>
    <w:next w:val="MediumList1-Accent5"/>
    <w:uiPriority w:val="99"/>
    <w:rsid w:val="00456E6B"/>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MediumList1-Accent62">
    <w:name w:val="Medium List 1 - Accent 62"/>
    <w:basedOn w:val="TableNormal"/>
    <w:next w:val="MediumList1-Accent6"/>
    <w:uiPriority w:val="99"/>
    <w:rsid w:val="00456E6B"/>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2">
    <w:name w:val="Bibliography12"/>
    <w:basedOn w:val="TableNormal"/>
    <w:uiPriority w:val="99"/>
    <w:rsid w:val="00456E6B"/>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LightGrid12">
    <w:name w:val="Light Grid12"/>
    <w:uiPriority w:val="99"/>
    <w:rsid w:val="00456E6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2">
    <w:name w:val="Light Grid - Accent 112"/>
    <w:uiPriority w:val="99"/>
    <w:rsid w:val="00456E6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Shading-Accent22">
    <w:name w:val="Colorful Shading - Accent 22"/>
    <w:basedOn w:val="TableNormal"/>
    <w:next w:val="ColorfulShading-Accent2"/>
    <w:uiPriority w:val="99"/>
    <w:rsid w:val="00456E6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Shading-Accent32">
    <w:name w:val="Colorful Shading - Accent 32"/>
    <w:basedOn w:val="TableNormal"/>
    <w:next w:val="ColorfulShading-Accent3"/>
    <w:uiPriority w:val="99"/>
    <w:rsid w:val="00456E6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2">
    <w:name w:val="Colorful Shading - Accent 42"/>
    <w:basedOn w:val="TableNormal"/>
    <w:next w:val="ColorfulShading-Accent4"/>
    <w:uiPriority w:val="99"/>
    <w:rsid w:val="00456E6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ColorfulShading-Accent52">
    <w:name w:val="Colorful Shading - Accent 52"/>
    <w:basedOn w:val="TableNormal"/>
    <w:next w:val="ColorfulShading-Accent5"/>
    <w:uiPriority w:val="99"/>
    <w:rsid w:val="00456E6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Shading-Accent62">
    <w:name w:val="Colorful Shading - Accent 62"/>
    <w:basedOn w:val="TableNormal"/>
    <w:next w:val="ColorfulShading-Accent6"/>
    <w:uiPriority w:val="99"/>
    <w:rsid w:val="00456E6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2">
    <w:name w:val="Light List12"/>
    <w:uiPriority w:val="99"/>
    <w:rsid w:val="00456E6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2">
    <w:name w:val="Light List - Accent 112"/>
    <w:uiPriority w:val="99"/>
    <w:rsid w:val="00456E6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DarkList-Accent22">
    <w:name w:val="Dark List - Accent 22"/>
    <w:basedOn w:val="TableNormal"/>
    <w:next w:val="DarkList-Accent2"/>
    <w:uiPriority w:val="99"/>
    <w:rsid w:val="00456E6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DarkList-Accent32">
    <w:name w:val="Dark List - Accent 32"/>
    <w:basedOn w:val="TableNormal"/>
    <w:next w:val="DarkList-Accent3"/>
    <w:uiPriority w:val="99"/>
    <w:rsid w:val="00456E6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DarkList-Accent42">
    <w:name w:val="Dark List - Accent 42"/>
    <w:basedOn w:val="TableNormal"/>
    <w:next w:val="DarkList-Accent4"/>
    <w:uiPriority w:val="99"/>
    <w:rsid w:val="00456E6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DarkList-Accent52">
    <w:name w:val="Dark List - Accent 52"/>
    <w:basedOn w:val="TableNormal"/>
    <w:next w:val="DarkList-Accent5"/>
    <w:uiPriority w:val="99"/>
    <w:rsid w:val="00456E6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DarkList-Accent62">
    <w:name w:val="Dark List - Accent 62"/>
    <w:basedOn w:val="TableNormal"/>
    <w:next w:val="DarkList-Accent6"/>
    <w:uiPriority w:val="99"/>
    <w:rsid w:val="00456E6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
    <w:name w:val="Light Shading12"/>
    <w:uiPriority w:val="99"/>
    <w:rsid w:val="00456E6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
    <w:name w:val="Light Shading - Accent 112"/>
    <w:uiPriority w:val="99"/>
    <w:rsid w:val="00456E6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22">
    <w:name w:val="Medium Grid 3 - Accent 22"/>
    <w:basedOn w:val="TableNormal"/>
    <w:next w:val="MediumGrid3-Accent2"/>
    <w:uiPriority w:val="99"/>
    <w:rsid w:val="00456E6B"/>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MediumGrid3-Accent32">
    <w:name w:val="Medium Grid 3 - Accent 32"/>
    <w:basedOn w:val="TableNormal"/>
    <w:next w:val="MediumGrid3-Accent3"/>
    <w:uiPriority w:val="99"/>
    <w:rsid w:val="00456E6B"/>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MediumGrid3-Accent42">
    <w:name w:val="Medium Grid 3 - Accent 42"/>
    <w:basedOn w:val="TableNormal"/>
    <w:next w:val="MediumGrid3-Accent4"/>
    <w:uiPriority w:val="99"/>
    <w:rsid w:val="00456E6B"/>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MediumGrid3-Accent52">
    <w:name w:val="Medium Grid 3 - Accent 52"/>
    <w:basedOn w:val="TableNormal"/>
    <w:next w:val="MediumGrid3-Accent5"/>
    <w:uiPriority w:val="99"/>
    <w:rsid w:val="00456E6B"/>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Grid3-Accent62">
    <w:name w:val="Medium Grid 3 - Accent 62"/>
    <w:basedOn w:val="TableNormal"/>
    <w:next w:val="MediumGrid3-Accent6"/>
    <w:uiPriority w:val="99"/>
    <w:rsid w:val="00456E6B"/>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MediumGrid112">
    <w:name w:val="Medium Grid 112"/>
    <w:uiPriority w:val="99"/>
    <w:rsid w:val="00456E6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Grid-Accent22">
    <w:name w:val="Light Grid - Accent 22"/>
    <w:basedOn w:val="TableNormal"/>
    <w:next w:val="LightGrid-Accent2"/>
    <w:uiPriority w:val="99"/>
    <w:rsid w:val="00456E6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32">
    <w:name w:val="Light Grid - Accent 32"/>
    <w:basedOn w:val="TableNormal"/>
    <w:next w:val="LightGrid-Accent3"/>
    <w:uiPriority w:val="99"/>
    <w:rsid w:val="00456E6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LightGrid-Accent42">
    <w:name w:val="Light Grid - Accent 42"/>
    <w:basedOn w:val="TableNormal"/>
    <w:next w:val="LightGrid-Accent4"/>
    <w:uiPriority w:val="99"/>
    <w:rsid w:val="00456E6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LightGrid-Accent52">
    <w:name w:val="Light Grid - Accent 52"/>
    <w:basedOn w:val="TableNormal"/>
    <w:next w:val="LightGrid-Accent5"/>
    <w:uiPriority w:val="99"/>
    <w:rsid w:val="00456E6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LightGrid-Accent62">
    <w:name w:val="Light Grid - Accent 62"/>
    <w:basedOn w:val="TableNormal"/>
    <w:next w:val="LightGrid-Accent6"/>
    <w:uiPriority w:val="99"/>
    <w:rsid w:val="00456E6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2">
    <w:name w:val="Subtle Reference12"/>
    <w:basedOn w:val="TableNormal"/>
    <w:uiPriority w:val="99"/>
    <w:qFormat/>
    <w:rsid w:val="00456E6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2">
    <w:name w:val="Medium Grid 212"/>
    <w:uiPriority w:val="99"/>
    <w:rsid w:val="00456E6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Shading1-Accent22">
    <w:name w:val="Medium Shading 1 - Accent 22"/>
    <w:basedOn w:val="TableNormal"/>
    <w:next w:val="MediumShading1-Accent2"/>
    <w:uiPriority w:val="99"/>
    <w:rsid w:val="00456E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Shading1-Accent32">
    <w:name w:val="Medium Shading 1 - Accent 32"/>
    <w:basedOn w:val="TableNormal"/>
    <w:next w:val="MediumShading1-Accent3"/>
    <w:uiPriority w:val="99"/>
    <w:rsid w:val="00456E6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customStyle="1" w:styleId="MediumShading1-Accent42">
    <w:name w:val="Medium Shading 1 - Accent 42"/>
    <w:basedOn w:val="TableNormal"/>
    <w:next w:val="MediumShading1-Accent4"/>
    <w:uiPriority w:val="99"/>
    <w:rsid w:val="00456E6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MediumShading1-Accent52">
    <w:name w:val="Medium Shading 1 - Accent 52"/>
    <w:basedOn w:val="TableNormal"/>
    <w:next w:val="MediumShading1-Accent5"/>
    <w:uiPriority w:val="99"/>
    <w:rsid w:val="00456E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MediumShading1-Accent62">
    <w:name w:val="Medium Shading 1 - Accent 62"/>
    <w:basedOn w:val="TableNormal"/>
    <w:next w:val="MediumShading1-Accent6"/>
    <w:uiPriority w:val="99"/>
    <w:rsid w:val="00456E6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2">
    <w:name w:val="Intense Reference12"/>
    <w:basedOn w:val="TableNormal"/>
    <w:uiPriority w:val="99"/>
    <w:qFormat/>
    <w:rsid w:val="00456E6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2">
    <w:name w:val="Medium Grid 312"/>
    <w:uiPriority w:val="99"/>
    <w:rsid w:val="00456E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Shading2-Accent22">
    <w:name w:val="Medium Shading 2 - Accent 22"/>
    <w:basedOn w:val="TableNormal"/>
    <w:next w:val="MediumShading2-Accent2"/>
    <w:uiPriority w:val="99"/>
    <w:rsid w:val="00456E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32">
    <w:name w:val="Medium Shading 2 - Accent 32"/>
    <w:basedOn w:val="TableNormal"/>
    <w:next w:val="MediumShading2-Accent3"/>
    <w:uiPriority w:val="99"/>
    <w:rsid w:val="00456E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Shading2-Accent42">
    <w:name w:val="Medium Shading 2 - Accent 42"/>
    <w:basedOn w:val="TableNormal"/>
    <w:next w:val="MediumShading2-Accent4"/>
    <w:uiPriority w:val="99"/>
    <w:rsid w:val="00456E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2-Accent52">
    <w:name w:val="Medium Shading 2 - Accent 52"/>
    <w:basedOn w:val="TableNormal"/>
    <w:next w:val="MediumShading2-Accent5"/>
    <w:uiPriority w:val="99"/>
    <w:rsid w:val="00456E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2-Accent62">
    <w:name w:val="Medium Shading 2 - Accent 62"/>
    <w:basedOn w:val="TableNormal"/>
    <w:next w:val="MediumShading2-Accent6"/>
    <w:uiPriority w:val="99"/>
    <w:rsid w:val="00456E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2">
    <w:name w:val="Book Title12"/>
    <w:basedOn w:val="TableNormal"/>
    <w:uiPriority w:val="99"/>
    <w:qFormat/>
    <w:rsid w:val="00456E6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2">
    <w:name w:val="Medium List 112"/>
    <w:uiPriority w:val="99"/>
    <w:rsid w:val="00456E6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2">
    <w:name w:val="Medium List 1 - Accent 112"/>
    <w:uiPriority w:val="99"/>
    <w:rsid w:val="00456E6B"/>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2">
    <w:name w:val="Light Shading - Accent 32"/>
    <w:basedOn w:val="TableNormal"/>
    <w:next w:val="LightShading-Accent3"/>
    <w:uiPriority w:val="99"/>
    <w:rsid w:val="00456E6B"/>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LightShading-Accent42">
    <w:name w:val="Light Shading - Accent 42"/>
    <w:basedOn w:val="TableNormal"/>
    <w:next w:val="LightShading-Accent4"/>
    <w:uiPriority w:val="99"/>
    <w:rsid w:val="00456E6B"/>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LightShading-Accent52">
    <w:name w:val="Light Shading - Accent 52"/>
    <w:basedOn w:val="TableNormal"/>
    <w:next w:val="LightShading-Accent5"/>
    <w:uiPriority w:val="99"/>
    <w:rsid w:val="00456E6B"/>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LightShading-Accent62">
    <w:name w:val="Light Shading - Accent 62"/>
    <w:basedOn w:val="TableNormal"/>
    <w:next w:val="LightShading-Accent6"/>
    <w:uiPriority w:val="99"/>
    <w:rsid w:val="00456E6B"/>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2">
    <w:name w:val="Subtle Emphasis12"/>
    <w:basedOn w:val="TableNormal"/>
    <w:uiPriority w:val="99"/>
    <w:qFormat/>
    <w:rsid w:val="00456E6B"/>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2">
    <w:name w:val="Medium List 212"/>
    <w:uiPriority w:val="99"/>
    <w:rsid w:val="00456E6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2">
    <w:name w:val="Light List - Accent 22"/>
    <w:basedOn w:val="TableNormal"/>
    <w:next w:val="LightList-Accent2"/>
    <w:uiPriority w:val="99"/>
    <w:rsid w:val="00456E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32">
    <w:name w:val="Light List - Accent 32"/>
    <w:basedOn w:val="TableNormal"/>
    <w:next w:val="LightList-Accent3"/>
    <w:uiPriority w:val="99"/>
    <w:rsid w:val="00456E6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42">
    <w:name w:val="Light List - Accent 42"/>
    <w:basedOn w:val="TableNormal"/>
    <w:next w:val="LightList-Accent4"/>
    <w:uiPriority w:val="99"/>
    <w:rsid w:val="00456E6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52">
    <w:name w:val="Light List - Accent 52"/>
    <w:basedOn w:val="TableNormal"/>
    <w:next w:val="LightList-Accent5"/>
    <w:uiPriority w:val="99"/>
    <w:rsid w:val="00456E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62">
    <w:name w:val="Light List - Accent 62"/>
    <w:basedOn w:val="TableNormal"/>
    <w:next w:val="LightList-Accent6"/>
    <w:uiPriority w:val="99"/>
    <w:rsid w:val="00456E6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2">
    <w:name w:val="Intense Emphasis12"/>
    <w:basedOn w:val="TableNormal"/>
    <w:uiPriority w:val="99"/>
    <w:qFormat/>
    <w:rsid w:val="00456E6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2">
    <w:name w:val="Medium Shading 112"/>
    <w:uiPriority w:val="99"/>
    <w:rsid w:val="00456E6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2">
    <w:name w:val="Medium Shading 1 - Accent 112"/>
    <w:uiPriority w:val="99"/>
    <w:rsid w:val="00456E6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olorfulList-Accent22">
    <w:name w:val="Colorful List - Accent 22"/>
    <w:basedOn w:val="TableNormal"/>
    <w:next w:val="ColorfulList-Accent2"/>
    <w:uiPriority w:val="99"/>
    <w:rsid w:val="00456E6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ColorfulList-Accent32">
    <w:name w:val="Colorful List - Accent 32"/>
    <w:basedOn w:val="TableNormal"/>
    <w:next w:val="ColorfulList-Accent3"/>
    <w:uiPriority w:val="99"/>
    <w:rsid w:val="00456E6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ColorfulList-Accent42">
    <w:name w:val="Colorful List - Accent 42"/>
    <w:basedOn w:val="TableNormal"/>
    <w:next w:val="ColorfulList-Accent4"/>
    <w:uiPriority w:val="99"/>
    <w:rsid w:val="00456E6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ColorfulList-Accent52">
    <w:name w:val="Colorful List - Accent 52"/>
    <w:basedOn w:val="TableNormal"/>
    <w:next w:val="ColorfulList-Accent5"/>
    <w:uiPriority w:val="99"/>
    <w:rsid w:val="00456E6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2">
    <w:name w:val="Medium Shading 212"/>
    <w:uiPriority w:val="99"/>
    <w:rsid w:val="00456E6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2">
    <w:name w:val="Medium Shading 2 - Accent 112"/>
    <w:uiPriority w:val="99"/>
    <w:rsid w:val="00456E6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22">
    <w:name w:val="Colorful Grid - Accent 22"/>
    <w:basedOn w:val="TableNormal"/>
    <w:next w:val="ColorfulGrid-Accent2"/>
    <w:uiPriority w:val="99"/>
    <w:rsid w:val="00456E6B"/>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2">
    <w:name w:val="Colorful Grid - Accent 32"/>
    <w:basedOn w:val="TableNormal"/>
    <w:next w:val="ColorfulGrid-Accent3"/>
    <w:uiPriority w:val="99"/>
    <w:rsid w:val="00456E6B"/>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42">
    <w:name w:val="Colorful Grid - Accent 42"/>
    <w:basedOn w:val="TableNormal"/>
    <w:next w:val="ColorfulGrid-Accent4"/>
    <w:uiPriority w:val="99"/>
    <w:rsid w:val="00456E6B"/>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52">
    <w:name w:val="Colorful Grid - Accent 52"/>
    <w:basedOn w:val="TableNormal"/>
    <w:next w:val="ColorfulGrid-Accent5"/>
    <w:uiPriority w:val="99"/>
    <w:rsid w:val="00456E6B"/>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2">
    <w:name w:val="Table 3D effects 12"/>
    <w:basedOn w:val="TableNormal"/>
    <w:next w:val="Table3Deffects1"/>
    <w:uiPriority w:val="99"/>
    <w:rsid w:val="00456E6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uiPriority w:val="99"/>
    <w:rsid w:val="00456E6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456E6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456E6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456E6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456E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456E6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uiPriority w:val="99"/>
    <w:rsid w:val="00456E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456E6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456E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456E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456E6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456E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456E6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uiPriority w:val="99"/>
    <w:rsid w:val="00456E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uiPriority w:val="99"/>
    <w:rsid w:val="00456E6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456E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0">
    <w:name w:val="Table Grid 12"/>
    <w:basedOn w:val="TableNormal"/>
    <w:next w:val="TableGrid1"/>
    <w:uiPriority w:val="99"/>
    <w:rsid w:val="00456E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uiPriority w:val="99"/>
    <w:rsid w:val="00456E6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uiPriority w:val="99"/>
    <w:rsid w:val="00456E6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456E6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uiPriority w:val="99"/>
    <w:rsid w:val="00456E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uiPriority w:val="99"/>
    <w:rsid w:val="00456E6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uiPriority w:val="99"/>
    <w:rsid w:val="00456E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456E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456E6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456E6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456E6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456E6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uiPriority w:val="99"/>
    <w:rsid w:val="00456E6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uiPriority w:val="99"/>
    <w:rsid w:val="00456E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uiPriority w:val="99"/>
    <w:rsid w:val="00456E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456E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456E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uiPriority w:val="99"/>
    <w:rsid w:val="00456E6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uiPriority w:val="99"/>
    <w:rsid w:val="00456E6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456E6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uiPriority w:val="99"/>
    <w:rsid w:val="00456E6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rsid w:val="00456E6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uiPriority w:val="99"/>
    <w:rsid w:val="0045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uiPriority w:val="99"/>
    <w:rsid w:val="00456E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456E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456E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ghtShading-Accent122">
    <w:name w:val="Light Shading - Accent 122"/>
    <w:basedOn w:val="TableNormal"/>
    <w:uiPriority w:val="60"/>
    <w:rsid w:val="00456E6B"/>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numbering" w:customStyle="1" w:styleId="NoList12">
    <w:name w:val="No List12"/>
    <w:next w:val="NoList"/>
    <w:uiPriority w:val="99"/>
    <w:semiHidden/>
    <w:unhideWhenUsed/>
    <w:rsid w:val="00456E6B"/>
  </w:style>
  <w:style w:type="table" w:customStyle="1" w:styleId="TableGrid121">
    <w:name w:val="Table Grid12"/>
    <w:basedOn w:val="TableNormal"/>
    <w:next w:val="TableGrid"/>
    <w:rsid w:val="0045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
    <w:rsid w:val="00456E6B"/>
    <w:rPr>
      <w:rFonts w:ascii="Calibri" w:hAnsi="Calibri"/>
      <w:sz w:val="22"/>
      <w:szCs w:val="22"/>
    </w:rPr>
    <w:tblPr>
      <w:tblCellMar>
        <w:top w:w="0" w:type="dxa"/>
        <w:left w:w="0" w:type="dxa"/>
        <w:bottom w:w="0" w:type="dxa"/>
        <w:right w:w="0" w:type="dxa"/>
      </w:tblCellMar>
    </w:tblPr>
  </w:style>
  <w:style w:type="numbering" w:customStyle="1" w:styleId="NoList4">
    <w:name w:val="No List4"/>
    <w:next w:val="NoList"/>
    <w:uiPriority w:val="99"/>
    <w:semiHidden/>
    <w:unhideWhenUsed/>
    <w:rsid w:val="00871477"/>
  </w:style>
  <w:style w:type="table" w:customStyle="1" w:styleId="TableGrid50">
    <w:name w:val="Table Grid5"/>
    <w:basedOn w:val="TableNormal"/>
    <w:next w:val="TableGrid"/>
    <w:uiPriority w:val="59"/>
    <w:rsid w:val="0087147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uiPriority w:val="99"/>
    <w:rsid w:val="0087147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MediumGrid2-Accent23">
    <w:name w:val="Medium Grid 2 - Accent 23"/>
    <w:basedOn w:val="TableNormal"/>
    <w:next w:val="MediumGrid2-Accent2"/>
    <w:uiPriority w:val="99"/>
    <w:rsid w:val="00871477"/>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Accent33">
    <w:name w:val="Medium Grid 2 - Accent 33"/>
    <w:basedOn w:val="TableNormal"/>
    <w:next w:val="MediumGrid2-Accent3"/>
    <w:uiPriority w:val="99"/>
    <w:rsid w:val="00871477"/>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MediumGrid2-Accent43">
    <w:name w:val="Medium Grid 2 - Accent 43"/>
    <w:basedOn w:val="TableNormal"/>
    <w:next w:val="MediumGrid2-Accent4"/>
    <w:uiPriority w:val="99"/>
    <w:rsid w:val="00871477"/>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MediumGrid2-Accent53">
    <w:name w:val="Medium Grid 2 - Accent 53"/>
    <w:basedOn w:val="TableNormal"/>
    <w:next w:val="MediumGrid2-Accent5"/>
    <w:uiPriority w:val="99"/>
    <w:rsid w:val="00871477"/>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MediumGrid2-Accent63">
    <w:name w:val="Medium Grid 2 - Accent 63"/>
    <w:basedOn w:val="TableNormal"/>
    <w:next w:val="MediumGrid2-Accent6"/>
    <w:uiPriority w:val="99"/>
    <w:rsid w:val="00871477"/>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3">
    <w:name w:val="Colorful Grid - Accent 63"/>
    <w:basedOn w:val="TableNormal"/>
    <w:next w:val="ColorfulGrid-Accent6"/>
    <w:uiPriority w:val="99"/>
    <w:rsid w:val="0087147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3">
    <w:name w:val="Colorful List13"/>
    <w:uiPriority w:val="99"/>
    <w:rsid w:val="00871477"/>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MediumGrid1-Accent23">
    <w:name w:val="Medium Grid 1 - Accent 23"/>
    <w:basedOn w:val="TableNormal"/>
    <w:next w:val="MediumGrid1-Accent2"/>
    <w:uiPriority w:val="99"/>
    <w:rsid w:val="00871477"/>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customStyle="1" w:styleId="MediumGrid1-Accent33">
    <w:name w:val="Medium Grid 1 - Accent 33"/>
    <w:basedOn w:val="TableNormal"/>
    <w:next w:val="MediumGrid1-Accent3"/>
    <w:uiPriority w:val="99"/>
    <w:rsid w:val="00871477"/>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MediumGrid1-Accent43">
    <w:name w:val="Medium Grid 1 - Accent 43"/>
    <w:basedOn w:val="TableNormal"/>
    <w:next w:val="MediumGrid1-Accent4"/>
    <w:uiPriority w:val="99"/>
    <w:rsid w:val="00871477"/>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MediumGrid1-Accent53">
    <w:name w:val="Medium Grid 1 - Accent 53"/>
    <w:basedOn w:val="TableNormal"/>
    <w:next w:val="MediumGrid1-Accent5"/>
    <w:uiPriority w:val="99"/>
    <w:rsid w:val="00871477"/>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MediumGrid1-Accent63">
    <w:name w:val="Medium Grid 1 - Accent 63"/>
    <w:basedOn w:val="TableNormal"/>
    <w:next w:val="MediumGrid1-Accent6"/>
    <w:uiPriority w:val="99"/>
    <w:rsid w:val="00871477"/>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3">
    <w:name w:val="Colorful List - Accent 63"/>
    <w:basedOn w:val="TableNormal"/>
    <w:next w:val="ColorfulList-Accent6"/>
    <w:uiPriority w:val="99"/>
    <w:rsid w:val="0087147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3">
    <w:name w:val="Colorful Shading13"/>
    <w:uiPriority w:val="99"/>
    <w:rsid w:val="0087147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MediumList2-Accent23">
    <w:name w:val="Medium List 2 - Accent 23"/>
    <w:basedOn w:val="TableNormal"/>
    <w:next w:val="MediumList2-Accent2"/>
    <w:uiPriority w:val="99"/>
    <w:rsid w:val="0087147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MediumList2-Accent33">
    <w:name w:val="Medium List 2 - Accent 33"/>
    <w:basedOn w:val="TableNormal"/>
    <w:next w:val="MediumList2-Accent3"/>
    <w:uiPriority w:val="99"/>
    <w:rsid w:val="0087147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customStyle="1" w:styleId="MediumList2-Accent43">
    <w:name w:val="Medium List 2 - Accent 43"/>
    <w:basedOn w:val="TableNormal"/>
    <w:next w:val="MediumList2-Accent4"/>
    <w:uiPriority w:val="99"/>
    <w:rsid w:val="0087147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customStyle="1" w:styleId="MediumList2-Accent53">
    <w:name w:val="Medium List 2 - Accent 53"/>
    <w:basedOn w:val="TableNormal"/>
    <w:next w:val="MediumList2-Accent5"/>
    <w:uiPriority w:val="99"/>
    <w:rsid w:val="0087147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customStyle="1" w:styleId="MediumList2-Accent63">
    <w:name w:val="Medium List 2 - Accent 63"/>
    <w:basedOn w:val="TableNormal"/>
    <w:next w:val="MediumList2-Accent6"/>
    <w:uiPriority w:val="99"/>
    <w:rsid w:val="0087147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3">
    <w:name w:val="TOC Heading13"/>
    <w:basedOn w:val="TableNormal"/>
    <w:uiPriority w:val="99"/>
    <w:qFormat/>
    <w:rsid w:val="0087147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3">
    <w:name w:val="Dark List13"/>
    <w:uiPriority w:val="99"/>
    <w:rsid w:val="00871477"/>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MediumList1-Accent23">
    <w:name w:val="Medium List 1 - Accent 23"/>
    <w:basedOn w:val="TableNormal"/>
    <w:next w:val="MediumList1-Accent2"/>
    <w:uiPriority w:val="99"/>
    <w:rsid w:val="00871477"/>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MediumList1-Accent33">
    <w:name w:val="Medium List 1 - Accent 33"/>
    <w:basedOn w:val="TableNormal"/>
    <w:next w:val="MediumList1-Accent3"/>
    <w:uiPriority w:val="99"/>
    <w:rsid w:val="00871477"/>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MediumList1-Accent43">
    <w:name w:val="Medium List 1 - Accent 43"/>
    <w:basedOn w:val="TableNormal"/>
    <w:next w:val="MediumList1-Accent4"/>
    <w:uiPriority w:val="99"/>
    <w:rsid w:val="00871477"/>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MediumList1-Accent53">
    <w:name w:val="Medium List 1 - Accent 53"/>
    <w:basedOn w:val="TableNormal"/>
    <w:next w:val="MediumList1-Accent5"/>
    <w:uiPriority w:val="99"/>
    <w:rsid w:val="00871477"/>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MediumList1-Accent63">
    <w:name w:val="Medium List 1 - Accent 63"/>
    <w:basedOn w:val="TableNormal"/>
    <w:next w:val="MediumList1-Accent6"/>
    <w:uiPriority w:val="99"/>
    <w:rsid w:val="00871477"/>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3">
    <w:name w:val="Bibliography13"/>
    <w:basedOn w:val="TableNormal"/>
    <w:uiPriority w:val="99"/>
    <w:rsid w:val="00871477"/>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LightGrid13">
    <w:name w:val="Light Grid13"/>
    <w:uiPriority w:val="99"/>
    <w:rsid w:val="0087147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3">
    <w:name w:val="Light Grid - Accent 113"/>
    <w:uiPriority w:val="99"/>
    <w:rsid w:val="0087147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Shading-Accent23">
    <w:name w:val="Colorful Shading - Accent 23"/>
    <w:basedOn w:val="TableNormal"/>
    <w:next w:val="ColorfulShading-Accent2"/>
    <w:uiPriority w:val="99"/>
    <w:rsid w:val="0087147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Shading-Accent33">
    <w:name w:val="Colorful Shading - Accent 33"/>
    <w:basedOn w:val="TableNormal"/>
    <w:next w:val="ColorfulShading-Accent3"/>
    <w:uiPriority w:val="99"/>
    <w:rsid w:val="0087147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3">
    <w:name w:val="Colorful Shading - Accent 43"/>
    <w:basedOn w:val="TableNormal"/>
    <w:next w:val="ColorfulShading-Accent4"/>
    <w:uiPriority w:val="99"/>
    <w:rsid w:val="0087147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ColorfulShading-Accent53">
    <w:name w:val="Colorful Shading - Accent 53"/>
    <w:basedOn w:val="TableNormal"/>
    <w:next w:val="ColorfulShading-Accent5"/>
    <w:uiPriority w:val="99"/>
    <w:rsid w:val="0087147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Shading-Accent63">
    <w:name w:val="Colorful Shading - Accent 63"/>
    <w:basedOn w:val="TableNormal"/>
    <w:next w:val="ColorfulShading-Accent6"/>
    <w:uiPriority w:val="99"/>
    <w:rsid w:val="0087147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3">
    <w:name w:val="Light List13"/>
    <w:uiPriority w:val="99"/>
    <w:rsid w:val="0087147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3">
    <w:name w:val="Light List - Accent 113"/>
    <w:uiPriority w:val="99"/>
    <w:rsid w:val="0087147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DarkList-Accent23">
    <w:name w:val="Dark List - Accent 23"/>
    <w:basedOn w:val="TableNormal"/>
    <w:next w:val="DarkList-Accent2"/>
    <w:uiPriority w:val="99"/>
    <w:rsid w:val="0087147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DarkList-Accent33">
    <w:name w:val="Dark List - Accent 33"/>
    <w:basedOn w:val="TableNormal"/>
    <w:next w:val="DarkList-Accent3"/>
    <w:uiPriority w:val="99"/>
    <w:rsid w:val="0087147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DarkList-Accent43">
    <w:name w:val="Dark List - Accent 43"/>
    <w:basedOn w:val="TableNormal"/>
    <w:next w:val="DarkList-Accent4"/>
    <w:uiPriority w:val="99"/>
    <w:rsid w:val="0087147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DarkList-Accent53">
    <w:name w:val="Dark List - Accent 53"/>
    <w:basedOn w:val="TableNormal"/>
    <w:next w:val="DarkList-Accent5"/>
    <w:uiPriority w:val="99"/>
    <w:rsid w:val="0087147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DarkList-Accent63">
    <w:name w:val="Dark List - Accent 63"/>
    <w:basedOn w:val="TableNormal"/>
    <w:next w:val="DarkList-Accent6"/>
    <w:uiPriority w:val="99"/>
    <w:rsid w:val="0087147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3">
    <w:name w:val="Light Shading13"/>
    <w:uiPriority w:val="99"/>
    <w:rsid w:val="0087147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
    <w:name w:val="Light Shading - Accent 113"/>
    <w:uiPriority w:val="99"/>
    <w:rsid w:val="0087147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23">
    <w:name w:val="Medium Grid 3 - Accent 23"/>
    <w:basedOn w:val="TableNormal"/>
    <w:next w:val="MediumGrid3-Accent2"/>
    <w:uiPriority w:val="99"/>
    <w:rsid w:val="00871477"/>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MediumGrid3-Accent33">
    <w:name w:val="Medium Grid 3 - Accent 33"/>
    <w:basedOn w:val="TableNormal"/>
    <w:next w:val="MediumGrid3-Accent3"/>
    <w:uiPriority w:val="99"/>
    <w:rsid w:val="00871477"/>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MediumGrid3-Accent43">
    <w:name w:val="Medium Grid 3 - Accent 43"/>
    <w:basedOn w:val="TableNormal"/>
    <w:next w:val="MediumGrid3-Accent4"/>
    <w:uiPriority w:val="99"/>
    <w:rsid w:val="00871477"/>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MediumGrid3-Accent53">
    <w:name w:val="Medium Grid 3 - Accent 53"/>
    <w:basedOn w:val="TableNormal"/>
    <w:next w:val="MediumGrid3-Accent5"/>
    <w:uiPriority w:val="99"/>
    <w:rsid w:val="0087147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Grid3-Accent63">
    <w:name w:val="Medium Grid 3 - Accent 63"/>
    <w:basedOn w:val="TableNormal"/>
    <w:next w:val="MediumGrid3-Accent6"/>
    <w:uiPriority w:val="99"/>
    <w:rsid w:val="00871477"/>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MediumGrid113">
    <w:name w:val="Medium Grid 113"/>
    <w:uiPriority w:val="99"/>
    <w:rsid w:val="0087147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Grid-Accent23">
    <w:name w:val="Light Grid - Accent 23"/>
    <w:basedOn w:val="TableNormal"/>
    <w:next w:val="LightGrid-Accent2"/>
    <w:uiPriority w:val="99"/>
    <w:rsid w:val="0087147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33">
    <w:name w:val="Light Grid - Accent 33"/>
    <w:basedOn w:val="TableNormal"/>
    <w:next w:val="LightGrid-Accent3"/>
    <w:uiPriority w:val="99"/>
    <w:rsid w:val="0087147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LightGrid-Accent43">
    <w:name w:val="Light Grid - Accent 43"/>
    <w:basedOn w:val="TableNormal"/>
    <w:next w:val="LightGrid-Accent4"/>
    <w:uiPriority w:val="99"/>
    <w:rsid w:val="0087147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LightGrid-Accent53">
    <w:name w:val="Light Grid - Accent 53"/>
    <w:basedOn w:val="TableNormal"/>
    <w:next w:val="LightGrid-Accent5"/>
    <w:uiPriority w:val="99"/>
    <w:rsid w:val="0087147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LightGrid-Accent63">
    <w:name w:val="Light Grid - Accent 63"/>
    <w:basedOn w:val="TableNormal"/>
    <w:next w:val="LightGrid-Accent6"/>
    <w:uiPriority w:val="99"/>
    <w:rsid w:val="0087147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3">
    <w:name w:val="Subtle Reference13"/>
    <w:basedOn w:val="TableNormal"/>
    <w:uiPriority w:val="99"/>
    <w:qFormat/>
    <w:rsid w:val="0087147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3">
    <w:name w:val="Medium Grid 213"/>
    <w:uiPriority w:val="99"/>
    <w:rsid w:val="0087147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Shading1-Accent23">
    <w:name w:val="Medium Shading 1 - Accent 23"/>
    <w:basedOn w:val="TableNormal"/>
    <w:next w:val="MediumShading1-Accent2"/>
    <w:uiPriority w:val="99"/>
    <w:rsid w:val="0087147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Shading1-Accent33">
    <w:name w:val="Medium Shading 1 - Accent 33"/>
    <w:basedOn w:val="TableNormal"/>
    <w:next w:val="MediumShading1-Accent3"/>
    <w:uiPriority w:val="99"/>
    <w:rsid w:val="0087147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customStyle="1" w:styleId="MediumShading1-Accent43">
    <w:name w:val="Medium Shading 1 - Accent 43"/>
    <w:basedOn w:val="TableNormal"/>
    <w:next w:val="MediumShading1-Accent4"/>
    <w:uiPriority w:val="99"/>
    <w:rsid w:val="0087147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MediumShading1-Accent53">
    <w:name w:val="Medium Shading 1 - Accent 53"/>
    <w:basedOn w:val="TableNormal"/>
    <w:next w:val="MediumShading1-Accent5"/>
    <w:uiPriority w:val="99"/>
    <w:rsid w:val="0087147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MediumShading1-Accent63">
    <w:name w:val="Medium Shading 1 - Accent 63"/>
    <w:basedOn w:val="TableNormal"/>
    <w:next w:val="MediumShading1-Accent6"/>
    <w:uiPriority w:val="99"/>
    <w:rsid w:val="0087147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3">
    <w:name w:val="Intense Reference13"/>
    <w:basedOn w:val="TableNormal"/>
    <w:uiPriority w:val="99"/>
    <w:qFormat/>
    <w:rsid w:val="0087147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3">
    <w:name w:val="Medium Grid 313"/>
    <w:uiPriority w:val="99"/>
    <w:rsid w:val="0087147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Shading2-Accent23">
    <w:name w:val="Medium Shading 2 - Accent 23"/>
    <w:basedOn w:val="TableNormal"/>
    <w:next w:val="MediumShading2-Accent2"/>
    <w:uiPriority w:val="99"/>
    <w:rsid w:val="0087147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33">
    <w:name w:val="Medium Shading 2 - Accent 33"/>
    <w:basedOn w:val="TableNormal"/>
    <w:next w:val="MediumShading2-Accent3"/>
    <w:uiPriority w:val="99"/>
    <w:rsid w:val="0087147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Shading2-Accent43">
    <w:name w:val="Medium Shading 2 - Accent 43"/>
    <w:basedOn w:val="TableNormal"/>
    <w:next w:val="MediumShading2-Accent4"/>
    <w:uiPriority w:val="99"/>
    <w:rsid w:val="0087147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2-Accent53">
    <w:name w:val="Medium Shading 2 - Accent 53"/>
    <w:basedOn w:val="TableNormal"/>
    <w:next w:val="MediumShading2-Accent5"/>
    <w:uiPriority w:val="99"/>
    <w:rsid w:val="0087147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2-Accent63">
    <w:name w:val="Medium Shading 2 - Accent 63"/>
    <w:basedOn w:val="TableNormal"/>
    <w:next w:val="MediumShading2-Accent6"/>
    <w:uiPriority w:val="99"/>
    <w:rsid w:val="0087147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3">
    <w:name w:val="Book Title13"/>
    <w:basedOn w:val="TableNormal"/>
    <w:uiPriority w:val="99"/>
    <w:qFormat/>
    <w:rsid w:val="0087147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3">
    <w:name w:val="Medium List 113"/>
    <w:uiPriority w:val="99"/>
    <w:rsid w:val="0087147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3">
    <w:name w:val="Medium List 1 - Accent 113"/>
    <w:uiPriority w:val="99"/>
    <w:rsid w:val="0087147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3">
    <w:name w:val="Light Shading - Accent 33"/>
    <w:basedOn w:val="TableNormal"/>
    <w:next w:val="LightShading-Accent3"/>
    <w:uiPriority w:val="99"/>
    <w:rsid w:val="00871477"/>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LightShading-Accent43">
    <w:name w:val="Light Shading - Accent 43"/>
    <w:basedOn w:val="TableNormal"/>
    <w:next w:val="LightShading-Accent4"/>
    <w:uiPriority w:val="99"/>
    <w:rsid w:val="00871477"/>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LightShading-Accent53">
    <w:name w:val="Light Shading - Accent 53"/>
    <w:basedOn w:val="TableNormal"/>
    <w:next w:val="LightShading-Accent5"/>
    <w:uiPriority w:val="99"/>
    <w:rsid w:val="00871477"/>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LightShading-Accent63">
    <w:name w:val="Light Shading - Accent 63"/>
    <w:basedOn w:val="TableNormal"/>
    <w:next w:val="LightShading-Accent6"/>
    <w:uiPriority w:val="99"/>
    <w:rsid w:val="00871477"/>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3">
    <w:name w:val="Subtle Emphasis13"/>
    <w:basedOn w:val="TableNormal"/>
    <w:uiPriority w:val="99"/>
    <w:qFormat/>
    <w:rsid w:val="00871477"/>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3">
    <w:name w:val="Medium List 213"/>
    <w:uiPriority w:val="99"/>
    <w:rsid w:val="0087147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3">
    <w:name w:val="Light List - Accent 23"/>
    <w:basedOn w:val="TableNormal"/>
    <w:next w:val="LightList-Accent2"/>
    <w:uiPriority w:val="99"/>
    <w:rsid w:val="0087147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33">
    <w:name w:val="Light List - Accent 33"/>
    <w:basedOn w:val="TableNormal"/>
    <w:next w:val="LightList-Accent3"/>
    <w:uiPriority w:val="99"/>
    <w:rsid w:val="0087147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43">
    <w:name w:val="Light List - Accent 43"/>
    <w:basedOn w:val="TableNormal"/>
    <w:next w:val="LightList-Accent4"/>
    <w:uiPriority w:val="99"/>
    <w:rsid w:val="0087147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53">
    <w:name w:val="Light List - Accent 53"/>
    <w:basedOn w:val="TableNormal"/>
    <w:next w:val="LightList-Accent5"/>
    <w:uiPriority w:val="99"/>
    <w:rsid w:val="0087147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63">
    <w:name w:val="Light List - Accent 63"/>
    <w:basedOn w:val="TableNormal"/>
    <w:next w:val="LightList-Accent6"/>
    <w:uiPriority w:val="99"/>
    <w:rsid w:val="0087147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3">
    <w:name w:val="Intense Emphasis13"/>
    <w:basedOn w:val="TableNormal"/>
    <w:uiPriority w:val="99"/>
    <w:qFormat/>
    <w:rsid w:val="0087147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3">
    <w:name w:val="Medium Shading 113"/>
    <w:uiPriority w:val="99"/>
    <w:rsid w:val="0087147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3">
    <w:name w:val="Medium Shading 1 - Accent 113"/>
    <w:uiPriority w:val="99"/>
    <w:rsid w:val="0087147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olorfulList-Accent23">
    <w:name w:val="Colorful List - Accent 23"/>
    <w:basedOn w:val="TableNormal"/>
    <w:next w:val="ColorfulList-Accent2"/>
    <w:uiPriority w:val="99"/>
    <w:rsid w:val="0087147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ColorfulList-Accent33">
    <w:name w:val="Colorful List - Accent 33"/>
    <w:basedOn w:val="TableNormal"/>
    <w:next w:val="ColorfulList-Accent3"/>
    <w:uiPriority w:val="99"/>
    <w:rsid w:val="0087147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ColorfulList-Accent43">
    <w:name w:val="Colorful List - Accent 43"/>
    <w:basedOn w:val="TableNormal"/>
    <w:next w:val="ColorfulList-Accent4"/>
    <w:uiPriority w:val="99"/>
    <w:rsid w:val="0087147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ColorfulList-Accent53">
    <w:name w:val="Colorful List - Accent 53"/>
    <w:basedOn w:val="TableNormal"/>
    <w:next w:val="ColorfulList-Accent5"/>
    <w:uiPriority w:val="99"/>
    <w:rsid w:val="0087147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3">
    <w:name w:val="Medium Shading 213"/>
    <w:uiPriority w:val="99"/>
    <w:rsid w:val="0087147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3">
    <w:name w:val="Medium Shading 2 - Accent 113"/>
    <w:uiPriority w:val="99"/>
    <w:rsid w:val="0087147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23">
    <w:name w:val="Colorful Grid - Accent 23"/>
    <w:basedOn w:val="TableNormal"/>
    <w:next w:val="ColorfulGrid-Accent2"/>
    <w:uiPriority w:val="99"/>
    <w:rsid w:val="0087147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3">
    <w:name w:val="Colorful Grid - Accent 33"/>
    <w:basedOn w:val="TableNormal"/>
    <w:next w:val="ColorfulGrid-Accent3"/>
    <w:uiPriority w:val="99"/>
    <w:rsid w:val="0087147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43">
    <w:name w:val="Colorful Grid - Accent 43"/>
    <w:basedOn w:val="TableNormal"/>
    <w:next w:val="ColorfulGrid-Accent4"/>
    <w:uiPriority w:val="99"/>
    <w:rsid w:val="0087147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53">
    <w:name w:val="Colorful Grid - Accent 53"/>
    <w:basedOn w:val="TableNormal"/>
    <w:next w:val="ColorfulGrid-Accent5"/>
    <w:uiPriority w:val="99"/>
    <w:rsid w:val="0087147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3">
    <w:name w:val="Table 3D effects 13"/>
    <w:basedOn w:val="TableNormal"/>
    <w:next w:val="Table3Deffects1"/>
    <w:uiPriority w:val="99"/>
    <w:rsid w:val="00871477"/>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uiPriority w:val="99"/>
    <w:rsid w:val="00871477"/>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uiPriority w:val="99"/>
    <w:rsid w:val="00871477"/>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uiPriority w:val="99"/>
    <w:rsid w:val="00871477"/>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uiPriority w:val="99"/>
    <w:rsid w:val="0087147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uiPriority w:val="99"/>
    <w:rsid w:val="0087147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uiPriority w:val="99"/>
    <w:rsid w:val="00871477"/>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uiPriority w:val="99"/>
    <w:rsid w:val="0087147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uiPriority w:val="99"/>
    <w:rsid w:val="00871477"/>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rsid w:val="0087147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uiPriority w:val="99"/>
    <w:rsid w:val="0087147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uiPriority w:val="99"/>
    <w:rsid w:val="00871477"/>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uiPriority w:val="99"/>
    <w:rsid w:val="0087147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uiPriority w:val="99"/>
    <w:rsid w:val="00871477"/>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3">
    <w:name w:val="Table Columns 53"/>
    <w:basedOn w:val="TableNormal"/>
    <w:next w:val="TableColumns5"/>
    <w:uiPriority w:val="99"/>
    <w:rsid w:val="0087147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3">
    <w:name w:val="Table Contemporary3"/>
    <w:basedOn w:val="TableNormal"/>
    <w:next w:val="TableContemporary"/>
    <w:uiPriority w:val="99"/>
    <w:rsid w:val="00871477"/>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uiPriority w:val="99"/>
    <w:rsid w:val="0087147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uiPriority w:val="99"/>
    <w:rsid w:val="008714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30">
    <w:name w:val="Table Grid 23"/>
    <w:basedOn w:val="TableNormal"/>
    <w:next w:val="TableGrid2"/>
    <w:uiPriority w:val="99"/>
    <w:rsid w:val="00871477"/>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3">
    <w:name w:val="Table Grid 33"/>
    <w:basedOn w:val="TableNormal"/>
    <w:next w:val="TableGrid3"/>
    <w:uiPriority w:val="99"/>
    <w:rsid w:val="00871477"/>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3">
    <w:name w:val="Table Grid 43"/>
    <w:basedOn w:val="TableNormal"/>
    <w:next w:val="TableGrid4"/>
    <w:uiPriority w:val="99"/>
    <w:rsid w:val="00871477"/>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uiPriority w:val="99"/>
    <w:rsid w:val="0087147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3">
    <w:name w:val="Table Grid 63"/>
    <w:basedOn w:val="TableNormal"/>
    <w:next w:val="TableGrid6"/>
    <w:uiPriority w:val="99"/>
    <w:rsid w:val="00871477"/>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3">
    <w:name w:val="Table Grid 73"/>
    <w:basedOn w:val="TableNormal"/>
    <w:next w:val="TableGrid7"/>
    <w:uiPriority w:val="99"/>
    <w:rsid w:val="0087147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3">
    <w:name w:val="Table Grid 83"/>
    <w:basedOn w:val="TableNormal"/>
    <w:next w:val="TableGrid8"/>
    <w:uiPriority w:val="99"/>
    <w:rsid w:val="0087147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uiPriority w:val="99"/>
    <w:rsid w:val="00871477"/>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3">
    <w:name w:val="Table List 23"/>
    <w:basedOn w:val="TableNormal"/>
    <w:next w:val="TableList2"/>
    <w:uiPriority w:val="99"/>
    <w:rsid w:val="00871477"/>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3">
    <w:name w:val="Table List 33"/>
    <w:basedOn w:val="TableNormal"/>
    <w:next w:val="TableList3"/>
    <w:uiPriority w:val="99"/>
    <w:rsid w:val="0087147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uiPriority w:val="99"/>
    <w:rsid w:val="0087147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uiPriority w:val="99"/>
    <w:rsid w:val="00871477"/>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3">
    <w:name w:val="Table List 63"/>
    <w:basedOn w:val="TableNormal"/>
    <w:next w:val="TableList6"/>
    <w:uiPriority w:val="99"/>
    <w:rsid w:val="0087147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uiPriority w:val="99"/>
    <w:rsid w:val="0087147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uiPriority w:val="99"/>
    <w:rsid w:val="0087147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uiPriority w:val="99"/>
    <w:rsid w:val="008714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uiPriority w:val="99"/>
    <w:rsid w:val="00871477"/>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uiPriority w:val="99"/>
    <w:rsid w:val="00871477"/>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uiPriority w:val="99"/>
    <w:rsid w:val="00871477"/>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uiPriority w:val="99"/>
    <w:rsid w:val="00871477"/>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uiPriority w:val="99"/>
    <w:rsid w:val="0087147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3">
    <w:name w:val="Table Theme3"/>
    <w:basedOn w:val="TableNormal"/>
    <w:next w:val="TableTheme"/>
    <w:uiPriority w:val="99"/>
    <w:rsid w:val="00871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uiPriority w:val="99"/>
    <w:rsid w:val="0087147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uiPriority w:val="99"/>
    <w:rsid w:val="008714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uiPriority w:val="99"/>
    <w:rsid w:val="0087147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ghtShading-Accent123">
    <w:name w:val="Light Shading - Accent 123"/>
    <w:basedOn w:val="TableNormal"/>
    <w:uiPriority w:val="60"/>
    <w:rsid w:val="00871477"/>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numbering" w:customStyle="1" w:styleId="NoList13">
    <w:name w:val="No List13"/>
    <w:next w:val="NoList"/>
    <w:uiPriority w:val="99"/>
    <w:semiHidden/>
    <w:unhideWhenUsed/>
    <w:rsid w:val="00871477"/>
  </w:style>
  <w:style w:type="table" w:customStyle="1" w:styleId="TableGrid130">
    <w:name w:val="Table Grid13"/>
    <w:basedOn w:val="TableNormal"/>
    <w:next w:val="TableGrid"/>
    <w:rsid w:val="00871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Grid3"/>
    <w:rsid w:val="00871477"/>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266">
      <w:bodyDiv w:val="1"/>
      <w:marLeft w:val="0"/>
      <w:marRight w:val="0"/>
      <w:marTop w:val="0"/>
      <w:marBottom w:val="0"/>
      <w:divBdr>
        <w:top w:val="none" w:sz="0" w:space="0" w:color="auto"/>
        <w:left w:val="none" w:sz="0" w:space="0" w:color="auto"/>
        <w:bottom w:val="none" w:sz="0" w:space="0" w:color="auto"/>
        <w:right w:val="none" w:sz="0" w:space="0" w:color="auto"/>
      </w:divBdr>
    </w:div>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53549915">
      <w:bodyDiv w:val="1"/>
      <w:marLeft w:val="0"/>
      <w:marRight w:val="0"/>
      <w:marTop w:val="0"/>
      <w:marBottom w:val="0"/>
      <w:divBdr>
        <w:top w:val="none" w:sz="0" w:space="0" w:color="auto"/>
        <w:left w:val="none" w:sz="0" w:space="0" w:color="auto"/>
        <w:bottom w:val="none" w:sz="0" w:space="0" w:color="auto"/>
        <w:right w:val="none" w:sz="0" w:space="0" w:color="auto"/>
      </w:divBdr>
      <w:divsChild>
        <w:div w:id="981034876">
          <w:marLeft w:val="0"/>
          <w:marRight w:val="0"/>
          <w:marTop w:val="0"/>
          <w:marBottom w:val="0"/>
          <w:divBdr>
            <w:top w:val="none" w:sz="0" w:space="0" w:color="auto"/>
            <w:left w:val="none" w:sz="0" w:space="0" w:color="auto"/>
            <w:bottom w:val="none" w:sz="0" w:space="0" w:color="auto"/>
            <w:right w:val="none" w:sz="0" w:space="0" w:color="auto"/>
          </w:divBdr>
        </w:div>
      </w:divsChild>
    </w:div>
    <w:div w:id="78450274">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393353828">
      <w:bodyDiv w:val="1"/>
      <w:marLeft w:val="0"/>
      <w:marRight w:val="0"/>
      <w:marTop w:val="0"/>
      <w:marBottom w:val="0"/>
      <w:divBdr>
        <w:top w:val="none" w:sz="0" w:space="0" w:color="auto"/>
        <w:left w:val="none" w:sz="0" w:space="0" w:color="auto"/>
        <w:bottom w:val="none" w:sz="0" w:space="0" w:color="auto"/>
        <w:right w:val="none" w:sz="0" w:space="0" w:color="auto"/>
      </w:divBdr>
      <w:divsChild>
        <w:div w:id="2043817376">
          <w:marLeft w:val="0"/>
          <w:marRight w:val="0"/>
          <w:marTop w:val="0"/>
          <w:marBottom w:val="0"/>
          <w:divBdr>
            <w:top w:val="none" w:sz="0" w:space="0" w:color="auto"/>
            <w:left w:val="none" w:sz="0" w:space="0" w:color="auto"/>
            <w:bottom w:val="none" w:sz="0" w:space="0" w:color="auto"/>
            <w:right w:val="none" w:sz="0" w:space="0" w:color="auto"/>
          </w:divBdr>
        </w:div>
      </w:divsChild>
    </w:div>
    <w:div w:id="566649024">
      <w:bodyDiv w:val="1"/>
      <w:marLeft w:val="0"/>
      <w:marRight w:val="0"/>
      <w:marTop w:val="0"/>
      <w:marBottom w:val="0"/>
      <w:divBdr>
        <w:top w:val="none" w:sz="0" w:space="0" w:color="auto"/>
        <w:left w:val="none" w:sz="0" w:space="0" w:color="auto"/>
        <w:bottom w:val="none" w:sz="0" w:space="0" w:color="auto"/>
        <w:right w:val="none" w:sz="0" w:space="0" w:color="auto"/>
      </w:divBdr>
      <w:divsChild>
        <w:div w:id="454175949">
          <w:marLeft w:val="0"/>
          <w:marRight w:val="0"/>
          <w:marTop w:val="0"/>
          <w:marBottom w:val="0"/>
          <w:divBdr>
            <w:top w:val="none" w:sz="0" w:space="0" w:color="auto"/>
            <w:left w:val="none" w:sz="0" w:space="0" w:color="auto"/>
            <w:bottom w:val="none" w:sz="0" w:space="0" w:color="auto"/>
            <w:right w:val="none" w:sz="0" w:space="0" w:color="auto"/>
          </w:divBdr>
        </w:div>
      </w:divsChild>
    </w:div>
    <w:div w:id="661667154">
      <w:bodyDiv w:val="1"/>
      <w:marLeft w:val="0"/>
      <w:marRight w:val="0"/>
      <w:marTop w:val="0"/>
      <w:marBottom w:val="0"/>
      <w:divBdr>
        <w:top w:val="none" w:sz="0" w:space="0" w:color="auto"/>
        <w:left w:val="none" w:sz="0" w:space="0" w:color="auto"/>
        <w:bottom w:val="none" w:sz="0" w:space="0" w:color="auto"/>
        <w:right w:val="none" w:sz="0" w:space="0" w:color="auto"/>
      </w:divBdr>
      <w:divsChild>
        <w:div w:id="28974737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825777944">
      <w:bodyDiv w:val="1"/>
      <w:marLeft w:val="0"/>
      <w:marRight w:val="0"/>
      <w:marTop w:val="0"/>
      <w:marBottom w:val="0"/>
      <w:divBdr>
        <w:top w:val="none" w:sz="0" w:space="0" w:color="auto"/>
        <w:left w:val="none" w:sz="0" w:space="0" w:color="auto"/>
        <w:bottom w:val="none" w:sz="0" w:space="0" w:color="auto"/>
        <w:right w:val="none" w:sz="0" w:space="0" w:color="auto"/>
      </w:divBdr>
      <w:divsChild>
        <w:div w:id="1172181217">
          <w:marLeft w:val="0"/>
          <w:marRight w:val="0"/>
          <w:marTop w:val="0"/>
          <w:marBottom w:val="0"/>
          <w:divBdr>
            <w:top w:val="none" w:sz="0" w:space="0" w:color="auto"/>
            <w:left w:val="none" w:sz="0" w:space="0" w:color="auto"/>
            <w:bottom w:val="none" w:sz="0" w:space="0" w:color="auto"/>
            <w:right w:val="none" w:sz="0" w:space="0" w:color="auto"/>
          </w:divBdr>
        </w:div>
      </w:divsChild>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89760224">
      <w:bodyDiv w:val="1"/>
      <w:marLeft w:val="0"/>
      <w:marRight w:val="0"/>
      <w:marTop w:val="0"/>
      <w:marBottom w:val="0"/>
      <w:divBdr>
        <w:top w:val="none" w:sz="0" w:space="0" w:color="auto"/>
        <w:left w:val="none" w:sz="0" w:space="0" w:color="auto"/>
        <w:bottom w:val="none" w:sz="0" w:space="0" w:color="auto"/>
        <w:right w:val="none" w:sz="0" w:space="0" w:color="auto"/>
      </w:divBdr>
      <w:divsChild>
        <w:div w:id="871069636">
          <w:marLeft w:val="0"/>
          <w:marRight w:val="0"/>
          <w:marTop w:val="0"/>
          <w:marBottom w:val="0"/>
          <w:divBdr>
            <w:top w:val="none" w:sz="0" w:space="0" w:color="auto"/>
            <w:left w:val="none" w:sz="0" w:space="0" w:color="auto"/>
            <w:bottom w:val="none" w:sz="0" w:space="0" w:color="auto"/>
            <w:right w:val="none" w:sz="0" w:space="0" w:color="auto"/>
          </w:divBdr>
        </w:div>
      </w:divsChild>
    </w:div>
    <w:div w:id="1389455338">
      <w:bodyDiv w:val="1"/>
      <w:marLeft w:val="0"/>
      <w:marRight w:val="0"/>
      <w:marTop w:val="0"/>
      <w:marBottom w:val="0"/>
      <w:divBdr>
        <w:top w:val="none" w:sz="0" w:space="0" w:color="auto"/>
        <w:left w:val="none" w:sz="0" w:space="0" w:color="auto"/>
        <w:bottom w:val="none" w:sz="0" w:space="0" w:color="auto"/>
        <w:right w:val="none" w:sz="0" w:space="0" w:color="auto"/>
      </w:divBdr>
    </w:div>
    <w:div w:id="1423407010">
      <w:bodyDiv w:val="1"/>
      <w:marLeft w:val="0"/>
      <w:marRight w:val="0"/>
      <w:marTop w:val="0"/>
      <w:marBottom w:val="0"/>
      <w:divBdr>
        <w:top w:val="none" w:sz="0" w:space="0" w:color="auto"/>
        <w:left w:val="none" w:sz="0" w:space="0" w:color="auto"/>
        <w:bottom w:val="none" w:sz="0" w:space="0" w:color="auto"/>
        <w:right w:val="none" w:sz="0" w:space="0" w:color="auto"/>
      </w:divBdr>
    </w:div>
    <w:div w:id="1440177570">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492022942">
      <w:bodyDiv w:val="1"/>
      <w:marLeft w:val="0"/>
      <w:marRight w:val="0"/>
      <w:marTop w:val="0"/>
      <w:marBottom w:val="0"/>
      <w:divBdr>
        <w:top w:val="none" w:sz="0" w:space="0" w:color="auto"/>
        <w:left w:val="none" w:sz="0" w:space="0" w:color="auto"/>
        <w:bottom w:val="none" w:sz="0" w:space="0" w:color="auto"/>
        <w:right w:val="none" w:sz="0" w:space="0" w:color="auto"/>
      </w:divBdr>
    </w:div>
    <w:div w:id="1495098853">
      <w:bodyDiv w:val="1"/>
      <w:marLeft w:val="0"/>
      <w:marRight w:val="0"/>
      <w:marTop w:val="0"/>
      <w:marBottom w:val="0"/>
      <w:divBdr>
        <w:top w:val="none" w:sz="0" w:space="0" w:color="auto"/>
        <w:left w:val="none" w:sz="0" w:space="0" w:color="auto"/>
        <w:bottom w:val="none" w:sz="0" w:space="0" w:color="auto"/>
        <w:right w:val="none" w:sz="0" w:space="0" w:color="auto"/>
      </w:divBdr>
      <w:divsChild>
        <w:div w:id="2016304271">
          <w:marLeft w:val="0"/>
          <w:marRight w:val="0"/>
          <w:marTop w:val="0"/>
          <w:marBottom w:val="0"/>
          <w:divBdr>
            <w:top w:val="none" w:sz="0" w:space="0" w:color="auto"/>
            <w:left w:val="none" w:sz="0" w:space="0" w:color="auto"/>
            <w:bottom w:val="none" w:sz="0" w:space="0" w:color="auto"/>
            <w:right w:val="none" w:sz="0" w:space="0" w:color="auto"/>
          </w:divBdr>
        </w:div>
      </w:divsChild>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15302380">
      <w:bodyDiv w:val="1"/>
      <w:marLeft w:val="0"/>
      <w:marRight w:val="0"/>
      <w:marTop w:val="0"/>
      <w:marBottom w:val="0"/>
      <w:divBdr>
        <w:top w:val="none" w:sz="0" w:space="0" w:color="auto"/>
        <w:left w:val="none" w:sz="0" w:space="0" w:color="auto"/>
        <w:bottom w:val="none" w:sz="0" w:space="0" w:color="auto"/>
        <w:right w:val="none" w:sz="0" w:space="0" w:color="auto"/>
      </w:divBdr>
    </w:div>
    <w:div w:id="1842621867">
      <w:bodyDiv w:val="1"/>
      <w:marLeft w:val="0"/>
      <w:marRight w:val="0"/>
      <w:marTop w:val="0"/>
      <w:marBottom w:val="0"/>
      <w:divBdr>
        <w:top w:val="none" w:sz="0" w:space="0" w:color="auto"/>
        <w:left w:val="none" w:sz="0" w:space="0" w:color="auto"/>
        <w:bottom w:val="none" w:sz="0" w:space="0" w:color="auto"/>
        <w:right w:val="none" w:sz="0" w:space="0" w:color="auto"/>
      </w:divBdr>
      <w:divsChild>
        <w:div w:id="1107503609">
          <w:marLeft w:val="0"/>
          <w:marRight w:val="0"/>
          <w:marTop w:val="0"/>
          <w:marBottom w:val="0"/>
          <w:divBdr>
            <w:top w:val="none" w:sz="0" w:space="0" w:color="auto"/>
            <w:left w:val="none" w:sz="0" w:space="0" w:color="auto"/>
            <w:bottom w:val="none" w:sz="0" w:space="0" w:color="auto"/>
            <w:right w:val="none" w:sz="0" w:space="0" w:color="auto"/>
          </w:divBdr>
        </w:div>
      </w:divsChild>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81225989">
      <w:bodyDiv w:val="1"/>
      <w:marLeft w:val="0"/>
      <w:marRight w:val="0"/>
      <w:marTop w:val="0"/>
      <w:marBottom w:val="0"/>
      <w:divBdr>
        <w:top w:val="none" w:sz="0" w:space="0" w:color="auto"/>
        <w:left w:val="none" w:sz="0" w:space="0" w:color="auto"/>
        <w:bottom w:val="none" w:sz="0" w:space="0" w:color="auto"/>
        <w:right w:val="none" w:sz="0" w:space="0" w:color="auto"/>
      </w:divBdr>
    </w:div>
    <w:div w:id="2099711737">
      <w:bodyDiv w:val="1"/>
      <w:marLeft w:val="0"/>
      <w:marRight w:val="0"/>
      <w:marTop w:val="0"/>
      <w:marBottom w:val="0"/>
      <w:divBdr>
        <w:top w:val="none" w:sz="0" w:space="0" w:color="auto"/>
        <w:left w:val="none" w:sz="0" w:space="0" w:color="auto"/>
        <w:bottom w:val="none" w:sz="0" w:space="0" w:color="auto"/>
        <w:right w:val="none" w:sz="0" w:space="0" w:color="auto"/>
      </w:divBdr>
      <w:divsChild>
        <w:div w:id="22807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digital-strategy" TargetMode="Externa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oleObject" Target="embeddings/Microsoft_Excel_97-2003_Worksheet1.xls"/><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ncsc.gov.uk/guidance/protecting-bulk-personal-data-introduct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https://www.gov.uk/topic/government-digital-guidance/content-publishing" TargetMode="Externa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gps.cabinetoffice.gov.uk/i-am-supplier/management-information/admin-fees" TargetMode="Externa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hyperlink" Target="https://www.ncsc.gov.uk/guidance/secure-sanitisation-storage-media"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4C51F-7538-4F2D-9D39-E3AA6891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44313</Words>
  <Characters>252588</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296309</CharactersWithSpaces>
  <SharedDoc>false</SharedDoc>
  <HLinks>
    <vt:vector size="570" baseType="variant">
      <vt:variant>
        <vt:i4>2162787</vt:i4>
      </vt:variant>
      <vt:variant>
        <vt:i4>1597</vt:i4>
      </vt:variant>
      <vt:variant>
        <vt:i4>0</vt:i4>
      </vt:variant>
      <vt:variant>
        <vt:i4>5</vt:i4>
      </vt:variant>
      <vt:variant>
        <vt:lpwstr>https://www.ncsc.gov.uk/guidance/secure-sanitisation-storage-media</vt:lpwstr>
      </vt:variant>
      <vt:variant>
        <vt:lpwstr/>
      </vt:variant>
      <vt:variant>
        <vt:i4>7798889</vt:i4>
      </vt:variant>
      <vt:variant>
        <vt:i4>1594</vt:i4>
      </vt:variant>
      <vt:variant>
        <vt:i4>0</vt:i4>
      </vt:variant>
      <vt:variant>
        <vt:i4>5</vt:i4>
      </vt:variant>
      <vt:variant>
        <vt:lpwstr>https://www.ncsc.gov.uk/guidance/protecting-bulk-personal-data-introduction</vt:lpwstr>
      </vt:variant>
      <vt:variant>
        <vt:lpwstr/>
      </vt:variant>
      <vt:variant>
        <vt:i4>196627</vt:i4>
      </vt:variant>
      <vt:variant>
        <vt:i4>1312</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1269</vt:i4>
      </vt:variant>
      <vt:variant>
        <vt:i4>0</vt:i4>
      </vt:variant>
      <vt:variant>
        <vt:i4>5</vt:i4>
      </vt:variant>
      <vt:variant>
        <vt:lpwstr>https://www.gov.uk/government/publications/government-digital-strategy</vt:lpwstr>
      </vt:variant>
      <vt:variant>
        <vt:lpwstr/>
      </vt:variant>
      <vt:variant>
        <vt:i4>7209016</vt:i4>
      </vt:variant>
      <vt:variant>
        <vt:i4>1166</vt:i4>
      </vt:variant>
      <vt:variant>
        <vt:i4>0</vt:i4>
      </vt:variant>
      <vt:variant>
        <vt:i4>5</vt:i4>
      </vt:variant>
      <vt:variant>
        <vt:lpwstr>http://gps.cabinetoffice.gov.uk/i-am-supplier/management-information/admin-fees</vt:lpwstr>
      </vt:variant>
      <vt:variant>
        <vt:lpwstr/>
      </vt:variant>
      <vt:variant>
        <vt:i4>1703985</vt:i4>
      </vt:variant>
      <vt:variant>
        <vt:i4>551</vt:i4>
      </vt:variant>
      <vt:variant>
        <vt:i4>0</vt:i4>
      </vt:variant>
      <vt:variant>
        <vt:i4>5</vt:i4>
      </vt:variant>
      <vt:variant>
        <vt:lpwstr/>
      </vt:variant>
      <vt:variant>
        <vt:lpwstr>_Toc484685960</vt:lpwstr>
      </vt:variant>
      <vt:variant>
        <vt:i4>1638449</vt:i4>
      </vt:variant>
      <vt:variant>
        <vt:i4>545</vt:i4>
      </vt:variant>
      <vt:variant>
        <vt:i4>0</vt:i4>
      </vt:variant>
      <vt:variant>
        <vt:i4>5</vt:i4>
      </vt:variant>
      <vt:variant>
        <vt:lpwstr/>
      </vt:variant>
      <vt:variant>
        <vt:lpwstr>_Toc484685959</vt:lpwstr>
      </vt:variant>
      <vt:variant>
        <vt:i4>1638449</vt:i4>
      </vt:variant>
      <vt:variant>
        <vt:i4>539</vt:i4>
      </vt:variant>
      <vt:variant>
        <vt:i4>0</vt:i4>
      </vt:variant>
      <vt:variant>
        <vt:i4>5</vt:i4>
      </vt:variant>
      <vt:variant>
        <vt:lpwstr/>
      </vt:variant>
      <vt:variant>
        <vt:lpwstr>_Toc484685958</vt:lpwstr>
      </vt:variant>
      <vt:variant>
        <vt:i4>1638449</vt:i4>
      </vt:variant>
      <vt:variant>
        <vt:i4>533</vt:i4>
      </vt:variant>
      <vt:variant>
        <vt:i4>0</vt:i4>
      </vt:variant>
      <vt:variant>
        <vt:i4>5</vt:i4>
      </vt:variant>
      <vt:variant>
        <vt:lpwstr/>
      </vt:variant>
      <vt:variant>
        <vt:lpwstr>_Toc484685957</vt:lpwstr>
      </vt:variant>
      <vt:variant>
        <vt:i4>1638449</vt:i4>
      </vt:variant>
      <vt:variant>
        <vt:i4>527</vt:i4>
      </vt:variant>
      <vt:variant>
        <vt:i4>0</vt:i4>
      </vt:variant>
      <vt:variant>
        <vt:i4>5</vt:i4>
      </vt:variant>
      <vt:variant>
        <vt:lpwstr/>
      </vt:variant>
      <vt:variant>
        <vt:lpwstr>_Toc484685956</vt:lpwstr>
      </vt:variant>
      <vt:variant>
        <vt:i4>1638449</vt:i4>
      </vt:variant>
      <vt:variant>
        <vt:i4>521</vt:i4>
      </vt:variant>
      <vt:variant>
        <vt:i4>0</vt:i4>
      </vt:variant>
      <vt:variant>
        <vt:i4>5</vt:i4>
      </vt:variant>
      <vt:variant>
        <vt:lpwstr/>
      </vt:variant>
      <vt:variant>
        <vt:lpwstr>_Toc484685955</vt:lpwstr>
      </vt:variant>
      <vt:variant>
        <vt:i4>1638449</vt:i4>
      </vt:variant>
      <vt:variant>
        <vt:i4>515</vt:i4>
      </vt:variant>
      <vt:variant>
        <vt:i4>0</vt:i4>
      </vt:variant>
      <vt:variant>
        <vt:i4>5</vt:i4>
      </vt:variant>
      <vt:variant>
        <vt:lpwstr/>
      </vt:variant>
      <vt:variant>
        <vt:lpwstr>_Toc484685954</vt:lpwstr>
      </vt:variant>
      <vt:variant>
        <vt:i4>1638449</vt:i4>
      </vt:variant>
      <vt:variant>
        <vt:i4>509</vt:i4>
      </vt:variant>
      <vt:variant>
        <vt:i4>0</vt:i4>
      </vt:variant>
      <vt:variant>
        <vt:i4>5</vt:i4>
      </vt:variant>
      <vt:variant>
        <vt:lpwstr/>
      </vt:variant>
      <vt:variant>
        <vt:lpwstr>_Toc484685953</vt:lpwstr>
      </vt:variant>
      <vt:variant>
        <vt:i4>1638449</vt:i4>
      </vt:variant>
      <vt:variant>
        <vt:i4>503</vt:i4>
      </vt:variant>
      <vt:variant>
        <vt:i4>0</vt:i4>
      </vt:variant>
      <vt:variant>
        <vt:i4>5</vt:i4>
      </vt:variant>
      <vt:variant>
        <vt:lpwstr/>
      </vt:variant>
      <vt:variant>
        <vt:lpwstr>_Toc484685952</vt:lpwstr>
      </vt:variant>
      <vt:variant>
        <vt:i4>1638449</vt:i4>
      </vt:variant>
      <vt:variant>
        <vt:i4>497</vt:i4>
      </vt:variant>
      <vt:variant>
        <vt:i4>0</vt:i4>
      </vt:variant>
      <vt:variant>
        <vt:i4>5</vt:i4>
      </vt:variant>
      <vt:variant>
        <vt:lpwstr/>
      </vt:variant>
      <vt:variant>
        <vt:lpwstr>_Toc484685951</vt:lpwstr>
      </vt:variant>
      <vt:variant>
        <vt:i4>1638449</vt:i4>
      </vt:variant>
      <vt:variant>
        <vt:i4>491</vt:i4>
      </vt:variant>
      <vt:variant>
        <vt:i4>0</vt:i4>
      </vt:variant>
      <vt:variant>
        <vt:i4>5</vt:i4>
      </vt:variant>
      <vt:variant>
        <vt:lpwstr/>
      </vt:variant>
      <vt:variant>
        <vt:lpwstr>_Toc484685950</vt:lpwstr>
      </vt:variant>
      <vt:variant>
        <vt:i4>1572913</vt:i4>
      </vt:variant>
      <vt:variant>
        <vt:i4>485</vt:i4>
      </vt:variant>
      <vt:variant>
        <vt:i4>0</vt:i4>
      </vt:variant>
      <vt:variant>
        <vt:i4>5</vt:i4>
      </vt:variant>
      <vt:variant>
        <vt:lpwstr/>
      </vt:variant>
      <vt:variant>
        <vt:lpwstr>_Toc484685949</vt:lpwstr>
      </vt:variant>
      <vt:variant>
        <vt:i4>1572913</vt:i4>
      </vt:variant>
      <vt:variant>
        <vt:i4>479</vt:i4>
      </vt:variant>
      <vt:variant>
        <vt:i4>0</vt:i4>
      </vt:variant>
      <vt:variant>
        <vt:i4>5</vt:i4>
      </vt:variant>
      <vt:variant>
        <vt:lpwstr/>
      </vt:variant>
      <vt:variant>
        <vt:lpwstr>_Toc484685948</vt:lpwstr>
      </vt:variant>
      <vt:variant>
        <vt:i4>1572913</vt:i4>
      </vt:variant>
      <vt:variant>
        <vt:i4>473</vt:i4>
      </vt:variant>
      <vt:variant>
        <vt:i4>0</vt:i4>
      </vt:variant>
      <vt:variant>
        <vt:i4>5</vt:i4>
      </vt:variant>
      <vt:variant>
        <vt:lpwstr/>
      </vt:variant>
      <vt:variant>
        <vt:lpwstr>_Toc484685947</vt:lpwstr>
      </vt:variant>
      <vt:variant>
        <vt:i4>1572913</vt:i4>
      </vt:variant>
      <vt:variant>
        <vt:i4>467</vt:i4>
      </vt:variant>
      <vt:variant>
        <vt:i4>0</vt:i4>
      </vt:variant>
      <vt:variant>
        <vt:i4>5</vt:i4>
      </vt:variant>
      <vt:variant>
        <vt:lpwstr/>
      </vt:variant>
      <vt:variant>
        <vt:lpwstr>_Toc484685946</vt:lpwstr>
      </vt:variant>
      <vt:variant>
        <vt:i4>1572913</vt:i4>
      </vt:variant>
      <vt:variant>
        <vt:i4>461</vt:i4>
      </vt:variant>
      <vt:variant>
        <vt:i4>0</vt:i4>
      </vt:variant>
      <vt:variant>
        <vt:i4>5</vt:i4>
      </vt:variant>
      <vt:variant>
        <vt:lpwstr/>
      </vt:variant>
      <vt:variant>
        <vt:lpwstr>_Toc484685945</vt:lpwstr>
      </vt:variant>
      <vt:variant>
        <vt:i4>1572913</vt:i4>
      </vt:variant>
      <vt:variant>
        <vt:i4>455</vt:i4>
      </vt:variant>
      <vt:variant>
        <vt:i4>0</vt:i4>
      </vt:variant>
      <vt:variant>
        <vt:i4>5</vt:i4>
      </vt:variant>
      <vt:variant>
        <vt:lpwstr/>
      </vt:variant>
      <vt:variant>
        <vt:lpwstr>_Toc484685944</vt:lpwstr>
      </vt:variant>
      <vt:variant>
        <vt:i4>1572913</vt:i4>
      </vt:variant>
      <vt:variant>
        <vt:i4>449</vt:i4>
      </vt:variant>
      <vt:variant>
        <vt:i4>0</vt:i4>
      </vt:variant>
      <vt:variant>
        <vt:i4>5</vt:i4>
      </vt:variant>
      <vt:variant>
        <vt:lpwstr/>
      </vt:variant>
      <vt:variant>
        <vt:lpwstr>_Toc484685943</vt:lpwstr>
      </vt:variant>
      <vt:variant>
        <vt:i4>1572913</vt:i4>
      </vt:variant>
      <vt:variant>
        <vt:i4>443</vt:i4>
      </vt:variant>
      <vt:variant>
        <vt:i4>0</vt:i4>
      </vt:variant>
      <vt:variant>
        <vt:i4>5</vt:i4>
      </vt:variant>
      <vt:variant>
        <vt:lpwstr/>
      </vt:variant>
      <vt:variant>
        <vt:lpwstr>_Toc484685942</vt:lpwstr>
      </vt:variant>
      <vt:variant>
        <vt:i4>1572913</vt:i4>
      </vt:variant>
      <vt:variant>
        <vt:i4>437</vt:i4>
      </vt:variant>
      <vt:variant>
        <vt:i4>0</vt:i4>
      </vt:variant>
      <vt:variant>
        <vt:i4>5</vt:i4>
      </vt:variant>
      <vt:variant>
        <vt:lpwstr/>
      </vt:variant>
      <vt:variant>
        <vt:lpwstr>_Toc484685941</vt:lpwstr>
      </vt:variant>
      <vt:variant>
        <vt:i4>1572913</vt:i4>
      </vt:variant>
      <vt:variant>
        <vt:i4>431</vt:i4>
      </vt:variant>
      <vt:variant>
        <vt:i4>0</vt:i4>
      </vt:variant>
      <vt:variant>
        <vt:i4>5</vt:i4>
      </vt:variant>
      <vt:variant>
        <vt:lpwstr/>
      </vt:variant>
      <vt:variant>
        <vt:lpwstr>_Toc484685940</vt:lpwstr>
      </vt:variant>
      <vt:variant>
        <vt:i4>2031665</vt:i4>
      </vt:variant>
      <vt:variant>
        <vt:i4>425</vt:i4>
      </vt:variant>
      <vt:variant>
        <vt:i4>0</vt:i4>
      </vt:variant>
      <vt:variant>
        <vt:i4>5</vt:i4>
      </vt:variant>
      <vt:variant>
        <vt:lpwstr/>
      </vt:variant>
      <vt:variant>
        <vt:lpwstr>_Toc484685939</vt:lpwstr>
      </vt:variant>
      <vt:variant>
        <vt:i4>2031665</vt:i4>
      </vt:variant>
      <vt:variant>
        <vt:i4>419</vt:i4>
      </vt:variant>
      <vt:variant>
        <vt:i4>0</vt:i4>
      </vt:variant>
      <vt:variant>
        <vt:i4>5</vt:i4>
      </vt:variant>
      <vt:variant>
        <vt:lpwstr/>
      </vt:variant>
      <vt:variant>
        <vt:lpwstr>_Toc484685938</vt:lpwstr>
      </vt:variant>
      <vt:variant>
        <vt:i4>2031665</vt:i4>
      </vt:variant>
      <vt:variant>
        <vt:i4>413</vt:i4>
      </vt:variant>
      <vt:variant>
        <vt:i4>0</vt:i4>
      </vt:variant>
      <vt:variant>
        <vt:i4>5</vt:i4>
      </vt:variant>
      <vt:variant>
        <vt:lpwstr/>
      </vt:variant>
      <vt:variant>
        <vt:lpwstr>_Toc484685937</vt:lpwstr>
      </vt:variant>
      <vt:variant>
        <vt:i4>2031665</vt:i4>
      </vt:variant>
      <vt:variant>
        <vt:i4>407</vt:i4>
      </vt:variant>
      <vt:variant>
        <vt:i4>0</vt:i4>
      </vt:variant>
      <vt:variant>
        <vt:i4>5</vt:i4>
      </vt:variant>
      <vt:variant>
        <vt:lpwstr/>
      </vt:variant>
      <vt:variant>
        <vt:lpwstr>_Toc484685936</vt:lpwstr>
      </vt:variant>
      <vt:variant>
        <vt:i4>2031665</vt:i4>
      </vt:variant>
      <vt:variant>
        <vt:i4>401</vt:i4>
      </vt:variant>
      <vt:variant>
        <vt:i4>0</vt:i4>
      </vt:variant>
      <vt:variant>
        <vt:i4>5</vt:i4>
      </vt:variant>
      <vt:variant>
        <vt:lpwstr/>
      </vt:variant>
      <vt:variant>
        <vt:lpwstr>_Toc484685935</vt:lpwstr>
      </vt:variant>
      <vt:variant>
        <vt:i4>2031665</vt:i4>
      </vt:variant>
      <vt:variant>
        <vt:i4>395</vt:i4>
      </vt:variant>
      <vt:variant>
        <vt:i4>0</vt:i4>
      </vt:variant>
      <vt:variant>
        <vt:i4>5</vt:i4>
      </vt:variant>
      <vt:variant>
        <vt:lpwstr/>
      </vt:variant>
      <vt:variant>
        <vt:lpwstr>_Toc484685934</vt:lpwstr>
      </vt:variant>
      <vt:variant>
        <vt:i4>2031665</vt:i4>
      </vt:variant>
      <vt:variant>
        <vt:i4>389</vt:i4>
      </vt:variant>
      <vt:variant>
        <vt:i4>0</vt:i4>
      </vt:variant>
      <vt:variant>
        <vt:i4>5</vt:i4>
      </vt:variant>
      <vt:variant>
        <vt:lpwstr/>
      </vt:variant>
      <vt:variant>
        <vt:lpwstr>_Toc484685933</vt:lpwstr>
      </vt:variant>
      <vt:variant>
        <vt:i4>2031665</vt:i4>
      </vt:variant>
      <vt:variant>
        <vt:i4>383</vt:i4>
      </vt:variant>
      <vt:variant>
        <vt:i4>0</vt:i4>
      </vt:variant>
      <vt:variant>
        <vt:i4>5</vt:i4>
      </vt:variant>
      <vt:variant>
        <vt:lpwstr/>
      </vt:variant>
      <vt:variant>
        <vt:lpwstr>_Toc484685932</vt:lpwstr>
      </vt:variant>
      <vt:variant>
        <vt:i4>2031665</vt:i4>
      </vt:variant>
      <vt:variant>
        <vt:i4>377</vt:i4>
      </vt:variant>
      <vt:variant>
        <vt:i4>0</vt:i4>
      </vt:variant>
      <vt:variant>
        <vt:i4>5</vt:i4>
      </vt:variant>
      <vt:variant>
        <vt:lpwstr/>
      </vt:variant>
      <vt:variant>
        <vt:lpwstr>_Toc484685931</vt:lpwstr>
      </vt:variant>
      <vt:variant>
        <vt:i4>2031665</vt:i4>
      </vt:variant>
      <vt:variant>
        <vt:i4>371</vt:i4>
      </vt:variant>
      <vt:variant>
        <vt:i4>0</vt:i4>
      </vt:variant>
      <vt:variant>
        <vt:i4>5</vt:i4>
      </vt:variant>
      <vt:variant>
        <vt:lpwstr/>
      </vt:variant>
      <vt:variant>
        <vt:lpwstr>_Toc484685930</vt:lpwstr>
      </vt:variant>
      <vt:variant>
        <vt:i4>1966129</vt:i4>
      </vt:variant>
      <vt:variant>
        <vt:i4>365</vt:i4>
      </vt:variant>
      <vt:variant>
        <vt:i4>0</vt:i4>
      </vt:variant>
      <vt:variant>
        <vt:i4>5</vt:i4>
      </vt:variant>
      <vt:variant>
        <vt:lpwstr/>
      </vt:variant>
      <vt:variant>
        <vt:lpwstr>_Toc484685929</vt:lpwstr>
      </vt:variant>
      <vt:variant>
        <vt:i4>1966129</vt:i4>
      </vt:variant>
      <vt:variant>
        <vt:i4>359</vt:i4>
      </vt:variant>
      <vt:variant>
        <vt:i4>0</vt:i4>
      </vt:variant>
      <vt:variant>
        <vt:i4>5</vt:i4>
      </vt:variant>
      <vt:variant>
        <vt:lpwstr/>
      </vt:variant>
      <vt:variant>
        <vt:lpwstr>_Toc484685928</vt:lpwstr>
      </vt:variant>
      <vt:variant>
        <vt:i4>1966129</vt:i4>
      </vt:variant>
      <vt:variant>
        <vt:i4>353</vt:i4>
      </vt:variant>
      <vt:variant>
        <vt:i4>0</vt:i4>
      </vt:variant>
      <vt:variant>
        <vt:i4>5</vt:i4>
      </vt:variant>
      <vt:variant>
        <vt:lpwstr/>
      </vt:variant>
      <vt:variant>
        <vt:lpwstr>_Toc484685927</vt:lpwstr>
      </vt:variant>
      <vt:variant>
        <vt:i4>1966129</vt:i4>
      </vt:variant>
      <vt:variant>
        <vt:i4>347</vt:i4>
      </vt:variant>
      <vt:variant>
        <vt:i4>0</vt:i4>
      </vt:variant>
      <vt:variant>
        <vt:i4>5</vt:i4>
      </vt:variant>
      <vt:variant>
        <vt:lpwstr/>
      </vt:variant>
      <vt:variant>
        <vt:lpwstr>_Toc484685926</vt:lpwstr>
      </vt:variant>
      <vt:variant>
        <vt:i4>1966129</vt:i4>
      </vt:variant>
      <vt:variant>
        <vt:i4>341</vt:i4>
      </vt:variant>
      <vt:variant>
        <vt:i4>0</vt:i4>
      </vt:variant>
      <vt:variant>
        <vt:i4>5</vt:i4>
      </vt:variant>
      <vt:variant>
        <vt:lpwstr/>
      </vt:variant>
      <vt:variant>
        <vt:lpwstr>_Toc484685925</vt:lpwstr>
      </vt:variant>
      <vt:variant>
        <vt:i4>1966129</vt:i4>
      </vt:variant>
      <vt:variant>
        <vt:i4>335</vt:i4>
      </vt:variant>
      <vt:variant>
        <vt:i4>0</vt:i4>
      </vt:variant>
      <vt:variant>
        <vt:i4>5</vt:i4>
      </vt:variant>
      <vt:variant>
        <vt:lpwstr/>
      </vt:variant>
      <vt:variant>
        <vt:lpwstr>_Toc484685924</vt:lpwstr>
      </vt:variant>
      <vt:variant>
        <vt:i4>1966129</vt:i4>
      </vt:variant>
      <vt:variant>
        <vt:i4>329</vt:i4>
      </vt:variant>
      <vt:variant>
        <vt:i4>0</vt:i4>
      </vt:variant>
      <vt:variant>
        <vt:i4>5</vt:i4>
      </vt:variant>
      <vt:variant>
        <vt:lpwstr/>
      </vt:variant>
      <vt:variant>
        <vt:lpwstr>_Toc484685923</vt:lpwstr>
      </vt:variant>
      <vt:variant>
        <vt:i4>1966129</vt:i4>
      </vt:variant>
      <vt:variant>
        <vt:i4>323</vt:i4>
      </vt:variant>
      <vt:variant>
        <vt:i4>0</vt:i4>
      </vt:variant>
      <vt:variant>
        <vt:i4>5</vt:i4>
      </vt:variant>
      <vt:variant>
        <vt:lpwstr/>
      </vt:variant>
      <vt:variant>
        <vt:lpwstr>_Toc484685922</vt:lpwstr>
      </vt:variant>
      <vt:variant>
        <vt:i4>1966129</vt:i4>
      </vt:variant>
      <vt:variant>
        <vt:i4>317</vt:i4>
      </vt:variant>
      <vt:variant>
        <vt:i4>0</vt:i4>
      </vt:variant>
      <vt:variant>
        <vt:i4>5</vt:i4>
      </vt:variant>
      <vt:variant>
        <vt:lpwstr/>
      </vt:variant>
      <vt:variant>
        <vt:lpwstr>_Toc484685921</vt:lpwstr>
      </vt:variant>
      <vt:variant>
        <vt:i4>1966129</vt:i4>
      </vt:variant>
      <vt:variant>
        <vt:i4>311</vt:i4>
      </vt:variant>
      <vt:variant>
        <vt:i4>0</vt:i4>
      </vt:variant>
      <vt:variant>
        <vt:i4>5</vt:i4>
      </vt:variant>
      <vt:variant>
        <vt:lpwstr/>
      </vt:variant>
      <vt:variant>
        <vt:lpwstr>_Toc484685920</vt:lpwstr>
      </vt:variant>
      <vt:variant>
        <vt:i4>1900593</vt:i4>
      </vt:variant>
      <vt:variant>
        <vt:i4>305</vt:i4>
      </vt:variant>
      <vt:variant>
        <vt:i4>0</vt:i4>
      </vt:variant>
      <vt:variant>
        <vt:i4>5</vt:i4>
      </vt:variant>
      <vt:variant>
        <vt:lpwstr/>
      </vt:variant>
      <vt:variant>
        <vt:lpwstr>_Toc484685919</vt:lpwstr>
      </vt:variant>
      <vt:variant>
        <vt:i4>1900593</vt:i4>
      </vt:variant>
      <vt:variant>
        <vt:i4>299</vt:i4>
      </vt:variant>
      <vt:variant>
        <vt:i4>0</vt:i4>
      </vt:variant>
      <vt:variant>
        <vt:i4>5</vt:i4>
      </vt:variant>
      <vt:variant>
        <vt:lpwstr/>
      </vt:variant>
      <vt:variant>
        <vt:lpwstr>_Toc484685918</vt:lpwstr>
      </vt:variant>
      <vt:variant>
        <vt:i4>1900593</vt:i4>
      </vt:variant>
      <vt:variant>
        <vt:i4>293</vt:i4>
      </vt:variant>
      <vt:variant>
        <vt:i4>0</vt:i4>
      </vt:variant>
      <vt:variant>
        <vt:i4>5</vt:i4>
      </vt:variant>
      <vt:variant>
        <vt:lpwstr/>
      </vt:variant>
      <vt:variant>
        <vt:lpwstr>_Toc484685917</vt:lpwstr>
      </vt:variant>
      <vt:variant>
        <vt:i4>1900593</vt:i4>
      </vt:variant>
      <vt:variant>
        <vt:i4>287</vt:i4>
      </vt:variant>
      <vt:variant>
        <vt:i4>0</vt:i4>
      </vt:variant>
      <vt:variant>
        <vt:i4>5</vt:i4>
      </vt:variant>
      <vt:variant>
        <vt:lpwstr/>
      </vt:variant>
      <vt:variant>
        <vt:lpwstr>_Toc484685916</vt:lpwstr>
      </vt:variant>
      <vt:variant>
        <vt:i4>1900593</vt:i4>
      </vt:variant>
      <vt:variant>
        <vt:i4>281</vt:i4>
      </vt:variant>
      <vt:variant>
        <vt:i4>0</vt:i4>
      </vt:variant>
      <vt:variant>
        <vt:i4>5</vt:i4>
      </vt:variant>
      <vt:variant>
        <vt:lpwstr/>
      </vt:variant>
      <vt:variant>
        <vt:lpwstr>_Toc484685915</vt:lpwstr>
      </vt:variant>
      <vt:variant>
        <vt:i4>1900593</vt:i4>
      </vt:variant>
      <vt:variant>
        <vt:i4>275</vt:i4>
      </vt:variant>
      <vt:variant>
        <vt:i4>0</vt:i4>
      </vt:variant>
      <vt:variant>
        <vt:i4>5</vt:i4>
      </vt:variant>
      <vt:variant>
        <vt:lpwstr/>
      </vt:variant>
      <vt:variant>
        <vt:lpwstr>_Toc484685914</vt:lpwstr>
      </vt:variant>
      <vt:variant>
        <vt:i4>1900593</vt:i4>
      </vt:variant>
      <vt:variant>
        <vt:i4>269</vt:i4>
      </vt:variant>
      <vt:variant>
        <vt:i4>0</vt:i4>
      </vt:variant>
      <vt:variant>
        <vt:i4>5</vt:i4>
      </vt:variant>
      <vt:variant>
        <vt:lpwstr/>
      </vt:variant>
      <vt:variant>
        <vt:lpwstr>_Toc484685913</vt:lpwstr>
      </vt:variant>
      <vt:variant>
        <vt:i4>1900593</vt:i4>
      </vt:variant>
      <vt:variant>
        <vt:i4>263</vt:i4>
      </vt:variant>
      <vt:variant>
        <vt:i4>0</vt:i4>
      </vt:variant>
      <vt:variant>
        <vt:i4>5</vt:i4>
      </vt:variant>
      <vt:variant>
        <vt:lpwstr/>
      </vt:variant>
      <vt:variant>
        <vt:lpwstr>_Toc484685912</vt:lpwstr>
      </vt:variant>
      <vt:variant>
        <vt:i4>1900593</vt:i4>
      </vt:variant>
      <vt:variant>
        <vt:i4>257</vt:i4>
      </vt:variant>
      <vt:variant>
        <vt:i4>0</vt:i4>
      </vt:variant>
      <vt:variant>
        <vt:i4>5</vt:i4>
      </vt:variant>
      <vt:variant>
        <vt:lpwstr/>
      </vt:variant>
      <vt:variant>
        <vt:lpwstr>_Toc484685911</vt:lpwstr>
      </vt:variant>
      <vt:variant>
        <vt:i4>1900593</vt:i4>
      </vt:variant>
      <vt:variant>
        <vt:i4>251</vt:i4>
      </vt:variant>
      <vt:variant>
        <vt:i4>0</vt:i4>
      </vt:variant>
      <vt:variant>
        <vt:i4>5</vt:i4>
      </vt:variant>
      <vt:variant>
        <vt:lpwstr/>
      </vt:variant>
      <vt:variant>
        <vt:lpwstr>_Toc484685910</vt:lpwstr>
      </vt:variant>
      <vt:variant>
        <vt:i4>1835057</vt:i4>
      </vt:variant>
      <vt:variant>
        <vt:i4>245</vt:i4>
      </vt:variant>
      <vt:variant>
        <vt:i4>0</vt:i4>
      </vt:variant>
      <vt:variant>
        <vt:i4>5</vt:i4>
      </vt:variant>
      <vt:variant>
        <vt:lpwstr/>
      </vt:variant>
      <vt:variant>
        <vt:lpwstr>_Toc484685909</vt:lpwstr>
      </vt:variant>
      <vt:variant>
        <vt:i4>1835057</vt:i4>
      </vt:variant>
      <vt:variant>
        <vt:i4>239</vt:i4>
      </vt:variant>
      <vt:variant>
        <vt:i4>0</vt:i4>
      </vt:variant>
      <vt:variant>
        <vt:i4>5</vt:i4>
      </vt:variant>
      <vt:variant>
        <vt:lpwstr/>
      </vt:variant>
      <vt:variant>
        <vt:lpwstr>_Toc484685908</vt:lpwstr>
      </vt:variant>
      <vt:variant>
        <vt:i4>1835057</vt:i4>
      </vt:variant>
      <vt:variant>
        <vt:i4>233</vt:i4>
      </vt:variant>
      <vt:variant>
        <vt:i4>0</vt:i4>
      </vt:variant>
      <vt:variant>
        <vt:i4>5</vt:i4>
      </vt:variant>
      <vt:variant>
        <vt:lpwstr/>
      </vt:variant>
      <vt:variant>
        <vt:lpwstr>_Toc484685907</vt:lpwstr>
      </vt:variant>
      <vt:variant>
        <vt:i4>1835057</vt:i4>
      </vt:variant>
      <vt:variant>
        <vt:i4>227</vt:i4>
      </vt:variant>
      <vt:variant>
        <vt:i4>0</vt:i4>
      </vt:variant>
      <vt:variant>
        <vt:i4>5</vt:i4>
      </vt:variant>
      <vt:variant>
        <vt:lpwstr/>
      </vt:variant>
      <vt:variant>
        <vt:lpwstr>_Toc484685906</vt:lpwstr>
      </vt:variant>
      <vt:variant>
        <vt:i4>1835057</vt:i4>
      </vt:variant>
      <vt:variant>
        <vt:i4>221</vt:i4>
      </vt:variant>
      <vt:variant>
        <vt:i4>0</vt:i4>
      </vt:variant>
      <vt:variant>
        <vt:i4>5</vt:i4>
      </vt:variant>
      <vt:variant>
        <vt:lpwstr/>
      </vt:variant>
      <vt:variant>
        <vt:lpwstr>_Toc484685905</vt:lpwstr>
      </vt:variant>
      <vt:variant>
        <vt:i4>1835057</vt:i4>
      </vt:variant>
      <vt:variant>
        <vt:i4>215</vt:i4>
      </vt:variant>
      <vt:variant>
        <vt:i4>0</vt:i4>
      </vt:variant>
      <vt:variant>
        <vt:i4>5</vt:i4>
      </vt:variant>
      <vt:variant>
        <vt:lpwstr/>
      </vt:variant>
      <vt:variant>
        <vt:lpwstr>_Toc484685904</vt:lpwstr>
      </vt:variant>
      <vt:variant>
        <vt:i4>1835057</vt:i4>
      </vt:variant>
      <vt:variant>
        <vt:i4>209</vt:i4>
      </vt:variant>
      <vt:variant>
        <vt:i4>0</vt:i4>
      </vt:variant>
      <vt:variant>
        <vt:i4>5</vt:i4>
      </vt:variant>
      <vt:variant>
        <vt:lpwstr/>
      </vt:variant>
      <vt:variant>
        <vt:lpwstr>_Toc484685903</vt:lpwstr>
      </vt:variant>
      <vt:variant>
        <vt:i4>1835057</vt:i4>
      </vt:variant>
      <vt:variant>
        <vt:i4>203</vt:i4>
      </vt:variant>
      <vt:variant>
        <vt:i4>0</vt:i4>
      </vt:variant>
      <vt:variant>
        <vt:i4>5</vt:i4>
      </vt:variant>
      <vt:variant>
        <vt:lpwstr/>
      </vt:variant>
      <vt:variant>
        <vt:lpwstr>_Toc484685902</vt:lpwstr>
      </vt:variant>
      <vt:variant>
        <vt:i4>1835057</vt:i4>
      </vt:variant>
      <vt:variant>
        <vt:i4>197</vt:i4>
      </vt:variant>
      <vt:variant>
        <vt:i4>0</vt:i4>
      </vt:variant>
      <vt:variant>
        <vt:i4>5</vt:i4>
      </vt:variant>
      <vt:variant>
        <vt:lpwstr/>
      </vt:variant>
      <vt:variant>
        <vt:lpwstr>_Toc484685901</vt:lpwstr>
      </vt:variant>
      <vt:variant>
        <vt:i4>1835057</vt:i4>
      </vt:variant>
      <vt:variant>
        <vt:i4>191</vt:i4>
      </vt:variant>
      <vt:variant>
        <vt:i4>0</vt:i4>
      </vt:variant>
      <vt:variant>
        <vt:i4>5</vt:i4>
      </vt:variant>
      <vt:variant>
        <vt:lpwstr/>
      </vt:variant>
      <vt:variant>
        <vt:lpwstr>_Toc484685900</vt:lpwstr>
      </vt:variant>
      <vt:variant>
        <vt:i4>1376304</vt:i4>
      </vt:variant>
      <vt:variant>
        <vt:i4>185</vt:i4>
      </vt:variant>
      <vt:variant>
        <vt:i4>0</vt:i4>
      </vt:variant>
      <vt:variant>
        <vt:i4>5</vt:i4>
      </vt:variant>
      <vt:variant>
        <vt:lpwstr/>
      </vt:variant>
      <vt:variant>
        <vt:lpwstr>_Toc484685899</vt:lpwstr>
      </vt:variant>
      <vt:variant>
        <vt:i4>1376304</vt:i4>
      </vt:variant>
      <vt:variant>
        <vt:i4>179</vt:i4>
      </vt:variant>
      <vt:variant>
        <vt:i4>0</vt:i4>
      </vt:variant>
      <vt:variant>
        <vt:i4>5</vt:i4>
      </vt:variant>
      <vt:variant>
        <vt:lpwstr/>
      </vt:variant>
      <vt:variant>
        <vt:lpwstr>_Toc484685898</vt:lpwstr>
      </vt:variant>
      <vt:variant>
        <vt:i4>1376304</vt:i4>
      </vt:variant>
      <vt:variant>
        <vt:i4>173</vt:i4>
      </vt:variant>
      <vt:variant>
        <vt:i4>0</vt:i4>
      </vt:variant>
      <vt:variant>
        <vt:i4>5</vt:i4>
      </vt:variant>
      <vt:variant>
        <vt:lpwstr/>
      </vt:variant>
      <vt:variant>
        <vt:lpwstr>_Toc484685897</vt:lpwstr>
      </vt:variant>
      <vt:variant>
        <vt:i4>1376304</vt:i4>
      </vt:variant>
      <vt:variant>
        <vt:i4>167</vt:i4>
      </vt:variant>
      <vt:variant>
        <vt:i4>0</vt:i4>
      </vt:variant>
      <vt:variant>
        <vt:i4>5</vt:i4>
      </vt:variant>
      <vt:variant>
        <vt:lpwstr/>
      </vt:variant>
      <vt:variant>
        <vt:lpwstr>_Toc484685896</vt:lpwstr>
      </vt:variant>
      <vt:variant>
        <vt:i4>1376304</vt:i4>
      </vt:variant>
      <vt:variant>
        <vt:i4>161</vt:i4>
      </vt:variant>
      <vt:variant>
        <vt:i4>0</vt:i4>
      </vt:variant>
      <vt:variant>
        <vt:i4>5</vt:i4>
      </vt:variant>
      <vt:variant>
        <vt:lpwstr/>
      </vt:variant>
      <vt:variant>
        <vt:lpwstr>_Toc484685895</vt:lpwstr>
      </vt:variant>
      <vt:variant>
        <vt:i4>1376304</vt:i4>
      </vt:variant>
      <vt:variant>
        <vt:i4>155</vt:i4>
      </vt:variant>
      <vt:variant>
        <vt:i4>0</vt:i4>
      </vt:variant>
      <vt:variant>
        <vt:i4>5</vt:i4>
      </vt:variant>
      <vt:variant>
        <vt:lpwstr/>
      </vt:variant>
      <vt:variant>
        <vt:lpwstr>_Toc484685894</vt:lpwstr>
      </vt:variant>
      <vt:variant>
        <vt:i4>1376304</vt:i4>
      </vt:variant>
      <vt:variant>
        <vt:i4>149</vt:i4>
      </vt:variant>
      <vt:variant>
        <vt:i4>0</vt:i4>
      </vt:variant>
      <vt:variant>
        <vt:i4>5</vt:i4>
      </vt:variant>
      <vt:variant>
        <vt:lpwstr/>
      </vt:variant>
      <vt:variant>
        <vt:lpwstr>_Toc484685893</vt:lpwstr>
      </vt:variant>
      <vt:variant>
        <vt:i4>1376304</vt:i4>
      </vt:variant>
      <vt:variant>
        <vt:i4>143</vt:i4>
      </vt:variant>
      <vt:variant>
        <vt:i4>0</vt:i4>
      </vt:variant>
      <vt:variant>
        <vt:i4>5</vt:i4>
      </vt:variant>
      <vt:variant>
        <vt:lpwstr/>
      </vt:variant>
      <vt:variant>
        <vt:lpwstr>_Toc484685892</vt:lpwstr>
      </vt:variant>
      <vt:variant>
        <vt:i4>1376304</vt:i4>
      </vt:variant>
      <vt:variant>
        <vt:i4>137</vt:i4>
      </vt:variant>
      <vt:variant>
        <vt:i4>0</vt:i4>
      </vt:variant>
      <vt:variant>
        <vt:i4>5</vt:i4>
      </vt:variant>
      <vt:variant>
        <vt:lpwstr/>
      </vt:variant>
      <vt:variant>
        <vt:lpwstr>_Toc484685891</vt:lpwstr>
      </vt:variant>
      <vt:variant>
        <vt:i4>1376304</vt:i4>
      </vt:variant>
      <vt:variant>
        <vt:i4>131</vt:i4>
      </vt:variant>
      <vt:variant>
        <vt:i4>0</vt:i4>
      </vt:variant>
      <vt:variant>
        <vt:i4>5</vt:i4>
      </vt:variant>
      <vt:variant>
        <vt:lpwstr/>
      </vt:variant>
      <vt:variant>
        <vt:lpwstr>_Toc484685890</vt:lpwstr>
      </vt:variant>
      <vt:variant>
        <vt:i4>1310768</vt:i4>
      </vt:variant>
      <vt:variant>
        <vt:i4>125</vt:i4>
      </vt:variant>
      <vt:variant>
        <vt:i4>0</vt:i4>
      </vt:variant>
      <vt:variant>
        <vt:i4>5</vt:i4>
      </vt:variant>
      <vt:variant>
        <vt:lpwstr/>
      </vt:variant>
      <vt:variant>
        <vt:lpwstr>_Toc484685889</vt:lpwstr>
      </vt:variant>
      <vt:variant>
        <vt:i4>1310768</vt:i4>
      </vt:variant>
      <vt:variant>
        <vt:i4>119</vt:i4>
      </vt:variant>
      <vt:variant>
        <vt:i4>0</vt:i4>
      </vt:variant>
      <vt:variant>
        <vt:i4>5</vt:i4>
      </vt:variant>
      <vt:variant>
        <vt:lpwstr/>
      </vt:variant>
      <vt:variant>
        <vt:lpwstr>_Toc484685888</vt:lpwstr>
      </vt:variant>
      <vt:variant>
        <vt:i4>1310768</vt:i4>
      </vt:variant>
      <vt:variant>
        <vt:i4>113</vt:i4>
      </vt:variant>
      <vt:variant>
        <vt:i4>0</vt:i4>
      </vt:variant>
      <vt:variant>
        <vt:i4>5</vt:i4>
      </vt:variant>
      <vt:variant>
        <vt:lpwstr/>
      </vt:variant>
      <vt:variant>
        <vt:lpwstr>_Toc484685887</vt:lpwstr>
      </vt:variant>
      <vt:variant>
        <vt:i4>1310768</vt:i4>
      </vt:variant>
      <vt:variant>
        <vt:i4>107</vt:i4>
      </vt:variant>
      <vt:variant>
        <vt:i4>0</vt:i4>
      </vt:variant>
      <vt:variant>
        <vt:i4>5</vt:i4>
      </vt:variant>
      <vt:variant>
        <vt:lpwstr/>
      </vt:variant>
      <vt:variant>
        <vt:lpwstr>_Toc484685886</vt:lpwstr>
      </vt:variant>
      <vt:variant>
        <vt:i4>1310768</vt:i4>
      </vt:variant>
      <vt:variant>
        <vt:i4>101</vt:i4>
      </vt:variant>
      <vt:variant>
        <vt:i4>0</vt:i4>
      </vt:variant>
      <vt:variant>
        <vt:i4>5</vt:i4>
      </vt:variant>
      <vt:variant>
        <vt:lpwstr/>
      </vt:variant>
      <vt:variant>
        <vt:lpwstr>_Toc484685885</vt:lpwstr>
      </vt:variant>
      <vt:variant>
        <vt:i4>1310768</vt:i4>
      </vt:variant>
      <vt:variant>
        <vt:i4>95</vt:i4>
      </vt:variant>
      <vt:variant>
        <vt:i4>0</vt:i4>
      </vt:variant>
      <vt:variant>
        <vt:i4>5</vt:i4>
      </vt:variant>
      <vt:variant>
        <vt:lpwstr/>
      </vt:variant>
      <vt:variant>
        <vt:lpwstr>_Toc484685884</vt:lpwstr>
      </vt:variant>
      <vt:variant>
        <vt:i4>1310768</vt:i4>
      </vt:variant>
      <vt:variant>
        <vt:i4>89</vt:i4>
      </vt:variant>
      <vt:variant>
        <vt:i4>0</vt:i4>
      </vt:variant>
      <vt:variant>
        <vt:i4>5</vt:i4>
      </vt:variant>
      <vt:variant>
        <vt:lpwstr/>
      </vt:variant>
      <vt:variant>
        <vt:lpwstr>_Toc484685883</vt:lpwstr>
      </vt:variant>
      <vt:variant>
        <vt:i4>1310768</vt:i4>
      </vt:variant>
      <vt:variant>
        <vt:i4>83</vt:i4>
      </vt:variant>
      <vt:variant>
        <vt:i4>0</vt:i4>
      </vt:variant>
      <vt:variant>
        <vt:i4>5</vt:i4>
      </vt:variant>
      <vt:variant>
        <vt:lpwstr/>
      </vt:variant>
      <vt:variant>
        <vt:lpwstr>_Toc484685882</vt:lpwstr>
      </vt:variant>
      <vt:variant>
        <vt:i4>1310768</vt:i4>
      </vt:variant>
      <vt:variant>
        <vt:i4>77</vt:i4>
      </vt:variant>
      <vt:variant>
        <vt:i4>0</vt:i4>
      </vt:variant>
      <vt:variant>
        <vt:i4>5</vt:i4>
      </vt:variant>
      <vt:variant>
        <vt:lpwstr/>
      </vt:variant>
      <vt:variant>
        <vt:lpwstr>_Toc484685881</vt:lpwstr>
      </vt:variant>
      <vt:variant>
        <vt:i4>1310768</vt:i4>
      </vt:variant>
      <vt:variant>
        <vt:i4>71</vt:i4>
      </vt:variant>
      <vt:variant>
        <vt:i4>0</vt:i4>
      </vt:variant>
      <vt:variant>
        <vt:i4>5</vt:i4>
      </vt:variant>
      <vt:variant>
        <vt:lpwstr/>
      </vt:variant>
      <vt:variant>
        <vt:lpwstr>_Toc484685880</vt:lpwstr>
      </vt:variant>
      <vt:variant>
        <vt:i4>1769520</vt:i4>
      </vt:variant>
      <vt:variant>
        <vt:i4>65</vt:i4>
      </vt:variant>
      <vt:variant>
        <vt:i4>0</vt:i4>
      </vt:variant>
      <vt:variant>
        <vt:i4>5</vt:i4>
      </vt:variant>
      <vt:variant>
        <vt:lpwstr/>
      </vt:variant>
      <vt:variant>
        <vt:lpwstr>_Toc484685879</vt:lpwstr>
      </vt:variant>
      <vt:variant>
        <vt:i4>1769520</vt:i4>
      </vt:variant>
      <vt:variant>
        <vt:i4>59</vt:i4>
      </vt:variant>
      <vt:variant>
        <vt:i4>0</vt:i4>
      </vt:variant>
      <vt:variant>
        <vt:i4>5</vt:i4>
      </vt:variant>
      <vt:variant>
        <vt:lpwstr/>
      </vt:variant>
      <vt:variant>
        <vt:lpwstr>_Toc484685878</vt:lpwstr>
      </vt:variant>
      <vt:variant>
        <vt:i4>1769520</vt:i4>
      </vt:variant>
      <vt:variant>
        <vt:i4>53</vt:i4>
      </vt:variant>
      <vt:variant>
        <vt:i4>0</vt:i4>
      </vt:variant>
      <vt:variant>
        <vt:i4>5</vt:i4>
      </vt:variant>
      <vt:variant>
        <vt:lpwstr/>
      </vt:variant>
      <vt:variant>
        <vt:lpwstr>_Toc484685877</vt:lpwstr>
      </vt:variant>
      <vt:variant>
        <vt:i4>1769520</vt:i4>
      </vt:variant>
      <vt:variant>
        <vt:i4>47</vt:i4>
      </vt:variant>
      <vt:variant>
        <vt:i4>0</vt:i4>
      </vt:variant>
      <vt:variant>
        <vt:i4>5</vt:i4>
      </vt:variant>
      <vt:variant>
        <vt:lpwstr/>
      </vt:variant>
      <vt:variant>
        <vt:lpwstr>_Toc484685876</vt:lpwstr>
      </vt:variant>
      <vt:variant>
        <vt:i4>1769520</vt:i4>
      </vt:variant>
      <vt:variant>
        <vt:i4>41</vt:i4>
      </vt:variant>
      <vt:variant>
        <vt:i4>0</vt:i4>
      </vt:variant>
      <vt:variant>
        <vt:i4>5</vt:i4>
      </vt:variant>
      <vt:variant>
        <vt:lpwstr/>
      </vt:variant>
      <vt:variant>
        <vt:lpwstr>_Toc484685875</vt:lpwstr>
      </vt:variant>
      <vt:variant>
        <vt:i4>1769520</vt:i4>
      </vt:variant>
      <vt:variant>
        <vt:i4>35</vt:i4>
      </vt:variant>
      <vt:variant>
        <vt:i4>0</vt:i4>
      </vt:variant>
      <vt:variant>
        <vt:i4>5</vt:i4>
      </vt:variant>
      <vt:variant>
        <vt:lpwstr/>
      </vt:variant>
      <vt:variant>
        <vt:lpwstr>_Toc484685874</vt:lpwstr>
      </vt:variant>
      <vt:variant>
        <vt:i4>1769520</vt:i4>
      </vt:variant>
      <vt:variant>
        <vt:i4>29</vt:i4>
      </vt:variant>
      <vt:variant>
        <vt:i4>0</vt:i4>
      </vt:variant>
      <vt:variant>
        <vt:i4>5</vt:i4>
      </vt:variant>
      <vt:variant>
        <vt:lpwstr/>
      </vt:variant>
      <vt:variant>
        <vt:lpwstr>_Toc484685873</vt:lpwstr>
      </vt:variant>
      <vt:variant>
        <vt:i4>1769520</vt:i4>
      </vt:variant>
      <vt:variant>
        <vt:i4>23</vt:i4>
      </vt:variant>
      <vt:variant>
        <vt:i4>0</vt:i4>
      </vt:variant>
      <vt:variant>
        <vt:i4>5</vt:i4>
      </vt:variant>
      <vt:variant>
        <vt:lpwstr/>
      </vt:variant>
      <vt:variant>
        <vt:lpwstr>_Toc484685872</vt:lpwstr>
      </vt:variant>
      <vt:variant>
        <vt:i4>1769520</vt:i4>
      </vt:variant>
      <vt:variant>
        <vt:i4>17</vt:i4>
      </vt:variant>
      <vt:variant>
        <vt:i4>0</vt:i4>
      </vt:variant>
      <vt:variant>
        <vt:i4>5</vt:i4>
      </vt:variant>
      <vt:variant>
        <vt:lpwstr/>
      </vt:variant>
      <vt:variant>
        <vt:lpwstr>_Toc484685871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2017-09-28T09:12:00Z</dcterms:created>
  <dcterms:modified xsi:type="dcterms:W3CDTF">2017-09-28T09:13:00Z</dcterms:modified>
</cp:coreProperties>
</file>