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8FC70" w14:textId="77777777" w:rsidR="00AA1382" w:rsidRDefault="00AA1382">
      <w:r>
        <w:rPr>
          <w:noProof/>
          <w:lang w:eastAsia="en-GB"/>
        </w:rPr>
        <w:drawing>
          <wp:inline distT="0" distB="0" distL="0" distR="0" wp14:anchorId="531219FF" wp14:editId="0E2D6B95">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F08C0A5" w14:textId="77777777" w:rsidR="00AA1382" w:rsidRDefault="00AA1382"/>
    <w:p w14:paraId="6BB915DC" w14:textId="77777777" w:rsidR="00AA1382" w:rsidRPr="00EE675A" w:rsidRDefault="00AA1382" w:rsidP="00AA1382">
      <w:pPr>
        <w:spacing w:after="200" w:line="276" w:lineRule="auto"/>
        <w:rPr>
          <w:b/>
          <w:sz w:val="48"/>
          <w:szCs w:val="48"/>
        </w:rPr>
      </w:pPr>
      <w:r w:rsidRPr="00EE675A">
        <w:rPr>
          <w:b/>
          <w:sz w:val="48"/>
          <w:szCs w:val="48"/>
        </w:rPr>
        <w:t xml:space="preserve">Bid Pack </w:t>
      </w:r>
    </w:p>
    <w:p w14:paraId="3688948E" w14:textId="646D3998" w:rsidR="00AA1382" w:rsidRPr="00B574FD" w:rsidRDefault="00AA1382" w:rsidP="00AA1382">
      <w:pPr>
        <w:spacing w:after="200" w:line="276" w:lineRule="auto"/>
        <w:rPr>
          <w:sz w:val="24"/>
        </w:rPr>
      </w:pPr>
      <w:bookmarkStart w:id="0" w:name="_xraukwuezq6d" w:colFirst="0" w:colLast="0"/>
      <w:bookmarkEnd w:id="0"/>
    </w:p>
    <w:p w14:paraId="30B7DA56" w14:textId="5F42A9BA" w:rsidR="00AA1382" w:rsidRPr="0029061C" w:rsidRDefault="00AA1382" w:rsidP="00AA1382">
      <w:pPr>
        <w:spacing w:after="200" w:line="276" w:lineRule="auto"/>
        <w:rPr>
          <w:b/>
          <w:sz w:val="36"/>
          <w:szCs w:val="36"/>
        </w:rPr>
      </w:pPr>
      <w:r>
        <w:rPr>
          <w:b/>
          <w:sz w:val="36"/>
          <w:szCs w:val="36"/>
        </w:rPr>
        <w:t>Attachment 3 – Statement of Requirements</w:t>
      </w:r>
    </w:p>
    <w:p w14:paraId="0575F305" w14:textId="0C9B760A" w:rsidR="00E172B5" w:rsidRDefault="00AA1382" w:rsidP="00AA1382">
      <w:pPr>
        <w:spacing w:line="360" w:lineRule="auto"/>
        <w:ind w:left="2835" w:hanging="2835"/>
        <w:rPr>
          <w:sz w:val="32"/>
          <w:szCs w:val="32"/>
        </w:rPr>
      </w:pPr>
      <w:bookmarkStart w:id="1" w:name="_1fob9te" w:colFirst="0" w:colLast="0"/>
      <w:bookmarkEnd w:id="1"/>
      <w:r w:rsidRPr="0037419F">
        <w:rPr>
          <w:sz w:val="32"/>
          <w:szCs w:val="32"/>
          <w:highlight w:val="white"/>
        </w:rPr>
        <w:t>Contract Reference:</w:t>
      </w:r>
      <w:r w:rsidRPr="00B76BB3">
        <w:rPr>
          <w:sz w:val="32"/>
          <w:szCs w:val="32"/>
        </w:rPr>
        <w:t xml:space="preserve"> </w:t>
      </w:r>
      <w:r w:rsidR="00E172B5">
        <w:rPr>
          <w:sz w:val="32"/>
          <w:szCs w:val="32"/>
        </w:rPr>
        <w:t xml:space="preserve">CCZZ22A09 </w:t>
      </w:r>
    </w:p>
    <w:p w14:paraId="430C274A" w14:textId="3388BE13" w:rsidR="00E172B5" w:rsidRDefault="00E172B5" w:rsidP="00AA1382">
      <w:pPr>
        <w:spacing w:line="360" w:lineRule="auto"/>
        <w:ind w:left="2835" w:hanging="2835"/>
        <w:rPr>
          <w:sz w:val="32"/>
          <w:szCs w:val="32"/>
        </w:rPr>
      </w:pPr>
      <w:r>
        <w:rPr>
          <w:sz w:val="32"/>
          <w:szCs w:val="32"/>
        </w:rPr>
        <w:t>Qualitative Analysis of Terminology Relating to People’s Ethnic Identity.</w:t>
      </w:r>
    </w:p>
    <w:p w14:paraId="01997F08" w14:textId="57EC6ED8" w:rsidR="00455C47" w:rsidRPr="00351E25" w:rsidRDefault="00455C47" w:rsidP="00AA1382">
      <w:pPr>
        <w:spacing w:line="360" w:lineRule="auto"/>
        <w:ind w:left="2835" w:hanging="2835"/>
      </w:pPr>
    </w:p>
    <w:p w14:paraId="05825834" w14:textId="78D92FB9" w:rsidR="00AA1382" w:rsidRDefault="00AA1382">
      <w:pPr>
        <w:rPr>
          <w:b/>
          <w:szCs w:val="22"/>
          <w:lang w:eastAsia="en-GB"/>
        </w:rPr>
      </w:pPr>
      <w:r>
        <w:br w:type="page"/>
      </w:r>
    </w:p>
    <w:p w14:paraId="52111C44" w14:textId="114E5793" w:rsidR="00FE18AC" w:rsidRDefault="00FE18AC" w:rsidP="00FE18AC">
      <w:pPr>
        <w:pStyle w:val="bodystrongcentred"/>
      </w:pPr>
      <w:r>
        <w:lastRenderedPageBreak/>
        <w:t>CONTENTS</w:t>
      </w:r>
    </w:p>
    <w:p w14:paraId="757634AA" w14:textId="77777777" w:rsidR="00FE18AC" w:rsidRDefault="00FE18AC" w:rsidP="00FE18AC"/>
    <w:p w14:paraId="6D1D522F" w14:textId="26A44757" w:rsidR="00E51B46"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109740636" w:history="1">
        <w:r w:rsidR="00E51B46" w:rsidRPr="00BD701C">
          <w:rPr>
            <w:rStyle w:val="Hyperlink"/>
            <w:noProof/>
          </w:rPr>
          <w:t>1.</w:t>
        </w:r>
        <w:r w:rsidR="00E51B46">
          <w:rPr>
            <w:rFonts w:asciiTheme="minorHAnsi" w:eastAsiaTheme="minorEastAsia" w:hAnsiTheme="minorHAnsi" w:cstheme="minorBidi"/>
            <w:caps w:val="0"/>
            <w:noProof/>
            <w:szCs w:val="22"/>
            <w:lang w:eastAsia="en-GB"/>
          </w:rPr>
          <w:tab/>
        </w:r>
        <w:r w:rsidR="00E51B46" w:rsidRPr="00BD701C">
          <w:rPr>
            <w:rStyle w:val="Hyperlink"/>
            <w:noProof/>
          </w:rPr>
          <w:t>PURPOSE</w:t>
        </w:r>
        <w:r w:rsidR="00E51B46">
          <w:rPr>
            <w:noProof/>
            <w:webHidden/>
          </w:rPr>
          <w:tab/>
        </w:r>
        <w:r w:rsidR="00E51B46">
          <w:rPr>
            <w:noProof/>
            <w:webHidden/>
          </w:rPr>
          <w:fldChar w:fldCharType="begin"/>
        </w:r>
        <w:r w:rsidR="00E51B46">
          <w:rPr>
            <w:noProof/>
            <w:webHidden/>
          </w:rPr>
          <w:instrText xml:space="preserve"> PAGEREF _Toc109740636 \h </w:instrText>
        </w:r>
        <w:r w:rsidR="00E51B46">
          <w:rPr>
            <w:noProof/>
            <w:webHidden/>
          </w:rPr>
        </w:r>
        <w:r w:rsidR="00E51B46">
          <w:rPr>
            <w:noProof/>
            <w:webHidden/>
          </w:rPr>
          <w:fldChar w:fldCharType="separate"/>
        </w:r>
        <w:r w:rsidR="00E51B46">
          <w:rPr>
            <w:noProof/>
            <w:webHidden/>
          </w:rPr>
          <w:t>3</w:t>
        </w:r>
        <w:r w:rsidR="00E51B46">
          <w:rPr>
            <w:noProof/>
            <w:webHidden/>
          </w:rPr>
          <w:fldChar w:fldCharType="end"/>
        </w:r>
      </w:hyperlink>
    </w:p>
    <w:p w14:paraId="18E6B43C" w14:textId="305FA6BD" w:rsidR="00E51B46" w:rsidRDefault="00CE4BD7">
      <w:pPr>
        <w:pStyle w:val="TOC1"/>
        <w:rPr>
          <w:rFonts w:asciiTheme="minorHAnsi" w:eastAsiaTheme="minorEastAsia" w:hAnsiTheme="minorHAnsi" w:cstheme="minorBidi"/>
          <w:caps w:val="0"/>
          <w:noProof/>
          <w:szCs w:val="22"/>
          <w:lang w:eastAsia="en-GB"/>
        </w:rPr>
      </w:pPr>
      <w:hyperlink w:anchor="_Toc109740637" w:history="1">
        <w:r w:rsidR="00E51B46" w:rsidRPr="00BD701C">
          <w:rPr>
            <w:rStyle w:val="Hyperlink"/>
            <w:noProof/>
          </w:rPr>
          <w:t>2.</w:t>
        </w:r>
        <w:r w:rsidR="00E51B46">
          <w:rPr>
            <w:rFonts w:asciiTheme="minorHAnsi" w:eastAsiaTheme="minorEastAsia" w:hAnsiTheme="minorHAnsi" w:cstheme="minorBidi"/>
            <w:caps w:val="0"/>
            <w:noProof/>
            <w:szCs w:val="22"/>
            <w:lang w:eastAsia="en-GB"/>
          </w:rPr>
          <w:tab/>
        </w:r>
        <w:r w:rsidR="00E51B46" w:rsidRPr="00BD701C">
          <w:rPr>
            <w:rStyle w:val="Hyperlink"/>
            <w:noProof/>
          </w:rPr>
          <w:t>BACKGROUND TO THE CONTRACTING aUTHORITY</w:t>
        </w:r>
        <w:r w:rsidR="00E51B46">
          <w:rPr>
            <w:noProof/>
            <w:webHidden/>
          </w:rPr>
          <w:tab/>
        </w:r>
        <w:r w:rsidR="00E51B46">
          <w:rPr>
            <w:noProof/>
            <w:webHidden/>
          </w:rPr>
          <w:fldChar w:fldCharType="begin"/>
        </w:r>
        <w:r w:rsidR="00E51B46">
          <w:rPr>
            <w:noProof/>
            <w:webHidden/>
          </w:rPr>
          <w:instrText xml:space="preserve"> PAGEREF _Toc109740637 \h </w:instrText>
        </w:r>
        <w:r w:rsidR="00E51B46">
          <w:rPr>
            <w:noProof/>
            <w:webHidden/>
          </w:rPr>
        </w:r>
        <w:r w:rsidR="00E51B46">
          <w:rPr>
            <w:noProof/>
            <w:webHidden/>
          </w:rPr>
          <w:fldChar w:fldCharType="separate"/>
        </w:r>
        <w:r w:rsidR="00E51B46">
          <w:rPr>
            <w:noProof/>
            <w:webHidden/>
          </w:rPr>
          <w:t>3</w:t>
        </w:r>
        <w:r w:rsidR="00E51B46">
          <w:rPr>
            <w:noProof/>
            <w:webHidden/>
          </w:rPr>
          <w:fldChar w:fldCharType="end"/>
        </w:r>
      </w:hyperlink>
    </w:p>
    <w:p w14:paraId="659D2FA5" w14:textId="055C367C" w:rsidR="00E51B46" w:rsidRDefault="00CE4BD7">
      <w:pPr>
        <w:pStyle w:val="TOC1"/>
        <w:rPr>
          <w:rFonts w:asciiTheme="minorHAnsi" w:eastAsiaTheme="minorEastAsia" w:hAnsiTheme="minorHAnsi" w:cstheme="minorBidi"/>
          <w:caps w:val="0"/>
          <w:noProof/>
          <w:szCs w:val="22"/>
          <w:lang w:eastAsia="en-GB"/>
        </w:rPr>
      </w:pPr>
      <w:hyperlink w:anchor="_Toc109740638" w:history="1">
        <w:r w:rsidR="00E51B46" w:rsidRPr="00BD701C">
          <w:rPr>
            <w:rStyle w:val="Hyperlink"/>
            <w:noProof/>
          </w:rPr>
          <w:t>3.</w:t>
        </w:r>
        <w:r w:rsidR="00E51B46">
          <w:rPr>
            <w:rFonts w:asciiTheme="minorHAnsi" w:eastAsiaTheme="minorEastAsia" w:hAnsiTheme="minorHAnsi" w:cstheme="minorBidi"/>
            <w:caps w:val="0"/>
            <w:noProof/>
            <w:szCs w:val="22"/>
            <w:lang w:eastAsia="en-GB"/>
          </w:rPr>
          <w:tab/>
        </w:r>
        <w:r w:rsidR="00E51B46" w:rsidRPr="00BD701C">
          <w:rPr>
            <w:rStyle w:val="Hyperlink"/>
            <w:noProof/>
          </w:rPr>
          <w:t>Background to requirement/OVERVIEW of requirement</w:t>
        </w:r>
        <w:r w:rsidR="00E51B46">
          <w:rPr>
            <w:noProof/>
            <w:webHidden/>
          </w:rPr>
          <w:tab/>
        </w:r>
        <w:r w:rsidR="00E51B46">
          <w:rPr>
            <w:noProof/>
            <w:webHidden/>
          </w:rPr>
          <w:fldChar w:fldCharType="begin"/>
        </w:r>
        <w:r w:rsidR="00E51B46">
          <w:rPr>
            <w:noProof/>
            <w:webHidden/>
          </w:rPr>
          <w:instrText xml:space="preserve"> PAGEREF _Toc109740638 \h </w:instrText>
        </w:r>
        <w:r w:rsidR="00E51B46">
          <w:rPr>
            <w:noProof/>
            <w:webHidden/>
          </w:rPr>
        </w:r>
        <w:r w:rsidR="00E51B46">
          <w:rPr>
            <w:noProof/>
            <w:webHidden/>
          </w:rPr>
          <w:fldChar w:fldCharType="separate"/>
        </w:r>
        <w:r w:rsidR="00E51B46">
          <w:rPr>
            <w:noProof/>
            <w:webHidden/>
          </w:rPr>
          <w:t>4</w:t>
        </w:r>
        <w:r w:rsidR="00E51B46">
          <w:rPr>
            <w:noProof/>
            <w:webHidden/>
          </w:rPr>
          <w:fldChar w:fldCharType="end"/>
        </w:r>
      </w:hyperlink>
    </w:p>
    <w:p w14:paraId="5A39C294" w14:textId="110FEE0C" w:rsidR="00E51B46" w:rsidRDefault="00CE4BD7">
      <w:pPr>
        <w:pStyle w:val="TOC1"/>
        <w:rPr>
          <w:rFonts w:asciiTheme="minorHAnsi" w:eastAsiaTheme="minorEastAsia" w:hAnsiTheme="minorHAnsi" w:cstheme="minorBidi"/>
          <w:caps w:val="0"/>
          <w:noProof/>
          <w:szCs w:val="22"/>
          <w:lang w:eastAsia="en-GB"/>
        </w:rPr>
      </w:pPr>
      <w:hyperlink w:anchor="_Toc109740639" w:history="1">
        <w:r w:rsidR="00E51B46" w:rsidRPr="00BD701C">
          <w:rPr>
            <w:rStyle w:val="Hyperlink"/>
            <w:noProof/>
          </w:rPr>
          <w:t>4.</w:t>
        </w:r>
        <w:r w:rsidR="00E51B46">
          <w:rPr>
            <w:rFonts w:asciiTheme="minorHAnsi" w:eastAsiaTheme="minorEastAsia" w:hAnsiTheme="minorHAnsi" w:cstheme="minorBidi"/>
            <w:caps w:val="0"/>
            <w:noProof/>
            <w:szCs w:val="22"/>
            <w:lang w:eastAsia="en-GB"/>
          </w:rPr>
          <w:tab/>
        </w:r>
        <w:r w:rsidR="00E51B46" w:rsidRPr="00BD701C">
          <w:rPr>
            <w:rStyle w:val="Hyperlink"/>
            <w:noProof/>
          </w:rPr>
          <w:t>definitions</w:t>
        </w:r>
        <w:r w:rsidR="00E51B46">
          <w:rPr>
            <w:noProof/>
            <w:webHidden/>
          </w:rPr>
          <w:tab/>
        </w:r>
        <w:r w:rsidR="00E51B46">
          <w:rPr>
            <w:noProof/>
            <w:webHidden/>
          </w:rPr>
          <w:fldChar w:fldCharType="begin"/>
        </w:r>
        <w:r w:rsidR="00E51B46">
          <w:rPr>
            <w:noProof/>
            <w:webHidden/>
          </w:rPr>
          <w:instrText xml:space="preserve"> PAGEREF _Toc109740639 \h </w:instrText>
        </w:r>
        <w:r w:rsidR="00E51B46">
          <w:rPr>
            <w:noProof/>
            <w:webHidden/>
          </w:rPr>
        </w:r>
        <w:r w:rsidR="00E51B46">
          <w:rPr>
            <w:noProof/>
            <w:webHidden/>
          </w:rPr>
          <w:fldChar w:fldCharType="separate"/>
        </w:r>
        <w:r w:rsidR="00E51B46">
          <w:rPr>
            <w:noProof/>
            <w:webHidden/>
          </w:rPr>
          <w:t>5</w:t>
        </w:r>
        <w:r w:rsidR="00E51B46">
          <w:rPr>
            <w:noProof/>
            <w:webHidden/>
          </w:rPr>
          <w:fldChar w:fldCharType="end"/>
        </w:r>
      </w:hyperlink>
    </w:p>
    <w:p w14:paraId="74EA8858" w14:textId="2BFCF786" w:rsidR="00E51B46" w:rsidRDefault="00CE4BD7">
      <w:pPr>
        <w:pStyle w:val="TOC1"/>
        <w:rPr>
          <w:rFonts w:asciiTheme="minorHAnsi" w:eastAsiaTheme="minorEastAsia" w:hAnsiTheme="minorHAnsi" w:cstheme="minorBidi"/>
          <w:caps w:val="0"/>
          <w:noProof/>
          <w:szCs w:val="22"/>
          <w:lang w:eastAsia="en-GB"/>
        </w:rPr>
      </w:pPr>
      <w:hyperlink w:anchor="_Toc109740640" w:history="1">
        <w:r w:rsidR="00E51B46" w:rsidRPr="00BD701C">
          <w:rPr>
            <w:rStyle w:val="Hyperlink"/>
            <w:noProof/>
          </w:rPr>
          <w:t>5.</w:t>
        </w:r>
        <w:r w:rsidR="00E51B46">
          <w:rPr>
            <w:rFonts w:asciiTheme="minorHAnsi" w:eastAsiaTheme="minorEastAsia" w:hAnsiTheme="minorHAnsi" w:cstheme="minorBidi"/>
            <w:caps w:val="0"/>
            <w:noProof/>
            <w:szCs w:val="22"/>
            <w:lang w:eastAsia="en-GB"/>
          </w:rPr>
          <w:tab/>
        </w:r>
        <w:r w:rsidR="00E51B46" w:rsidRPr="00BD701C">
          <w:rPr>
            <w:rStyle w:val="Hyperlink"/>
            <w:noProof/>
          </w:rPr>
          <w:t>scope of requirement</w:t>
        </w:r>
        <w:r w:rsidR="00E51B46">
          <w:rPr>
            <w:noProof/>
            <w:webHidden/>
          </w:rPr>
          <w:tab/>
        </w:r>
        <w:r w:rsidR="00E51B46">
          <w:rPr>
            <w:noProof/>
            <w:webHidden/>
          </w:rPr>
          <w:fldChar w:fldCharType="begin"/>
        </w:r>
        <w:r w:rsidR="00E51B46">
          <w:rPr>
            <w:noProof/>
            <w:webHidden/>
          </w:rPr>
          <w:instrText xml:space="preserve"> PAGEREF _Toc109740640 \h </w:instrText>
        </w:r>
        <w:r w:rsidR="00E51B46">
          <w:rPr>
            <w:noProof/>
            <w:webHidden/>
          </w:rPr>
        </w:r>
        <w:r w:rsidR="00E51B46">
          <w:rPr>
            <w:noProof/>
            <w:webHidden/>
          </w:rPr>
          <w:fldChar w:fldCharType="separate"/>
        </w:r>
        <w:r w:rsidR="00E51B46">
          <w:rPr>
            <w:noProof/>
            <w:webHidden/>
          </w:rPr>
          <w:t>6</w:t>
        </w:r>
        <w:r w:rsidR="00E51B46">
          <w:rPr>
            <w:noProof/>
            <w:webHidden/>
          </w:rPr>
          <w:fldChar w:fldCharType="end"/>
        </w:r>
      </w:hyperlink>
    </w:p>
    <w:p w14:paraId="647D9D57" w14:textId="1AB2BBAA" w:rsidR="00E51B46" w:rsidRDefault="00CE4BD7">
      <w:pPr>
        <w:pStyle w:val="TOC1"/>
        <w:rPr>
          <w:rFonts w:asciiTheme="minorHAnsi" w:eastAsiaTheme="minorEastAsia" w:hAnsiTheme="minorHAnsi" w:cstheme="minorBidi"/>
          <w:caps w:val="0"/>
          <w:noProof/>
          <w:szCs w:val="22"/>
          <w:lang w:eastAsia="en-GB"/>
        </w:rPr>
      </w:pPr>
      <w:hyperlink w:anchor="_Toc109740641" w:history="1">
        <w:r w:rsidR="00E51B46" w:rsidRPr="00BD701C">
          <w:rPr>
            <w:rStyle w:val="Hyperlink"/>
            <w:noProof/>
          </w:rPr>
          <w:t>6.</w:t>
        </w:r>
        <w:r w:rsidR="00E51B46">
          <w:rPr>
            <w:rFonts w:asciiTheme="minorHAnsi" w:eastAsiaTheme="minorEastAsia" w:hAnsiTheme="minorHAnsi" w:cstheme="minorBidi"/>
            <w:caps w:val="0"/>
            <w:noProof/>
            <w:szCs w:val="22"/>
            <w:lang w:eastAsia="en-GB"/>
          </w:rPr>
          <w:tab/>
        </w:r>
        <w:r w:rsidR="00E51B46" w:rsidRPr="00BD701C">
          <w:rPr>
            <w:rStyle w:val="Hyperlink"/>
            <w:noProof/>
          </w:rPr>
          <w:t>The requirement</w:t>
        </w:r>
        <w:r w:rsidR="00E51B46">
          <w:rPr>
            <w:noProof/>
            <w:webHidden/>
          </w:rPr>
          <w:tab/>
        </w:r>
        <w:r w:rsidR="00E51B46">
          <w:rPr>
            <w:noProof/>
            <w:webHidden/>
          </w:rPr>
          <w:fldChar w:fldCharType="begin"/>
        </w:r>
        <w:r w:rsidR="00E51B46">
          <w:rPr>
            <w:noProof/>
            <w:webHidden/>
          </w:rPr>
          <w:instrText xml:space="preserve"> PAGEREF _Toc109740641 \h </w:instrText>
        </w:r>
        <w:r w:rsidR="00E51B46">
          <w:rPr>
            <w:noProof/>
            <w:webHidden/>
          </w:rPr>
        </w:r>
        <w:r w:rsidR="00E51B46">
          <w:rPr>
            <w:noProof/>
            <w:webHidden/>
          </w:rPr>
          <w:fldChar w:fldCharType="separate"/>
        </w:r>
        <w:r w:rsidR="00E51B46">
          <w:rPr>
            <w:noProof/>
            <w:webHidden/>
          </w:rPr>
          <w:t>6</w:t>
        </w:r>
        <w:r w:rsidR="00E51B46">
          <w:rPr>
            <w:noProof/>
            <w:webHidden/>
          </w:rPr>
          <w:fldChar w:fldCharType="end"/>
        </w:r>
      </w:hyperlink>
    </w:p>
    <w:p w14:paraId="4209F8BC" w14:textId="326F3A63" w:rsidR="00E51B46" w:rsidRDefault="00CE4BD7">
      <w:pPr>
        <w:pStyle w:val="TOC1"/>
        <w:rPr>
          <w:rFonts w:asciiTheme="minorHAnsi" w:eastAsiaTheme="minorEastAsia" w:hAnsiTheme="minorHAnsi" w:cstheme="minorBidi"/>
          <w:caps w:val="0"/>
          <w:noProof/>
          <w:szCs w:val="22"/>
          <w:lang w:eastAsia="en-GB"/>
        </w:rPr>
      </w:pPr>
      <w:hyperlink w:anchor="_Toc109740642" w:history="1">
        <w:r w:rsidR="00E51B46" w:rsidRPr="00BD701C">
          <w:rPr>
            <w:rStyle w:val="Hyperlink"/>
            <w:noProof/>
          </w:rPr>
          <w:t>7.</w:t>
        </w:r>
        <w:r w:rsidR="00E51B46">
          <w:rPr>
            <w:rFonts w:asciiTheme="minorHAnsi" w:eastAsiaTheme="minorEastAsia" w:hAnsiTheme="minorHAnsi" w:cstheme="minorBidi"/>
            <w:caps w:val="0"/>
            <w:noProof/>
            <w:szCs w:val="22"/>
            <w:lang w:eastAsia="en-GB"/>
          </w:rPr>
          <w:tab/>
        </w:r>
        <w:r w:rsidR="00E51B46" w:rsidRPr="00BD701C">
          <w:rPr>
            <w:rStyle w:val="Hyperlink"/>
            <w:noProof/>
          </w:rPr>
          <w:t>key milestones and Deliverables</w:t>
        </w:r>
        <w:r w:rsidR="00E51B46">
          <w:rPr>
            <w:noProof/>
            <w:webHidden/>
          </w:rPr>
          <w:tab/>
        </w:r>
        <w:r w:rsidR="00E51B46">
          <w:rPr>
            <w:noProof/>
            <w:webHidden/>
          </w:rPr>
          <w:fldChar w:fldCharType="begin"/>
        </w:r>
        <w:r w:rsidR="00E51B46">
          <w:rPr>
            <w:noProof/>
            <w:webHidden/>
          </w:rPr>
          <w:instrText xml:space="preserve"> PAGEREF _Toc109740642 \h </w:instrText>
        </w:r>
        <w:r w:rsidR="00E51B46">
          <w:rPr>
            <w:noProof/>
            <w:webHidden/>
          </w:rPr>
        </w:r>
        <w:r w:rsidR="00E51B46">
          <w:rPr>
            <w:noProof/>
            <w:webHidden/>
          </w:rPr>
          <w:fldChar w:fldCharType="separate"/>
        </w:r>
        <w:r w:rsidR="00E51B46">
          <w:rPr>
            <w:noProof/>
            <w:webHidden/>
          </w:rPr>
          <w:t>10</w:t>
        </w:r>
        <w:r w:rsidR="00E51B46">
          <w:rPr>
            <w:noProof/>
            <w:webHidden/>
          </w:rPr>
          <w:fldChar w:fldCharType="end"/>
        </w:r>
      </w:hyperlink>
    </w:p>
    <w:p w14:paraId="13980DE1" w14:textId="2055A39C" w:rsidR="00E51B46" w:rsidRDefault="00CE4BD7">
      <w:pPr>
        <w:pStyle w:val="TOC1"/>
        <w:rPr>
          <w:rFonts w:asciiTheme="minorHAnsi" w:eastAsiaTheme="minorEastAsia" w:hAnsiTheme="minorHAnsi" w:cstheme="minorBidi"/>
          <w:caps w:val="0"/>
          <w:noProof/>
          <w:szCs w:val="22"/>
          <w:lang w:eastAsia="en-GB"/>
        </w:rPr>
      </w:pPr>
      <w:hyperlink w:anchor="_Toc109740643" w:history="1">
        <w:r w:rsidR="00E51B46" w:rsidRPr="00BD701C">
          <w:rPr>
            <w:rStyle w:val="Hyperlink"/>
            <w:rFonts w:cs="Arial"/>
            <w:noProof/>
          </w:rPr>
          <w:t>8.</w:t>
        </w:r>
        <w:r w:rsidR="00E51B46">
          <w:rPr>
            <w:rFonts w:asciiTheme="minorHAnsi" w:eastAsiaTheme="minorEastAsia" w:hAnsiTheme="minorHAnsi" w:cstheme="minorBidi"/>
            <w:caps w:val="0"/>
            <w:noProof/>
            <w:szCs w:val="22"/>
            <w:lang w:eastAsia="en-GB"/>
          </w:rPr>
          <w:tab/>
        </w:r>
        <w:r w:rsidR="00E51B46" w:rsidRPr="00BD701C">
          <w:rPr>
            <w:rStyle w:val="Hyperlink"/>
            <w:rFonts w:cs="Arial"/>
            <w:noProof/>
          </w:rPr>
          <w:t>MANAGEMENT INFORMATION/reporting</w:t>
        </w:r>
        <w:r w:rsidR="00E51B46">
          <w:rPr>
            <w:noProof/>
            <w:webHidden/>
          </w:rPr>
          <w:tab/>
        </w:r>
        <w:r w:rsidR="00E51B46">
          <w:rPr>
            <w:noProof/>
            <w:webHidden/>
          </w:rPr>
          <w:fldChar w:fldCharType="begin"/>
        </w:r>
        <w:r w:rsidR="00E51B46">
          <w:rPr>
            <w:noProof/>
            <w:webHidden/>
          </w:rPr>
          <w:instrText xml:space="preserve"> PAGEREF _Toc109740643 \h </w:instrText>
        </w:r>
        <w:r w:rsidR="00E51B46">
          <w:rPr>
            <w:noProof/>
            <w:webHidden/>
          </w:rPr>
        </w:r>
        <w:r w:rsidR="00E51B46">
          <w:rPr>
            <w:noProof/>
            <w:webHidden/>
          </w:rPr>
          <w:fldChar w:fldCharType="separate"/>
        </w:r>
        <w:r w:rsidR="00E51B46">
          <w:rPr>
            <w:noProof/>
            <w:webHidden/>
          </w:rPr>
          <w:t>11</w:t>
        </w:r>
        <w:r w:rsidR="00E51B46">
          <w:rPr>
            <w:noProof/>
            <w:webHidden/>
          </w:rPr>
          <w:fldChar w:fldCharType="end"/>
        </w:r>
      </w:hyperlink>
    </w:p>
    <w:p w14:paraId="4B593273" w14:textId="4E291BD8" w:rsidR="00E51B46" w:rsidRDefault="00CE4BD7">
      <w:pPr>
        <w:pStyle w:val="TOC1"/>
        <w:rPr>
          <w:rFonts w:asciiTheme="minorHAnsi" w:eastAsiaTheme="minorEastAsia" w:hAnsiTheme="minorHAnsi" w:cstheme="minorBidi"/>
          <w:caps w:val="0"/>
          <w:noProof/>
          <w:szCs w:val="22"/>
          <w:lang w:eastAsia="en-GB"/>
        </w:rPr>
      </w:pPr>
      <w:hyperlink w:anchor="_Toc109740644" w:history="1">
        <w:r w:rsidR="00E51B46" w:rsidRPr="00BD701C">
          <w:rPr>
            <w:rStyle w:val="Hyperlink"/>
            <w:rFonts w:cs="Arial"/>
            <w:noProof/>
          </w:rPr>
          <w:t>9.</w:t>
        </w:r>
        <w:r w:rsidR="00E51B46">
          <w:rPr>
            <w:rFonts w:asciiTheme="minorHAnsi" w:eastAsiaTheme="minorEastAsia" w:hAnsiTheme="minorHAnsi" w:cstheme="minorBidi"/>
            <w:caps w:val="0"/>
            <w:noProof/>
            <w:szCs w:val="22"/>
            <w:lang w:eastAsia="en-GB"/>
          </w:rPr>
          <w:tab/>
        </w:r>
        <w:r w:rsidR="00E51B46" w:rsidRPr="00BD701C">
          <w:rPr>
            <w:rStyle w:val="Hyperlink"/>
            <w:rFonts w:cs="Arial"/>
            <w:noProof/>
          </w:rPr>
          <w:t>continuous improvement</w:t>
        </w:r>
        <w:r w:rsidR="00E51B46">
          <w:rPr>
            <w:noProof/>
            <w:webHidden/>
          </w:rPr>
          <w:tab/>
        </w:r>
        <w:r w:rsidR="00E51B46">
          <w:rPr>
            <w:noProof/>
            <w:webHidden/>
          </w:rPr>
          <w:fldChar w:fldCharType="begin"/>
        </w:r>
        <w:r w:rsidR="00E51B46">
          <w:rPr>
            <w:noProof/>
            <w:webHidden/>
          </w:rPr>
          <w:instrText xml:space="preserve"> PAGEREF _Toc109740644 \h </w:instrText>
        </w:r>
        <w:r w:rsidR="00E51B46">
          <w:rPr>
            <w:noProof/>
            <w:webHidden/>
          </w:rPr>
        </w:r>
        <w:r w:rsidR="00E51B46">
          <w:rPr>
            <w:noProof/>
            <w:webHidden/>
          </w:rPr>
          <w:fldChar w:fldCharType="separate"/>
        </w:r>
        <w:r w:rsidR="00E51B46">
          <w:rPr>
            <w:noProof/>
            <w:webHidden/>
          </w:rPr>
          <w:t>12</w:t>
        </w:r>
        <w:r w:rsidR="00E51B46">
          <w:rPr>
            <w:noProof/>
            <w:webHidden/>
          </w:rPr>
          <w:fldChar w:fldCharType="end"/>
        </w:r>
      </w:hyperlink>
    </w:p>
    <w:p w14:paraId="37F14B15" w14:textId="22006DA9" w:rsidR="00E51B46" w:rsidRDefault="00CE4BD7">
      <w:pPr>
        <w:pStyle w:val="TOC1"/>
        <w:rPr>
          <w:rFonts w:asciiTheme="minorHAnsi" w:eastAsiaTheme="minorEastAsia" w:hAnsiTheme="minorHAnsi" w:cstheme="minorBidi"/>
          <w:caps w:val="0"/>
          <w:noProof/>
          <w:szCs w:val="22"/>
          <w:lang w:eastAsia="en-GB"/>
        </w:rPr>
      </w:pPr>
      <w:hyperlink w:anchor="_Toc109740645" w:history="1">
        <w:r w:rsidR="00E51B46" w:rsidRPr="00BD701C">
          <w:rPr>
            <w:rStyle w:val="Hyperlink"/>
            <w:rFonts w:cs="Arial"/>
            <w:noProof/>
          </w:rPr>
          <w:t>10.</w:t>
        </w:r>
        <w:r w:rsidR="00E51B46">
          <w:rPr>
            <w:rFonts w:asciiTheme="minorHAnsi" w:eastAsiaTheme="minorEastAsia" w:hAnsiTheme="minorHAnsi" w:cstheme="minorBidi"/>
            <w:caps w:val="0"/>
            <w:noProof/>
            <w:szCs w:val="22"/>
            <w:lang w:eastAsia="en-GB"/>
          </w:rPr>
          <w:tab/>
        </w:r>
        <w:r w:rsidR="00E51B46" w:rsidRPr="00BD701C">
          <w:rPr>
            <w:rStyle w:val="Hyperlink"/>
            <w:rFonts w:cs="Arial"/>
            <w:noProof/>
          </w:rPr>
          <w:t>quality</w:t>
        </w:r>
        <w:r w:rsidR="00E51B46">
          <w:rPr>
            <w:noProof/>
            <w:webHidden/>
          </w:rPr>
          <w:tab/>
        </w:r>
        <w:r w:rsidR="00E51B46">
          <w:rPr>
            <w:noProof/>
            <w:webHidden/>
          </w:rPr>
          <w:fldChar w:fldCharType="begin"/>
        </w:r>
        <w:r w:rsidR="00E51B46">
          <w:rPr>
            <w:noProof/>
            <w:webHidden/>
          </w:rPr>
          <w:instrText xml:space="preserve"> PAGEREF _Toc109740645 \h </w:instrText>
        </w:r>
        <w:r w:rsidR="00E51B46">
          <w:rPr>
            <w:noProof/>
            <w:webHidden/>
          </w:rPr>
        </w:r>
        <w:r w:rsidR="00E51B46">
          <w:rPr>
            <w:noProof/>
            <w:webHidden/>
          </w:rPr>
          <w:fldChar w:fldCharType="separate"/>
        </w:r>
        <w:r w:rsidR="00E51B46">
          <w:rPr>
            <w:noProof/>
            <w:webHidden/>
          </w:rPr>
          <w:t>12</w:t>
        </w:r>
        <w:r w:rsidR="00E51B46">
          <w:rPr>
            <w:noProof/>
            <w:webHidden/>
          </w:rPr>
          <w:fldChar w:fldCharType="end"/>
        </w:r>
      </w:hyperlink>
    </w:p>
    <w:p w14:paraId="3EDA2E49" w14:textId="019047F6" w:rsidR="00E51B46" w:rsidRDefault="00CE4BD7">
      <w:pPr>
        <w:pStyle w:val="TOC1"/>
        <w:rPr>
          <w:rFonts w:asciiTheme="minorHAnsi" w:eastAsiaTheme="minorEastAsia" w:hAnsiTheme="minorHAnsi" w:cstheme="minorBidi"/>
          <w:caps w:val="0"/>
          <w:noProof/>
          <w:szCs w:val="22"/>
          <w:lang w:eastAsia="en-GB"/>
        </w:rPr>
      </w:pPr>
      <w:hyperlink w:anchor="_Toc109740646" w:history="1">
        <w:r w:rsidR="00E51B46" w:rsidRPr="00BD701C">
          <w:rPr>
            <w:rStyle w:val="Hyperlink"/>
            <w:rFonts w:cs="Arial"/>
            <w:noProof/>
          </w:rPr>
          <w:t>11.</w:t>
        </w:r>
        <w:r w:rsidR="00E51B46">
          <w:rPr>
            <w:rFonts w:asciiTheme="minorHAnsi" w:eastAsiaTheme="minorEastAsia" w:hAnsiTheme="minorHAnsi" w:cstheme="minorBidi"/>
            <w:caps w:val="0"/>
            <w:noProof/>
            <w:szCs w:val="22"/>
            <w:lang w:eastAsia="en-GB"/>
          </w:rPr>
          <w:tab/>
        </w:r>
        <w:r w:rsidR="00E51B46" w:rsidRPr="00BD701C">
          <w:rPr>
            <w:rStyle w:val="Hyperlink"/>
            <w:rFonts w:cs="Arial"/>
            <w:noProof/>
          </w:rPr>
          <w:t>PRICE</w:t>
        </w:r>
        <w:r w:rsidR="00E51B46">
          <w:rPr>
            <w:noProof/>
            <w:webHidden/>
          </w:rPr>
          <w:tab/>
        </w:r>
        <w:r w:rsidR="00E51B46">
          <w:rPr>
            <w:noProof/>
            <w:webHidden/>
          </w:rPr>
          <w:fldChar w:fldCharType="begin"/>
        </w:r>
        <w:r w:rsidR="00E51B46">
          <w:rPr>
            <w:noProof/>
            <w:webHidden/>
          </w:rPr>
          <w:instrText xml:space="preserve"> PAGEREF _Toc109740646 \h </w:instrText>
        </w:r>
        <w:r w:rsidR="00E51B46">
          <w:rPr>
            <w:noProof/>
            <w:webHidden/>
          </w:rPr>
        </w:r>
        <w:r w:rsidR="00E51B46">
          <w:rPr>
            <w:noProof/>
            <w:webHidden/>
          </w:rPr>
          <w:fldChar w:fldCharType="separate"/>
        </w:r>
        <w:r w:rsidR="00E51B46">
          <w:rPr>
            <w:noProof/>
            <w:webHidden/>
          </w:rPr>
          <w:t>12</w:t>
        </w:r>
        <w:r w:rsidR="00E51B46">
          <w:rPr>
            <w:noProof/>
            <w:webHidden/>
          </w:rPr>
          <w:fldChar w:fldCharType="end"/>
        </w:r>
      </w:hyperlink>
    </w:p>
    <w:p w14:paraId="532E6F33" w14:textId="406B0092" w:rsidR="00E51B46" w:rsidRDefault="00CE4BD7">
      <w:pPr>
        <w:pStyle w:val="TOC1"/>
        <w:rPr>
          <w:rFonts w:asciiTheme="minorHAnsi" w:eastAsiaTheme="minorEastAsia" w:hAnsiTheme="minorHAnsi" w:cstheme="minorBidi"/>
          <w:caps w:val="0"/>
          <w:noProof/>
          <w:szCs w:val="22"/>
          <w:lang w:eastAsia="en-GB"/>
        </w:rPr>
      </w:pPr>
      <w:hyperlink w:anchor="_Toc109740647" w:history="1">
        <w:r w:rsidR="00E51B46" w:rsidRPr="00BD701C">
          <w:rPr>
            <w:rStyle w:val="Hyperlink"/>
            <w:rFonts w:cs="Arial"/>
            <w:noProof/>
          </w:rPr>
          <w:t>12.</w:t>
        </w:r>
        <w:r w:rsidR="00E51B46">
          <w:rPr>
            <w:rFonts w:asciiTheme="minorHAnsi" w:eastAsiaTheme="minorEastAsia" w:hAnsiTheme="minorHAnsi" w:cstheme="minorBidi"/>
            <w:caps w:val="0"/>
            <w:noProof/>
            <w:szCs w:val="22"/>
            <w:lang w:eastAsia="en-GB"/>
          </w:rPr>
          <w:tab/>
        </w:r>
        <w:r w:rsidR="00E51B46" w:rsidRPr="00BD701C">
          <w:rPr>
            <w:rStyle w:val="Hyperlink"/>
            <w:rFonts w:cs="Arial"/>
            <w:noProof/>
          </w:rPr>
          <w:t>STAFF AND CUSTOMER SERVICE</w:t>
        </w:r>
        <w:r w:rsidR="00E51B46">
          <w:rPr>
            <w:noProof/>
            <w:webHidden/>
          </w:rPr>
          <w:tab/>
        </w:r>
        <w:r w:rsidR="00E51B46">
          <w:rPr>
            <w:noProof/>
            <w:webHidden/>
          </w:rPr>
          <w:fldChar w:fldCharType="begin"/>
        </w:r>
        <w:r w:rsidR="00E51B46">
          <w:rPr>
            <w:noProof/>
            <w:webHidden/>
          </w:rPr>
          <w:instrText xml:space="preserve"> PAGEREF _Toc109740647 \h </w:instrText>
        </w:r>
        <w:r w:rsidR="00E51B46">
          <w:rPr>
            <w:noProof/>
            <w:webHidden/>
          </w:rPr>
        </w:r>
        <w:r w:rsidR="00E51B46">
          <w:rPr>
            <w:noProof/>
            <w:webHidden/>
          </w:rPr>
          <w:fldChar w:fldCharType="separate"/>
        </w:r>
        <w:r w:rsidR="00E51B46">
          <w:rPr>
            <w:noProof/>
            <w:webHidden/>
          </w:rPr>
          <w:t>12</w:t>
        </w:r>
        <w:r w:rsidR="00E51B46">
          <w:rPr>
            <w:noProof/>
            <w:webHidden/>
          </w:rPr>
          <w:fldChar w:fldCharType="end"/>
        </w:r>
      </w:hyperlink>
    </w:p>
    <w:p w14:paraId="376CD8B6" w14:textId="6830DD9D" w:rsidR="00E51B46" w:rsidRDefault="00CE4BD7">
      <w:pPr>
        <w:pStyle w:val="TOC1"/>
        <w:rPr>
          <w:rFonts w:asciiTheme="minorHAnsi" w:eastAsiaTheme="minorEastAsia" w:hAnsiTheme="minorHAnsi" w:cstheme="minorBidi"/>
          <w:caps w:val="0"/>
          <w:noProof/>
          <w:szCs w:val="22"/>
          <w:lang w:eastAsia="en-GB"/>
        </w:rPr>
      </w:pPr>
      <w:hyperlink w:anchor="_Toc109740648" w:history="1">
        <w:r w:rsidR="00E51B46" w:rsidRPr="00BD701C">
          <w:rPr>
            <w:rStyle w:val="Hyperlink"/>
            <w:rFonts w:cs="Arial"/>
            <w:noProof/>
          </w:rPr>
          <w:t>13.</w:t>
        </w:r>
        <w:r w:rsidR="00E51B46">
          <w:rPr>
            <w:rFonts w:asciiTheme="minorHAnsi" w:eastAsiaTheme="minorEastAsia" w:hAnsiTheme="minorHAnsi" w:cstheme="minorBidi"/>
            <w:caps w:val="0"/>
            <w:noProof/>
            <w:szCs w:val="22"/>
            <w:lang w:eastAsia="en-GB"/>
          </w:rPr>
          <w:tab/>
        </w:r>
        <w:r w:rsidR="00E51B46" w:rsidRPr="00BD701C">
          <w:rPr>
            <w:rStyle w:val="Hyperlink"/>
            <w:rFonts w:cs="Arial"/>
            <w:noProof/>
          </w:rPr>
          <w:t>service levels and performance</w:t>
        </w:r>
        <w:r w:rsidR="00E51B46">
          <w:rPr>
            <w:noProof/>
            <w:webHidden/>
          </w:rPr>
          <w:tab/>
        </w:r>
        <w:r w:rsidR="00E51B46">
          <w:rPr>
            <w:noProof/>
            <w:webHidden/>
          </w:rPr>
          <w:fldChar w:fldCharType="begin"/>
        </w:r>
        <w:r w:rsidR="00E51B46">
          <w:rPr>
            <w:noProof/>
            <w:webHidden/>
          </w:rPr>
          <w:instrText xml:space="preserve"> PAGEREF _Toc109740648 \h </w:instrText>
        </w:r>
        <w:r w:rsidR="00E51B46">
          <w:rPr>
            <w:noProof/>
            <w:webHidden/>
          </w:rPr>
        </w:r>
        <w:r w:rsidR="00E51B46">
          <w:rPr>
            <w:noProof/>
            <w:webHidden/>
          </w:rPr>
          <w:fldChar w:fldCharType="separate"/>
        </w:r>
        <w:r w:rsidR="00E51B46">
          <w:rPr>
            <w:noProof/>
            <w:webHidden/>
          </w:rPr>
          <w:t>13</w:t>
        </w:r>
        <w:r w:rsidR="00E51B46">
          <w:rPr>
            <w:noProof/>
            <w:webHidden/>
          </w:rPr>
          <w:fldChar w:fldCharType="end"/>
        </w:r>
      </w:hyperlink>
    </w:p>
    <w:p w14:paraId="65C28825" w14:textId="2C918901" w:rsidR="00E51B46" w:rsidRDefault="00CE4BD7">
      <w:pPr>
        <w:pStyle w:val="TOC1"/>
        <w:rPr>
          <w:rFonts w:asciiTheme="minorHAnsi" w:eastAsiaTheme="minorEastAsia" w:hAnsiTheme="minorHAnsi" w:cstheme="minorBidi"/>
          <w:caps w:val="0"/>
          <w:noProof/>
          <w:szCs w:val="22"/>
          <w:lang w:eastAsia="en-GB"/>
        </w:rPr>
      </w:pPr>
      <w:hyperlink w:anchor="_Toc109740649" w:history="1">
        <w:r w:rsidR="00E51B46" w:rsidRPr="00BD701C">
          <w:rPr>
            <w:rStyle w:val="Hyperlink"/>
            <w:noProof/>
          </w:rPr>
          <w:t>14.</w:t>
        </w:r>
        <w:r w:rsidR="00E51B46">
          <w:rPr>
            <w:rFonts w:asciiTheme="minorHAnsi" w:eastAsiaTheme="minorEastAsia" w:hAnsiTheme="minorHAnsi" w:cstheme="minorBidi"/>
            <w:caps w:val="0"/>
            <w:noProof/>
            <w:szCs w:val="22"/>
            <w:lang w:eastAsia="en-GB"/>
          </w:rPr>
          <w:tab/>
        </w:r>
        <w:r w:rsidR="00E51B46" w:rsidRPr="00BD701C">
          <w:rPr>
            <w:rStyle w:val="Hyperlink"/>
            <w:noProof/>
          </w:rPr>
          <w:t>Security and CONFIDENTIALITY requirements</w:t>
        </w:r>
        <w:r w:rsidR="00E51B46">
          <w:rPr>
            <w:noProof/>
            <w:webHidden/>
          </w:rPr>
          <w:tab/>
        </w:r>
        <w:r w:rsidR="00E51B46">
          <w:rPr>
            <w:noProof/>
            <w:webHidden/>
          </w:rPr>
          <w:fldChar w:fldCharType="begin"/>
        </w:r>
        <w:r w:rsidR="00E51B46">
          <w:rPr>
            <w:noProof/>
            <w:webHidden/>
          </w:rPr>
          <w:instrText xml:space="preserve"> PAGEREF _Toc109740649 \h </w:instrText>
        </w:r>
        <w:r w:rsidR="00E51B46">
          <w:rPr>
            <w:noProof/>
            <w:webHidden/>
          </w:rPr>
        </w:r>
        <w:r w:rsidR="00E51B46">
          <w:rPr>
            <w:noProof/>
            <w:webHidden/>
          </w:rPr>
          <w:fldChar w:fldCharType="separate"/>
        </w:r>
        <w:r w:rsidR="00E51B46">
          <w:rPr>
            <w:noProof/>
            <w:webHidden/>
          </w:rPr>
          <w:t>13</w:t>
        </w:r>
        <w:r w:rsidR="00E51B46">
          <w:rPr>
            <w:noProof/>
            <w:webHidden/>
          </w:rPr>
          <w:fldChar w:fldCharType="end"/>
        </w:r>
      </w:hyperlink>
    </w:p>
    <w:p w14:paraId="72EDDEF6" w14:textId="6FB450A6" w:rsidR="00E51B46" w:rsidRDefault="00CE4BD7">
      <w:pPr>
        <w:pStyle w:val="TOC1"/>
        <w:rPr>
          <w:rFonts w:asciiTheme="minorHAnsi" w:eastAsiaTheme="minorEastAsia" w:hAnsiTheme="minorHAnsi" w:cstheme="minorBidi"/>
          <w:caps w:val="0"/>
          <w:noProof/>
          <w:szCs w:val="22"/>
          <w:lang w:eastAsia="en-GB"/>
        </w:rPr>
      </w:pPr>
      <w:hyperlink w:anchor="_Toc109740650" w:history="1">
        <w:r w:rsidR="00E51B46" w:rsidRPr="00BD701C">
          <w:rPr>
            <w:rStyle w:val="Hyperlink"/>
            <w:rFonts w:cs="Arial"/>
            <w:noProof/>
          </w:rPr>
          <w:t>15.</w:t>
        </w:r>
        <w:r w:rsidR="00E51B46">
          <w:rPr>
            <w:rFonts w:asciiTheme="minorHAnsi" w:eastAsiaTheme="minorEastAsia" w:hAnsiTheme="minorHAnsi" w:cstheme="minorBidi"/>
            <w:caps w:val="0"/>
            <w:noProof/>
            <w:szCs w:val="22"/>
            <w:lang w:eastAsia="en-GB"/>
          </w:rPr>
          <w:tab/>
        </w:r>
        <w:r w:rsidR="00E51B46" w:rsidRPr="00BD701C">
          <w:rPr>
            <w:rStyle w:val="Hyperlink"/>
            <w:rFonts w:cs="Arial"/>
            <w:noProof/>
          </w:rPr>
          <w:t>payment AND INVOICING</w:t>
        </w:r>
        <w:r w:rsidR="00E51B46">
          <w:rPr>
            <w:noProof/>
            <w:webHidden/>
          </w:rPr>
          <w:tab/>
        </w:r>
        <w:r w:rsidR="00E51B46">
          <w:rPr>
            <w:noProof/>
            <w:webHidden/>
          </w:rPr>
          <w:fldChar w:fldCharType="begin"/>
        </w:r>
        <w:r w:rsidR="00E51B46">
          <w:rPr>
            <w:noProof/>
            <w:webHidden/>
          </w:rPr>
          <w:instrText xml:space="preserve"> PAGEREF _Toc109740650 \h </w:instrText>
        </w:r>
        <w:r w:rsidR="00E51B46">
          <w:rPr>
            <w:noProof/>
            <w:webHidden/>
          </w:rPr>
        </w:r>
        <w:r w:rsidR="00E51B46">
          <w:rPr>
            <w:noProof/>
            <w:webHidden/>
          </w:rPr>
          <w:fldChar w:fldCharType="separate"/>
        </w:r>
        <w:r w:rsidR="00E51B46">
          <w:rPr>
            <w:noProof/>
            <w:webHidden/>
          </w:rPr>
          <w:t>13</w:t>
        </w:r>
        <w:r w:rsidR="00E51B46">
          <w:rPr>
            <w:noProof/>
            <w:webHidden/>
          </w:rPr>
          <w:fldChar w:fldCharType="end"/>
        </w:r>
      </w:hyperlink>
    </w:p>
    <w:p w14:paraId="2A8F764F" w14:textId="31B5FBFE" w:rsidR="00E51B46" w:rsidRDefault="00CE4BD7">
      <w:pPr>
        <w:pStyle w:val="TOC1"/>
        <w:rPr>
          <w:rFonts w:asciiTheme="minorHAnsi" w:eastAsiaTheme="minorEastAsia" w:hAnsiTheme="minorHAnsi" w:cstheme="minorBidi"/>
          <w:caps w:val="0"/>
          <w:noProof/>
          <w:szCs w:val="22"/>
          <w:lang w:eastAsia="en-GB"/>
        </w:rPr>
      </w:pPr>
      <w:hyperlink w:anchor="_Toc109740651" w:history="1">
        <w:r w:rsidR="00E51B46" w:rsidRPr="00BD701C">
          <w:rPr>
            <w:rStyle w:val="Hyperlink"/>
            <w:rFonts w:cs="Arial"/>
            <w:noProof/>
          </w:rPr>
          <w:t>16.</w:t>
        </w:r>
        <w:r w:rsidR="00E51B46">
          <w:rPr>
            <w:rFonts w:asciiTheme="minorHAnsi" w:eastAsiaTheme="minorEastAsia" w:hAnsiTheme="minorHAnsi" w:cstheme="minorBidi"/>
            <w:caps w:val="0"/>
            <w:noProof/>
            <w:szCs w:val="22"/>
            <w:lang w:eastAsia="en-GB"/>
          </w:rPr>
          <w:tab/>
        </w:r>
        <w:r w:rsidR="00E51B46" w:rsidRPr="00BD701C">
          <w:rPr>
            <w:rStyle w:val="Hyperlink"/>
            <w:rFonts w:cs="Arial"/>
            <w:noProof/>
          </w:rPr>
          <w:t>CONTRACT MANAGEMENT</w:t>
        </w:r>
        <w:r w:rsidR="00E51B46">
          <w:rPr>
            <w:noProof/>
            <w:webHidden/>
          </w:rPr>
          <w:tab/>
        </w:r>
        <w:r w:rsidR="00E51B46">
          <w:rPr>
            <w:noProof/>
            <w:webHidden/>
          </w:rPr>
          <w:fldChar w:fldCharType="begin"/>
        </w:r>
        <w:r w:rsidR="00E51B46">
          <w:rPr>
            <w:noProof/>
            <w:webHidden/>
          </w:rPr>
          <w:instrText xml:space="preserve"> PAGEREF _Toc109740651 \h </w:instrText>
        </w:r>
        <w:r w:rsidR="00E51B46">
          <w:rPr>
            <w:noProof/>
            <w:webHidden/>
          </w:rPr>
        </w:r>
        <w:r w:rsidR="00E51B46">
          <w:rPr>
            <w:noProof/>
            <w:webHidden/>
          </w:rPr>
          <w:fldChar w:fldCharType="separate"/>
        </w:r>
        <w:r w:rsidR="00E51B46">
          <w:rPr>
            <w:noProof/>
            <w:webHidden/>
          </w:rPr>
          <w:t>14</w:t>
        </w:r>
        <w:r w:rsidR="00E51B46">
          <w:rPr>
            <w:noProof/>
            <w:webHidden/>
          </w:rPr>
          <w:fldChar w:fldCharType="end"/>
        </w:r>
      </w:hyperlink>
    </w:p>
    <w:p w14:paraId="374B790A" w14:textId="36E793C9" w:rsidR="00FE18AC" w:rsidRPr="00D37BAC" w:rsidRDefault="00E10E97" w:rsidP="00FE18AC">
      <w:pPr>
        <w:spacing w:after="120"/>
        <w:jc w:val="center"/>
        <w:rPr>
          <w:b/>
        </w:rPr>
      </w:pPr>
      <w:r w:rsidRPr="00FA5229">
        <w:rPr>
          <w:rFonts w:cs="Arial"/>
          <w:caps/>
        </w:rPr>
        <w:fldChar w:fldCharType="end"/>
      </w:r>
    </w:p>
    <w:p w14:paraId="4DA4FDFA" w14:textId="77777777" w:rsidR="00F44D62" w:rsidRPr="00F44D62" w:rsidRDefault="00F44D62" w:rsidP="001A45DF">
      <w:pPr>
        <w:adjustRightInd w:val="0"/>
        <w:spacing w:before="60" w:after="60"/>
        <w:ind w:left="142"/>
        <w:jc w:val="center"/>
        <w:rPr>
          <w:rFonts w:eastAsia="STZhongsong" w:cs="Arial"/>
          <w:b/>
          <w:szCs w:val="22"/>
          <w:highlight w:val="yellow"/>
        </w:rPr>
      </w:pPr>
      <w:bookmarkStart w:id="2" w:name="_Toc297554772"/>
    </w:p>
    <w:p w14:paraId="656F4A80" w14:textId="0A21CC3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989F07B" w14:textId="77777777" w:rsidR="00FE18AC" w:rsidRPr="001A45DF" w:rsidRDefault="00FE18AC" w:rsidP="008F3470">
      <w:pPr>
        <w:pStyle w:val="Heading1"/>
        <w:numPr>
          <w:ilvl w:val="0"/>
          <w:numId w:val="30"/>
        </w:numPr>
        <w:tabs>
          <w:tab w:val="clear" w:pos="720"/>
        </w:tabs>
        <w:overflowPunct w:val="0"/>
        <w:autoSpaceDE w:val="0"/>
        <w:autoSpaceDN w:val="0"/>
        <w:spacing w:after="120"/>
        <w:textAlignment w:val="baseline"/>
        <w:rPr>
          <w:sz w:val="32"/>
          <w:szCs w:val="32"/>
        </w:rPr>
      </w:pPr>
      <w:bookmarkStart w:id="3" w:name="_Toc368573027"/>
      <w:bookmarkStart w:id="4" w:name="_Toc109740636"/>
      <w:r w:rsidRPr="001A45DF">
        <w:rPr>
          <w:caps w:val="0"/>
          <w:sz w:val="32"/>
          <w:szCs w:val="32"/>
        </w:rPr>
        <w:lastRenderedPageBreak/>
        <w:t>PURPOSE</w:t>
      </w:r>
      <w:bookmarkEnd w:id="2"/>
      <w:bookmarkEnd w:id="3"/>
      <w:bookmarkEnd w:id="4"/>
    </w:p>
    <w:p w14:paraId="58414945" w14:textId="77777777" w:rsidR="005B5D64" w:rsidRDefault="005B5D64" w:rsidP="005B5D64">
      <w:pPr>
        <w:pStyle w:val="Heading2"/>
        <w:numPr>
          <w:ilvl w:val="1"/>
          <w:numId w:val="34"/>
        </w:numPr>
        <w:tabs>
          <w:tab w:val="num" w:pos="720"/>
        </w:tabs>
        <w:spacing w:after="120"/>
        <w:rPr>
          <w:b/>
          <w:i/>
          <w:sz w:val="24"/>
          <w:szCs w:val="24"/>
        </w:rPr>
      </w:pPr>
      <w:bookmarkStart w:id="5" w:name="_Toc296415791"/>
      <w:r>
        <w:rPr>
          <w:sz w:val="24"/>
          <w:szCs w:val="24"/>
        </w:rPr>
        <w:t>The Authority invites quotes for a qualitative analysis of terminology relating to people’s ethnic identity. It will focus on the opinions of people from different ethnic groups exploring what is or isn’t inclusive and how to most appropriately reflect their ethnic identity. The findings will be used as part of the evidence base for the development of a number of key outputs including:</w:t>
      </w:r>
    </w:p>
    <w:p w14:paraId="5BA4B1C8" w14:textId="77777777" w:rsidR="005B5D64" w:rsidRDefault="005B5D64" w:rsidP="005B5D64">
      <w:pPr>
        <w:numPr>
          <w:ilvl w:val="2"/>
          <w:numId w:val="34"/>
        </w:numPr>
        <w:rPr>
          <w:sz w:val="24"/>
        </w:rPr>
      </w:pPr>
      <w:r>
        <w:rPr>
          <w:sz w:val="24"/>
        </w:rPr>
        <w:t>Harmonised ethnicity classifications for use by the Government Statistical Service</w:t>
      </w:r>
    </w:p>
    <w:p w14:paraId="58453E11" w14:textId="044993A9" w:rsidR="005B5D64" w:rsidRDefault="005B5D64" w:rsidP="005B5D64">
      <w:pPr>
        <w:numPr>
          <w:ilvl w:val="2"/>
          <w:numId w:val="34"/>
        </w:numPr>
        <w:rPr>
          <w:sz w:val="24"/>
        </w:rPr>
      </w:pPr>
      <w:r>
        <w:rPr>
          <w:sz w:val="24"/>
        </w:rPr>
        <w:t>Recommendations which will encourage responsible and accurate reporting on race issues</w:t>
      </w:r>
    </w:p>
    <w:p w14:paraId="736AE80A" w14:textId="77777777" w:rsidR="005B5D64" w:rsidRDefault="005B5D64" w:rsidP="005B5D64">
      <w:pPr>
        <w:pStyle w:val="Heading2"/>
        <w:numPr>
          <w:ilvl w:val="1"/>
          <w:numId w:val="34"/>
        </w:numPr>
        <w:tabs>
          <w:tab w:val="num" w:pos="720"/>
        </w:tabs>
        <w:spacing w:after="120"/>
        <w:rPr>
          <w:b/>
          <w:i/>
          <w:sz w:val="24"/>
          <w:szCs w:val="24"/>
        </w:rPr>
      </w:pPr>
      <w:bookmarkStart w:id="6" w:name="_heading=h.z4l7pze5nxvy" w:colFirst="0" w:colLast="0"/>
      <w:bookmarkEnd w:id="6"/>
      <w:r>
        <w:rPr>
          <w:sz w:val="24"/>
          <w:szCs w:val="24"/>
        </w:rPr>
        <w:t xml:space="preserve">The Supplier is expected to demonstrate value for money in their approach to this analysis, employing innovative techniques as appropriate to create efficiencies and deliver added value. </w:t>
      </w:r>
    </w:p>
    <w:p w14:paraId="6754CDFA" w14:textId="77777777" w:rsidR="005B5D64" w:rsidRDefault="005B5D64" w:rsidP="005B5D64">
      <w:pPr>
        <w:pStyle w:val="Heading2"/>
        <w:numPr>
          <w:ilvl w:val="1"/>
          <w:numId w:val="34"/>
        </w:numPr>
        <w:tabs>
          <w:tab w:val="num" w:pos="720"/>
        </w:tabs>
        <w:spacing w:after="120"/>
        <w:rPr>
          <w:b/>
          <w:i/>
          <w:sz w:val="24"/>
          <w:szCs w:val="24"/>
        </w:rPr>
      </w:pPr>
      <w:bookmarkStart w:id="7" w:name="_heading=h.h888h7hy74ax" w:colFirst="0" w:colLast="0"/>
      <w:bookmarkEnd w:id="7"/>
      <w:r>
        <w:rPr>
          <w:sz w:val="24"/>
          <w:szCs w:val="24"/>
        </w:rPr>
        <w:t>The key objectives of this commission are to:</w:t>
      </w:r>
    </w:p>
    <w:p w14:paraId="3B6EE3E3" w14:textId="77777777" w:rsidR="005B5D64" w:rsidRDefault="005B5D64" w:rsidP="005B5D64">
      <w:pPr>
        <w:numPr>
          <w:ilvl w:val="0"/>
          <w:numId w:val="35"/>
        </w:numPr>
        <w:spacing w:after="200" w:line="276" w:lineRule="auto"/>
        <w:ind w:left="1134"/>
        <w:rPr>
          <w:rFonts w:eastAsia="Arial"/>
          <w:sz w:val="24"/>
        </w:rPr>
      </w:pPr>
      <w:bookmarkStart w:id="8" w:name="_heading=h.2et92p0" w:colFirst="0" w:colLast="0"/>
      <w:bookmarkEnd w:id="8"/>
      <w:r>
        <w:rPr>
          <w:sz w:val="24"/>
        </w:rPr>
        <w:t>Develop best practice for discussing ethnicity by:</w:t>
      </w:r>
    </w:p>
    <w:p w14:paraId="28293CCE" w14:textId="77777777" w:rsidR="005B5D64" w:rsidRDefault="005B5D64" w:rsidP="005B5D64">
      <w:pPr>
        <w:numPr>
          <w:ilvl w:val="1"/>
          <w:numId w:val="35"/>
        </w:numPr>
        <w:spacing w:after="200" w:line="276" w:lineRule="auto"/>
        <w:rPr>
          <w:rFonts w:eastAsia="Arial"/>
          <w:sz w:val="24"/>
        </w:rPr>
      </w:pPr>
      <w:r>
        <w:rPr>
          <w:sz w:val="24"/>
        </w:rPr>
        <w:t>Considering how people from a range of ethnic groups and backgrounds identify, and the factors that drive this</w:t>
      </w:r>
    </w:p>
    <w:p w14:paraId="510E6D4C" w14:textId="77777777" w:rsidR="005B5D64" w:rsidRDefault="005B5D64" w:rsidP="005B5D64">
      <w:pPr>
        <w:numPr>
          <w:ilvl w:val="1"/>
          <w:numId w:val="35"/>
        </w:numPr>
        <w:spacing w:after="200" w:line="276" w:lineRule="auto"/>
        <w:rPr>
          <w:rFonts w:eastAsia="Arial"/>
          <w:sz w:val="24"/>
        </w:rPr>
      </w:pPr>
      <w:r>
        <w:rPr>
          <w:sz w:val="24"/>
        </w:rPr>
        <w:t>Seeking feedback on the existing ethnicity classification, with particular interest in colour terminology, “other” and “mixed”</w:t>
      </w:r>
    </w:p>
    <w:p w14:paraId="21AE25E6" w14:textId="77777777" w:rsidR="00D6678F" w:rsidRPr="00D6678F" w:rsidRDefault="005B5D64" w:rsidP="00D6678F">
      <w:pPr>
        <w:numPr>
          <w:ilvl w:val="1"/>
          <w:numId w:val="35"/>
        </w:numPr>
        <w:spacing w:after="200" w:line="276" w:lineRule="auto"/>
        <w:rPr>
          <w:rFonts w:eastAsia="Arial"/>
          <w:sz w:val="24"/>
        </w:rPr>
      </w:pPr>
      <w:r>
        <w:rPr>
          <w:sz w:val="24"/>
        </w:rPr>
        <w:t>Gathering steers from participants on what types of language are inclusive, neutral or stigmatising</w:t>
      </w:r>
    </w:p>
    <w:p w14:paraId="4CADDEAD" w14:textId="63FDFBB4" w:rsidR="005B5D64" w:rsidRPr="00D6678F" w:rsidRDefault="005B5D64" w:rsidP="00D6678F">
      <w:pPr>
        <w:numPr>
          <w:ilvl w:val="1"/>
          <w:numId w:val="35"/>
        </w:numPr>
        <w:spacing w:after="200" w:line="276" w:lineRule="auto"/>
        <w:rPr>
          <w:rFonts w:eastAsia="Arial"/>
          <w:sz w:val="24"/>
        </w:rPr>
      </w:pPr>
      <w:r w:rsidRPr="00D6678F">
        <w:rPr>
          <w:sz w:val="24"/>
        </w:rPr>
        <w:t>Exploring the consequences of non-inclusive or stigmatising terminology</w:t>
      </w:r>
    </w:p>
    <w:p w14:paraId="7196B137" w14:textId="77777777" w:rsidR="00671798" w:rsidRPr="001A45DF" w:rsidRDefault="00FE18AC">
      <w:pPr>
        <w:pStyle w:val="Heading1"/>
        <w:tabs>
          <w:tab w:val="clear" w:pos="720"/>
        </w:tabs>
        <w:overflowPunct w:val="0"/>
        <w:autoSpaceDE w:val="0"/>
        <w:autoSpaceDN w:val="0"/>
        <w:spacing w:after="120"/>
        <w:textAlignment w:val="baseline"/>
        <w:rPr>
          <w:sz w:val="32"/>
          <w:szCs w:val="32"/>
        </w:rPr>
      </w:pPr>
      <w:bookmarkStart w:id="9" w:name="_Toc368573028"/>
      <w:bookmarkStart w:id="10" w:name="_Toc109740637"/>
      <w:bookmarkStart w:id="11" w:name="_Toc297554773"/>
      <w:bookmarkStart w:id="12" w:name="_Toc296415805"/>
      <w:bookmarkEnd w:id="5"/>
      <w:r w:rsidRPr="001A45DF">
        <w:rPr>
          <w:sz w:val="32"/>
          <w:szCs w:val="32"/>
        </w:rPr>
        <w:t>BACKGROUND TO THE CONTRACTING aUTHORITY</w:t>
      </w:r>
      <w:bookmarkEnd w:id="9"/>
      <w:bookmarkEnd w:id="10"/>
    </w:p>
    <w:p w14:paraId="7722F011" w14:textId="0229569D" w:rsidR="005B5D64" w:rsidRDefault="005B5D64" w:rsidP="005B5D64">
      <w:pPr>
        <w:pStyle w:val="Heading2"/>
        <w:spacing w:after="120"/>
        <w:ind w:left="709" w:hanging="709"/>
        <w:rPr>
          <w:sz w:val="24"/>
          <w:szCs w:val="24"/>
        </w:rPr>
      </w:pPr>
      <w:r w:rsidRPr="005B5D64">
        <w:rPr>
          <w:sz w:val="24"/>
          <w:szCs w:val="24"/>
        </w:rPr>
        <w:t>The Cabinet Office sits at the centre of government, supporting the Prime Minister and the Cabinet, to ensure effective development, coordination and implementation of policy and operations across all government departments. A key responsibility is to take forward the Government’s commitment to building a stronger civil society – one in which people are supported to come together and improve their own lives.</w:t>
      </w:r>
      <w:bookmarkStart w:id="13" w:name="_heading=h.wnf8tmrbl1lf" w:colFirst="0" w:colLast="0"/>
      <w:bookmarkEnd w:id="13"/>
    </w:p>
    <w:p w14:paraId="70AD2A66" w14:textId="77777777" w:rsidR="005B5D64" w:rsidRDefault="005B5D64" w:rsidP="005B5D64">
      <w:pPr>
        <w:pStyle w:val="Heading2"/>
        <w:spacing w:after="120"/>
        <w:ind w:left="709" w:hanging="709"/>
        <w:rPr>
          <w:sz w:val="24"/>
          <w:szCs w:val="24"/>
        </w:rPr>
      </w:pPr>
      <w:r w:rsidRPr="005B5D64">
        <w:rPr>
          <w:sz w:val="24"/>
          <w:szCs w:val="24"/>
        </w:rPr>
        <w:t>As part of the Cabinet Office Equality Hub, the Race Disparity Unit (RDU) collects, analyses and publishes government data on the experiences of people from different ethnic backgrounds. Topics include crime, education, health and population. All data is analysed by ethnicity, often combined with other factors like age, geography and gender. We use this data to help government departments develop and monitor policies to reduce disparities.</w:t>
      </w:r>
    </w:p>
    <w:p w14:paraId="46C1426C" w14:textId="77777777" w:rsidR="005B5D64" w:rsidRPr="005B5D64" w:rsidRDefault="005B5D64" w:rsidP="005B5D64">
      <w:pPr>
        <w:pStyle w:val="Heading2"/>
        <w:spacing w:after="120"/>
        <w:ind w:left="709" w:hanging="709"/>
        <w:rPr>
          <w:sz w:val="24"/>
          <w:szCs w:val="24"/>
        </w:rPr>
      </w:pPr>
      <w:r w:rsidRPr="005B5D64">
        <w:rPr>
          <w:sz w:val="24"/>
        </w:rPr>
        <w:lastRenderedPageBreak/>
        <w:t>The RDU is inviting quotes for qualitative research as part of a collaboration with the Office for National Statistics (ONS), who will jointly design, manage and own the finished research project.</w:t>
      </w:r>
    </w:p>
    <w:p w14:paraId="14F476F3" w14:textId="715C6D75" w:rsidR="005B5D64" w:rsidRPr="005B5D64" w:rsidRDefault="005B5D64" w:rsidP="005B5D64">
      <w:pPr>
        <w:pStyle w:val="Heading2"/>
        <w:spacing w:after="120"/>
        <w:ind w:left="709" w:hanging="709"/>
        <w:rPr>
          <w:sz w:val="24"/>
          <w:szCs w:val="24"/>
        </w:rPr>
      </w:pPr>
      <w:r w:rsidRPr="005B5D64">
        <w:rPr>
          <w:sz w:val="24"/>
        </w:rPr>
        <w:t>The Office for National Statistics (ONS) is the UK’s largest independent producer of official statistics and the recognised national statistical institute. ONS manage the harmonisation of data classifications and are currently reviewing the ethnicity harmonised data standard.</w:t>
      </w:r>
    </w:p>
    <w:p w14:paraId="151A9D23" w14:textId="77777777" w:rsidR="00FE18AC" w:rsidRPr="001A45DF" w:rsidRDefault="00FE18AC" w:rsidP="008F3470">
      <w:pPr>
        <w:pStyle w:val="Heading1"/>
        <w:tabs>
          <w:tab w:val="clear" w:pos="720"/>
        </w:tabs>
        <w:overflowPunct w:val="0"/>
        <w:autoSpaceDE w:val="0"/>
        <w:autoSpaceDN w:val="0"/>
        <w:spacing w:after="120"/>
        <w:textAlignment w:val="baseline"/>
        <w:rPr>
          <w:sz w:val="32"/>
          <w:szCs w:val="32"/>
        </w:rPr>
      </w:pPr>
      <w:bookmarkStart w:id="14" w:name="_Toc368573029"/>
      <w:bookmarkStart w:id="15" w:name="_Toc109740638"/>
      <w:r w:rsidRPr="001A45DF">
        <w:rPr>
          <w:sz w:val="32"/>
          <w:szCs w:val="32"/>
        </w:rPr>
        <w:t>Background to requirement/OVERVIEW</w:t>
      </w:r>
      <w:bookmarkEnd w:id="11"/>
      <w:r w:rsidRPr="001A45DF">
        <w:rPr>
          <w:sz w:val="32"/>
          <w:szCs w:val="32"/>
        </w:rPr>
        <w:t xml:space="preserve"> of requirement</w:t>
      </w:r>
      <w:bookmarkEnd w:id="14"/>
      <w:bookmarkEnd w:id="15"/>
    </w:p>
    <w:p w14:paraId="50E7608B" w14:textId="792787D5" w:rsidR="005B5D64" w:rsidRDefault="0027506C" w:rsidP="005B5D64">
      <w:pPr>
        <w:pStyle w:val="Heading2"/>
        <w:spacing w:after="120"/>
        <w:ind w:left="709" w:hanging="709"/>
        <w:rPr>
          <w:sz w:val="24"/>
          <w:szCs w:val="24"/>
        </w:rPr>
      </w:pPr>
      <w:bookmarkStart w:id="16" w:name="_Toc297554774"/>
      <w:bookmarkStart w:id="17" w:name="_Toc368573030"/>
      <w:bookmarkEnd w:id="12"/>
      <w:r>
        <w:rPr>
          <w:sz w:val="24"/>
        </w:rPr>
        <w:t>I</w:t>
      </w:r>
      <w:r w:rsidR="005B5D64" w:rsidRPr="005B5D64">
        <w:rPr>
          <w:sz w:val="24"/>
        </w:rPr>
        <w:t xml:space="preserve">n March 2022, the Minister of State for Equalities, Kemi Badenoch, published Inclusive Britain, the government’s response to the independent Commission on Race and Ethnic Disparities. The Inclusive Britain report included a range of actions to be taken forward by the Race Disparity Unit (RDU). </w:t>
      </w:r>
      <w:bookmarkStart w:id="18" w:name="_heading=h.5lj6tb7lf7gv" w:colFirst="0" w:colLast="0"/>
      <w:bookmarkEnd w:id="18"/>
    </w:p>
    <w:p w14:paraId="6D0E7DA0" w14:textId="77777777" w:rsidR="005B5D64" w:rsidRDefault="005B5D64" w:rsidP="005B5D64">
      <w:pPr>
        <w:pStyle w:val="Heading2"/>
        <w:spacing w:after="120"/>
        <w:ind w:left="709" w:hanging="709"/>
        <w:rPr>
          <w:sz w:val="24"/>
          <w:szCs w:val="24"/>
        </w:rPr>
      </w:pPr>
      <w:r w:rsidRPr="005B5D64">
        <w:rPr>
          <w:sz w:val="24"/>
          <w:szCs w:val="24"/>
        </w:rPr>
        <w:t xml:space="preserve">In action 7, the Minister of State for Equalities has requested that the RDU engage with people from different ethnic groups to better understand the language and terminology that they identify with. Alongside a review of ethnicity terminology used in the media and other public materials, this work will help to develop recommendations encouraging responsible and accurate reporting on race and ethnicity issues; with a deadline of June 2023 for the recommendations. </w:t>
      </w:r>
    </w:p>
    <w:p w14:paraId="7E8BFC95" w14:textId="5FF6552A" w:rsidR="005B5D64" w:rsidRPr="005B5D64" w:rsidRDefault="005B5D64" w:rsidP="005B5D64">
      <w:pPr>
        <w:pStyle w:val="Heading2"/>
        <w:numPr>
          <w:ilvl w:val="0"/>
          <w:numId w:val="0"/>
        </w:numPr>
        <w:spacing w:after="120"/>
        <w:ind w:left="709"/>
        <w:rPr>
          <w:sz w:val="24"/>
          <w:szCs w:val="24"/>
        </w:rPr>
      </w:pPr>
      <w:r w:rsidRPr="005B5D64">
        <w:rPr>
          <w:sz w:val="28"/>
          <w:szCs w:val="28"/>
          <w:u w:val="single"/>
        </w:rPr>
        <w:t>Background evidence</w:t>
      </w:r>
      <w:bookmarkStart w:id="19" w:name="_heading=h.46ofkoqty61b" w:colFirst="0" w:colLast="0"/>
      <w:bookmarkEnd w:id="19"/>
    </w:p>
    <w:p w14:paraId="14341740" w14:textId="77777777" w:rsidR="005B5D64" w:rsidRDefault="005B5D64" w:rsidP="005B5D64">
      <w:pPr>
        <w:pStyle w:val="Heading2"/>
        <w:spacing w:after="120"/>
        <w:ind w:left="709" w:hanging="709"/>
        <w:rPr>
          <w:sz w:val="24"/>
          <w:szCs w:val="24"/>
        </w:rPr>
      </w:pPr>
      <w:r w:rsidRPr="005B5D64">
        <w:rPr>
          <w:sz w:val="24"/>
          <w:szCs w:val="24"/>
        </w:rPr>
        <w:t>RDU commissioned an in-depth ethnographic research project from Policy Lab in autumn 2020 in order to understand how the Covid-19 pandemic was impacting the everyday lives of people from ethnic minorities</w:t>
      </w:r>
      <w:r>
        <w:rPr>
          <w:sz w:val="24"/>
          <w:szCs w:val="24"/>
          <w:vertAlign w:val="superscript"/>
        </w:rPr>
        <w:footnoteReference w:id="2"/>
      </w:r>
      <w:r w:rsidRPr="005B5D64">
        <w:rPr>
          <w:sz w:val="24"/>
          <w:szCs w:val="24"/>
        </w:rPr>
        <w:t xml:space="preserve">. One of the key themes related to identity. Participants spoke about identity in various ways including their racial or ethnic identity, and how their sense of identity shifted throughout their everyday lives, with aspects becoming more or less important in different moments or interactions. In particular, participants felt that the label BAME (an acronym for black, Asian and minority ethnic), which was used often in the media and in early government messaging, oversimplified their experiences and created the impression of a homogeneous group that did not reflect </w:t>
      </w:r>
      <w:proofErr w:type="gramStart"/>
      <w:r w:rsidRPr="005B5D64">
        <w:rPr>
          <w:sz w:val="24"/>
          <w:szCs w:val="24"/>
        </w:rPr>
        <w:t>participants’</w:t>
      </w:r>
      <w:proofErr w:type="gramEnd"/>
      <w:r w:rsidRPr="005B5D64">
        <w:rPr>
          <w:sz w:val="24"/>
          <w:szCs w:val="24"/>
        </w:rPr>
        <w:t xml:space="preserve"> nuanced and fluid identities.</w:t>
      </w:r>
    </w:p>
    <w:p w14:paraId="392012B0" w14:textId="77777777" w:rsidR="005B5D64" w:rsidRPr="005B5D64" w:rsidRDefault="005B5D64" w:rsidP="005B5D64">
      <w:pPr>
        <w:pStyle w:val="Heading2"/>
        <w:spacing w:after="120"/>
        <w:ind w:left="709" w:hanging="709"/>
        <w:rPr>
          <w:sz w:val="24"/>
          <w:szCs w:val="24"/>
        </w:rPr>
      </w:pPr>
      <w:r w:rsidRPr="005B5D64">
        <w:rPr>
          <w:sz w:val="24"/>
        </w:rPr>
        <w:t xml:space="preserve">Similarly, the mixed methods Perceptions of the Pandemic research found that while 47% of respondents from the Indian ethnic group rated the communication around health risks </w:t>
      </w:r>
      <w:r w:rsidRPr="005B5D64">
        <w:rPr>
          <w:sz w:val="24"/>
          <w:u w:val="single"/>
        </w:rPr>
        <w:t>specific to their ethnic group</w:t>
      </w:r>
      <w:r w:rsidRPr="005B5D64">
        <w:rPr>
          <w:sz w:val="24"/>
        </w:rPr>
        <w:t xml:space="preserve"> and the reasons for those risks as very or quite good, 33% of respondents from the Black Caribbean group rated this communication as quite poor or terrible</w:t>
      </w:r>
      <w:r>
        <w:rPr>
          <w:vertAlign w:val="superscript"/>
        </w:rPr>
        <w:footnoteReference w:id="3"/>
      </w:r>
      <w:r w:rsidRPr="005B5D64">
        <w:rPr>
          <w:sz w:val="24"/>
        </w:rPr>
        <w:t xml:space="preserve">. These differences between how communications were rated clearly illustrate the need to recognise ethnic </w:t>
      </w:r>
      <w:r w:rsidRPr="005B5D64">
        <w:rPr>
          <w:sz w:val="24"/>
        </w:rPr>
        <w:lastRenderedPageBreak/>
        <w:t>group diversity and not use umbrella terms such as BAME. The research found that the term BAME was considered unhelpful with between 38% of respondents (Black African and Chinese ethnic groups) and 59% of respondents (Bangladeshi ethnic group) agreeing with this statement.</w:t>
      </w:r>
    </w:p>
    <w:p w14:paraId="68557343" w14:textId="77777777" w:rsidR="005B5D64" w:rsidRPr="005B5D64" w:rsidRDefault="005B5D64" w:rsidP="005B5D64">
      <w:pPr>
        <w:pStyle w:val="Heading2"/>
        <w:spacing w:after="120"/>
        <w:ind w:left="709" w:hanging="709"/>
        <w:rPr>
          <w:sz w:val="24"/>
          <w:szCs w:val="24"/>
        </w:rPr>
      </w:pPr>
      <w:r w:rsidRPr="005B5D64">
        <w:rPr>
          <w:sz w:val="24"/>
        </w:rPr>
        <w:t>Research on ethnicity classifications and terminology was conducted by Kantar in the lead up to the 2021 England and Wales Census. This included a series of focus groups exploring the use of colour terminology</w:t>
      </w:r>
      <w:r>
        <w:rPr>
          <w:vertAlign w:val="superscript"/>
        </w:rPr>
        <w:footnoteReference w:id="4"/>
      </w:r>
      <w:r w:rsidRPr="005B5D64">
        <w:rPr>
          <w:sz w:val="24"/>
        </w:rPr>
        <w:t xml:space="preserve">. The research found that there was a complex relationship between ethnic identity and colour terminology. Some participants felt that the removal of colour could create new categories of identification which they were not used to, or no longer identified with – which in some cases could jar with their sense of identity – whereas other participants found categories easier to identify with. </w:t>
      </w:r>
    </w:p>
    <w:p w14:paraId="007DEACD" w14:textId="77777777" w:rsidR="005B5D64" w:rsidRPr="005B5D64" w:rsidRDefault="005B5D64" w:rsidP="005B5D64">
      <w:pPr>
        <w:pStyle w:val="Heading2"/>
        <w:spacing w:after="120"/>
        <w:ind w:left="709" w:hanging="709"/>
        <w:rPr>
          <w:sz w:val="24"/>
          <w:szCs w:val="24"/>
        </w:rPr>
      </w:pPr>
      <w:r w:rsidRPr="005B5D64">
        <w:rPr>
          <w:sz w:val="24"/>
        </w:rPr>
        <w:t>As well as understanding the importance of colour terminology, we seek to understand the interplay of colour, nationality and religion in the establishment of a person’s ethnic identity. This will help the development of more nuanced and inclusive categories and recommendations.</w:t>
      </w:r>
    </w:p>
    <w:p w14:paraId="33F721B5" w14:textId="77777777" w:rsidR="005B5D64" w:rsidRPr="005B5D64" w:rsidRDefault="005B5D64" w:rsidP="005B5D64">
      <w:pPr>
        <w:pStyle w:val="Heading2"/>
        <w:spacing w:after="120"/>
        <w:ind w:left="709" w:hanging="709"/>
        <w:rPr>
          <w:sz w:val="24"/>
          <w:szCs w:val="24"/>
        </w:rPr>
      </w:pPr>
      <w:r w:rsidRPr="005B5D64">
        <w:rPr>
          <w:sz w:val="24"/>
        </w:rPr>
        <w:t xml:space="preserve">The Inclusive Data Taskforce, an independent taskforce established by the National Statistician in 2020, recommended that the Government Statistical Service review the harmonised standard and guidance for ethnicity, engaging with stakeholders, data experts, users and people with lived experience to ensure that harmonised standards are as inclusive as possible. </w:t>
      </w:r>
    </w:p>
    <w:p w14:paraId="7F85EF86" w14:textId="5042F67E" w:rsidR="005B5D64" w:rsidRDefault="005B5D64" w:rsidP="005B5D64">
      <w:pPr>
        <w:pStyle w:val="Heading2"/>
        <w:numPr>
          <w:ilvl w:val="0"/>
          <w:numId w:val="0"/>
        </w:numPr>
        <w:spacing w:after="120"/>
        <w:ind w:left="709"/>
        <w:rPr>
          <w:sz w:val="24"/>
          <w:szCs w:val="24"/>
        </w:rPr>
      </w:pPr>
      <w:r w:rsidRPr="005B5D64">
        <w:rPr>
          <w:sz w:val="28"/>
          <w:szCs w:val="28"/>
          <w:u w:val="single"/>
        </w:rPr>
        <w:t>Commission on Race and Ethnic Disparities</w:t>
      </w:r>
      <w:bookmarkStart w:id="20" w:name="_heading=h.yt8mmck45qjq" w:colFirst="0" w:colLast="0"/>
      <w:bookmarkEnd w:id="20"/>
    </w:p>
    <w:p w14:paraId="661FB53C" w14:textId="77777777" w:rsidR="0027506C" w:rsidRDefault="005B5D64" w:rsidP="0027506C">
      <w:pPr>
        <w:pStyle w:val="Heading2"/>
        <w:spacing w:after="120"/>
        <w:ind w:left="709" w:hanging="709"/>
        <w:rPr>
          <w:sz w:val="24"/>
          <w:szCs w:val="24"/>
        </w:rPr>
      </w:pPr>
      <w:r w:rsidRPr="005B5D64">
        <w:rPr>
          <w:sz w:val="24"/>
          <w:szCs w:val="24"/>
        </w:rPr>
        <w:t xml:space="preserve">The Commission recommended to stop using the word ‘BAME’, which has now been adopted in government guidance on </w:t>
      </w:r>
      <w:hyperlink r:id="rId9">
        <w:r w:rsidRPr="005B5D64">
          <w:rPr>
            <w:color w:val="1155CC"/>
            <w:sz w:val="24"/>
            <w:szCs w:val="24"/>
            <w:u w:val="single"/>
          </w:rPr>
          <w:t>writing about ethnicity</w:t>
        </w:r>
      </w:hyperlink>
      <w:r w:rsidRPr="005B5D64">
        <w:rPr>
          <w:sz w:val="24"/>
          <w:szCs w:val="24"/>
        </w:rPr>
        <w:t>. This recommendation was made to avoid unhelpfully aggregating groups of people and overlooking factors that shape people’s lives beyond “not being white”. ‘BAME’ also masks white minority groups such as Gypsies, Roma and Irish Travellers, and Eastern European migrants.</w:t>
      </w:r>
    </w:p>
    <w:p w14:paraId="1E2E5925" w14:textId="77777777" w:rsidR="0027506C" w:rsidRPr="0027506C" w:rsidRDefault="005B5D64" w:rsidP="0027506C">
      <w:pPr>
        <w:pStyle w:val="Heading2"/>
        <w:spacing w:after="120"/>
        <w:ind w:left="709" w:hanging="709"/>
        <w:rPr>
          <w:sz w:val="24"/>
          <w:szCs w:val="24"/>
        </w:rPr>
      </w:pPr>
      <w:r w:rsidRPr="0027506C">
        <w:rPr>
          <w:sz w:val="24"/>
        </w:rPr>
        <w:t xml:space="preserve">In the response to the Commission, the government published an intention to improve the way we discuss race, in order to foster social cohesion and remove stigmatisation, deliberate or otherwise, of any ethnic group. </w:t>
      </w:r>
    </w:p>
    <w:p w14:paraId="557B54BE" w14:textId="747095C3" w:rsidR="0027506C" w:rsidRPr="0027506C" w:rsidRDefault="005B5D64" w:rsidP="0027506C">
      <w:pPr>
        <w:pStyle w:val="Heading2"/>
        <w:spacing w:after="120"/>
        <w:ind w:left="709" w:hanging="709"/>
        <w:rPr>
          <w:sz w:val="24"/>
          <w:szCs w:val="24"/>
        </w:rPr>
      </w:pPr>
      <w:r w:rsidRPr="0027506C">
        <w:rPr>
          <w:sz w:val="24"/>
          <w:szCs w:val="24"/>
        </w:rPr>
        <w:t xml:space="preserve">There is sustained evidence that the language used has a significant impact in shaping behaviour; </w:t>
      </w:r>
      <w:proofErr w:type="gramStart"/>
      <w:r w:rsidRPr="0027506C">
        <w:rPr>
          <w:sz w:val="24"/>
          <w:szCs w:val="24"/>
        </w:rPr>
        <w:t>consequently</w:t>
      </w:r>
      <w:proofErr w:type="gramEnd"/>
      <w:r w:rsidRPr="0027506C">
        <w:rPr>
          <w:sz w:val="24"/>
          <w:szCs w:val="24"/>
        </w:rPr>
        <w:t xml:space="preserve"> reporting on news and issues around ethnic minorities needs to be done, sensitively, accurately and responsibly in order to maintain trust of communities, as well as the rest of civil society and public institutions. </w:t>
      </w:r>
    </w:p>
    <w:p w14:paraId="081CFAE7" w14:textId="6978AC6A" w:rsidR="00C4233A" w:rsidRPr="001A45DF" w:rsidRDefault="00106F24" w:rsidP="005B5D64">
      <w:pPr>
        <w:pStyle w:val="Heading1"/>
        <w:tabs>
          <w:tab w:val="clear" w:pos="720"/>
        </w:tabs>
        <w:overflowPunct w:val="0"/>
        <w:autoSpaceDE w:val="0"/>
        <w:autoSpaceDN w:val="0"/>
        <w:spacing w:after="120"/>
        <w:textAlignment w:val="baseline"/>
        <w:rPr>
          <w:sz w:val="32"/>
          <w:szCs w:val="32"/>
        </w:rPr>
      </w:pPr>
      <w:bookmarkStart w:id="21" w:name="_Toc109740639"/>
      <w:r w:rsidRPr="001A45DF">
        <w:rPr>
          <w:sz w:val="32"/>
          <w:szCs w:val="32"/>
        </w:rPr>
        <w:t>definitions</w:t>
      </w:r>
      <w:bookmarkEnd w:id="21"/>
      <w:r w:rsidRPr="001A45DF">
        <w:rPr>
          <w:sz w:val="32"/>
          <w:szCs w:val="32"/>
        </w:rPr>
        <w:t xml:space="preserve"> </w:t>
      </w:r>
    </w:p>
    <w:tbl>
      <w:tblPr>
        <w:tblStyle w:val="TableGrid"/>
        <w:tblW w:w="0" w:type="auto"/>
        <w:tblInd w:w="720" w:type="dxa"/>
        <w:tblLook w:val="04A0" w:firstRow="1" w:lastRow="0" w:firstColumn="1" w:lastColumn="0" w:noHBand="0" w:noVBand="1"/>
      </w:tblPr>
      <w:tblGrid>
        <w:gridCol w:w="2035"/>
        <w:gridCol w:w="6264"/>
      </w:tblGrid>
      <w:tr w:rsidR="00106F24" w14:paraId="553CCD95" w14:textId="77777777" w:rsidTr="00082732">
        <w:tc>
          <w:tcPr>
            <w:tcW w:w="2057" w:type="dxa"/>
            <w:shd w:val="clear" w:color="auto" w:fill="B8CCE4" w:themeFill="accent1" w:themeFillTint="66"/>
          </w:tcPr>
          <w:p w14:paraId="2E04E555" w14:textId="1E410DA5" w:rsidR="00106F24" w:rsidRPr="001A45DF" w:rsidRDefault="00106F24" w:rsidP="0081061A">
            <w:pPr>
              <w:pStyle w:val="Heading2"/>
              <w:numPr>
                <w:ilvl w:val="0"/>
                <w:numId w:val="0"/>
              </w:numPr>
              <w:spacing w:after="120"/>
              <w:ind w:left="18" w:hanging="18"/>
              <w:jc w:val="left"/>
              <w:outlineLvl w:val="1"/>
              <w:rPr>
                <w:b/>
                <w:sz w:val="24"/>
                <w:szCs w:val="24"/>
                <w:highlight w:val="yellow"/>
              </w:rPr>
            </w:pPr>
            <w:r w:rsidRPr="001A45DF">
              <w:rPr>
                <w:b/>
                <w:sz w:val="24"/>
                <w:szCs w:val="24"/>
              </w:rPr>
              <w:t>Expression</w:t>
            </w:r>
            <w:r w:rsidR="0081061A" w:rsidRPr="001A45DF">
              <w:rPr>
                <w:b/>
                <w:sz w:val="24"/>
                <w:szCs w:val="24"/>
              </w:rPr>
              <w:t xml:space="preserve"> or </w:t>
            </w:r>
            <w:r w:rsidRPr="001A45DF">
              <w:rPr>
                <w:b/>
                <w:sz w:val="24"/>
                <w:szCs w:val="24"/>
              </w:rPr>
              <w:t>Acronym</w:t>
            </w:r>
          </w:p>
        </w:tc>
        <w:tc>
          <w:tcPr>
            <w:tcW w:w="6242" w:type="dxa"/>
            <w:shd w:val="clear" w:color="auto" w:fill="B8CCE4" w:themeFill="accent1" w:themeFillTint="66"/>
          </w:tcPr>
          <w:p w14:paraId="0CDEAA6D" w14:textId="00739683" w:rsidR="00106F24" w:rsidRPr="001A45DF" w:rsidRDefault="00106F24" w:rsidP="0081061A">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106F24" w14:paraId="722819D3" w14:textId="77777777" w:rsidTr="00B76BB3">
        <w:tc>
          <w:tcPr>
            <w:tcW w:w="2057" w:type="dxa"/>
          </w:tcPr>
          <w:p w14:paraId="18A7B53F" w14:textId="0B51A278" w:rsidR="00106F24" w:rsidRPr="00C754EB" w:rsidRDefault="00A53C36" w:rsidP="0081061A">
            <w:pPr>
              <w:pStyle w:val="Heading2"/>
              <w:numPr>
                <w:ilvl w:val="0"/>
                <w:numId w:val="0"/>
              </w:numPr>
              <w:spacing w:after="120"/>
              <w:ind w:left="720" w:hanging="720"/>
              <w:outlineLvl w:val="1"/>
              <w:rPr>
                <w:sz w:val="24"/>
                <w:szCs w:val="24"/>
              </w:rPr>
            </w:pPr>
            <w:r w:rsidRPr="00AC7C8D">
              <w:rPr>
                <w:sz w:val="24"/>
                <w:szCs w:val="24"/>
              </w:rPr>
              <w:lastRenderedPageBreak/>
              <w:t>RDU</w:t>
            </w:r>
          </w:p>
        </w:tc>
        <w:tc>
          <w:tcPr>
            <w:tcW w:w="6242" w:type="dxa"/>
          </w:tcPr>
          <w:p w14:paraId="74E0E117" w14:textId="176E48A7" w:rsidR="00106F24" w:rsidRPr="00C754EB" w:rsidRDefault="00A53C36" w:rsidP="00E24EE7">
            <w:pPr>
              <w:pStyle w:val="Heading2"/>
              <w:numPr>
                <w:ilvl w:val="0"/>
                <w:numId w:val="0"/>
              </w:numPr>
              <w:spacing w:after="120"/>
              <w:outlineLvl w:val="1"/>
              <w:rPr>
                <w:sz w:val="24"/>
                <w:szCs w:val="24"/>
              </w:rPr>
            </w:pPr>
            <w:r w:rsidRPr="00C754EB">
              <w:rPr>
                <w:sz w:val="24"/>
                <w:szCs w:val="24"/>
              </w:rPr>
              <w:t>Race Disparity Unit, part of the Cabinet Office Equality Hub</w:t>
            </w:r>
          </w:p>
        </w:tc>
      </w:tr>
      <w:tr w:rsidR="00082732" w14:paraId="7C71AE7F" w14:textId="77777777" w:rsidTr="00106F24">
        <w:tc>
          <w:tcPr>
            <w:tcW w:w="1827" w:type="dxa"/>
          </w:tcPr>
          <w:p w14:paraId="0904CB47" w14:textId="79D59BC5" w:rsidR="00082732" w:rsidRPr="00AC7C8D" w:rsidRDefault="00A53C36" w:rsidP="00082732">
            <w:pPr>
              <w:pStyle w:val="Heading2"/>
              <w:numPr>
                <w:ilvl w:val="0"/>
                <w:numId w:val="0"/>
              </w:numPr>
              <w:spacing w:after="120"/>
              <w:ind w:left="720" w:hanging="720"/>
              <w:outlineLvl w:val="1"/>
              <w:rPr>
                <w:sz w:val="24"/>
                <w:szCs w:val="24"/>
              </w:rPr>
            </w:pPr>
            <w:r w:rsidRPr="00AC7C8D">
              <w:rPr>
                <w:sz w:val="24"/>
                <w:szCs w:val="24"/>
              </w:rPr>
              <w:t>ONS</w:t>
            </w:r>
          </w:p>
        </w:tc>
        <w:tc>
          <w:tcPr>
            <w:tcW w:w="6472" w:type="dxa"/>
          </w:tcPr>
          <w:p w14:paraId="17F711C7" w14:textId="705A49B4" w:rsidR="00082732" w:rsidRPr="00C754EB" w:rsidRDefault="00A53C36" w:rsidP="00082732">
            <w:pPr>
              <w:pStyle w:val="Heading2"/>
              <w:numPr>
                <w:ilvl w:val="0"/>
                <w:numId w:val="0"/>
              </w:numPr>
              <w:spacing w:after="120"/>
              <w:outlineLvl w:val="1"/>
              <w:rPr>
                <w:sz w:val="24"/>
                <w:szCs w:val="24"/>
              </w:rPr>
            </w:pPr>
            <w:r w:rsidRPr="00C754EB">
              <w:rPr>
                <w:sz w:val="24"/>
                <w:szCs w:val="24"/>
              </w:rPr>
              <w:t>Office for National Statistics</w:t>
            </w:r>
          </w:p>
        </w:tc>
      </w:tr>
      <w:tr w:rsidR="00106F24" w14:paraId="03344AB3" w14:textId="77777777" w:rsidTr="00082732">
        <w:tc>
          <w:tcPr>
            <w:tcW w:w="2057" w:type="dxa"/>
          </w:tcPr>
          <w:p w14:paraId="0F046C88" w14:textId="76BC043D" w:rsidR="00106F24" w:rsidRPr="00C754EB" w:rsidRDefault="00A53C36" w:rsidP="0081061A">
            <w:pPr>
              <w:pStyle w:val="Heading2"/>
              <w:numPr>
                <w:ilvl w:val="0"/>
                <w:numId w:val="0"/>
              </w:numPr>
              <w:spacing w:after="120"/>
              <w:ind w:left="720" w:hanging="720"/>
              <w:outlineLvl w:val="1"/>
              <w:rPr>
                <w:sz w:val="24"/>
                <w:szCs w:val="24"/>
              </w:rPr>
            </w:pPr>
            <w:r w:rsidRPr="00AC7C8D">
              <w:rPr>
                <w:sz w:val="24"/>
                <w:szCs w:val="24"/>
              </w:rPr>
              <w:t>BAME</w:t>
            </w:r>
          </w:p>
        </w:tc>
        <w:tc>
          <w:tcPr>
            <w:tcW w:w="6242" w:type="dxa"/>
          </w:tcPr>
          <w:p w14:paraId="37C45D19" w14:textId="006586E2" w:rsidR="00106F24" w:rsidRPr="00C754EB" w:rsidRDefault="00A53C36" w:rsidP="00E24EE7">
            <w:pPr>
              <w:pStyle w:val="Heading2"/>
              <w:numPr>
                <w:ilvl w:val="0"/>
                <w:numId w:val="0"/>
              </w:numPr>
              <w:spacing w:after="120"/>
              <w:outlineLvl w:val="1"/>
              <w:rPr>
                <w:sz w:val="24"/>
                <w:szCs w:val="24"/>
              </w:rPr>
            </w:pPr>
            <w:r w:rsidRPr="00C754EB">
              <w:rPr>
                <w:sz w:val="24"/>
                <w:szCs w:val="24"/>
              </w:rPr>
              <w:t>Black, Asian and minority ethnic people</w:t>
            </w:r>
          </w:p>
        </w:tc>
      </w:tr>
    </w:tbl>
    <w:p w14:paraId="0DAF43A5" w14:textId="77777777" w:rsidR="00671798" w:rsidRPr="001A45DF" w:rsidRDefault="00FE18AC" w:rsidP="00106F24">
      <w:pPr>
        <w:pStyle w:val="Heading1"/>
        <w:tabs>
          <w:tab w:val="clear" w:pos="720"/>
        </w:tabs>
        <w:overflowPunct w:val="0"/>
        <w:autoSpaceDE w:val="0"/>
        <w:autoSpaceDN w:val="0"/>
        <w:spacing w:before="240" w:after="120"/>
        <w:textAlignment w:val="baseline"/>
        <w:rPr>
          <w:sz w:val="32"/>
          <w:szCs w:val="32"/>
        </w:rPr>
      </w:pPr>
      <w:bookmarkStart w:id="22" w:name="_Toc109740640"/>
      <w:r w:rsidRPr="001A45DF">
        <w:rPr>
          <w:sz w:val="32"/>
          <w:szCs w:val="32"/>
        </w:rPr>
        <w:t>scope of requirement</w:t>
      </w:r>
      <w:bookmarkStart w:id="23" w:name="_Toc296415793"/>
      <w:bookmarkEnd w:id="16"/>
      <w:bookmarkEnd w:id="17"/>
      <w:bookmarkEnd w:id="22"/>
      <w:r w:rsidRPr="001A45DF">
        <w:rPr>
          <w:sz w:val="32"/>
          <w:szCs w:val="32"/>
        </w:rPr>
        <w:t xml:space="preserve"> </w:t>
      </w:r>
    </w:p>
    <w:p w14:paraId="34A224B8" w14:textId="4B6767BB" w:rsidR="0027506C" w:rsidRDefault="0027506C" w:rsidP="0027506C">
      <w:pPr>
        <w:pStyle w:val="Heading2"/>
        <w:tabs>
          <w:tab w:val="clear" w:pos="720"/>
          <w:tab w:val="num" w:pos="862"/>
        </w:tabs>
        <w:overflowPunct w:val="0"/>
        <w:autoSpaceDE w:val="0"/>
        <w:autoSpaceDN w:val="0"/>
        <w:spacing w:after="120"/>
        <w:ind w:left="709" w:hanging="709"/>
        <w:textAlignment w:val="baseline"/>
        <w:rPr>
          <w:sz w:val="24"/>
          <w:szCs w:val="24"/>
        </w:rPr>
      </w:pPr>
      <w:bookmarkStart w:id="24" w:name="_Toc368573031"/>
      <w:bookmarkEnd w:id="23"/>
      <w:r w:rsidRPr="0027506C">
        <w:rPr>
          <w:sz w:val="24"/>
          <w:szCs w:val="24"/>
        </w:rPr>
        <w:t>Interested Potential Providers should carefully read the requirements set out below and respond to the questions set out in the response guidance.</w:t>
      </w:r>
    </w:p>
    <w:p w14:paraId="70130BAF" w14:textId="77777777" w:rsidR="0027506C" w:rsidRDefault="0027506C" w:rsidP="0027506C">
      <w:pPr>
        <w:pStyle w:val="Heading3"/>
        <w:numPr>
          <w:ilvl w:val="0"/>
          <w:numId w:val="38"/>
        </w:numPr>
        <w:rPr>
          <w:rFonts w:eastAsia="Arial"/>
          <w:sz w:val="24"/>
          <w:szCs w:val="24"/>
        </w:rPr>
      </w:pPr>
      <w:r>
        <w:rPr>
          <w:sz w:val="24"/>
          <w:szCs w:val="24"/>
        </w:rPr>
        <w:t>Please note: The Supplier is to assume that all requirements are core requirements and should therefore be included in the core contract price unless otherwise specified.</w:t>
      </w:r>
    </w:p>
    <w:p w14:paraId="25B42380" w14:textId="77777777" w:rsidR="0027506C" w:rsidRPr="0027506C" w:rsidRDefault="0027506C" w:rsidP="0027506C">
      <w:pPr>
        <w:pStyle w:val="Heading3"/>
        <w:numPr>
          <w:ilvl w:val="0"/>
          <w:numId w:val="38"/>
        </w:numPr>
        <w:rPr>
          <w:rFonts w:eastAsia="Arial"/>
          <w:sz w:val="24"/>
          <w:szCs w:val="24"/>
        </w:rPr>
      </w:pPr>
      <w:r>
        <w:rPr>
          <w:sz w:val="24"/>
          <w:szCs w:val="24"/>
        </w:rPr>
        <w:t>The Supplier is to implement all objectives and processes listed in their approaches once agreed and signed, if requested by the Authority.</w:t>
      </w:r>
    </w:p>
    <w:p w14:paraId="384C6925" w14:textId="73B3AD58" w:rsidR="0027506C" w:rsidRDefault="0027506C" w:rsidP="0027506C">
      <w:pPr>
        <w:pStyle w:val="Heading2"/>
        <w:tabs>
          <w:tab w:val="clear" w:pos="720"/>
          <w:tab w:val="num" w:pos="862"/>
        </w:tabs>
        <w:overflowPunct w:val="0"/>
        <w:autoSpaceDE w:val="0"/>
        <w:autoSpaceDN w:val="0"/>
        <w:spacing w:after="120"/>
        <w:ind w:left="709" w:hanging="709"/>
        <w:textAlignment w:val="baseline"/>
        <w:rPr>
          <w:sz w:val="24"/>
          <w:szCs w:val="24"/>
        </w:rPr>
      </w:pPr>
      <w:r w:rsidRPr="0027506C">
        <w:rPr>
          <w:sz w:val="24"/>
          <w:szCs w:val="24"/>
        </w:rPr>
        <w:t>The overall requirements of this work are listed below:</w:t>
      </w:r>
      <w:bookmarkStart w:id="25" w:name="_heading=h.fe9wxjmzhce0" w:colFirst="0" w:colLast="0"/>
      <w:bookmarkEnd w:id="25"/>
    </w:p>
    <w:p w14:paraId="40472CA7" w14:textId="77777777" w:rsidR="00B8094A" w:rsidRDefault="00B8094A" w:rsidP="00B8094A">
      <w:pPr>
        <w:numPr>
          <w:ilvl w:val="0"/>
          <w:numId w:val="36"/>
        </w:numPr>
        <w:rPr>
          <w:sz w:val="24"/>
        </w:rPr>
      </w:pPr>
      <w:r>
        <w:rPr>
          <w:i/>
          <w:sz w:val="24"/>
        </w:rPr>
        <w:t>Develop topic guides and questions</w:t>
      </w:r>
    </w:p>
    <w:p w14:paraId="0588E0DB" w14:textId="77777777" w:rsidR="00B8094A" w:rsidRDefault="00B8094A" w:rsidP="00B8094A">
      <w:pPr>
        <w:pStyle w:val="Heading2"/>
        <w:numPr>
          <w:ilvl w:val="0"/>
          <w:numId w:val="36"/>
        </w:numPr>
        <w:tabs>
          <w:tab w:val="num" w:pos="720"/>
        </w:tabs>
        <w:spacing w:after="0"/>
        <w:ind w:left="993" w:firstLine="0"/>
        <w:rPr>
          <w:i/>
          <w:sz w:val="24"/>
          <w:szCs w:val="24"/>
        </w:rPr>
      </w:pPr>
      <w:bookmarkStart w:id="26" w:name="_heading=h.5lli8bv9arvh" w:colFirst="0" w:colLast="0"/>
      <w:bookmarkEnd w:id="26"/>
      <w:r>
        <w:rPr>
          <w:i/>
          <w:sz w:val="24"/>
          <w:szCs w:val="24"/>
        </w:rPr>
        <w:t>Agree sampling approaches</w:t>
      </w:r>
    </w:p>
    <w:p w14:paraId="6F26F165" w14:textId="77777777" w:rsidR="00B8094A" w:rsidRDefault="00B8094A" w:rsidP="00B8094A">
      <w:pPr>
        <w:pStyle w:val="Heading2"/>
        <w:numPr>
          <w:ilvl w:val="0"/>
          <w:numId w:val="36"/>
        </w:numPr>
        <w:tabs>
          <w:tab w:val="num" w:pos="720"/>
        </w:tabs>
        <w:spacing w:after="0"/>
        <w:ind w:left="993" w:firstLine="0"/>
        <w:rPr>
          <w:sz w:val="24"/>
          <w:szCs w:val="24"/>
        </w:rPr>
      </w:pPr>
      <w:r>
        <w:rPr>
          <w:i/>
          <w:sz w:val="24"/>
          <w:szCs w:val="24"/>
        </w:rPr>
        <w:t>Conduct the fieldwork</w:t>
      </w:r>
    </w:p>
    <w:p w14:paraId="4407A69A" w14:textId="77777777" w:rsidR="00B8094A" w:rsidRDefault="00B8094A" w:rsidP="00B8094A">
      <w:pPr>
        <w:pStyle w:val="Heading2"/>
        <w:numPr>
          <w:ilvl w:val="0"/>
          <w:numId w:val="36"/>
        </w:numPr>
        <w:tabs>
          <w:tab w:val="num" w:pos="720"/>
        </w:tabs>
        <w:spacing w:after="0"/>
        <w:ind w:left="993" w:firstLine="0"/>
        <w:rPr>
          <w:sz w:val="24"/>
          <w:szCs w:val="24"/>
        </w:rPr>
      </w:pPr>
      <w:r>
        <w:rPr>
          <w:i/>
          <w:sz w:val="24"/>
          <w:szCs w:val="24"/>
        </w:rPr>
        <w:t xml:space="preserve">Analyse results </w:t>
      </w:r>
    </w:p>
    <w:p w14:paraId="4F0DF996" w14:textId="6CE1A848" w:rsidR="0027506C" w:rsidRPr="00B8094A" w:rsidRDefault="00B8094A" w:rsidP="00B8094A">
      <w:pPr>
        <w:pStyle w:val="Heading2"/>
        <w:numPr>
          <w:ilvl w:val="0"/>
          <w:numId w:val="36"/>
        </w:numPr>
        <w:tabs>
          <w:tab w:val="num" w:pos="720"/>
        </w:tabs>
        <w:spacing w:after="0"/>
        <w:ind w:left="993" w:firstLine="0"/>
        <w:rPr>
          <w:sz w:val="24"/>
          <w:szCs w:val="24"/>
        </w:rPr>
      </w:pPr>
      <w:r>
        <w:rPr>
          <w:i/>
          <w:sz w:val="24"/>
          <w:szCs w:val="24"/>
        </w:rPr>
        <w:t>Reporting</w:t>
      </w:r>
    </w:p>
    <w:p w14:paraId="4E4978FF" w14:textId="77777777" w:rsidR="0027506C" w:rsidRPr="0027506C" w:rsidRDefault="0027506C" w:rsidP="0027506C">
      <w:pPr>
        <w:pStyle w:val="Heading2"/>
        <w:tabs>
          <w:tab w:val="clear" w:pos="720"/>
          <w:tab w:val="num" w:pos="862"/>
        </w:tabs>
        <w:overflowPunct w:val="0"/>
        <w:autoSpaceDE w:val="0"/>
        <w:autoSpaceDN w:val="0"/>
        <w:spacing w:after="120"/>
        <w:ind w:left="709" w:hanging="709"/>
        <w:textAlignment w:val="baseline"/>
        <w:rPr>
          <w:sz w:val="24"/>
          <w:szCs w:val="24"/>
        </w:rPr>
      </w:pPr>
      <w:r w:rsidRPr="0027506C">
        <w:rPr>
          <w:sz w:val="24"/>
        </w:rPr>
        <w:t>In meeting these requirements, the project must comply with the data ethics framework laid out by the UK Statistics Authority. Further information can be found on the UK Statistics Authority’s data ethics webpages</w:t>
      </w:r>
      <w:r>
        <w:rPr>
          <w:vertAlign w:val="superscript"/>
        </w:rPr>
        <w:footnoteReference w:id="5"/>
      </w:r>
      <w:r w:rsidRPr="0027506C">
        <w:rPr>
          <w:sz w:val="24"/>
        </w:rPr>
        <w:t>.</w:t>
      </w:r>
    </w:p>
    <w:p w14:paraId="3CB8D8CC" w14:textId="1F139BB7" w:rsidR="0027506C" w:rsidRPr="0027506C" w:rsidRDefault="0027506C" w:rsidP="0027506C">
      <w:pPr>
        <w:pStyle w:val="Heading2"/>
        <w:tabs>
          <w:tab w:val="clear" w:pos="720"/>
          <w:tab w:val="num" w:pos="862"/>
        </w:tabs>
        <w:overflowPunct w:val="0"/>
        <w:autoSpaceDE w:val="0"/>
        <w:autoSpaceDN w:val="0"/>
        <w:spacing w:after="120"/>
        <w:ind w:left="709" w:hanging="709"/>
        <w:textAlignment w:val="baseline"/>
        <w:rPr>
          <w:sz w:val="24"/>
          <w:szCs w:val="24"/>
        </w:rPr>
      </w:pPr>
      <w:r w:rsidRPr="0027506C">
        <w:rPr>
          <w:sz w:val="24"/>
        </w:rPr>
        <w:t>The supplier may need to support the Authority in submissions to the National Statistician’s Data Ethics Advisory Committee.</w:t>
      </w:r>
    </w:p>
    <w:p w14:paraId="3491B80B" w14:textId="77777777" w:rsidR="00671798" w:rsidRPr="001A45DF" w:rsidRDefault="00FE18AC">
      <w:pPr>
        <w:pStyle w:val="Heading1"/>
        <w:spacing w:after="120"/>
        <w:rPr>
          <w:sz w:val="32"/>
          <w:szCs w:val="32"/>
        </w:rPr>
      </w:pPr>
      <w:bookmarkStart w:id="27" w:name="_Toc109740641"/>
      <w:r w:rsidRPr="001A45DF">
        <w:rPr>
          <w:sz w:val="32"/>
          <w:szCs w:val="32"/>
        </w:rPr>
        <w:t>The requirement</w:t>
      </w:r>
      <w:bookmarkEnd w:id="24"/>
      <w:bookmarkEnd w:id="27"/>
    </w:p>
    <w:p w14:paraId="6A90CD7F" w14:textId="369B75B5" w:rsidR="00B8094A" w:rsidRDefault="00B8094A" w:rsidP="00B8094A">
      <w:pPr>
        <w:pStyle w:val="Heading2"/>
        <w:spacing w:after="120"/>
        <w:ind w:left="709" w:hanging="709"/>
        <w:rPr>
          <w:sz w:val="24"/>
          <w:szCs w:val="24"/>
        </w:rPr>
      </w:pPr>
      <w:bookmarkStart w:id="28" w:name="_Toc368573032"/>
      <w:r w:rsidRPr="00B8094A">
        <w:rPr>
          <w:sz w:val="24"/>
          <w:szCs w:val="24"/>
        </w:rPr>
        <w:t>The following sections outline each requirement in more detail.</w:t>
      </w:r>
      <w:bookmarkStart w:id="29" w:name="_heading=h.cq11vqc11p5" w:colFirst="0" w:colLast="0"/>
      <w:bookmarkEnd w:id="29"/>
    </w:p>
    <w:p w14:paraId="04FF82B0" w14:textId="68571791" w:rsidR="00B8094A" w:rsidRPr="00B8094A" w:rsidRDefault="00B8094A" w:rsidP="00B8094A">
      <w:pPr>
        <w:pStyle w:val="Heading2"/>
        <w:numPr>
          <w:ilvl w:val="0"/>
          <w:numId w:val="44"/>
        </w:numPr>
        <w:tabs>
          <w:tab w:val="num" w:pos="1209"/>
        </w:tabs>
        <w:spacing w:after="120"/>
        <w:ind w:left="709"/>
        <w:rPr>
          <w:b/>
          <w:sz w:val="28"/>
          <w:szCs w:val="28"/>
        </w:rPr>
      </w:pPr>
      <w:r>
        <w:rPr>
          <w:b/>
          <w:i/>
          <w:sz w:val="28"/>
          <w:szCs w:val="28"/>
        </w:rPr>
        <w:t>Develop topic guides and questions</w:t>
      </w:r>
    </w:p>
    <w:p w14:paraId="7C612A2A" w14:textId="77777777" w:rsidR="00B8094A" w:rsidRDefault="00B8094A" w:rsidP="00B8094A">
      <w:pPr>
        <w:pStyle w:val="Heading2"/>
        <w:spacing w:after="120"/>
        <w:ind w:left="709" w:hanging="709"/>
        <w:rPr>
          <w:sz w:val="24"/>
          <w:szCs w:val="24"/>
        </w:rPr>
      </w:pPr>
      <w:r w:rsidRPr="00B8094A">
        <w:rPr>
          <w:sz w:val="24"/>
          <w:szCs w:val="24"/>
        </w:rPr>
        <w:t>The Authority’s requirement is for the development of topic guides to steer focus group discussions, allowing them to be analytically comparable. The key themes identified from these focus groups will then be used to inform the development of terminology recommendations.</w:t>
      </w:r>
    </w:p>
    <w:p w14:paraId="2CE86EE4" w14:textId="77777777" w:rsidR="00B8094A" w:rsidRDefault="00B8094A" w:rsidP="00B8094A">
      <w:pPr>
        <w:pStyle w:val="Heading2"/>
        <w:spacing w:after="120"/>
        <w:ind w:left="709" w:hanging="709"/>
        <w:rPr>
          <w:sz w:val="24"/>
          <w:szCs w:val="24"/>
        </w:rPr>
      </w:pPr>
      <w:r w:rsidRPr="00B8094A">
        <w:rPr>
          <w:sz w:val="24"/>
          <w:szCs w:val="24"/>
        </w:rPr>
        <w:t>The Supplier should work closely in conjunction with the Authority to develop these topic guides and survey questions.</w:t>
      </w:r>
    </w:p>
    <w:p w14:paraId="34215F0D" w14:textId="7F484418" w:rsidR="00B8094A" w:rsidRDefault="00B8094A" w:rsidP="00B8094A">
      <w:pPr>
        <w:pStyle w:val="Heading2"/>
        <w:spacing w:after="120"/>
        <w:ind w:left="709" w:hanging="709"/>
        <w:rPr>
          <w:sz w:val="24"/>
          <w:szCs w:val="24"/>
        </w:rPr>
      </w:pPr>
      <w:r w:rsidRPr="00B8094A">
        <w:rPr>
          <w:sz w:val="24"/>
          <w:szCs w:val="24"/>
        </w:rPr>
        <w:t>It is expected that the following subjects are addressed, though the Authority is open to modifications and additional questions:</w:t>
      </w:r>
      <w:bookmarkStart w:id="30" w:name="_heading=h.qomx5dp59yrl" w:colFirst="0" w:colLast="0"/>
      <w:bookmarkEnd w:id="30"/>
    </w:p>
    <w:p w14:paraId="6CB30BBD" w14:textId="77777777" w:rsidR="00B8094A" w:rsidRDefault="00B8094A" w:rsidP="00B8094A">
      <w:pPr>
        <w:numPr>
          <w:ilvl w:val="0"/>
          <w:numId w:val="41"/>
        </w:numPr>
        <w:tabs>
          <w:tab w:val="left" w:pos="567"/>
        </w:tabs>
        <w:rPr>
          <w:rFonts w:eastAsia="Arial"/>
          <w:sz w:val="24"/>
        </w:rPr>
      </w:pPr>
      <w:r>
        <w:rPr>
          <w:sz w:val="24"/>
        </w:rPr>
        <w:lastRenderedPageBreak/>
        <w:t xml:space="preserve">How participants </w:t>
      </w:r>
      <w:proofErr w:type="spellStart"/>
      <w:r>
        <w:rPr>
          <w:sz w:val="24"/>
        </w:rPr>
        <w:t xml:space="preserve">self </w:t>
      </w:r>
      <w:proofErr w:type="gramStart"/>
      <w:r>
        <w:rPr>
          <w:sz w:val="24"/>
        </w:rPr>
        <w:t>identify</w:t>
      </w:r>
      <w:proofErr w:type="spellEnd"/>
      <w:proofErr w:type="gramEnd"/>
      <w:r>
        <w:rPr>
          <w:sz w:val="24"/>
        </w:rPr>
        <w:t xml:space="preserve"> (both with and without prompts)</w:t>
      </w:r>
    </w:p>
    <w:p w14:paraId="2BD63A43" w14:textId="77777777" w:rsidR="00B8094A" w:rsidRDefault="00B8094A" w:rsidP="00B8094A">
      <w:pPr>
        <w:numPr>
          <w:ilvl w:val="0"/>
          <w:numId w:val="41"/>
        </w:numPr>
        <w:tabs>
          <w:tab w:val="left" w:pos="567"/>
        </w:tabs>
        <w:rPr>
          <w:rFonts w:eastAsia="Arial"/>
          <w:sz w:val="24"/>
        </w:rPr>
      </w:pPr>
      <w:r>
        <w:rPr>
          <w:sz w:val="24"/>
        </w:rPr>
        <w:t>Helpfulness of colour terminology when talking about ethnicity</w:t>
      </w:r>
    </w:p>
    <w:p w14:paraId="5485E5B2" w14:textId="77777777" w:rsidR="00B8094A" w:rsidRDefault="00B8094A" w:rsidP="00B8094A">
      <w:pPr>
        <w:numPr>
          <w:ilvl w:val="0"/>
          <w:numId w:val="41"/>
        </w:numPr>
        <w:tabs>
          <w:tab w:val="left" w:pos="567"/>
        </w:tabs>
        <w:rPr>
          <w:rFonts w:eastAsia="Arial"/>
          <w:sz w:val="24"/>
        </w:rPr>
      </w:pPr>
      <w:r>
        <w:rPr>
          <w:sz w:val="24"/>
        </w:rPr>
        <w:t xml:space="preserve">Helpfulness of words like Mixed and Other when talking about </w:t>
      </w:r>
      <w:proofErr w:type="gramStart"/>
      <w:r>
        <w:rPr>
          <w:sz w:val="24"/>
        </w:rPr>
        <w:t>ethnicity  and</w:t>
      </w:r>
      <w:proofErr w:type="gramEnd"/>
      <w:r>
        <w:rPr>
          <w:sz w:val="24"/>
        </w:rPr>
        <w:t xml:space="preserve"> investigate if other words are more  appropriate</w:t>
      </w:r>
    </w:p>
    <w:p w14:paraId="2FC9B0D6" w14:textId="77777777" w:rsidR="00B8094A" w:rsidRDefault="00B8094A" w:rsidP="00B8094A">
      <w:pPr>
        <w:numPr>
          <w:ilvl w:val="0"/>
          <w:numId w:val="41"/>
        </w:numPr>
        <w:tabs>
          <w:tab w:val="left" w:pos="567"/>
        </w:tabs>
        <w:rPr>
          <w:rFonts w:eastAsia="Arial"/>
          <w:sz w:val="24"/>
        </w:rPr>
      </w:pPr>
      <w:r>
        <w:rPr>
          <w:sz w:val="24"/>
        </w:rPr>
        <w:t>How people view and respond to high-level categories currently used to talk about ethnic groups (e.g., 5+1)</w:t>
      </w:r>
    </w:p>
    <w:p w14:paraId="6791CD0B" w14:textId="77777777" w:rsidR="00B8094A" w:rsidRDefault="00B8094A" w:rsidP="00B8094A">
      <w:pPr>
        <w:numPr>
          <w:ilvl w:val="0"/>
          <w:numId w:val="41"/>
        </w:numPr>
        <w:tabs>
          <w:tab w:val="left" w:pos="567"/>
        </w:tabs>
        <w:rPr>
          <w:rFonts w:eastAsia="Arial"/>
          <w:sz w:val="24"/>
        </w:rPr>
      </w:pPr>
      <w:r>
        <w:rPr>
          <w:sz w:val="24"/>
        </w:rPr>
        <w:t>Whether nationality, religion, etc informs how people choose to identify and important is it that these different aspects are reflected in terminology (e.g., black British etc.)</w:t>
      </w:r>
    </w:p>
    <w:p w14:paraId="5F740DE3" w14:textId="77777777" w:rsidR="00B8094A" w:rsidRDefault="00B8094A" w:rsidP="00B8094A">
      <w:pPr>
        <w:numPr>
          <w:ilvl w:val="0"/>
          <w:numId w:val="41"/>
        </w:numPr>
        <w:tabs>
          <w:tab w:val="left" w:pos="567"/>
        </w:tabs>
        <w:rPr>
          <w:rFonts w:eastAsia="Arial"/>
          <w:sz w:val="24"/>
        </w:rPr>
      </w:pPr>
      <w:r>
        <w:rPr>
          <w:sz w:val="24"/>
        </w:rPr>
        <w:t>Inclusive terminology</w:t>
      </w:r>
    </w:p>
    <w:p w14:paraId="12694CC6" w14:textId="01F69E9B" w:rsidR="00B8094A" w:rsidRPr="00B8094A" w:rsidRDefault="00B8094A" w:rsidP="00B8094A">
      <w:pPr>
        <w:numPr>
          <w:ilvl w:val="0"/>
          <w:numId w:val="41"/>
        </w:numPr>
        <w:tabs>
          <w:tab w:val="left" w:pos="567"/>
        </w:tabs>
        <w:rPr>
          <w:rFonts w:eastAsia="Arial"/>
          <w:sz w:val="24"/>
        </w:rPr>
      </w:pPr>
      <w:r>
        <w:rPr>
          <w:sz w:val="24"/>
        </w:rPr>
        <w:t xml:space="preserve">Stigmatising terminology </w:t>
      </w:r>
    </w:p>
    <w:p w14:paraId="01688E22" w14:textId="23216341" w:rsidR="00B8094A" w:rsidRDefault="00B8094A" w:rsidP="00B8094A">
      <w:pPr>
        <w:pStyle w:val="Heading2"/>
        <w:spacing w:after="120"/>
        <w:ind w:left="709" w:hanging="709"/>
        <w:rPr>
          <w:sz w:val="24"/>
          <w:szCs w:val="24"/>
        </w:rPr>
      </w:pPr>
      <w:r w:rsidRPr="00B8094A">
        <w:rPr>
          <w:sz w:val="24"/>
          <w:szCs w:val="24"/>
        </w:rPr>
        <w:t xml:space="preserve">It should be noted that the thematic analysis and focus group design need to stand up to public scrutiny. The Supplier should therefore pay close regard to technical matters such as rigour and validity and avoid sources of bias such as social desirability bias, problems of memory, gaps between stated and actual behaviour and problems of meaning and omission.  </w:t>
      </w:r>
    </w:p>
    <w:p w14:paraId="52E9713B" w14:textId="5A379F5E" w:rsidR="00B8094A" w:rsidRPr="00B8094A" w:rsidRDefault="00B8094A" w:rsidP="00B8094A">
      <w:pPr>
        <w:pStyle w:val="Heading2"/>
        <w:numPr>
          <w:ilvl w:val="0"/>
          <w:numId w:val="44"/>
        </w:numPr>
        <w:tabs>
          <w:tab w:val="num" w:pos="1209"/>
        </w:tabs>
        <w:spacing w:after="120"/>
        <w:ind w:left="709"/>
        <w:rPr>
          <w:b/>
          <w:i/>
          <w:sz w:val="28"/>
          <w:szCs w:val="28"/>
        </w:rPr>
      </w:pPr>
      <w:r>
        <w:rPr>
          <w:b/>
          <w:i/>
          <w:sz w:val="28"/>
          <w:szCs w:val="28"/>
        </w:rPr>
        <w:t>Agree sampling approach</w:t>
      </w:r>
    </w:p>
    <w:p w14:paraId="0D5BDB00" w14:textId="17ED3524" w:rsidR="00B8094A" w:rsidRDefault="00B8094A" w:rsidP="00B8094A">
      <w:pPr>
        <w:pStyle w:val="Heading2"/>
        <w:spacing w:after="120"/>
        <w:ind w:left="709" w:hanging="709"/>
        <w:rPr>
          <w:sz w:val="24"/>
          <w:szCs w:val="24"/>
        </w:rPr>
      </w:pPr>
      <w:r w:rsidRPr="00B8094A">
        <w:rPr>
          <w:sz w:val="24"/>
          <w:szCs w:val="24"/>
        </w:rPr>
        <w:t>Sampling criteria for focus groups should include:</w:t>
      </w:r>
      <w:bookmarkStart w:id="31" w:name="_heading=h.xo1ld7h61w5p" w:colFirst="0" w:colLast="0"/>
      <w:bookmarkEnd w:id="31"/>
    </w:p>
    <w:p w14:paraId="17423021" w14:textId="77777777" w:rsidR="00B8094A" w:rsidRDefault="00B8094A" w:rsidP="00B8094A">
      <w:pPr>
        <w:numPr>
          <w:ilvl w:val="2"/>
          <w:numId w:val="40"/>
        </w:numPr>
        <w:spacing w:line="276" w:lineRule="auto"/>
        <w:rPr>
          <w:sz w:val="24"/>
        </w:rPr>
      </w:pPr>
      <w:r>
        <w:rPr>
          <w:sz w:val="24"/>
        </w:rPr>
        <w:t>Ethnicity - representation of people from within each of the ethnic groups outlined below;</w:t>
      </w:r>
    </w:p>
    <w:p w14:paraId="613D13E4" w14:textId="77777777" w:rsidR="00B8094A" w:rsidRDefault="00B8094A" w:rsidP="00B8094A">
      <w:pPr>
        <w:numPr>
          <w:ilvl w:val="2"/>
          <w:numId w:val="40"/>
        </w:numPr>
        <w:spacing w:line="276" w:lineRule="auto"/>
        <w:rPr>
          <w:sz w:val="24"/>
        </w:rPr>
      </w:pPr>
      <w:r>
        <w:rPr>
          <w:sz w:val="24"/>
        </w:rPr>
        <w:t>Religion - representation of Muslim, Sikh and Jewish people</w:t>
      </w:r>
    </w:p>
    <w:p w14:paraId="7F31019E" w14:textId="77777777" w:rsidR="00B8094A" w:rsidRDefault="00B8094A" w:rsidP="00B8094A">
      <w:pPr>
        <w:numPr>
          <w:ilvl w:val="2"/>
          <w:numId w:val="40"/>
        </w:numPr>
        <w:spacing w:line="276" w:lineRule="auto"/>
        <w:rPr>
          <w:sz w:val="24"/>
        </w:rPr>
      </w:pPr>
      <w:r>
        <w:rPr>
          <w:sz w:val="24"/>
        </w:rPr>
        <w:t>Sex - equal numbers of men and women;</w:t>
      </w:r>
    </w:p>
    <w:p w14:paraId="16180AE7" w14:textId="77777777" w:rsidR="00B8094A" w:rsidRDefault="00B8094A" w:rsidP="00B8094A">
      <w:pPr>
        <w:numPr>
          <w:ilvl w:val="2"/>
          <w:numId w:val="40"/>
        </w:numPr>
        <w:spacing w:line="276" w:lineRule="auto"/>
        <w:rPr>
          <w:sz w:val="24"/>
        </w:rPr>
      </w:pPr>
      <w:r>
        <w:rPr>
          <w:sz w:val="24"/>
        </w:rPr>
        <w:t>Age - where a group is not restricted by age, people in the following brackets would provide the perspectives of people across different generations - 18-24, 25-44, 45-64, 65+;</w:t>
      </w:r>
    </w:p>
    <w:p w14:paraId="3367072D" w14:textId="77777777" w:rsidR="00B8094A" w:rsidRDefault="00B8094A" w:rsidP="00B8094A">
      <w:pPr>
        <w:numPr>
          <w:ilvl w:val="2"/>
          <w:numId w:val="40"/>
        </w:numPr>
        <w:spacing w:line="276" w:lineRule="auto"/>
        <w:rPr>
          <w:sz w:val="24"/>
        </w:rPr>
      </w:pPr>
      <w:r>
        <w:rPr>
          <w:sz w:val="24"/>
        </w:rPr>
        <w:t>Geography - people living in areas with large proportions of ethnic minority residents and in areas of deprivation, within and outside of London</w:t>
      </w:r>
      <w:r>
        <w:rPr>
          <w:sz w:val="24"/>
          <w:vertAlign w:val="superscript"/>
        </w:rPr>
        <w:footnoteReference w:id="6"/>
      </w:r>
      <w:r>
        <w:rPr>
          <w:sz w:val="24"/>
        </w:rPr>
        <w:t>, as well as people living in Wales, Scotland and Northern Ireland</w:t>
      </w:r>
      <w:r>
        <w:rPr>
          <w:sz w:val="24"/>
          <w:vertAlign w:val="superscript"/>
        </w:rPr>
        <w:footnoteReference w:id="7"/>
      </w:r>
      <w:r>
        <w:rPr>
          <w:sz w:val="24"/>
        </w:rPr>
        <w:t>;</w:t>
      </w:r>
    </w:p>
    <w:p w14:paraId="021C6B04" w14:textId="6741A2E7" w:rsidR="00B8094A" w:rsidRPr="00B8094A" w:rsidRDefault="00B8094A" w:rsidP="00B8094A">
      <w:pPr>
        <w:numPr>
          <w:ilvl w:val="2"/>
          <w:numId w:val="40"/>
        </w:numPr>
        <w:spacing w:line="276" w:lineRule="auto"/>
        <w:rPr>
          <w:sz w:val="24"/>
        </w:rPr>
      </w:pPr>
      <w:r>
        <w:rPr>
          <w:sz w:val="24"/>
        </w:rPr>
        <w:t>Education level or income status - representation of lower and higher education levels [or as appropriate for income]</w:t>
      </w:r>
    </w:p>
    <w:p w14:paraId="144E6492" w14:textId="1E74E166" w:rsidR="00B8094A" w:rsidRDefault="00B8094A" w:rsidP="00B8094A">
      <w:pPr>
        <w:pStyle w:val="Heading2"/>
        <w:spacing w:after="120"/>
        <w:ind w:left="709" w:hanging="709"/>
        <w:rPr>
          <w:sz w:val="24"/>
          <w:szCs w:val="24"/>
        </w:rPr>
      </w:pPr>
      <w:r w:rsidRPr="00B8094A">
        <w:rPr>
          <w:sz w:val="24"/>
          <w:szCs w:val="24"/>
        </w:rPr>
        <w:lastRenderedPageBreak/>
        <w:t>Sampling by ethnicity should use the following disaggregation:</w:t>
      </w:r>
    </w:p>
    <w:p w14:paraId="31A344E7" w14:textId="77777777" w:rsidR="00B8094A" w:rsidRDefault="00B8094A" w:rsidP="00B8094A">
      <w:pPr>
        <w:numPr>
          <w:ilvl w:val="0"/>
          <w:numId w:val="45"/>
        </w:numPr>
        <w:spacing w:before="200" w:line="276" w:lineRule="auto"/>
        <w:rPr>
          <w:sz w:val="24"/>
        </w:rPr>
      </w:pPr>
      <w:r>
        <w:rPr>
          <w:sz w:val="24"/>
        </w:rPr>
        <w:t>White</w:t>
      </w:r>
    </w:p>
    <w:p w14:paraId="5F9722EA" w14:textId="77777777" w:rsidR="00B8094A" w:rsidRDefault="00B8094A" w:rsidP="00B8094A">
      <w:pPr>
        <w:numPr>
          <w:ilvl w:val="1"/>
          <w:numId w:val="45"/>
        </w:numPr>
        <w:spacing w:line="276" w:lineRule="auto"/>
        <w:rPr>
          <w:sz w:val="24"/>
        </w:rPr>
      </w:pPr>
      <w:r>
        <w:rPr>
          <w:sz w:val="24"/>
        </w:rPr>
        <w:t>White British</w:t>
      </w:r>
    </w:p>
    <w:p w14:paraId="44235269" w14:textId="77777777" w:rsidR="00B8094A" w:rsidRDefault="00B8094A" w:rsidP="00B8094A">
      <w:pPr>
        <w:numPr>
          <w:ilvl w:val="1"/>
          <w:numId w:val="45"/>
        </w:numPr>
        <w:spacing w:line="276" w:lineRule="auto"/>
        <w:rPr>
          <w:sz w:val="24"/>
        </w:rPr>
      </w:pPr>
      <w:r>
        <w:rPr>
          <w:sz w:val="24"/>
        </w:rPr>
        <w:t>White Other</w:t>
      </w:r>
    </w:p>
    <w:p w14:paraId="1A1D5319" w14:textId="77777777" w:rsidR="00B8094A" w:rsidRDefault="00B8094A" w:rsidP="00B8094A">
      <w:pPr>
        <w:spacing w:line="276" w:lineRule="auto"/>
        <w:ind w:left="1800"/>
        <w:rPr>
          <w:sz w:val="24"/>
        </w:rPr>
      </w:pPr>
    </w:p>
    <w:p w14:paraId="7209AE76" w14:textId="77777777" w:rsidR="00B8094A" w:rsidRDefault="00B8094A" w:rsidP="00B8094A">
      <w:pPr>
        <w:numPr>
          <w:ilvl w:val="0"/>
          <w:numId w:val="42"/>
        </w:numPr>
        <w:spacing w:line="276" w:lineRule="auto"/>
        <w:rPr>
          <w:sz w:val="24"/>
        </w:rPr>
      </w:pPr>
      <w:r>
        <w:rPr>
          <w:sz w:val="24"/>
        </w:rPr>
        <w:t>Mixed</w:t>
      </w:r>
    </w:p>
    <w:p w14:paraId="7876D089" w14:textId="77777777" w:rsidR="00B8094A" w:rsidRDefault="00B8094A" w:rsidP="00B8094A">
      <w:pPr>
        <w:spacing w:line="276" w:lineRule="auto"/>
        <w:ind w:left="720"/>
        <w:rPr>
          <w:sz w:val="24"/>
        </w:rPr>
      </w:pPr>
    </w:p>
    <w:p w14:paraId="012B18BA" w14:textId="77777777" w:rsidR="00B8094A" w:rsidRDefault="00B8094A" w:rsidP="00B8094A">
      <w:pPr>
        <w:numPr>
          <w:ilvl w:val="0"/>
          <w:numId w:val="42"/>
        </w:numPr>
        <w:spacing w:line="276" w:lineRule="auto"/>
        <w:rPr>
          <w:sz w:val="24"/>
        </w:rPr>
      </w:pPr>
      <w:r>
        <w:rPr>
          <w:sz w:val="24"/>
        </w:rPr>
        <w:t>Black</w:t>
      </w:r>
    </w:p>
    <w:p w14:paraId="6D603BE8" w14:textId="77777777" w:rsidR="00B8094A" w:rsidRDefault="00B8094A" w:rsidP="00B8094A">
      <w:pPr>
        <w:numPr>
          <w:ilvl w:val="1"/>
          <w:numId w:val="42"/>
        </w:numPr>
        <w:spacing w:line="276" w:lineRule="auto"/>
        <w:rPr>
          <w:sz w:val="24"/>
        </w:rPr>
      </w:pPr>
      <w:r>
        <w:rPr>
          <w:sz w:val="24"/>
        </w:rPr>
        <w:t>Black African</w:t>
      </w:r>
    </w:p>
    <w:p w14:paraId="1FE73729" w14:textId="77777777" w:rsidR="00B8094A" w:rsidRDefault="00B8094A" w:rsidP="00B8094A">
      <w:pPr>
        <w:numPr>
          <w:ilvl w:val="1"/>
          <w:numId w:val="42"/>
        </w:numPr>
        <w:spacing w:line="276" w:lineRule="auto"/>
        <w:rPr>
          <w:sz w:val="24"/>
        </w:rPr>
      </w:pPr>
      <w:r>
        <w:rPr>
          <w:sz w:val="24"/>
        </w:rPr>
        <w:t>Black Caribbean</w:t>
      </w:r>
    </w:p>
    <w:p w14:paraId="043BD2ED" w14:textId="77777777" w:rsidR="00B8094A" w:rsidRDefault="00B8094A" w:rsidP="00B8094A">
      <w:pPr>
        <w:numPr>
          <w:ilvl w:val="1"/>
          <w:numId w:val="42"/>
        </w:numPr>
        <w:spacing w:line="276" w:lineRule="auto"/>
        <w:rPr>
          <w:sz w:val="24"/>
        </w:rPr>
      </w:pPr>
      <w:r>
        <w:rPr>
          <w:sz w:val="24"/>
        </w:rPr>
        <w:t>Black Other</w:t>
      </w:r>
    </w:p>
    <w:p w14:paraId="061775F7" w14:textId="77777777" w:rsidR="00B8094A" w:rsidRDefault="00B8094A" w:rsidP="00B8094A">
      <w:pPr>
        <w:spacing w:line="276" w:lineRule="auto"/>
        <w:ind w:left="2160"/>
        <w:rPr>
          <w:sz w:val="24"/>
        </w:rPr>
      </w:pPr>
    </w:p>
    <w:p w14:paraId="4D152A1F" w14:textId="77777777" w:rsidR="00B8094A" w:rsidRDefault="00B8094A" w:rsidP="00B8094A">
      <w:pPr>
        <w:numPr>
          <w:ilvl w:val="0"/>
          <w:numId w:val="42"/>
        </w:numPr>
        <w:spacing w:line="276" w:lineRule="auto"/>
        <w:rPr>
          <w:sz w:val="24"/>
        </w:rPr>
      </w:pPr>
      <w:r>
        <w:rPr>
          <w:sz w:val="24"/>
        </w:rPr>
        <w:t>Asian</w:t>
      </w:r>
    </w:p>
    <w:p w14:paraId="3FFDB33D" w14:textId="77777777" w:rsidR="00B8094A" w:rsidRDefault="00B8094A" w:rsidP="00B8094A">
      <w:pPr>
        <w:numPr>
          <w:ilvl w:val="1"/>
          <w:numId w:val="42"/>
        </w:numPr>
        <w:spacing w:line="276" w:lineRule="auto"/>
        <w:rPr>
          <w:sz w:val="24"/>
        </w:rPr>
      </w:pPr>
      <w:r>
        <w:rPr>
          <w:sz w:val="24"/>
        </w:rPr>
        <w:t>Indian</w:t>
      </w:r>
    </w:p>
    <w:p w14:paraId="02D20C0C" w14:textId="77777777" w:rsidR="00B8094A" w:rsidRDefault="00B8094A" w:rsidP="00B8094A">
      <w:pPr>
        <w:numPr>
          <w:ilvl w:val="1"/>
          <w:numId w:val="42"/>
        </w:numPr>
        <w:spacing w:line="276" w:lineRule="auto"/>
        <w:rPr>
          <w:sz w:val="24"/>
        </w:rPr>
      </w:pPr>
      <w:r>
        <w:rPr>
          <w:sz w:val="24"/>
        </w:rPr>
        <w:t>Pakistani</w:t>
      </w:r>
    </w:p>
    <w:p w14:paraId="4F24D684" w14:textId="77777777" w:rsidR="00B8094A" w:rsidRDefault="00B8094A" w:rsidP="00B8094A">
      <w:pPr>
        <w:numPr>
          <w:ilvl w:val="1"/>
          <w:numId w:val="42"/>
        </w:numPr>
        <w:spacing w:line="276" w:lineRule="auto"/>
        <w:rPr>
          <w:sz w:val="24"/>
        </w:rPr>
      </w:pPr>
      <w:r>
        <w:rPr>
          <w:sz w:val="24"/>
        </w:rPr>
        <w:t>Bangladeshi</w:t>
      </w:r>
    </w:p>
    <w:p w14:paraId="53465B99" w14:textId="77777777" w:rsidR="00B8094A" w:rsidRDefault="00B8094A" w:rsidP="00B8094A">
      <w:pPr>
        <w:numPr>
          <w:ilvl w:val="1"/>
          <w:numId w:val="42"/>
        </w:numPr>
        <w:spacing w:line="276" w:lineRule="auto"/>
        <w:rPr>
          <w:sz w:val="24"/>
        </w:rPr>
      </w:pPr>
      <w:r>
        <w:rPr>
          <w:sz w:val="24"/>
        </w:rPr>
        <w:t>Chinese</w:t>
      </w:r>
    </w:p>
    <w:p w14:paraId="4D34DEAA" w14:textId="77777777" w:rsidR="00B8094A" w:rsidRDefault="00B8094A" w:rsidP="00B8094A">
      <w:pPr>
        <w:numPr>
          <w:ilvl w:val="1"/>
          <w:numId w:val="42"/>
        </w:numPr>
        <w:spacing w:line="276" w:lineRule="auto"/>
        <w:rPr>
          <w:sz w:val="24"/>
        </w:rPr>
      </w:pPr>
      <w:r>
        <w:rPr>
          <w:sz w:val="24"/>
        </w:rPr>
        <w:t>Asian Other</w:t>
      </w:r>
    </w:p>
    <w:p w14:paraId="004EF0AF" w14:textId="77777777" w:rsidR="00B8094A" w:rsidRDefault="00B8094A" w:rsidP="00B8094A">
      <w:pPr>
        <w:spacing w:line="276" w:lineRule="auto"/>
        <w:ind w:left="1800"/>
        <w:rPr>
          <w:sz w:val="24"/>
        </w:rPr>
      </w:pPr>
    </w:p>
    <w:p w14:paraId="6F7423A4" w14:textId="77777777" w:rsidR="00B8094A" w:rsidRDefault="00B8094A" w:rsidP="00B8094A">
      <w:pPr>
        <w:numPr>
          <w:ilvl w:val="0"/>
          <w:numId w:val="43"/>
        </w:numPr>
        <w:spacing w:line="276" w:lineRule="auto"/>
        <w:rPr>
          <w:sz w:val="24"/>
        </w:rPr>
      </w:pPr>
      <w:r>
        <w:rPr>
          <w:sz w:val="24"/>
        </w:rPr>
        <w:t>Other</w:t>
      </w:r>
    </w:p>
    <w:p w14:paraId="55884204" w14:textId="77777777" w:rsidR="00B8094A" w:rsidRDefault="00B8094A" w:rsidP="00B8094A"/>
    <w:p w14:paraId="04F7CDEA" w14:textId="5DE46DAB" w:rsidR="00B8094A" w:rsidRPr="00B8094A" w:rsidRDefault="00B8094A" w:rsidP="00B8094A">
      <w:pPr>
        <w:pStyle w:val="Heading2"/>
        <w:numPr>
          <w:ilvl w:val="0"/>
          <w:numId w:val="44"/>
        </w:numPr>
        <w:tabs>
          <w:tab w:val="num" w:pos="1209"/>
        </w:tabs>
        <w:ind w:left="709"/>
        <w:rPr>
          <w:b/>
          <w:i/>
          <w:sz w:val="28"/>
          <w:szCs w:val="28"/>
        </w:rPr>
      </w:pPr>
      <w:r>
        <w:rPr>
          <w:b/>
          <w:i/>
          <w:sz w:val="28"/>
          <w:szCs w:val="28"/>
        </w:rPr>
        <w:t>Conduct the fieldwork</w:t>
      </w:r>
    </w:p>
    <w:p w14:paraId="5096B586" w14:textId="40BEA507" w:rsidR="00B8094A" w:rsidRDefault="00B8094A" w:rsidP="00B8094A">
      <w:pPr>
        <w:pStyle w:val="Heading2"/>
        <w:spacing w:after="120"/>
        <w:ind w:left="709" w:hanging="709"/>
        <w:rPr>
          <w:sz w:val="24"/>
          <w:szCs w:val="24"/>
        </w:rPr>
      </w:pPr>
      <w:r w:rsidRPr="00B8094A">
        <w:rPr>
          <w:sz w:val="24"/>
          <w:szCs w:val="24"/>
        </w:rPr>
        <w:t>Subject to budgetary constraints, we propose that there should be 10 to 12 online focus groups, to last approximately 75 to 90 minutes, each with 6-10 participants.</w:t>
      </w:r>
      <w:bookmarkStart w:id="32" w:name="_heading=h.8egjob4jdt66" w:colFirst="0" w:colLast="0"/>
      <w:bookmarkEnd w:id="32"/>
    </w:p>
    <w:p w14:paraId="31DAA49C" w14:textId="77777777" w:rsidR="00B8094A" w:rsidRDefault="00B8094A" w:rsidP="00B8094A">
      <w:pPr>
        <w:spacing w:line="276" w:lineRule="auto"/>
        <w:ind w:left="720"/>
        <w:rPr>
          <w:sz w:val="24"/>
        </w:rPr>
      </w:pPr>
      <w:r>
        <w:rPr>
          <w:sz w:val="24"/>
        </w:rPr>
        <w:t xml:space="preserve">Proposed groups of participants: </w:t>
      </w:r>
    </w:p>
    <w:p w14:paraId="2BE9B4E3" w14:textId="77777777" w:rsidR="00B8094A" w:rsidRDefault="00B8094A" w:rsidP="00B8094A">
      <w:pPr>
        <w:numPr>
          <w:ilvl w:val="0"/>
          <w:numId w:val="39"/>
        </w:numPr>
        <w:spacing w:line="276" w:lineRule="auto"/>
        <w:rPr>
          <w:rFonts w:eastAsia="Arial"/>
          <w:sz w:val="24"/>
        </w:rPr>
      </w:pPr>
      <w:r>
        <w:rPr>
          <w:sz w:val="24"/>
        </w:rPr>
        <w:t xml:space="preserve">White British </w:t>
      </w:r>
    </w:p>
    <w:p w14:paraId="3FCD357E" w14:textId="77777777" w:rsidR="00B8094A" w:rsidRDefault="00B8094A" w:rsidP="00B8094A">
      <w:pPr>
        <w:numPr>
          <w:ilvl w:val="0"/>
          <w:numId w:val="39"/>
        </w:numPr>
        <w:spacing w:line="276" w:lineRule="auto"/>
        <w:rPr>
          <w:rFonts w:eastAsia="Arial"/>
          <w:sz w:val="24"/>
        </w:rPr>
      </w:pPr>
      <w:r>
        <w:rPr>
          <w:sz w:val="24"/>
        </w:rPr>
        <w:t>White Other</w:t>
      </w:r>
    </w:p>
    <w:p w14:paraId="3E89F21F" w14:textId="77777777" w:rsidR="00B8094A" w:rsidRDefault="00B8094A" w:rsidP="00B8094A">
      <w:pPr>
        <w:numPr>
          <w:ilvl w:val="0"/>
          <w:numId w:val="39"/>
        </w:numPr>
        <w:spacing w:line="276" w:lineRule="auto"/>
        <w:rPr>
          <w:rFonts w:eastAsia="Arial"/>
          <w:sz w:val="24"/>
        </w:rPr>
      </w:pPr>
      <w:r>
        <w:rPr>
          <w:sz w:val="24"/>
        </w:rPr>
        <w:t>Mixed</w:t>
      </w:r>
    </w:p>
    <w:p w14:paraId="4D1A76D0" w14:textId="77777777" w:rsidR="00B8094A" w:rsidRDefault="00B8094A" w:rsidP="00B8094A">
      <w:pPr>
        <w:numPr>
          <w:ilvl w:val="0"/>
          <w:numId w:val="39"/>
        </w:numPr>
        <w:spacing w:line="276" w:lineRule="auto"/>
        <w:rPr>
          <w:rFonts w:eastAsia="Arial"/>
          <w:sz w:val="24"/>
        </w:rPr>
      </w:pPr>
      <w:r>
        <w:rPr>
          <w:sz w:val="24"/>
        </w:rPr>
        <w:t>Black African, Black Caribbean or Black Other</w:t>
      </w:r>
    </w:p>
    <w:p w14:paraId="0B4CE474" w14:textId="77777777" w:rsidR="00B8094A" w:rsidRDefault="00B8094A" w:rsidP="00B8094A">
      <w:pPr>
        <w:numPr>
          <w:ilvl w:val="0"/>
          <w:numId w:val="39"/>
        </w:numPr>
        <w:spacing w:line="276" w:lineRule="auto"/>
        <w:rPr>
          <w:rFonts w:eastAsia="Arial"/>
          <w:sz w:val="24"/>
        </w:rPr>
      </w:pPr>
      <w:r>
        <w:rPr>
          <w:sz w:val="24"/>
        </w:rPr>
        <w:t xml:space="preserve">Indian, Pakistani, Bangladeshi [South Asian] </w:t>
      </w:r>
    </w:p>
    <w:p w14:paraId="1FE4F648" w14:textId="77777777" w:rsidR="00B8094A" w:rsidRDefault="00B8094A" w:rsidP="00B8094A">
      <w:pPr>
        <w:numPr>
          <w:ilvl w:val="0"/>
          <w:numId w:val="39"/>
        </w:numPr>
        <w:spacing w:line="276" w:lineRule="auto"/>
        <w:rPr>
          <w:rFonts w:eastAsia="Arial"/>
          <w:sz w:val="24"/>
        </w:rPr>
      </w:pPr>
      <w:r>
        <w:rPr>
          <w:sz w:val="24"/>
        </w:rPr>
        <w:t>Chinese or Asian Other [East Asian]</w:t>
      </w:r>
    </w:p>
    <w:p w14:paraId="2DC8EE37" w14:textId="77777777" w:rsidR="00B8094A" w:rsidRDefault="00B8094A" w:rsidP="00B8094A">
      <w:pPr>
        <w:numPr>
          <w:ilvl w:val="0"/>
          <w:numId w:val="39"/>
        </w:numPr>
        <w:spacing w:line="276" w:lineRule="auto"/>
        <w:rPr>
          <w:rFonts w:eastAsia="Arial"/>
          <w:sz w:val="24"/>
        </w:rPr>
      </w:pPr>
      <w:r>
        <w:rPr>
          <w:sz w:val="24"/>
        </w:rPr>
        <w:t>Other (+ Arab, black other and Asian other)</w:t>
      </w:r>
    </w:p>
    <w:p w14:paraId="10678774" w14:textId="77777777" w:rsidR="00B8094A" w:rsidRDefault="00B8094A" w:rsidP="00B8094A">
      <w:pPr>
        <w:numPr>
          <w:ilvl w:val="0"/>
          <w:numId w:val="39"/>
        </w:numPr>
        <w:spacing w:line="276" w:lineRule="auto"/>
        <w:rPr>
          <w:rFonts w:eastAsia="Arial"/>
          <w:sz w:val="24"/>
        </w:rPr>
      </w:pPr>
      <w:r>
        <w:rPr>
          <w:sz w:val="24"/>
        </w:rPr>
        <w:t>Young people 18-24 (of various ethnicities)</w:t>
      </w:r>
    </w:p>
    <w:p w14:paraId="6EC42DF3" w14:textId="77777777" w:rsidR="00B8094A" w:rsidRDefault="00B8094A" w:rsidP="00B8094A">
      <w:pPr>
        <w:numPr>
          <w:ilvl w:val="0"/>
          <w:numId w:val="39"/>
        </w:numPr>
        <w:spacing w:line="276" w:lineRule="auto"/>
        <w:rPr>
          <w:rFonts w:eastAsia="Arial"/>
          <w:sz w:val="24"/>
        </w:rPr>
      </w:pPr>
      <w:r>
        <w:rPr>
          <w:sz w:val="24"/>
        </w:rPr>
        <w:t>Lower education level (of various ethnicities)</w:t>
      </w:r>
    </w:p>
    <w:p w14:paraId="6CCDE517" w14:textId="4A9EB00C" w:rsidR="00B8094A" w:rsidRPr="00B8094A" w:rsidRDefault="00B8094A" w:rsidP="00B8094A">
      <w:pPr>
        <w:numPr>
          <w:ilvl w:val="0"/>
          <w:numId w:val="39"/>
        </w:numPr>
        <w:spacing w:line="276" w:lineRule="auto"/>
        <w:rPr>
          <w:rFonts w:eastAsia="Arial"/>
          <w:sz w:val="24"/>
        </w:rPr>
      </w:pPr>
      <w:r>
        <w:rPr>
          <w:sz w:val="24"/>
        </w:rPr>
        <w:t>Higher education level (of various ethnicities)</w:t>
      </w:r>
    </w:p>
    <w:p w14:paraId="61FD9811" w14:textId="4BDC9824" w:rsidR="00446C5F" w:rsidRDefault="00B8094A" w:rsidP="00446C5F">
      <w:pPr>
        <w:pStyle w:val="Heading2"/>
        <w:spacing w:after="120"/>
        <w:ind w:left="709" w:hanging="709"/>
        <w:rPr>
          <w:sz w:val="24"/>
          <w:szCs w:val="24"/>
        </w:rPr>
      </w:pPr>
      <w:r w:rsidRPr="00B8094A">
        <w:rPr>
          <w:sz w:val="24"/>
          <w:szCs w:val="24"/>
        </w:rPr>
        <w:t>Focus groups should be supplemented with depth interviews, potentially considering a few different design/recruitment approaches:</w:t>
      </w:r>
    </w:p>
    <w:p w14:paraId="7B08402F" w14:textId="77777777" w:rsidR="00446C5F" w:rsidRDefault="00446C5F" w:rsidP="00446C5F">
      <w:pPr>
        <w:numPr>
          <w:ilvl w:val="0"/>
          <w:numId w:val="47"/>
        </w:numPr>
        <w:spacing w:line="276" w:lineRule="auto"/>
        <w:rPr>
          <w:sz w:val="24"/>
        </w:rPr>
      </w:pPr>
      <w:r>
        <w:rPr>
          <w:sz w:val="24"/>
        </w:rPr>
        <w:lastRenderedPageBreak/>
        <w:t>Sampled randomly from focus group attendants (who have consented to further research).</w:t>
      </w:r>
    </w:p>
    <w:p w14:paraId="06935698" w14:textId="77777777" w:rsidR="00446C5F" w:rsidRDefault="00446C5F" w:rsidP="00446C5F">
      <w:pPr>
        <w:spacing w:line="276" w:lineRule="auto"/>
        <w:rPr>
          <w:sz w:val="24"/>
        </w:rPr>
      </w:pPr>
    </w:p>
    <w:p w14:paraId="5D6DC116" w14:textId="77777777" w:rsidR="00446C5F" w:rsidRDefault="00446C5F" w:rsidP="00446C5F">
      <w:pPr>
        <w:numPr>
          <w:ilvl w:val="0"/>
          <w:numId w:val="47"/>
        </w:numPr>
        <w:spacing w:line="276" w:lineRule="auto"/>
        <w:rPr>
          <w:sz w:val="24"/>
        </w:rPr>
      </w:pPr>
      <w:r>
        <w:rPr>
          <w:sz w:val="24"/>
        </w:rPr>
        <w:t>Sampled purposefully from focus group attendants who have proved to be an interesting case study (and have consented to further research)</w:t>
      </w:r>
    </w:p>
    <w:p w14:paraId="569547DA" w14:textId="77777777" w:rsidR="00446C5F" w:rsidRDefault="00446C5F" w:rsidP="00446C5F">
      <w:pPr>
        <w:spacing w:line="276" w:lineRule="auto"/>
        <w:ind w:firstLine="720"/>
        <w:rPr>
          <w:sz w:val="24"/>
        </w:rPr>
      </w:pPr>
    </w:p>
    <w:p w14:paraId="37F24E63" w14:textId="77777777" w:rsidR="00446C5F" w:rsidRDefault="00446C5F" w:rsidP="00446C5F">
      <w:pPr>
        <w:numPr>
          <w:ilvl w:val="0"/>
          <w:numId w:val="47"/>
        </w:numPr>
        <w:spacing w:line="276" w:lineRule="auto"/>
        <w:rPr>
          <w:sz w:val="24"/>
        </w:rPr>
      </w:pPr>
      <w:r>
        <w:rPr>
          <w:sz w:val="24"/>
        </w:rPr>
        <w:t>Focused on specific populations/topics:</w:t>
      </w:r>
    </w:p>
    <w:p w14:paraId="65B5FDC9" w14:textId="77777777" w:rsidR="00446C5F" w:rsidRDefault="00446C5F" w:rsidP="00446C5F">
      <w:pPr>
        <w:numPr>
          <w:ilvl w:val="0"/>
          <w:numId w:val="46"/>
        </w:numPr>
        <w:spacing w:line="276" w:lineRule="auto"/>
        <w:rPr>
          <w:sz w:val="24"/>
        </w:rPr>
      </w:pPr>
      <w:r>
        <w:rPr>
          <w:sz w:val="24"/>
        </w:rPr>
        <w:t>Mixed and complex mixed ethnic groups</w:t>
      </w:r>
    </w:p>
    <w:p w14:paraId="11D5EF59" w14:textId="77777777" w:rsidR="00446C5F" w:rsidRDefault="00446C5F" w:rsidP="00446C5F">
      <w:pPr>
        <w:numPr>
          <w:ilvl w:val="0"/>
          <w:numId w:val="46"/>
        </w:numPr>
        <w:spacing w:line="276" w:lineRule="auto"/>
        <w:rPr>
          <w:sz w:val="24"/>
        </w:rPr>
      </w:pPr>
      <w:r>
        <w:rPr>
          <w:sz w:val="24"/>
        </w:rPr>
        <w:t>Individuals who struggle to answer an ethnicity question</w:t>
      </w:r>
    </w:p>
    <w:p w14:paraId="574BEF50" w14:textId="77777777" w:rsidR="00446C5F" w:rsidRDefault="00446C5F" w:rsidP="00446C5F">
      <w:pPr>
        <w:numPr>
          <w:ilvl w:val="0"/>
          <w:numId w:val="46"/>
        </w:numPr>
        <w:spacing w:line="276" w:lineRule="auto"/>
        <w:rPr>
          <w:sz w:val="24"/>
        </w:rPr>
      </w:pPr>
      <w:r>
        <w:rPr>
          <w:sz w:val="24"/>
        </w:rPr>
        <w:t>Respondents who identify their nationality or religion as their primary identity</w:t>
      </w:r>
    </w:p>
    <w:p w14:paraId="1728C2EE" w14:textId="77777777" w:rsidR="00446C5F" w:rsidRDefault="00446C5F" w:rsidP="00446C5F">
      <w:pPr>
        <w:numPr>
          <w:ilvl w:val="0"/>
          <w:numId w:val="46"/>
        </w:numPr>
        <w:spacing w:line="276" w:lineRule="auto"/>
        <w:rPr>
          <w:sz w:val="24"/>
        </w:rPr>
      </w:pPr>
      <w:r>
        <w:rPr>
          <w:sz w:val="24"/>
        </w:rPr>
        <w:t>Ethnic minorities who identify primarily as British</w:t>
      </w:r>
    </w:p>
    <w:p w14:paraId="11CAE966" w14:textId="77777777" w:rsidR="00446C5F" w:rsidRDefault="00446C5F" w:rsidP="00446C5F">
      <w:pPr>
        <w:spacing w:line="276" w:lineRule="auto"/>
        <w:rPr>
          <w:sz w:val="24"/>
        </w:rPr>
      </w:pPr>
    </w:p>
    <w:p w14:paraId="3068A5BA" w14:textId="77777777" w:rsidR="00446C5F" w:rsidRDefault="00446C5F" w:rsidP="00446C5F">
      <w:pPr>
        <w:spacing w:line="276" w:lineRule="auto"/>
        <w:rPr>
          <w:sz w:val="24"/>
        </w:rPr>
      </w:pPr>
      <w:r>
        <w:rPr>
          <w:sz w:val="24"/>
        </w:rPr>
        <w:t>We welcome proposals using alternative research designs or emphasis in order to meet our research needs.</w:t>
      </w:r>
    </w:p>
    <w:p w14:paraId="39AAA8D6" w14:textId="77777777" w:rsidR="00446C5F" w:rsidRDefault="00446C5F" w:rsidP="00446C5F">
      <w:pPr>
        <w:spacing w:line="276" w:lineRule="auto"/>
      </w:pPr>
    </w:p>
    <w:p w14:paraId="68C57AE3" w14:textId="1CBD5FA3" w:rsidR="00446C5F" w:rsidRPr="00446C5F" w:rsidRDefault="00446C5F" w:rsidP="00446C5F">
      <w:pPr>
        <w:pStyle w:val="Heading2"/>
        <w:numPr>
          <w:ilvl w:val="0"/>
          <w:numId w:val="44"/>
        </w:numPr>
        <w:tabs>
          <w:tab w:val="num" w:pos="1209"/>
        </w:tabs>
        <w:ind w:left="709"/>
        <w:rPr>
          <w:b/>
          <w:i/>
          <w:sz w:val="28"/>
          <w:szCs w:val="28"/>
        </w:rPr>
      </w:pPr>
      <w:r>
        <w:rPr>
          <w:b/>
          <w:i/>
          <w:sz w:val="28"/>
          <w:szCs w:val="28"/>
        </w:rPr>
        <w:t>Reporting</w:t>
      </w:r>
    </w:p>
    <w:p w14:paraId="0C1D4AD1" w14:textId="77777777" w:rsidR="00446C5F" w:rsidRDefault="00B8094A" w:rsidP="00446C5F">
      <w:pPr>
        <w:pStyle w:val="Heading2"/>
        <w:numPr>
          <w:ilvl w:val="0"/>
          <w:numId w:val="0"/>
        </w:numPr>
        <w:spacing w:after="120"/>
        <w:ind w:left="709"/>
        <w:rPr>
          <w:sz w:val="24"/>
          <w:szCs w:val="24"/>
        </w:rPr>
      </w:pPr>
      <w:r w:rsidRPr="00446C5F">
        <w:rPr>
          <w:sz w:val="24"/>
          <w:szCs w:val="24"/>
          <w:u w:val="single"/>
        </w:rPr>
        <w:t>Headline findings</w:t>
      </w:r>
    </w:p>
    <w:p w14:paraId="6E98BA7A" w14:textId="77777777" w:rsidR="00446C5F" w:rsidRDefault="00B8094A" w:rsidP="00446C5F">
      <w:pPr>
        <w:pStyle w:val="Heading2"/>
        <w:spacing w:after="120"/>
        <w:ind w:left="709" w:hanging="709"/>
        <w:rPr>
          <w:sz w:val="24"/>
          <w:szCs w:val="24"/>
        </w:rPr>
      </w:pPr>
      <w:r w:rsidRPr="00446C5F">
        <w:rPr>
          <w:sz w:val="24"/>
          <w:szCs w:val="24"/>
        </w:rPr>
        <w:t xml:space="preserve">The thematic analysis will provide key evidence to support further engagement and to determine the recommendations the government makes on ethnicity terminology and how this language is used when collecting data. As such it is expected that findings be communicated by the Supplier to the Authority as soon as available in order to inform key decisions.   </w:t>
      </w:r>
    </w:p>
    <w:p w14:paraId="07510FEC" w14:textId="77777777" w:rsidR="00446C5F" w:rsidRDefault="00B8094A" w:rsidP="00446C5F">
      <w:pPr>
        <w:pStyle w:val="Heading2"/>
        <w:spacing w:after="120"/>
        <w:ind w:left="709" w:hanging="709"/>
        <w:rPr>
          <w:sz w:val="24"/>
          <w:szCs w:val="24"/>
        </w:rPr>
      </w:pPr>
      <w:r w:rsidRPr="00446C5F">
        <w:rPr>
          <w:sz w:val="24"/>
          <w:szCs w:val="24"/>
        </w:rPr>
        <w:t>All provisional findings/data should be provided to the Authority by the deadlines outlined in the timetable below.  This data shall be used for internal purposes only at this stage, therefore outputs need not be fully designed, however should be presented in a clear and accessible manner in order that these may be shared with internal colleagues and stakeholders as necessary.</w:t>
      </w:r>
    </w:p>
    <w:p w14:paraId="36D3859F" w14:textId="77777777" w:rsidR="00446C5F" w:rsidRDefault="00B8094A" w:rsidP="00446C5F">
      <w:pPr>
        <w:pStyle w:val="Heading2"/>
        <w:spacing w:after="120"/>
        <w:ind w:left="709" w:hanging="709"/>
        <w:rPr>
          <w:sz w:val="24"/>
          <w:szCs w:val="24"/>
        </w:rPr>
      </w:pPr>
      <w:r w:rsidRPr="00446C5F">
        <w:rPr>
          <w:sz w:val="24"/>
          <w:szCs w:val="24"/>
        </w:rPr>
        <w:t>Data and headlines should be fully quality assured before being submitted to the Authority.  To note that the Authority may wish to view responses to focus group questions and the Supplier should support this activity where requested.</w:t>
      </w:r>
    </w:p>
    <w:p w14:paraId="62DC5C3D" w14:textId="3ACB8DF7" w:rsidR="00446C5F" w:rsidRDefault="00B8094A" w:rsidP="00446C5F">
      <w:pPr>
        <w:pStyle w:val="Heading2"/>
        <w:spacing w:after="120"/>
        <w:ind w:left="709" w:hanging="709"/>
        <w:rPr>
          <w:sz w:val="24"/>
          <w:szCs w:val="24"/>
        </w:rPr>
      </w:pPr>
      <w:r w:rsidRPr="00446C5F">
        <w:rPr>
          <w:sz w:val="24"/>
          <w:szCs w:val="24"/>
        </w:rPr>
        <w:t>It is anticipated that the Supplier will hold informal discussions with the Authority on the headline findings to aid understanding of findings, clarify the scope and focus of analysis, and ensure that policy questions of interest are covered where possible.   It is anticipated that these discussions will form part of the project management meetings (as outlined in paragraph 6.6), therefore no further costs should be allocated for such discussions.</w:t>
      </w:r>
    </w:p>
    <w:p w14:paraId="2E121599" w14:textId="06D35265" w:rsidR="00446C5F" w:rsidRDefault="00446C5F" w:rsidP="00446C5F">
      <w:pPr>
        <w:pStyle w:val="Heading2"/>
        <w:numPr>
          <w:ilvl w:val="0"/>
          <w:numId w:val="0"/>
        </w:numPr>
        <w:spacing w:after="120"/>
        <w:ind w:left="709"/>
        <w:rPr>
          <w:sz w:val="24"/>
          <w:szCs w:val="24"/>
        </w:rPr>
      </w:pPr>
      <w:r>
        <w:rPr>
          <w:sz w:val="24"/>
          <w:szCs w:val="24"/>
          <w:u w:val="single"/>
        </w:rPr>
        <w:t>Final report(s)</w:t>
      </w:r>
    </w:p>
    <w:p w14:paraId="4EF58B19" w14:textId="607B9E10" w:rsidR="00446C5F" w:rsidRDefault="00B8094A" w:rsidP="00446C5F">
      <w:pPr>
        <w:pStyle w:val="Heading2"/>
        <w:spacing w:after="120"/>
        <w:ind w:left="709" w:hanging="709"/>
        <w:rPr>
          <w:sz w:val="24"/>
          <w:szCs w:val="24"/>
        </w:rPr>
      </w:pPr>
      <w:r w:rsidRPr="00446C5F">
        <w:rPr>
          <w:sz w:val="24"/>
          <w:szCs w:val="24"/>
        </w:rPr>
        <w:t xml:space="preserve">The Supplier is required to produce provisional findings from the focus groups by </w:t>
      </w:r>
      <w:r w:rsidRPr="00446C5F">
        <w:rPr>
          <w:b/>
          <w:sz w:val="24"/>
          <w:szCs w:val="24"/>
        </w:rPr>
        <w:t xml:space="preserve">November 2022 </w:t>
      </w:r>
      <w:r w:rsidRPr="00446C5F">
        <w:rPr>
          <w:sz w:val="24"/>
          <w:szCs w:val="24"/>
        </w:rPr>
        <w:t xml:space="preserve">and a final report by </w:t>
      </w:r>
      <w:r w:rsidRPr="00446C5F">
        <w:rPr>
          <w:b/>
          <w:sz w:val="24"/>
          <w:szCs w:val="24"/>
        </w:rPr>
        <w:t>December 2022</w:t>
      </w:r>
      <w:r w:rsidRPr="00446C5F">
        <w:rPr>
          <w:sz w:val="24"/>
          <w:szCs w:val="24"/>
        </w:rPr>
        <w:t xml:space="preserve">, leading up to publication in January 2023 (publication to be arranged with the Authority). The </w:t>
      </w:r>
      <w:r w:rsidRPr="00446C5F">
        <w:rPr>
          <w:sz w:val="24"/>
          <w:szCs w:val="24"/>
        </w:rPr>
        <w:lastRenderedPageBreak/>
        <w:t>final report and all related outputs, survey materials and data remain the intellectual property of the Authority. Decisions regarding the timings and format of reports will be taken by the Authority.</w:t>
      </w:r>
    </w:p>
    <w:p w14:paraId="72E8D279" w14:textId="77777777" w:rsidR="00446C5F" w:rsidRDefault="00B8094A" w:rsidP="00446C5F">
      <w:pPr>
        <w:pStyle w:val="Heading2"/>
        <w:spacing w:after="120"/>
        <w:ind w:left="709" w:hanging="709"/>
        <w:rPr>
          <w:sz w:val="24"/>
          <w:szCs w:val="24"/>
        </w:rPr>
      </w:pPr>
      <w:r w:rsidRPr="00446C5F">
        <w:rPr>
          <w:sz w:val="24"/>
          <w:szCs w:val="24"/>
        </w:rPr>
        <w:t xml:space="preserve">All such reporting (including annexes) should be accessible to a range of audiences, and pay particular regard to explaining findings in an understandable manner, avoiding technical jargon where possible. The final report should also be focused in terms of length, and it is anticipated that this be no more than 10 pages, including a </w:t>
      </w:r>
      <w:proofErr w:type="gramStart"/>
      <w:r w:rsidRPr="00446C5F">
        <w:rPr>
          <w:sz w:val="24"/>
          <w:szCs w:val="24"/>
        </w:rPr>
        <w:t>1 page</w:t>
      </w:r>
      <w:proofErr w:type="gramEnd"/>
      <w:r w:rsidRPr="00446C5F">
        <w:rPr>
          <w:sz w:val="24"/>
          <w:szCs w:val="24"/>
        </w:rPr>
        <w:t xml:space="preserve"> executive summary; it will include headline findings and a clear section on methodology. The Authority is open to innovative and/or alternative ways of presenting the findings.</w:t>
      </w:r>
    </w:p>
    <w:p w14:paraId="5B0F52B0" w14:textId="77777777" w:rsidR="00446C5F" w:rsidRDefault="00B8094A" w:rsidP="00446C5F">
      <w:pPr>
        <w:pStyle w:val="Heading2"/>
        <w:spacing w:after="120"/>
        <w:ind w:left="709" w:hanging="709"/>
        <w:rPr>
          <w:sz w:val="24"/>
          <w:szCs w:val="24"/>
        </w:rPr>
      </w:pPr>
      <w:r w:rsidRPr="00446C5F">
        <w:rPr>
          <w:sz w:val="24"/>
          <w:szCs w:val="24"/>
        </w:rPr>
        <w:t>The reports should be sent to the Authority prior to publication for final approval and for discussion by the supporting advisory groups. Sufficient clearance should be built into timescales for publication in order to accommodate this activity.</w:t>
      </w:r>
    </w:p>
    <w:p w14:paraId="51FE8A7C" w14:textId="77777777" w:rsidR="00446C5F" w:rsidRDefault="00B8094A" w:rsidP="00446C5F">
      <w:pPr>
        <w:pStyle w:val="Heading2"/>
        <w:spacing w:after="120"/>
        <w:ind w:left="709" w:hanging="709"/>
        <w:rPr>
          <w:sz w:val="24"/>
          <w:szCs w:val="24"/>
        </w:rPr>
      </w:pPr>
      <w:r w:rsidRPr="00446C5F">
        <w:rPr>
          <w:sz w:val="24"/>
          <w:szCs w:val="24"/>
        </w:rPr>
        <w:t>The Authority requires that near final drafts be fully proof read and signed-off by the Supplier to enable complete and efficient sign-off.</w:t>
      </w:r>
    </w:p>
    <w:p w14:paraId="0A4FAA5D" w14:textId="77777777" w:rsidR="00446C5F" w:rsidRDefault="00B8094A" w:rsidP="00446C5F">
      <w:pPr>
        <w:pStyle w:val="Heading2"/>
        <w:spacing w:after="120"/>
        <w:ind w:left="709" w:hanging="709"/>
        <w:rPr>
          <w:sz w:val="24"/>
          <w:szCs w:val="24"/>
        </w:rPr>
      </w:pPr>
      <w:r w:rsidRPr="00446C5F">
        <w:rPr>
          <w:sz w:val="24"/>
          <w:szCs w:val="24"/>
        </w:rPr>
        <w:t xml:space="preserve">The final reports may use the Supplier’s own house style, and must be submitted to the Authority at least 2 weeks in advance of publication.  The final publication dates will be agreed between the Authority </w:t>
      </w:r>
      <w:proofErr w:type="gramStart"/>
      <w:r w:rsidRPr="00446C5F">
        <w:rPr>
          <w:sz w:val="24"/>
          <w:szCs w:val="24"/>
        </w:rPr>
        <w:t>and  the</w:t>
      </w:r>
      <w:proofErr w:type="gramEnd"/>
      <w:r w:rsidRPr="00446C5F">
        <w:rPr>
          <w:sz w:val="24"/>
          <w:szCs w:val="24"/>
        </w:rPr>
        <w:t xml:space="preserve"> Supplier in due course.</w:t>
      </w:r>
      <w:bookmarkStart w:id="33" w:name="_heading=h.jgp23jikionc" w:colFirst="0" w:colLast="0"/>
      <w:bookmarkEnd w:id="33"/>
    </w:p>
    <w:p w14:paraId="04455347" w14:textId="77777777" w:rsidR="00446C5F" w:rsidRDefault="00B8094A" w:rsidP="00446C5F">
      <w:pPr>
        <w:pStyle w:val="Heading2"/>
        <w:spacing w:after="120"/>
        <w:ind w:left="709" w:hanging="709"/>
        <w:rPr>
          <w:sz w:val="24"/>
          <w:szCs w:val="24"/>
        </w:rPr>
      </w:pPr>
      <w:r w:rsidRPr="00446C5F">
        <w:rPr>
          <w:sz w:val="24"/>
          <w:szCs w:val="24"/>
        </w:rPr>
        <w:t>The Supplier is required to work closely with the Authority upon publication and ensure all communications are coordinated.  Any communication materials to be used by the Supplier should be submitted to the Authority for sign-off or agreement before use.</w:t>
      </w:r>
      <w:bookmarkStart w:id="34" w:name="_heading=h.yw793def60do" w:colFirst="0" w:colLast="0"/>
      <w:bookmarkStart w:id="35" w:name="_heading=h.fng8d8e6y2wt" w:colFirst="0" w:colLast="0"/>
      <w:bookmarkEnd w:id="34"/>
      <w:bookmarkEnd w:id="35"/>
    </w:p>
    <w:p w14:paraId="349CFBC7" w14:textId="46E90038" w:rsidR="00446C5F" w:rsidRPr="00446C5F" w:rsidRDefault="00446C5F" w:rsidP="00446C5F">
      <w:pPr>
        <w:pStyle w:val="Heading2"/>
        <w:numPr>
          <w:ilvl w:val="0"/>
          <w:numId w:val="0"/>
        </w:numPr>
        <w:spacing w:after="120"/>
        <w:ind w:left="709"/>
        <w:rPr>
          <w:sz w:val="24"/>
          <w:szCs w:val="24"/>
        </w:rPr>
      </w:pPr>
      <w:r w:rsidRPr="00446C5F">
        <w:rPr>
          <w:sz w:val="24"/>
          <w:szCs w:val="24"/>
          <w:u w:val="single"/>
        </w:rPr>
        <w:t>Data</w:t>
      </w:r>
    </w:p>
    <w:p w14:paraId="543EC2CB" w14:textId="0F47C1C4" w:rsidR="00B8094A" w:rsidRPr="00446C5F" w:rsidRDefault="00B8094A" w:rsidP="00446C5F">
      <w:pPr>
        <w:pStyle w:val="Heading2"/>
        <w:spacing w:after="120"/>
        <w:ind w:left="709" w:hanging="709"/>
        <w:rPr>
          <w:sz w:val="24"/>
          <w:szCs w:val="24"/>
        </w:rPr>
      </w:pPr>
      <w:r w:rsidRPr="00446C5F">
        <w:rPr>
          <w:sz w:val="24"/>
          <w:szCs w:val="24"/>
        </w:rPr>
        <w:t>The Supplier should provide full anonymised coded transcripts to the Authority within two (2) weeks of the end of fieldwork for use for internal analysis.  This includes sample sizes and attendee characteristics.  Supporting documentation should also be provided.</w:t>
      </w:r>
    </w:p>
    <w:p w14:paraId="35734D9E" w14:textId="54CCFB79" w:rsidR="00671798" w:rsidRPr="001A45DF" w:rsidRDefault="00FE18AC">
      <w:pPr>
        <w:pStyle w:val="Heading1"/>
        <w:spacing w:after="120"/>
        <w:rPr>
          <w:sz w:val="32"/>
          <w:szCs w:val="32"/>
        </w:rPr>
      </w:pPr>
      <w:bookmarkStart w:id="36" w:name="_Toc109740642"/>
      <w:r w:rsidRPr="001A45DF">
        <w:rPr>
          <w:sz w:val="32"/>
          <w:szCs w:val="32"/>
        </w:rPr>
        <w:t>key milestones</w:t>
      </w:r>
      <w:bookmarkEnd w:id="28"/>
      <w:r w:rsidR="00F0311A" w:rsidRPr="001A45DF">
        <w:rPr>
          <w:sz w:val="32"/>
          <w:szCs w:val="32"/>
        </w:rPr>
        <w:t xml:space="preserve"> and Deliverables</w:t>
      </w:r>
      <w:bookmarkEnd w:id="36"/>
    </w:p>
    <w:p w14:paraId="7832AEED" w14:textId="64DFD398" w:rsidR="0019728E" w:rsidRDefault="0019728E" w:rsidP="0019728E">
      <w:pPr>
        <w:pStyle w:val="Heading2"/>
        <w:spacing w:after="120"/>
        <w:ind w:left="709" w:hanging="709"/>
        <w:rPr>
          <w:sz w:val="24"/>
          <w:szCs w:val="24"/>
        </w:rPr>
      </w:pPr>
      <w:r w:rsidRPr="0019728E">
        <w:rPr>
          <w:sz w:val="24"/>
          <w:szCs w:val="24"/>
        </w:rPr>
        <w:t xml:space="preserve">The Authority will measure the quality of the Supplier’s delivery by delivering against the following timetable and milestones. It is expected that the Supplier shall be available to start work immediately on award of contract.  </w:t>
      </w:r>
      <w:bookmarkStart w:id="37" w:name="_heading=h.pty23nxpw7xw" w:colFirst="0" w:colLast="0"/>
      <w:bookmarkEnd w:id="37"/>
    </w:p>
    <w:p w14:paraId="72612687" w14:textId="77777777" w:rsidR="0019728E" w:rsidRDefault="0019728E" w:rsidP="0019728E">
      <w:pPr>
        <w:pStyle w:val="Heading2"/>
        <w:spacing w:after="120"/>
        <w:ind w:left="709" w:hanging="709"/>
        <w:rPr>
          <w:sz w:val="24"/>
          <w:szCs w:val="24"/>
        </w:rPr>
      </w:pPr>
      <w:r w:rsidRPr="0019728E">
        <w:rPr>
          <w:sz w:val="24"/>
          <w:szCs w:val="24"/>
        </w:rPr>
        <w:t xml:space="preserve">Potential Providers should confirm in their response that these timetables are acceptable, or outline clearly any alternative timings that will be put in place to ensure that fieldwork can commence in October 2022, and that headline findings and reports can be delivered to the above timings. </w:t>
      </w:r>
      <w:bookmarkStart w:id="38" w:name="_heading=h.9xr5frh0j66u" w:colFirst="0" w:colLast="0"/>
      <w:bookmarkEnd w:id="38"/>
    </w:p>
    <w:p w14:paraId="4D0E0CBA" w14:textId="2C07CD95" w:rsidR="00FE18AC" w:rsidRPr="0019728E" w:rsidRDefault="0019728E" w:rsidP="0019728E">
      <w:pPr>
        <w:pStyle w:val="Heading2"/>
        <w:tabs>
          <w:tab w:val="num" w:pos="862"/>
        </w:tabs>
        <w:spacing w:after="120"/>
        <w:ind w:left="709" w:hanging="709"/>
        <w:rPr>
          <w:sz w:val="24"/>
          <w:szCs w:val="24"/>
        </w:rPr>
      </w:pPr>
      <w:r w:rsidRPr="0019728E">
        <w:rPr>
          <w:sz w:val="24"/>
          <w:szCs w:val="24"/>
        </w:rPr>
        <w:t>The following indicative timetable sets out the proposed key stages and deliverables:</w:t>
      </w:r>
    </w:p>
    <w:tbl>
      <w:tblPr>
        <w:tblStyle w:val="TableGrid"/>
        <w:tblW w:w="5000" w:type="pct"/>
        <w:tblLook w:val="04A0" w:firstRow="1" w:lastRow="0" w:firstColumn="1" w:lastColumn="0" w:noHBand="0" w:noVBand="1"/>
      </w:tblPr>
      <w:tblGrid>
        <w:gridCol w:w="2671"/>
        <w:gridCol w:w="3947"/>
        <w:gridCol w:w="2401"/>
      </w:tblGrid>
      <w:tr w:rsidR="00FE18AC" w:rsidRPr="001A45DF" w14:paraId="6BF78E35" w14:textId="77777777" w:rsidTr="002C0A45">
        <w:tc>
          <w:tcPr>
            <w:tcW w:w="898" w:type="pct"/>
            <w:shd w:val="clear" w:color="auto" w:fill="B8CCE4" w:themeFill="accent1" w:themeFillTint="66"/>
            <w:vAlign w:val="center"/>
          </w:tcPr>
          <w:p w14:paraId="2F0B096C" w14:textId="2748D807" w:rsidR="00671798" w:rsidRPr="002C0A45" w:rsidRDefault="00FE18AC">
            <w:pPr>
              <w:pStyle w:val="Heading3"/>
              <w:numPr>
                <w:ilvl w:val="0"/>
                <w:numId w:val="0"/>
              </w:numPr>
              <w:spacing w:after="120"/>
              <w:jc w:val="center"/>
              <w:outlineLvl w:val="2"/>
              <w:rPr>
                <w:b/>
                <w:sz w:val="24"/>
                <w:szCs w:val="24"/>
              </w:rPr>
            </w:pPr>
            <w:r w:rsidRPr="002C0A45">
              <w:rPr>
                <w:b/>
                <w:sz w:val="24"/>
                <w:szCs w:val="24"/>
              </w:rPr>
              <w:t>Milestone</w:t>
            </w:r>
            <w:r w:rsidR="00F0311A" w:rsidRPr="002C0A45">
              <w:rPr>
                <w:b/>
                <w:sz w:val="24"/>
                <w:szCs w:val="24"/>
              </w:rPr>
              <w:t>/Deliverable</w:t>
            </w:r>
          </w:p>
        </w:tc>
        <w:tc>
          <w:tcPr>
            <w:tcW w:w="2480" w:type="pct"/>
            <w:shd w:val="clear" w:color="auto" w:fill="B8CCE4" w:themeFill="accent1" w:themeFillTint="66"/>
            <w:vAlign w:val="center"/>
          </w:tcPr>
          <w:p w14:paraId="55754382" w14:textId="77777777" w:rsidR="00671798" w:rsidRPr="002C0A45" w:rsidRDefault="00FE18AC">
            <w:pPr>
              <w:pStyle w:val="Heading3"/>
              <w:numPr>
                <w:ilvl w:val="0"/>
                <w:numId w:val="0"/>
              </w:numPr>
              <w:spacing w:after="120"/>
              <w:jc w:val="center"/>
              <w:outlineLvl w:val="2"/>
              <w:rPr>
                <w:b/>
                <w:sz w:val="24"/>
                <w:szCs w:val="24"/>
              </w:rPr>
            </w:pPr>
            <w:r w:rsidRPr="002C0A45">
              <w:rPr>
                <w:b/>
                <w:sz w:val="24"/>
                <w:szCs w:val="24"/>
              </w:rPr>
              <w:t>Description</w:t>
            </w:r>
          </w:p>
        </w:tc>
        <w:tc>
          <w:tcPr>
            <w:tcW w:w="1622" w:type="pct"/>
            <w:shd w:val="clear" w:color="auto" w:fill="B8CCE4" w:themeFill="accent1" w:themeFillTint="66"/>
            <w:vAlign w:val="center"/>
          </w:tcPr>
          <w:p w14:paraId="0EABB2D0" w14:textId="37F8D3A0" w:rsidR="00671798" w:rsidRPr="002C0A45" w:rsidRDefault="00FE18AC" w:rsidP="007E5DC2">
            <w:pPr>
              <w:pStyle w:val="Heading3"/>
              <w:numPr>
                <w:ilvl w:val="0"/>
                <w:numId w:val="0"/>
              </w:numPr>
              <w:spacing w:after="120"/>
              <w:jc w:val="center"/>
              <w:outlineLvl w:val="2"/>
              <w:rPr>
                <w:b/>
                <w:sz w:val="24"/>
                <w:szCs w:val="24"/>
              </w:rPr>
            </w:pPr>
            <w:r w:rsidRPr="002C0A45">
              <w:rPr>
                <w:b/>
                <w:sz w:val="24"/>
                <w:szCs w:val="24"/>
              </w:rPr>
              <w:t>Timeframe</w:t>
            </w:r>
            <w:r w:rsidR="00F0311A" w:rsidRPr="002C0A45">
              <w:rPr>
                <w:b/>
                <w:sz w:val="24"/>
                <w:szCs w:val="24"/>
              </w:rPr>
              <w:t xml:space="preserve"> or Delivery Date</w:t>
            </w:r>
          </w:p>
        </w:tc>
      </w:tr>
      <w:tr w:rsidR="00FE18AC" w:rsidRPr="001A45DF" w14:paraId="2B6EAC37" w14:textId="77777777" w:rsidTr="00C754EB">
        <w:tc>
          <w:tcPr>
            <w:tcW w:w="898" w:type="pct"/>
            <w:shd w:val="clear" w:color="auto" w:fill="auto"/>
            <w:vAlign w:val="center"/>
          </w:tcPr>
          <w:p w14:paraId="13176D62" w14:textId="5643B128" w:rsidR="00671798" w:rsidRPr="00C754EB" w:rsidRDefault="008265CE">
            <w:pPr>
              <w:pStyle w:val="Heading3"/>
              <w:numPr>
                <w:ilvl w:val="0"/>
                <w:numId w:val="0"/>
              </w:numPr>
              <w:spacing w:after="120"/>
              <w:jc w:val="center"/>
              <w:outlineLvl w:val="2"/>
              <w:rPr>
                <w:sz w:val="24"/>
                <w:szCs w:val="24"/>
              </w:rPr>
            </w:pPr>
            <w:r w:rsidRPr="00C754EB">
              <w:rPr>
                <w:sz w:val="24"/>
                <w:szCs w:val="24"/>
              </w:rPr>
              <w:lastRenderedPageBreak/>
              <w:t>1</w:t>
            </w:r>
          </w:p>
        </w:tc>
        <w:tc>
          <w:tcPr>
            <w:tcW w:w="2480" w:type="pct"/>
            <w:shd w:val="clear" w:color="auto" w:fill="auto"/>
            <w:vAlign w:val="center"/>
          </w:tcPr>
          <w:p w14:paraId="04CC1243" w14:textId="47CCC882" w:rsidR="008265CE" w:rsidRPr="00C754EB" w:rsidRDefault="008265CE" w:rsidP="00CD38F0">
            <w:pPr>
              <w:pStyle w:val="Heading3"/>
              <w:numPr>
                <w:ilvl w:val="0"/>
                <w:numId w:val="0"/>
              </w:numPr>
              <w:spacing w:after="120"/>
              <w:jc w:val="left"/>
              <w:outlineLvl w:val="2"/>
              <w:rPr>
                <w:sz w:val="24"/>
                <w:szCs w:val="24"/>
              </w:rPr>
            </w:pPr>
            <w:r w:rsidRPr="00C754EB">
              <w:rPr>
                <w:sz w:val="24"/>
                <w:szCs w:val="24"/>
              </w:rPr>
              <w:t>Award of contract</w:t>
            </w:r>
          </w:p>
        </w:tc>
        <w:tc>
          <w:tcPr>
            <w:tcW w:w="1622" w:type="pct"/>
            <w:shd w:val="clear" w:color="auto" w:fill="auto"/>
            <w:vAlign w:val="center"/>
          </w:tcPr>
          <w:p w14:paraId="23E536A9" w14:textId="4034A10A" w:rsidR="00671798" w:rsidRPr="00C754EB" w:rsidRDefault="00C754EB" w:rsidP="00F0311A">
            <w:pPr>
              <w:pStyle w:val="Heading3"/>
              <w:numPr>
                <w:ilvl w:val="0"/>
                <w:numId w:val="0"/>
              </w:numPr>
              <w:spacing w:after="120"/>
              <w:jc w:val="center"/>
              <w:outlineLvl w:val="2"/>
              <w:rPr>
                <w:sz w:val="24"/>
                <w:szCs w:val="24"/>
              </w:rPr>
            </w:pPr>
            <w:r w:rsidRPr="00C754EB">
              <w:rPr>
                <w:sz w:val="24"/>
                <w:szCs w:val="24"/>
              </w:rPr>
              <w:t>w/c 5 September</w:t>
            </w:r>
          </w:p>
        </w:tc>
      </w:tr>
      <w:tr w:rsidR="008265CE" w:rsidRPr="001A45DF" w14:paraId="1D1601EC" w14:textId="77777777" w:rsidTr="00C754EB">
        <w:tc>
          <w:tcPr>
            <w:tcW w:w="898" w:type="pct"/>
            <w:shd w:val="clear" w:color="auto" w:fill="auto"/>
            <w:vAlign w:val="center"/>
          </w:tcPr>
          <w:p w14:paraId="4E97D043" w14:textId="7DF03780" w:rsidR="008265CE" w:rsidRPr="00C754EB" w:rsidRDefault="008265CE">
            <w:pPr>
              <w:pStyle w:val="Heading3"/>
              <w:numPr>
                <w:ilvl w:val="0"/>
                <w:numId w:val="0"/>
              </w:numPr>
              <w:spacing w:after="120"/>
              <w:jc w:val="center"/>
              <w:outlineLvl w:val="2"/>
              <w:rPr>
                <w:sz w:val="24"/>
                <w:szCs w:val="24"/>
              </w:rPr>
            </w:pPr>
            <w:r w:rsidRPr="00C754EB">
              <w:rPr>
                <w:sz w:val="24"/>
                <w:szCs w:val="24"/>
              </w:rPr>
              <w:t>2</w:t>
            </w:r>
          </w:p>
        </w:tc>
        <w:tc>
          <w:tcPr>
            <w:tcW w:w="2480" w:type="pct"/>
            <w:shd w:val="clear" w:color="auto" w:fill="auto"/>
            <w:vAlign w:val="center"/>
          </w:tcPr>
          <w:p w14:paraId="311D83FD" w14:textId="271E7EFD" w:rsidR="008265CE" w:rsidRPr="00C754EB" w:rsidRDefault="008265CE" w:rsidP="00F0311A">
            <w:pPr>
              <w:pStyle w:val="Heading3"/>
              <w:numPr>
                <w:ilvl w:val="0"/>
                <w:numId w:val="0"/>
              </w:numPr>
              <w:spacing w:after="120"/>
              <w:jc w:val="left"/>
              <w:outlineLvl w:val="2"/>
              <w:rPr>
                <w:sz w:val="24"/>
                <w:szCs w:val="24"/>
              </w:rPr>
            </w:pPr>
            <w:r w:rsidRPr="00C754EB">
              <w:rPr>
                <w:sz w:val="24"/>
                <w:szCs w:val="24"/>
              </w:rPr>
              <w:t>Develop topic guides; agree focus group sampling parameters</w:t>
            </w:r>
          </w:p>
        </w:tc>
        <w:tc>
          <w:tcPr>
            <w:tcW w:w="1622" w:type="pct"/>
            <w:shd w:val="clear" w:color="auto" w:fill="auto"/>
            <w:vAlign w:val="center"/>
          </w:tcPr>
          <w:p w14:paraId="545D5F18" w14:textId="2A4B3DC8" w:rsidR="008265CE" w:rsidRPr="00C754EB" w:rsidRDefault="00C754EB">
            <w:pPr>
              <w:pStyle w:val="Heading3"/>
              <w:numPr>
                <w:ilvl w:val="0"/>
                <w:numId w:val="0"/>
              </w:numPr>
              <w:spacing w:after="120"/>
              <w:jc w:val="center"/>
              <w:outlineLvl w:val="2"/>
              <w:rPr>
                <w:sz w:val="24"/>
                <w:szCs w:val="24"/>
              </w:rPr>
            </w:pPr>
            <w:r w:rsidRPr="00C754EB">
              <w:rPr>
                <w:sz w:val="24"/>
                <w:szCs w:val="24"/>
              </w:rPr>
              <w:t>5-9 September</w:t>
            </w:r>
          </w:p>
        </w:tc>
      </w:tr>
      <w:tr w:rsidR="008265CE" w:rsidRPr="001A45DF" w14:paraId="5C1EE125" w14:textId="77777777" w:rsidTr="00C754EB">
        <w:tc>
          <w:tcPr>
            <w:tcW w:w="898" w:type="pct"/>
            <w:shd w:val="clear" w:color="auto" w:fill="auto"/>
            <w:vAlign w:val="center"/>
          </w:tcPr>
          <w:p w14:paraId="70548B48" w14:textId="038E1FE4" w:rsidR="008265CE" w:rsidRPr="00C754EB" w:rsidRDefault="008265CE">
            <w:pPr>
              <w:pStyle w:val="Heading3"/>
              <w:numPr>
                <w:ilvl w:val="0"/>
                <w:numId w:val="0"/>
              </w:numPr>
              <w:spacing w:after="120"/>
              <w:jc w:val="center"/>
              <w:outlineLvl w:val="2"/>
              <w:rPr>
                <w:sz w:val="24"/>
                <w:szCs w:val="24"/>
              </w:rPr>
            </w:pPr>
            <w:r w:rsidRPr="00C754EB">
              <w:rPr>
                <w:sz w:val="24"/>
                <w:szCs w:val="24"/>
              </w:rPr>
              <w:t>3</w:t>
            </w:r>
          </w:p>
        </w:tc>
        <w:tc>
          <w:tcPr>
            <w:tcW w:w="2480" w:type="pct"/>
            <w:shd w:val="clear" w:color="auto" w:fill="auto"/>
            <w:vAlign w:val="center"/>
          </w:tcPr>
          <w:p w14:paraId="76702D1C" w14:textId="56FA43ED" w:rsidR="008265CE" w:rsidRPr="00C754EB" w:rsidRDefault="008265CE" w:rsidP="00F0311A">
            <w:pPr>
              <w:pStyle w:val="Heading3"/>
              <w:numPr>
                <w:ilvl w:val="0"/>
                <w:numId w:val="0"/>
              </w:numPr>
              <w:spacing w:after="120"/>
              <w:jc w:val="left"/>
              <w:outlineLvl w:val="2"/>
              <w:rPr>
                <w:sz w:val="24"/>
                <w:szCs w:val="24"/>
              </w:rPr>
            </w:pPr>
            <w:r w:rsidRPr="00C754EB">
              <w:rPr>
                <w:sz w:val="24"/>
                <w:szCs w:val="24"/>
              </w:rPr>
              <w:t>Begin recruitment of participants for focus groups; sign-off materials and topic guides to be used for the focus groups</w:t>
            </w:r>
          </w:p>
        </w:tc>
        <w:tc>
          <w:tcPr>
            <w:tcW w:w="1622" w:type="pct"/>
            <w:shd w:val="clear" w:color="auto" w:fill="auto"/>
            <w:vAlign w:val="center"/>
          </w:tcPr>
          <w:p w14:paraId="487F7100" w14:textId="52022A79" w:rsidR="008265CE" w:rsidRPr="00C754EB" w:rsidRDefault="00C754EB">
            <w:pPr>
              <w:pStyle w:val="Heading3"/>
              <w:numPr>
                <w:ilvl w:val="0"/>
                <w:numId w:val="0"/>
              </w:numPr>
              <w:spacing w:after="120"/>
              <w:jc w:val="center"/>
              <w:outlineLvl w:val="2"/>
              <w:rPr>
                <w:sz w:val="24"/>
                <w:szCs w:val="24"/>
              </w:rPr>
            </w:pPr>
            <w:r w:rsidRPr="00C754EB">
              <w:rPr>
                <w:sz w:val="24"/>
                <w:szCs w:val="24"/>
              </w:rPr>
              <w:t>w/c 12 September</w:t>
            </w:r>
          </w:p>
        </w:tc>
      </w:tr>
      <w:tr w:rsidR="008265CE" w:rsidRPr="001A45DF" w14:paraId="3B0F552F" w14:textId="77777777" w:rsidTr="00C754EB">
        <w:tc>
          <w:tcPr>
            <w:tcW w:w="898" w:type="pct"/>
            <w:shd w:val="clear" w:color="auto" w:fill="auto"/>
            <w:vAlign w:val="center"/>
          </w:tcPr>
          <w:p w14:paraId="27B0219C" w14:textId="7E6A2100" w:rsidR="008265CE" w:rsidRPr="00C754EB" w:rsidRDefault="008265CE">
            <w:pPr>
              <w:pStyle w:val="Heading3"/>
              <w:numPr>
                <w:ilvl w:val="0"/>
                <w:numId w:val="0"/>
              </w:numPr>
              <w:spacing w:after="120"/>
              <w:jc w:val="center"/>
              <w:outlineLvl w:val="2"/>
              <w:rPr>
                <w:sz w:val="24"/>
                <w:szCs w:val="24"/>
              </w:rPr>
            </w:pPr>
            <w:r w:rsidRPr="00C754EB">
              <w:rPr>
                <w:sz w:val="24"/>
                <w:szCs w:val="24"/>
              </w:rPr>
              <w:t>4</w:t>
            </w:r>
          </w:p>
        </w:tc>
        <w:tc>
          <w:tcPr>
            <w:tcW w:w="2480" w:type="pct"/>
            <w:shd w:val="clear" w:color="auto" w:fill="auto"/>
            <w:vAlign w:val="center"/>
          </w:tcPr>
          <w:p w14:paraId="2B0616FE" w14:textId="312A2C8D" w:rsidR="008265CE" w:rsidRPr="00C754EB" w:rsidRDefault="008265CE" w:rsidP="00F0311A">
            <w:pPr>
              <w:pStyle w:val="Heading3"/>
              <w:numPr>
                <w:ilvl w:val="0"/>
                <w:numId w:val="0"/>
              </w:numPr>
              <w:spacing w:after="120"/>
              <w:jc w:val="left"/>
              <w:outlineLvl w:val="2"/>
              <w:rPr>
                <w:sz w:val="24"/>
                <w:szCs w:val="24"/>
              </w:rPr>
            </w:pPr>
            <w:r w:rsidRPr="00C754EB">
              <w:rPr>
                <w:sz w:val="24"/>
                <w:szCs w:val="24"/>
              </w:rPr>
              <w:t>Conduct focus groups</w:t>
            </w:r>
          </w:p>
        </w:tc>
        <w:tc>
          <w:tcPr>
            <w:tcW w:w="1622" w:type="pct"/>
            <w:shd w:val="clear" w:color="auto" w:fill="auto"/>
            <w:vAlign w:val="center"/>
          </w:tcPr>
          <w:p w14:paraId="23ACE664" w14:textId="011953D6" w:rsidR="008265CE" w:rsidRPr="00C754EB" w:rsidRDefault="00C754EB">
            <w:pPr>
              <w:pStyle w:val="Heading3"/>
              <w:numPr>
                <w:ilvl w:val="0"/>
                <w:numId w:val="0"/>
              </w:numPr>
              <w:spacing w:after="120"/>
              <w:jc w:val="center"/>
              <w:outlineLvl w:val="2"/>
              <w:rPr>
                <w:sz w:val="24"/>
                <w:szCs w:val="24"/>
              </w:rPr>
            </w:pPr>
            <w:r w:rsidRPr="00C754EB">
              <w:rPr>
                <w:sz w:val="24"/>
                <w:szCs w:val="24"/>
              </w:rPr>
              <w:t>3-21 October</w:t>
            </w:r>
          </w:p>
        </w:tc>
      </w:tr>
      <w:tr w:rsidR="00FE18AC" w:rsidRPr="001A45DF" w14:paraId="16F113EC" w14:textId="77777777" w:rsidTr="00C754EB">
        <w:tc>
          <w:tcPr>
            <w:tcW w:w="898" w:type="pct"/>
            <w:shd w:val="clear" w:color="auto" w:fill="auto"/>
            <w:vAlign w:val="center"/>
          </w:tcPr>
          <w:p w14:paraId="4FD18402" w14:textId="4880FF86" w:rsidR="00671798" w:rsidRPr="00C754EB" w:rsidRDefault="008265CE">
            <w:pPr>
              <w:pStyle w:val="Heading3"/>
              <w:numPr>
                <w:ilvl w:val="0"/>
                <w:numId w:val="0"/>
              </w:numPr>
              <w:spacing w:after="120"/>
              <w:jc w:val="center"/>
              <w:outlineLvl w:val="2"/>
              <w:rPr>
                <w:sz w:val="24"/>
                <w:szCs w:val="24"/>
              </w:rPr>
            </w:pPr>
            <w:r w:rsidRPr="00C754EB">
              <w:rPr>
                <w:sz w:val="24"/>
                <w:szCs w:val="24"/>
              </w:rPr>
              <w:t>5</w:t>
            </w:r>
          </w:p>
        </w:tc>
        <w:tc>
          <w:tcPr>
            <w:tcW w:w="2480" w:type="pct"/>
            <w:shd w:val="clear" w:color="auto" w:fill="auto"/>
            <w:vAlign w:val="center"/>
          </w:tcPr>
          <w:p w14:paraId="33C22C40" w14:textId="5151B822" w:rsidR="00671798" w:rsidRPr="00C754EB" w:rsidRDefault="008265CE" w:rsidP="00F0311A">
            <w:pPr>
              <w:pStyle w:val="Heading3"/>
              <w:numPr>
                <w:ilvl w:val="0"/>
                <w:numId w:val="0"/>
              </w:numPr>
              <w:spacing w:after="120"/>
              <w:jc w:val="left"/>
              <w:outlineLvl w:val="2"/>
              <w:rPr>
                <w:sz w:val="24"/>
                <w:szCs w:val="24"/>
              </w:rPr>
            </w:pPr>
            <w:r w:rsidRPr="00C754EB">
              <w:rPr>
                <w:sz w:val="24"/>
                <w:szCs w:val="24"/>
              </w:rPr>
              <w:t xml:space="preserve">Provide provisional </w:t>
            </w:r>
            <w:r w:rsidR="00C754EB" w:rsidRPr="00C754EB">
              <w:rPr>
                <w:sz w:val="24"/>
                <w:szCs w:val="24"/>
              </w:rPr>
              <w:t>thematic analysis and identify any gaps or further research needs</w:t>
            </w:r>
          </w:p>
        </w:tc>
        <w:tc>
          <w:tcPr>
            <w:tcW w:w="1622" w:type="pct"/>
            <w:shd w:val="clear" w:color="auto" w:fill="auto"/>
            <w:vAlign w:val="center"/>
          </w:tcPr>
          <w:p w14:paraId="3B285FD4" w14:textId="0E76F489" w:rsidR="00671798" w:rsidRPr="00C754EB" w:rsidRDefault="00C754EB">
            <w:pPr>
              <w:pStyle w:val="Heading3"/>
              <w:numPr>
                <w:ilvl w:val="0"/>
                <w:numId w:val="0"/>
              </w:numPr>
              <w:spacing w:after="120"/>
              <w:jc w:val="center"/>
              <w:outlineLvl w:val="2"/>
              <w:rPr>
                <w:sz w:val="24"/>
                <w:szCs w:val="24"/>
              </w:rPr>
            </w:pPr>
            <w:r w:rsidRPr="00C754EB">
              <w:rPr>
                <w:sz w:val="24"/>
                <w:szCs w:val="24"/>
              </w:rPr>
              <w:t>November</w:t>
            </w:r>
          </w:p>
        </w:tc>
      </w:tr>
      <w:tr w:rsidR="00FE18AC" w:rsidRPr="001A45DF" w14:paraId="3FD394DC" w14:textId="77777777" w:rsidTr="00C754EB">
        <w:tc>
          <w:tcPr>
            <w:tcW w:w="898" w:type="pct"/>
            <w:shd w:val="clear" w:color="auto" w:fill="auto"/>
            <w:vAlign w:val="center"/>
          </w:tcPr>
          <w:p w14:paraId="3995F849" w14:textId="17D7A1B5" w:rsidR="00671798" w:rsidRPr="00C754EB" w:rsidRDefault="008265CE">
            <w:pPr>
              <w:pStyle w:val="Heading3"/>
              <w:numPr>
                <w:ilvl w:val="0"/>
                <w:numId w:val="0"/>
              </w:numPr>
              <w:spacing w:after="120"/>
              <w:jc w:val="center"/>
              <w:outlineLvl w:val="2"/>
              <w:rPr>
                <w:sz w:val="24"/>
                <w:szCs w:val="24"/>
              </w:rPr>
            </w:pPr>
            <w:r w:rsidRPr="00C754EB">
              <w:rPr>
                <w:sz w:val="24"/>
                <w:szCs w:val="24"/>
              </w:rPr>
              <w:t>6</w:t>
            </w:r>
          </w:p>
        </w:tc>
        <w:tc>
          <w:tcPr>
            <w:tcW w:w="2480" w:type="pct"/>
            <w:shd w:val="clear" w:color="auto" w:fill="auto"/>
            <w:vAlign w:val="center"/>
          </w:tcPr>
          <w:p w14:paraId="4962E129" w14:textId="01FAF988" w:rsidR="00671798" w:rsidRPr="00C754EB" w:rsidRDefault="00C754EB">
            <w:pPr>
              <w:pStyle w:val="Heading3"/>
              <w:numPr>
                <w:ilvl w:val="0"/>
                <w:numId w:val="0"/>
              </w:numPr>
              <w:spacing w:after="120"/>
              <w:jc w:val="left"/>
              <w:outlineLvl w:val="2"/>
              <w:rPr>
                <w:sz w:val="24"/>
                <w:szCs w:val="24"/>
              </w:rPr>
            </w:pPr>
            <w:r w:rsidRPr="00C754EB">
              <w:rPr>
                <w:sz w:val="24"/>
                <w:szCs w:val="24"/>
              </w:rPr>
              <w:t>Final report drafted for review</w:t>
            </w:r>
          </w:p>
        </w:tc>
        <w:tc>
          <w:tcPr>
            <w:tcW w:w="1622" w:type="pct"/>
            <w:shd w:val="clear" w:color="auto" w:fill="auto"/>
            <w:vAlign w:val="center"/>
          </w:tcPr>
          <w:p w14:paraId="7164B729" w14:textId="1094F380" w:rsidR="00671798" w:rsidRPr="00C754EB" w:rsidRDefault="00C754EB">
            <w:pPr>
              <w:pStyle w:val="Heading3"/>
              <w:numPr>
                <w:ilvl w:val="0"/>
                <w:numId w:val="0"/>
              </w:numPr>
              <w:spacing w:after="120"/>
              <w:jc w:val="center"/>
              <w:outlineLvl w:val="2"/>
              <w:rPr>
                <w:sz w:val="24"/>
                <w:szCs w:val="24"/>
              </w:rPr>
            </w:pPr>
            <w:r w:rsidRPr="00C754EB">
              <w:rPr>
                <w:sz w:val="24"/>
                <w:szCs w:val="24"/>
              </w:rPr>
              <w:t>December</w:t>
            </w:r>
          </w:p>
        </w:tc>
      </w:tr>
      <w:tr w:rsidR="00FE18AC" w:rsidRPr="001A45DF" w14:paraId="6A3230F6" w14:textId="77777777" w:rsidTr="00C754EB">
        <w:tc>
          <w:tcPr>
            <w:tcW w:w="898" w:type="pct"/>
            <w:shd w:val="clear" w:color="auto" w:fill="auto"/>
            <w:vAlign w:val="center"/>
          </w:tcPr>
          <w:p w14:paraId="3302843B" w14:textId="4663510E" w:rsidR="00671798" w:rsidRPr="00C754EB" w:rsidRDefault="008265CE">
            <w:pPr>
              <w:pStyle w:val="Heading3"/>
              <w:numPr>
                <w:ilvl w:val="0"/>
                <w:numId w:val="0"/>
              </w:numPr>
              <w:spacing w:after="120"/>
              <w:jc w:val="center"/>
              <w:outlineLvl w:val="2"/>
              <w:rPr>
                <w:sz w:val="24"/>
                <w:szCs w:val="24"/>
              </w:rPr>
            </w:pPr>
            <w:r w:rsidRPr="00C754EB">
              <w:rPr>
                <w:sz w:val="24"/>
                <w:szCs w:val="24"/>
              </w:rPr>
              <w:t>7</w:t>
            </w:r>
          </w:p>
        </w:tc>
        <w:tc>
          <w:tcPr>
            <w:tcW w:w="2480" w:type="pct"/>
            <w:shd w:val="clear" w:color="auto" w:fill="auto"/>
            <w:vAlign w:val="center"/>
          </w:tcPr>
          <w:p w14:paraId="029789C7" w14:textId="3DA2E1DE" w:rsidR="00671798" w:rsidRPr="00C754EB" w:rsidRDefault="00C754EB">
            <w:pPr>
              <w:pStyle w:val="Heading3"/>
              <w:numPr>
                <w:ilvl w:val="0"/>
                <w:numId w:val="0"/>
              </w:numPr>
              <w:spacing w:after="120"/>
              <w:jc w:val="left"/>
              <w:outlineLvl w:val="2"/>
              <w:rPr>
                <w:sz w:val="24"/>
                <w:szCs w:val="24"/>
              </w:rPr>
            </w:pPr>
            <w:r w:rsidRPr="00C754EB">
              <w:rPr>
                <w:sz w:val="24"/>
                <w:szCs w:val="24"/>
              </w:rPr>
              <w:t>Final report published</w:t>
            </w:r>
          </w:p>
        </w:tc>
        <w:tc>
          <w:tcPr>
            <w:tcW w:w="1622" w:type="pct"/>
            <w:shd w:val="clear" w:color="auto" w:fill="auto"/>
            <w:vAlign w:val="center"/>
          </w:tcPr>
          <w:p w14:paraId="0A8D4F91" w14:textId="220D3ED9" w:rsidR="00671798" w:rsidRPr="00C754EB" w:rsidRDefault="00C754EB">
            <w:pPr>
              <w:pStyle w:val="Heading3"/>
              <w:numPr>
                <w:ilvl w:val="0"/>
                <w:numId w:val="0"/>
              </w:numPr>
              <w:spacing w:after="120"/>
              <w:jc w:val="center"/>
              <w:outlineLvl w:val="2"/>
              <w:rPr>
                <w:sz w:val="24"/>
                <w:szCs w:val="24"/>
              </w:rPr>
            </w:pPr>
            <w:r w:rsidRPr="00C754EB">
              <w:rPr>
                <w:sz w:val="24"/>
                <w:szCs w:val="24"/>
              </w:rPr>
              <w:t>January 2023</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39" w:name="_Toc302637211"/>
    </w:p>
    <w:p w14:paraId="203EC2B6" w14:textId="6BC3F211" w:rsidR="00671798" w:rsidRPr="001A45DF" w:rsidRDefault="009E373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0" w:name="_Toc368573033"/>
      <w:bookmarkStart w:id="41" w:name="_Toc109740643"/>
      <w:r w:rsidRPr="001A45DF">
        <w:rPr>
          <w:rFonts w:cs="Arial"/>
          <w:sz w:val="32"/>
          <w:szCs w:val="32"/>
        </w:rPr>
        <w:t>MANAGEMENT INFORMATION/</w:t>
      </w:r>
      <w:r w:rsidR="00FE18AC" w:rsidRPr="001A45DF">
        <w:rPr>
          <w:rFonts w:cs="Arial"/>
          <w:sz w:val="32"/>
          <w:szCs w:val="32"/>
        </w:rPr>
        <w:t>reporting</w:t>
      </w:r>
      <w:bookmarkEnd w:id="40"/>
      <w:bookmarkEnd w:id="41"/>
    </w:p>
    <w:p w14:paraId="6456C62D" w14:textId="000BA4E8" w:rsidR="00201F9D" w:rsidRDefault="00201F9D" w:rsidP="00201F9D">
      <w:pPr>
        <w:pStyle w:val="Heading2"/>
        <w:spacing w:after="120"/>
        <w:ind w:left="709" w:hanging="709"/>
        <w:rPr>
          <w:sz w:val="24"/>
          <w:szCs w:val="24"/>
        </w:rPr>
      </w:pPr>
      <w:r w:rsidRPr="00201F9D">
        <w:rPr>
          <w:sz w:val="24"/>
          <w:szCs w:val="24"/>
        </w:rPr>
        <w:t xml:space="preserve">The Supplier must have one lead project manager responsible for all components of the evaluation.  The Project Manager for the Authority will be </w:t>
      </w:r>
      <w:r w:rsidRPr="00243D8D">
        <w:rPr>
          <w:b/>
          <w:color w:val="FF0000"/>
          <w:sz w:val="24"/>
          <w:szCs w:val="24"/>
        </w:rPr>
        <w:t>R</w:t>
      </w:r>
      <w:r w:rsidR="00243D8D" w:rsidRPr="00243D8D">
        <w:rPr>
          <w:b/>
          <w:color w:val="FF0000"/>
          <w:sz w:val="24"/>
          <w:szCs w:val="24"/>
        </w:rPr>
        <w:t>EDACTED</w:t>
      </w:r>
      <w:bookmarkStart w:id="42" w:name="_heading=h.usvlonw9yh1l" w:colFirst="0" w:colLast="0"/>
      <w:bookmarkEnd w:id="42"/>
      <w:r w:rsidR="00243D8D">
        <w:rPr>
          <w:sz w:val="24"/>
          <w:szCs w:val="24"/>
        </w:rPr>
        <w:t xml:space="preserve">, </w:t>
      </w:r>
      <w:r w:rsidR="00243D8D" w:rsidRPr="00243D8D">
        <w:rPr>
          <w:b/>
          <w:color w:val="FF0000"/>
          <w:sz w:val="24"/>
          <w:szCs w:val="24"/>
        </w:rPr>
        <w:t>Under FOIA Section 40 personal information</w:t>
      </w:r>
      <w:r w:rsidR="00243D8D">
        <w:rPr>
          <w:sz w:val="24"/>
          <w:szCs w:val="24"/>
        </w:rPr>
        <w:t>.</w:t>
      </w:r>
    </w:p>
    <w:p w14:paraId="50249DCC" w14:textId="77777777" w:rsidR="00201F9D" w:rsidRDefault="00201F9D" w:rsidP="00201F9D">
      <w:pPr>
        <w:pStyle w:val="Heading2"/>
        <w:spacing w:after="120"/>
        <w:ind w:left="709" w:hanging="709"/>
        <w:rPr>
          <w:sz w:val="24"/>
          <w:szCs w:val="24"/>
        </w:rPr>
      </w:pPr>
      <w:r w:rsidRPr="00201F9D">
        <w:rPr>
          <w:sz w:val="24"/>
          <w:szCs w:val="24"/>
        </w:rPr>
        <w:t>The Authority’s research project manager and/or team will provide advice and guidance on any issues during the course of the project.  Where comments or input are required from the Authority, the Supplier should allow sufficient time for turnaround and give advance notice where possible.  As a general guide the Authority will aim to turnaround minor requests within one week and major requests (e.g. commenting on drafts of reports, or checking data outputs) within two weeks.  Key documents and decisions will require feedback from wider stakeholders.  The Supplier should factor these clearance periods into project timings and indicate clearly in any project timetable when such outputs will be submitted for clearance.</w:t>
      </w:r>
      <w:bookmarkStart w:id="43" w:name="_heading=h.f72allpiwx9c" w:colFirst="0" w:colLast="0"/>
      <w:bookmarkEnd w:id="43"/>
    </w:p>
    <w:p w14:paraId="1F5C091D" w14:textId="77777777" w:rsidR="00201F9D" w:rsidRDefault="00201F9D" w:rsidP="00201F9D">
      <w:pPr>
        <w:pStyle w:val="Heading2"/>
        <w:spacing w:after="120"/>
        <w:ind w:left="709" w:hanging="709"/>
        <w:rPr>
          <w:sz w:val="24"/>
          <w:szCs w:val="24"/>
        </w:rPr>
      </w:pPr>
      <w:r w:rsidRPr="00201F9D">
        <w:rPr>
          <w:sz w:val="24"/>
          <w:szCs w:val="24"/>
        </w:rPr>
        <w:t>It is expected that project leads for the Authority and Supplier, plus additional team members as required, will hold weekly teleconferences and meet at key points (to be agreed between the Authority and Supplier) in person to discuss the progress of the research.  Expenses for such meetings must be included in the core contract price.</w:t>
      </w:r>
    </w:p>
    <w:p w14:paraId="5675270F" w14:textId="25253481" w:rsidR="00201F9D" w:rsidRPr="00201F9D" w:rsidRDefault="00201F9D" w:rsidP="00201F9D">
      <w:pPr>
        <w:pStyle w:val="Heading2"/>
        <w:spacing w:after="120"/>
        <w:ind w:left="709" w:hanging="709"/>
        <w:rPr>
          <w:sz w:val="24"/>
          <w:szCs w:val="24"/>
        </w:rPr>
      </w:pPr>
      <w:r w:rsidRPr="00201F9D">
        <w:rPr>
          <w:sz w:val="24"/>
          <w:szCs w:val="24"/>
        </w:rPr>
        <w:t>As part of the management of the survey the Supplier will be required to produce and submit the following management information to the Authority:</w:t>
      </w:r>
    </w:p>
    <w:p w14:paraId="67685FA3" w14:textId="77777777" w:rsidR="00201F9D" w:rsidRDefault="00201F9D" w:rsidP="00201F9D">
      <w:pPr>
        <w:pStyle w:val="Heading3"/>
        <w:numPr>
          <w:ilvl w:val="2"/>
          <w:numId w:val="48"/>
        </w:numPr>
        <w:tabs>
          <w:tab w:val="num" w:pos="2160"/>
        </w:tabs>
        <w:ind w:left="1134" w:hanging="720"/>
        <w:rPr>
          <w:rFonts w:eastAsia="Arial"/>
          <w:sz w:val="24"/>
          <w:szCs w:val="24"/>
        </w:rPr>
      </w:pPr>
      <w:bookmarkStart w:id="44" w:name="_heading=h.3ntfdcjix82p" w:colFirst="0" w:colLast="0"/>
      <w:bookmarkEnd w:id="44"/>
      <w:r>
        <w:rPr>
          <w:sz w:val="24"/>
          <w:szCs w:val="24"/>
        </w:rPr>
        <w:t>Brief weekly progress updates – to update on progress towards milestones and management of risks arising.  The format of these reports should be agreed with the Authority and submitted in advance of the teleconference.</w:t>
      </w:r>
    </w:p>
    <w:p w14:paraId="2A29CD5A" w14:textId="77777777" w:rsidR="00201F9D" w:rsidRDefault="00201F9D" w:rsidP="00201F9D">
      <w:pPr>
        <w:pStyle w:val="Heading3"/>
        <w:numPr>
          <w:ilvl w:val="2"/>
          <w:numId w:val="48"/>
        </w:numPr>
        <w:tabs>
          <w:tab w:val="num" w:pos="2160"/>
        </w:tabs>
        <w:ind w:left="1134" w:hanging="720"/>
        <w:rPr>
          <w:rFonts w:eastAsia="Arial"/>
          <w:sz w:val="24"/>
          <w:szCs w:val="24"/>
        </w:rPr>
      </w:pPr>
      <w:r>
        <w:rPr>
          <w:sz w:val="24"/>
          <w:szCs w:val="24"/>
        </w:rPr>
        <w:t xml:space="preserve">Fieldwork updates (frequency to be agreed) – to outline response rates and progress towards targets.  </w:t>
      </w:r>
    </w:p>
    <w:p w14:paraId="41E915D3" w14:textId="20B7C712" w:rsidR="00201F9D" w:rsidRPr="00B76BB3" w:rsidRDefault="00201F9D" w:rsidP="00201F9D">
      <w:pPr>
        <w:pStyle w:val="Heading2"/>
        <w:tabs>
          <w:tab w:val="clear" w:pos="720"/>
          <w:tab w:val="num" w:pos="709"/>
        </w:tabs>
        <w:spacing w:after="120"/>
        <w:ind w:left="709" w:hanging="709"/>
        <w:rPr>
          <w:sz w:val="24"/>
          <w:szCs w:val="24"/>
        </w:rPr>
      </w:pPr>
      <w:bookmarkStart w:id="45" w:name="_heading=h.38bstrm6x66d" w:colFirst="0" w:colLast="0"/>
      <w:bookmarkEnd w:id="45"/>
      <w:r>
        <w:rPr>
          <w:sz w:val="24"/>
          <w:szCs w:val="24"/>
        </w:rPr>
        <w:lastRenderedPageBreak/>
        <w:t>Monthly contract review updates - to review adherence to objectives and milestones, and consider any course correction required.</w:t>
      </w:r>
    </w:p>
    <w:p w14:paraId="0C1E78CC"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6" w:name="_Toc368573035"/>
      <w:bookmarkStart w:id="47" w:name="_Toc109740644"/>
      <w:r w:rsidRPr="001A45DF">
        <w:rPr>
          <w:rFonts w:cs="Arial"/>
          <w:sz w:val="32"/>
          <w:szCs w:val="32"/>
        </w:rPr>
        <w:t>continuous improvement</w:t>
      </w:r>
      <w:bookmarkEnd w:id="46"/>
      <w:bookmarkEnd w:id="47"/>
    </w:p>
    <w:p w14:paraId="6630F3CC" w14:textId="46A25066" w:rsidR="00F26B08" w:rsidRDefault="00F26B08" w:rsidP="00F26B08">
      <w:pPr>
        <w:pStyle w:val="Heading2"/>
        <w:spacing w:after="120"/>
        <w:ind w:left="709" w:hanging="709"/>
        <w:rPr>
          <w:sz w:val="24"/>
          <w:szCs w:val="24"/>
        </w:rPr>
      </w:pPr>
      <w:r w:rsidRPr="00F26B08">
        <w:rPr>
          <w:sz w:val="24"/>
          <w:szCs w:val="24"/>
        </w:rPr>
        <w:t>The Supplier will be expected to continually improve the way in which the required Services are to be delivered throughout the Contract duration.</w:t>
      </w:r>
    </w:p>
    <w:p w14:paraId="5085859F" w14:textId="77777777" w:rsidR="00F26B08" w:rsidRDefault="00F26B08" w:rsidP="00F26B08">
      <w:pPr>
        <w:pStyle w:val="Heading2"/>
        <w:spacing w:after="120"/>
        <w:ind w:left="709" w:hanging="709"/>
        <w:rPr>
          <w:sz w:val="24"/>
          <w:szCs w:val="24"/>
        </w:rPr>
      </w:pPr>
      <w:r w:rsidRPr="00F26B08">
        <w:rPr>
          <w:sz w:val="24"/>
          <w:szCs w:val="24"/>
        </w:rPr>
        <w:t xml:space="preserve">The Supplier should present new ways of working to the Authority during monthly Contract review meetings. </w:t>
      </w:r>
    </w:p>
    <w:p w14:paraId="5579EC0F" w14:textId="3837D224" w:rsidR="00F26B08" w:rsidRPr="00F26B08" w:rsidRDefault="00F26B08" w:rsidP="00F26B08">
      <w:pPr>
        <w:pStyle w:val="Heading2"/>
        <w:spacing w:after="120"/>
        <w:ind w:left="709" w:hanging="709"/>
        <w:rPr>
          <w:sz w:val="24"/>
          <w:szCs w:val="24"/>
        </w:rPr>
      </w:pPr>
      <w:r w:rsidRPr="00F26B08">
        <w:rPr>
          <w:sz w:val="24"/>
          <w:szCs w:val="24"/>
        </w:rPr>
        <w:t>Changes to the way in which the Services are to be delivered must be brought to the Authority’s attention and agreed prior to any changes being implemented.</w:t>
      </w:r>
    </w:p>
    <w:p w14:paraId="1114BE17"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8" w:name="_Toc368573036"/>
      <w:bookmarkStart w:id="49" w:name="_Toc109740645"/>
      <w:r w:rsidRPr="001A45DF">
        <w:rPr>
          <w:rFonts w:cs="Arial"/>
          <w:sz w:val="32"/>
          <w:szCs w:val="32"/>
        </w:rPr>
        <w:t>quality</w:t>
      </w:r>
      <w:bookmarkEnd w:id="48"/>
      <w:bookmarkEnd w:id="49"/>
    </w:p>
    <w:p w14:paraId="40B0ABC5" w14:textId="64C2D0AE" w:rsidR="00F26B08" w:rsidRDefault="00F26B08" w:rsidP="00F26B08">
      <w:pPr>
        <w:pStyle w:val="Heading2"/>
        <w:spacing w:after="120"/>
        <w:ind w:left="709" w:hanging="709"/>
        <w:rPr>
          <w:sz w:val="24"/>
          <w:szCs w:val="24"/>
        </w:rPr>
      </w:pPr>
      <w:r w:rsidRPr="00F26B08">
        <w:rPr>
          <w:sz w:val="24"/>
          <w:szCs w:val="24"/>
        </w:rPr>
        <w:t>We will assess quality on the following aspects (see Attachment 2 for full details):</w:t>
      </w:r>
    </w:p>
    <w:p w14:paraId="0C53B48F" w14:textId="77777777" w:rsidR="00F26B08" w:rsidRDefault="00F26B08" w:rsidP="00F26B08">
      <w:pPr>
        <w:pStyle w:val="Heading2"/>
        <w:spacing w:after="120"/>
        <w:ind w:left="709" w:hanging="709"/>
        <w:rPr>
          <w:sz w:val="24"/>
          <w:szCs w:val="24"/>
        </w:rPr>
      </w:pPr>
      <w:r w:rsidRPr="00F26B08">
        <w:rPr>
          <w:sz w:val="24"/>
          <w:szCs w:val="24"/>
        </w:rPr>
        <w:t>Supplier experience and capability: the supplier will demonstrate excellent project management of delivering projects of similar size and scope, with awareness of risk and proposals for mitigation. Suppliers will also demonstrate experience of delivering research on sensitive topics with diverse field staff and using culturally sensitive practices.</w:t>
      </w:r>
    </w:p>
    <w:p w14:paraId="02B554F1" w14:textId="77777777" w:rsidR="00F26B08" w:rsidRDefault="00F26B08" w:rsidP="00F26B08">
      <w:pPr>
        <w:pStyle w:val="Heading2"/>
        <w:spacing w:after="120"/>
        <w:ind w:left="709" w:hanging="709"/>
        <w:rPr>
          <w:sz w:val="24"/>
          <w:szCs w:val="24"/>
        </w:rPr>
      </w:pPr>
      <w:r w:rsidRPr="00F26B08">
        <w:rPr>
          <w:sz w:val="24"/>
          <w:szCs w:val="24"/>
        </w:rPr>
        <w:t xml:space="preserve">Research design: the supplier will demonstrate an excellent approach to methodological rigour in qualitative research, ensuring appropriate representation in the sample and clear publication plans. </w:t>
      </w:r>
    </w:p>
    <w:p w14:paraId="071DD34D" w14:textId="6B34D9E8" w:rsidR="00F26B08" w:rsidRPr="00F26B08" w:rsidRDefault="00F26B08" w:rsidP="00F26B08">
      <w:pPr>
        <w:pStyle w:val="Heading2"/>
        <w:spacing w:after="120"/>
        <w:ind w:left="709" w:hanging="709"/>
        <w:rPr>
          <w:sz w:val="24"/>
          <w:szCs w:val="24"/>
        </w:rPr>
      </w:pPr>
      <w:r w:rsidRPr="00F26B08">
        <w:rPr>
          <w:sz w:val="24"/>
          <w:szCs w:val="24"/>
        </w:rPr>
        <w:t xml:space="preserve">Project management, data security and ethics: the supplier will be able to meet key milestones and have excellent awareness of ethical issues and means of mitigation. They will also comply with all data security requirements.  </w:t>
      </w:r>
    </w:p>
    <w:p w14:paraId="533C7A5A"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50" w:name="_Toc368573037"/>
      <w:bookmarkStart w:id="51" w:name="_Toc109740646"/>
      <w:r w:rsidRPr="001A45DF">
        <w:rPr>
          <w:rFonts w:cs="Arial"/>
          <w:sz w:val="32"/>
          <w:szCs w:val="32"/>
        </w:rPr>
        <w:t>PR</w:t>
      </w:r>
      <w:bookmarkStart w:id="52" w:name="_GoBack"/>
      <w:bookmarkEnd w:id="52"/>
      <w:r w:rsidRPr="001A45DF">
        <w:rPr>
          <w:rFonts w:cs="Arial"/>
          <w:sz w:val="32"/>
          <w:szCs w:val="32"/>
        </w:rPr>
        <w:t>ICE</w:t>
      </w:r>
      <w:bookmarkEnd w:id="50"/>
      <w:bookmarkEnd w:id="51"/>
    </w:p>
    <w:p w14:paraId="67123596" w14:textId="47C74F8F" w:rsidR="00F26B08" w:rsidRDefault="00F26B08" w:rsidP="00F26B08">
      <w:pPr>
        <w:pStyle w:val="Heading2"/>
        <w:spacing w:after="120"/>
        <w:ind w:left="709" w:hanging="709"/>
        <w:rPr>
          <w:sz w:val="24"/>
          <w:szCs w:val="24"/>
        </w:rPr>
      </w:pPr>
      <w:bookmarkStart w:id="53" w:name="_Toc368573038"/>
      <w:r w:rsidRPr="00F26B08">
        <w:rPr>
          <w:sz w:val="24"/>
          <w:szCs w:val="24"/>
        </w:rPr>
        <w:t xml:space="preserve">The maximum budget for this project is </w:t>
      </w:r>
      <w:r w:rsidR="004F45A5" w:rsidRPr="0080276C">
        <w:rPr>
          <w:b/>
          <w:color w:val="FF0000"/>
          <w:sz w:val="24"/>
          <w:szCs w:val="24"/>
        </w:rPr>
        <w:t xml:space="preserve">REDACTED </w:t>
      </w:r>
      <w:r w:rsidR="0080276C" w:rsidRPr="0080276C">
        <w:rPr>
          <w:b/>
          <w:color w:val="FF0000"/>
          <w:sz w:val="24"/>
          <w:szCs w:val="24"/>
        </w:rPr>
        <w:t>UNDER FOIA Section 43 Commercial interests</w:t>
      </w:r>
      <w:r w:rsidRPr="00F26B08">
        <w:rPr>
          <w:sz w:val="24"/>
          <w:szCs w:val="24"/>
        </w:rPr>
        <w:t xml:space="preserve"> inclusive of VAT. Please note, if a Potential Provider’s tendered price exceeds this budget, they will be deemed non-compliant and therefore excluded from the Procurement.</w:t>
      </w:r>
    </w:p>
    <w:p w14:paraId="3600C19F" w14:textId="77777777" w:rsidR="00F26B08" w:rsidRDefault="00F26B08" w:rsidP="00F26B08">
      <w:pPr>
        <w:pStyle w:val="Heading2"/>
        <w:spacing w:after="120"/>
        <w:ind w:left="709" w:hanging="709"/>
        <w:rPr>
          <w:sz w:val="24"/>
          <w:szCs w:val="24"/>
        </w:rPr>
      </w:pPr>
      <w:r w:rsidRPr="00F26B08">
        <w:rPr>
          <w:sz w:val="24"/>
          <w:szCs w:val="24"/>
        </w:rPr>
        <w:t xml:space="preserve">The Authority is looking for the most competitive bid that can deliver maximum value for money.  This will be assessed in accordance with Attachment 2. </w:t>
      </w:r>
    </w:p>
    <w:p w14:paraId="4553D2A8" w14:textId="77777777" w:rsidR="00F26B08" w:rsidRDefault="00F26B08" w:rsidP="00F26B08">
      <w:pPr>
        <w:pStyle w:val="Heading2"/>
        <w:spacing w:after="120"/>
        <w:ind w:left="709" w:hanging="709"/>
        <w:rPr>
          <w:sz w:val="24"/>
          <w:szCs w:val="24"/>
        </w:rPr>
      </w:pPr>
      <w:r w:rsidRPr="00F26B08">
        <w:rPr>
          <w:sz w:val="24"/>
          <w:szCs w:val="24"/>
        </w:rPr>
        <w:t>Usage of, and charges from, third party suppliers should be clearly identified and explained.  The Authority expects the Supplier to ensure that third party suppliers are commissioned on a clear value for money basis, and that such activities are passed on at cost.</w:t>
      </w:r>
    </w:p>
    <w:p w14:paraId="5F15B645" w14:textId="19B4BA17" w:rsidR="00F26B08" w:rsidRPr="00F26B08" w:rsidRDefault="00F26B08" w:rsidP="00F26B08">
      <w:pPr>
        <w:pStyle w:val="Heading2"/>
        <w:spacing w:after="120"/>
        <w:ind w:left="709" w:hanging="709"/>
        <w:rPr>
          <w:sz w:val="24"/>
          <w:szCs w:val="24"/>
        </w:rPr>
      </w:pPr>
      <w:r w:rsidRPr="00F26B08">
        <w:rPr>
          <w:sz w:val="24"/>
          <w:szCs w:val="24"/>
        </w:rPr>
        <w:t>Prices are to be submitted via the e-Sourcing Suite Attachment 4 – Price Schedule including VAT and including all other expenses relating to Contract delivery.</w:t>
      </w:r>
    </w:p>
    <w:p w14:paraId="6B1CA851"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54" w:name="_Toc109740647"/>
      <w:r w:rsidRPr="001A45DF">
        <w:rPr>
          <w:rFonts w:cs="Arial"/>
          <w:sz w:val="32"/>
          <w:szCs w:val="32"/>
        </w:rPr>
        <w:lastRenderedPageBreak/>
        <w:t>STAFF AND CUSTOMER SERVICE</w:t>
      </w:r>
      <w:bookmarkEnd w:id="53"/>
      <w:bookmarkEnd w:id="54"/>
    </w:p>
    <w:p w14:paraId="473FF9D3" w14:textId="319E8519"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The </w:t>
      </w:r>
      <w:r w:rsidR="008E77CC" w:rsidRPr="001A45DF">
        <w:rPr>
          <w:sz w:val="24"/>
          <w:szCs w:val="24"/>
        </w:rPr>
        <w:t xml:space="preserve">Supplier shall </w:t>
      </w:r>
      <w:r w:rsidRPr="001A45DF">
        <w:rPr>
          <w:sz w:val="24"/>
          <w:szCs w:val="24"/>
        </w:rPr>
        <w:t>provide a sufficient level of resource</w:t>
      </w:r>
      <w:r w:rsidR="00A27147" w:rsidRPr="001A45DF">
        <w:rPr>
          <w:sz w:val="24"/>
          <w:szCs w:val="24"/>
        </w:rPr>
        <w:t xml:space="preserve"> throughout the duration of the</w:t>
      </w:r>
      <w:r w:rsidRPr="001A45DF">
        <w:rPr>
          <w:sz w:val="24"/>
          <w:szCs w:val="24"/>
        </w:rPr>
        <w:t xml:space="preserve"> Contract in order to consiste</w:t>
      </w:r>
      <w:r w:rsidR="00A27147" w:rsidRPr="001A45DF">
        <w:rPr>
          <w:sz w:val="24"/>
          <w:szCs w:val="24"/>
        </w:rPr>
        <w:t>ntly deliver a quality service</w:t>
      </w:r>
      <w:r w:rsidRPr="001A45DF">
        <w:rPr>
          <w:sz w:val="24"/>
          <w:szCs w:val="24"/>
        </w:rPr>
        <w:t>.</w:t>
      </w:r>
    </w:p>
    <w:p w14:paraId="7C5FF49B" w14:textId="5A52A6F5" w:rsidR="00671798" w:rsidRPr="001A45DF" w:rsidRDefault="008E77CC">
      <w:pPr>
        <w:pStyle w:val="Heading2"/>
        <w:tabs>
          <w:tab w:val="clear" w:pos="720"/>
          <w:tab w:val="num" w:pos="709"/>
        </w:tabs>
        <w:spacing w:after="120"/>
        <w:ind w:left="709" w:hanging="709"/>
        <w:rPr>
          <w:sz w:val="24"/>
          <w:szCs w:val="24"/>
        </w:rPr>
      </w:pPr>
      <w:r w:rsidRPr="001A45DF">
        <w:rPr>
          <w:sz w:val="24"/>
          <w:szCs w:val="24"/>
        </w:rPr>
        <w:t>The Supplier’s</w:t>
      </w:r>
      <w:r w:rsidR="00A27147" w:rsidRPr="001A45DF">
        <w:rPr>
          <w:sz w:val="24"/>
          <w:szCs w:val="24"/>
        </w:rPr>
        <w:t xml:space="preserve"> staff assigned to the </w:t>
      </w:r>
      <w:r w:rsidR="00FE18AC" w:rsidRPr="001A45DF">
        <w:rPr>
          <w:sz w:val="24"/>
          <w:szCs w:val="24"/>
        </w:rPr>
        <w:t xml:space="preserve">Contract shall have </w:t>
      </w:r>
      <w:r w:rsidR="00E63412" w:rsidRPr="001A45DF">
        <w:rPr>
          <w:sz w:val="24"/>
          <w:szCs w:val="24"/>
        </w:rPr>
        <w:t xml:space="preserve">the </w:t>
      </w:r>
      <w:r w:rsidR="00FE18AC" w:rsidRPr="001A45DF">
        <w:rPr>
          <w:sz w:val="24"/>
          <w:szCs w:val="24"/>
        </w:rPr>
        <w:t>relevant qualifications and experience to deliver</w:t>
      </w:r>
      <w:r w:rsidR="00E63412" w:rsidRPr="001A45DF">
        <w:rPr>
          <w:sz w:val="24"/>
          <w:szCs w:val="24"/>
        </w:rPr>
        <w:t xml:space="preserve"> the</w:t>
      </w:r>
      <w:r w:rsidR="00FE18AC" w:rsidRPr="001A45DF">
        <w:rPr>
          <w:sz w:val="24"/>
          <w:szCs w:val="24"/>
        </w:rPr>
        <w:t xml:space="preserve"> Contract</w:t>
      </w:r>
      <w:r w:rsidR="00C52C2C" w:rsidRPr="001A45DF">
        <w:rPr>
          <w:sz w:val="24"/>
          <w:szCs w:val="24"/>
        </w:rPr>
        <w:t xml:space="preserve"> to the required standard</w:t>
      </w:r>
      <w:r w:rsidR="00FE18AC" w:rsidRPr="001A45DF">
        <w:rPr>
          <w:sz w:val="24"/>
          <w:szCs w:val="24"/>
        </w:rPr>
        <w:t xml:space="preserve">. </w:t>
      </w:r>
    </w:p>
    <w:p w14:paraId="0837E02A" w14:textId="7E947517" w:rsidR="00671798" w:rsidRPr="001A45DF" w:rsidRDefault="00BE3468">
      <w:pPr>
        <w:pStyle w:val="Heading2"/>
        <w:tabs>
          <w:tab w:val="clear" w:pos="720"/>
          <w:tab w:val="num" w:pos="709"/>
        </w:tabs>
        <w:spacing w:after="120"/>
        <w:ind w:left="709" w:hanging="709"/>
        <w:rPr>
          <w:sz w:val="24"/>
          <w:szCs w:val="24"/>
        </w:rPr>
      </w:pPr>
      <w:r w:rsidRPr="001A45DF">
        <w:rPr>
          <w:sz w:val="24"/>
          <w:szCs w:val="24"/>
        </w:rPr>
        <w:t>The Supplier</w:t>
      </w:r>
      <w:r w:rsidR="00FE18AC" w:rsidRPr="001A45DF">
        <w:rPr>
          <w:sz w:val="24"/>
          <w:szCs w:val="24"/>
        </w:rPr>
        <w:t xml:space="preserve"> shall ensure that staff understand the Authority’s vision and objectives and </w:t>
      </w:r>
      <w:r w:rsidR="00E63412" w:rsidRPr="001A45DF">
        <w:rPr>
          <w:sz w:val="24"/>
          <w:szCs w:val="24"/>
        </w:rPr>
        <w:t xml:space="preserve">will </w:t>
      </w:r>
      <w:r w:rsidR="00FE18AC" w:rsidRPr="001A45DF">
        <w:rPr>
          <w:sz w:val="24"/>
          <w:szCs w:val="24"/>
        </w:rPr>
        <w:t xml:space="preserve">provide excellent customer service to the Authority throughout the duration of the Contract.  </w:t>
      </w:r>
    </w:p>
    <w:p w14:paraId="629F567D"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55" w:name="_Toc368573039"/>
      <w:bookmarkStart w:id="56" w:name="_Toc109740648"/>
      <w:r w:rsidRPr="001A45DF">
        <w:rPr>
          <w:rFonts w:cs="Arial"/>
          <w:sz w:val="32"/>
          <w:szCs w:val="32"/>
        </w:rPr>
        <w:t>service levels and performance</w:t>
      </w:r>
      <w:bookmarkEnd w:id="55"/>
      <w:bookmarkEnd w:id="56"/>
    </w:p>
    <w:p w14:paraId="7916F700" w14:textId="77777777" w:rsidR="00037A07" w:rsidRDefault="007966BD" w:rsidP="00037A07">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7966BD">
        <w:rPr>
          <w:sz w:val="24"/>
          <w:szCs w:val="24"/>
        </w:rPr>
        <w:t>The Authority will measure the quality of the Supplier’s delivery by:</w:t>
      </w:r>
      <w:bookmarkStart w:id="57" w:name="_heading=h.nj7fixvwvum9" w:colFirst="0" w:colLast="0"/>
      <w:bookmarkEnd w:id="57"/>
    </w:p>
    <w:p w14:paraId="6001D7DE" w14:textId="77777777" w:rsidR="00037A07" w:rsidRDefault="007966BD" w:rsidP="00037A07">
      <w:pPr>
        <w:pStyle w:val="Heading3"/>
      </w:pPr>
      <w:r w:rsidRPr="00037A07">
        <w:t>Representativeness of focus group participants.</w:t>
      </w:r>
    </w:p>
    <w:p w14:paraId="7A68E8FA" w14:textId="41C3568F" w:rsidR="007966BD" w:rsidRPr="00037A07" w:rsidRDefault="00037A07" w:rsidP="00037A07">
      <w:pPr>
        <w:pStyle w:val="Heading3"/>
      </w:pPr>
      <w:r>
        <w:t>T</w:t>
      </w:r>
      <w:r w:rsidR="007966BD" w:rsidRPr="00037A07">
        <w:rPr>
          <w:sz w:val="24"/>
          <w:szCs w:val="24"/>
        </w:rPr>
        <w:t xml:space="preserve">he Authority will measure the quality of the Supplier’s delivery by delivering against the following timetable and milestones. It is expected that the Supplier shall be available to start work immediately on award of contract. </w:t>
      </w:r>
    </w:p>
    <w:p w14:paraId="3F767EF8" w14:textId="19C77641" w:rsidR="00671798" w:rsidRPr="001A45DF" w:rsidRDefault="00FE18AC">
      <w:pPr>
        <w:pStyle w:val="Heading1"/>
        <w:spacing w:after="120"/>
        <w:rPr>
          <w:sz w:val="32"/>
          <w:szCs w:val="32"/>
        </w:rPr>
      </w:pPr>
      <w:bookmarkStart w:id="58" w:name="_Toc368573040"/>
      <w:bookmarkStart w:id="59" w:name="_Toc109740649"/>
      <w:r w:rsidRPr="001A45DF">
        <w:rPr>
          <w:sz w:val="32"/>
          <w:szCs w:val="32"/>
        </w:rPr>
        <w:t xml:space="preserve">Security </w:t>
      </w:r>
      <w:r w:rsidR="00252FFC" w:rsidRPr="001A45DF">
        <w:rPr>
          <w:sz w:val="32"/>
          <w:szCs w:val="32"/>
        </w:rPr>
        <w:t>and CONFIDENTIA</w:t>
      </w:r>
      <w:r w:rsidR="00C52C2C" w:rsidRPr="001A45DF">
        <w:rPr>
          <w:sz w:val="32"/>
          <w:szCs w:val="32"/>
        </w:rPr>
        <w:t xml:space="preserve">LITY </w:t>
      </w:r>
      <w:r w:rsidRPr="001A45DF">
        <w:rPr>
          <w:sz w:val="32"/>
          <w:szCs w:val="32"/>
        </w:rPr>
        <w:t>requirements</w:t>
      </w:r>
      <w:bookmarkEnd w:id="58"/>
      <w:bookmarkEnd w:id="59"/>
    </w:p>
    <w:p w14:paraId="3C1D3C44" w14:textId="5A80F209" w:rsidR="00037A07" w:rsidRDefault="00037A07" w:rsidP="00037A07">
      <w:pPr>
        <w:pStyle w:val="Heading2"/>
        <w:spacing w:after="120"/>
        <w:ind w:left="709" w:hanging="709"/>
        <w:rPr>
          <w:sz w:val="24"/>
          <w:szCs w:val="24"/>
        </w:rPr>
      </w:pPr>
      <w:bookmarkStart w:id="60" w:name="_Toc368573042"/>
      <w:r w:rsidRPr="00037A07">
        <w:rPr>
          <w:sz w:val="24"/>
          <w:szCs w:val="24"/>
        </w:rPr>
        <w:t xml:space="preserve">The Supplier is required to implement appropriate arrangements for data security at all times, particularly relating to the transmission and storage of personal data.  Such procedures must meet the standards outlined in the framework terms and conditions, GDPR and the Data Protection Act.  </w:t>
      </w:r>
      <w:bookmarkStart w:id="61" w:name="_heading=h.8mrp9yv580y" w:colFirst="0" w:colLast="0"/>
      <w:bookmarkEnd w:id="61"/>
    </w:p>
    <w:p w14:paraId="31C6801D" w14:textId="77777777" w:rsidR="00037A07" w:rsidRDefault="00037A07" w:rsidP="00037A07">
      <w:pPr>
        <w:pStyle w:val="Heading2"/>
        <w:spacing w:after="120"/>
        <w:ind w:left="709" w:hanging="709"/>
        <w:rPr>
          <w:sz w:val="24"/>
          <w:szCs w:val="24"/>
        </w:rPr>
      </w:pPr>
      <w:r w:rsidRPr="00037A07">
        <w:rPr>
          <w:sz w:val="24"/>
          <w:szCs w:val="24"/>
        </w:rPr>
        <w:t>Processes should be in place for data being returned by interviewers and safeguarding against data loss, including appropriate risk management procedures. Potential Providers should confirm within their response that such procedures will be implemented and outline the technical measures to be put in place to meet such requirements.</w:t>
      </w:r>
    </w:p>
    <w:p w14:paraId="3CFBB3A3" w14:textId="0F119D26" w:rsidR="00037A07" w:rsidRPr="00037A07" w:rsidRDefault="00037A07" w:rsidP="00037A07">
      <w:pPr>
        <w:pStyle w:val="Heading2"/>
        <w:spacing w:after="120"/>
        <w:ind w:left="709" w:hanging="709"/>
        <w:rPr>
          <w:sz w:val="24"/>
          <w:szCs w:val="24"/>
        </w:rPr>
      </w:pPr>
      <w:r w:rsidRPr="00037A07">
        <w:rPr>
          <w:sz w:val="24"/>
        </w:rPr>
        <w:t>Participants should be made aware that participation is completely voluntary and that they can withdraw consent at any point. In addition, participation is confidential and anonymous; although the research may be included in a published report, no information that could identify any individual would be used when presenting findings from the study. A privacy notice would be made available.</w:t>
      </w:r>
    </w:p>
    <w:p w14:paraId="65283656" w14:textId="368C7020" w:rsidR="0081061A" w:rsidRPr="001A45DF" w:rsidRDefault="0081061A"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62" w:name="_Toc109740650"/>
      <w:r w:rsidRPr="001A45DF">
        <w:rPr>
          <w:rFonts w:cs="Arial"/>
          <w:sz w:val="32"/>
          <w:szCs w:val="32"/>
        </w:rPr>
        <w:t>payment</w:t>
      </w:r>
      <w:r w:rsidR="00ED2129" w:rsidRPr="001A45DF">
        <w:rPr>
          <w:rFonts w:cs="Arial"/>
          <w:sz w:val="32"/>
          <w:szCs w:val="32"/>
        </w:rPr>
        <w:t xml:space="preserve"> AND INVOICING</w:t>
      </w:r>
      <w:bookmarkEnd w:id="62"/>
      <w:r w:rsidR="00ED2129" w:rsidRPr="001A45DF">
        <w:rPr>
          <w:rFonts w:cs="Arial"/>
          <w:sz w:val="32"/>
          <w:szCs w:val="32"/>
        </w:rPr>
        <w:t xml:space="preserve"> </w:t>
      </w:r>
    </w:p>
    <w:bookmarkEnd w:id="60"/>
    <w:p w14:paraId="22E1A70F" w14:textId="661232D3" w:rsidR="00037A07" w:rsidRDefault="00037A07" w:rsidP="00037A07">
      <w:pPr>
        <w:pStyle w:val="Heading2"/>
        <w:rPr>
          <w:sz w:val="24"/>
          <w:szCs w:val="24"/>
        </w:rPr>
      </w:pPr>
      <w:r w:rsidRPr="00037A07">
        <w:rPr>
          <w:color w:val="000000"/>
          <w:sz w:val="24"/>
          <w:szCs w:val="24"/>
          <w:highlight w:val="white"/>
        </w:rPr>
        <w:t xml:space="preserve">Payment can only be made following satisfactory delivery of pre-agreed certified products and deliverables. </w:t>
      </w:r>
    </w:p>
    <w:p w14:paraId="1F836FEF" w14:textId="77777777" w:rsidR="00037A07" w:rsidRDefault="00037A07" w:rsidP="00037A07">
      <w:pPr>
        <w:pStyle w:val="Heading2"/>
        <w:rPr>
          <w:sz w:val="24"/>
          <w:szCs w:val="24"/>
        </w:rPr>
      </w:pPr>
      <w:r w:rsidRPr="00037A07">
        <w:rPr>
          <w:color w:val="000000"/>
          <w:sz w:val="24"/>
          <w:szCs w:val="24"/>
          <w:highlight w:val="white"/>
        </w:rPr>
        <w:t xml:space="preserve">Before payment can be considered, each invoice must include a detailed elemental breakdown of work completed and the associated costs. </w:t>
      </w:r>
    </w:p>
    <w:p w14:paraId="60B2FD93" w14:textId="4DB6E07F" w:rsidR="00037A07" w:rsidRPr="00037A07" w:rsidRDefault="00037A07" w:rsidP="00037A07">
      <w:pPr>
        <w:pStyle w:val="Heading2"/>
        <w:rPr>
          <w:sz w:val="24"/>
          <w:szCs w:val="24"/>
        </w:rPr>
      </w:pPr>
      <w:r w:rsidRPr="00037A07">
        <w:rPr>
          <w:color w:val="222222"/>
          <w:sz w:val="24"/>
          <w:szCs w:val="24"/>
        </w:rPr>
        <w:t>Invoicing arrangements:</w:t>
      </w:r>
      <w:bookmarkStart w:id="63" w:name="_heading=h.7y7zrsvq49pj" w:colFirst="0" w:colLast="0"/>
      <w:bookmarkEnd w:id="63"/>
    </w:p>
    <w:p w14:paraId="579BF714" w14:textId="03F1C56E" w:rsidR="00037A07" w:rsidRDefault="00037A07" w:rsidP="00037A07">
      <w:pPr>
        <w:pStyle w:val="Heading2"/>
        <w:numPr>
          <w:ilvl w:val="0"/>
          <w:numId w:val="49"/>
        </w:numPr>
        <w:tabs>
          <w:tab w:val="num" w:pos="643"/>
        </w:tabs>
        <w:spacing w:after="0"/>
        <w:ind w:left="643"/>
        <w:jc w:val="left"/>
        <w:rPr>
          <w:sz w:val="24"/>
          <w:szCs w:val="24"/>
        </w:rPr>
      </w:pPr>
      <w:r>
        <w:rPr>
          <w:sz w:val="24"/>
          <w:szCs w:val="24"/>
        </w:rPr>
        <w:lastRenderedPageBreak/>
        <w:t xml:space="preserve">All invoices should be sent directly to Accounts Payable at SSCL. Please send all electronic invoices to our shared service provider at </w:t>
      </w:r>
      <w:r w:rsidR="00243D8D" w:rsidRPr="00243D8D">
        <w:rPr>
          <w:b/>
          <w:color w:val="FF0000"/>
        </w:rPr>
        <w:t>REDACTED</w:t>
      </w:r>
      <w:r w:rsidR="00243D8D" w:rsidRPr="00243D8D">
        <w:rPr>
          <w:b/>
          <w:color w:val="FF0000"/>
          <w:sz w:val="24"/>
          <w:szCs w:val="24"/>
        </w:rPr>
        <w:t xml:space="preserve"> </w:t>
      </w:r>
      <w:r w:rsidR="00243D8D" w:rsidRPr="00243D8D">
        <w:rPr>
          <w:b/>
          <w:color w:val="FF0000"/>
          <w:sz w:val="24"/>
          <w:szCs w:val="24"/>
        </w:rPr>
        <w:t>Under FOIA Section 40 personal information</w:t>
      </w:r>
    </w:p>
    <w:p w14:paraId="1562AB2F" w14:textId="77777777" w:rsidR="00037A07" w:rsidRDefault="00037A07" w:rsidP="00037A07">
      <w:pPr>
        <w:pStyle w:val="Heading2"/>
        <w:numPr>
          <w:ilvl w:val="0"/>
          <w:numId w:val="49"/>
        </w:numPr>
        <w:tabs>
          <w:tab w:val="num" w:pos="643"/>
        </w:tabs>
        <w:spacing w:after="120"/>
        <w:ind w:left="643"/>
        <w:jc w:val="left"/>
        <w:rPr>
          <w:sz w:val="24"/>
          <w:szCs w:val="24"/>
        </w:rPr>
      </w:pPr>
      <w:bookmarkStart w:id="64" w:name="_heading=h.oj9rhxhqsjv7" w:colFirst="0" w:colLast="0"/>
      <w:bookmarkEnd w:id="64"/>
      <w:r>
        <w:rPr>
          <w:color w:val="222222"/>
          <w:sz w:val="24"/>
          <w:szCs w:val="24"/>
        </w:rPr>
        <w:t>Manual invoicing - please send these to:</w:t>
      </w:r>
    </w:p>
    <w:p w14:paraId="054DF9A7" w14:textId="77777777" w:rsidR="00037A07" w:rsidRDefault="00037A07" w:rsidP="00037A07">
      <w:pPr>
        <w:shd w:val="clear" w:color="auto" w:fill="FFFFFF"/>
        <w:ind w:left="1418"/>
        <w:rPr>
          <w:color w:val="222222"/>
          <w:sz w:val="24"/>
        </w:rPr>
      </w:pPr>
      <w:r>
        <w:rPr>
          <w:color w:val="222222"/>
          <w:sz w:val="24"/>
        </w:rPr>
        <w:t xml:space="preserve">Shared Services Connected Limited, </w:t>
      </w:r>
    </w:p>
    <w:p w14:paraId="7BCF37C8" w14:textId="59C183C5" w:rsidR="00037A07" w:rsidRPr="00243D8D" w:rsidRDefault="00243D8D" w:rsidP="00D6678F">
      <w:pPr>
        <w:shd w:val="clear" w:color="auto" w:fill="FFFFFF"/>
        <w:ind w:left="1418"/>
        <w:rPr>
          <w:b/>
          <w:color w:val="FF0000"/>
          <w:sz w:val="24"/>
        </w:rPr>
      </w:pPr>
      <w:r w:rsidRPr="00243D8D">
        <w:rPr>
          <w:b/>
          <w:color w:val="FF0000"/>
          <w:sz w:val="24"/>
        </w:rPr>
        <w:t xml:space="preserve">REDACTED </w:t>
      </w:r>
      <w:r w:rsidRPr="00243D8D">
        <w:rPr>
          <w:b/>
          <w:color w:val="FF0000"/>
          <w:sz w:val="24"/>
        </w:rPr>
        <w:t>Under FOIA Section 40 personal information</w:t>
      </w:r>
    </w:p>
    <w:p w14:paraId="7B5B3409" w14:textId="359999EE" w:rsidR="00037A07" w:rsidRPr="00037A07" w:rsidRDefault="00037A07" w:rsidP="00037A07">
      <w:pPr>
        <w:pStyle w:val="Heading2"/>
        <w:rPr>
          <w:sz w:val="24"/>
          <w:szCs w:val="24"/>
        </w:rPr>
      </w:pPr>
      <w:r w:rsidRPr="00037A07">
        <w:rPr>
          <w:sz w:val="24"/>
          <w:szCs w:val="24"/>
        </w:rPr>
        <w:t xml:space="preserve">Cabinet Office purchase order numbers must be clearly stated on </w:t>
      </w:r>
      <w:r w:rsidRPr="00037A07">
        <w:rPr>
          <w:sz w:val="24"/>
          <w:szCs w:val="24"/>
          <w:u w:val="single"/>
        </w:rPr>
        <w:t>all</w:t>
      </w:r>
      <w:r w:rsidRPr="00037A07">
        <w:rPr>
          <w:sz w:val="24"/>
          <w:szCs w:val="24"/>
        </w:rPr>
        <w:t xml:space="preserve"> invoices. Any supplier invoices received without a valid purchase order number will not be paid and will be sent back.</w:t>
      </w:r>
    </w:p>
    <w:p w14:paraId="6828E644" w14:textId="77777777" w:rsidR="00E24EE7" w:rsidRPr="001A45DF"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65" w:name="_Toc109740651"/>
      <w:r w:rsidRPr="001A45DF">
        <w:rPr>
          <w:rFonts w:cs="Arial"/>
          <w:sz w:val="32"/>
          <w:szCs w:val="32"/>
        </w:rPr>
        <w:t>CONTRACT MANAGEMENT</w:t>
      </w:r>
      <w:bookmarkEnd w:id="65"/>
      <w:r w:rsidR="00FE18AC" w:rsidRPr="001A45DF">
        <w:rPr>
          <w:rFonts w:cs="Arial"/>
          <w:sz w:val="32"/>
          <w:szCs w:val="32"/>
        </w:rPr>
        <w:t xml:space="preserve"> </w:t>
      </w:r>
    </w:p>
    <w:p w14:paraId="0A1C27C4" w14:textId="0E04B12F" w:rsidR="00D6678F" w:rsidRDefault="00D6678F" w:rsidP="00D6678F">
      <w:pPr>
        <w:pStyle w:val="Heading2"/>
        <w:rPr>
          <w:rFonts w:cs="Arial"/>
          <w:sz w:val="24"/>
          <w:szCs w:val="24"/>
        </w:rPr>
      </w:pPr>
      <w:bookmarkStart w:id="66" w:name="_Toc368573043"/>
      <w:bookmarkEnd w:id="39"/>
      <w:r w:rsidRPr="00D6678F">
        <w:rPr>
          <w:sz w:val="24"/>
          <w:szCs w:val="24"/>
        </w:rPr>
        <w:t xml:space="preserve">The Supplier will be required to implement a structured approach to risk management, outlining the key risks identified and how these will be managed.   This is to include risks relating to project delivery, in addition to presentational risks due to the </w:t>
      </w:r>
      <w:proofErr w:type="gramStart"/>
      <w:r w:rsidRPr="00D6678F">
        <w:rPr>
          <w:sz w:val="24"/>
          <w:szCs w:val="24"/>
        </w:rPr>
        <w:t>high profile</w:t>
      </w:r>
      <w:proofErr w:type="gramEnd"/>
      <w:r w:rsidRPr="00D6678F">
        <w:rPr>
          <w:sz w:val="24"/>
          <w:szCs w:val="24"/>
        </w:rPr>
        <w:t xml:space="preserve"> nature of this programme.  </w:t>
      </w:r>
    </w:p>
    <w:p w14:paraId="0D5BBD54" w14:textId="77777777" w:rsidR="00D6678F" w:rsidRDefault="00D6678F" w:rsidP="00D6678F">
      <w:pPr>
        <w:pStyle w:val="Heading2"/>
        <w:rPr>
          <w:rFonts w:cs="Arial"/>
          <w:sz w:val="24"/>
          <w:szCs w:val="24"/>
        </w:rPr>
      </w:pPr>
      <w:r w:rsidRPr="00D6678F">
        <w:rPr>
          <w:sz w:val="24"/>
          <w:szCs w:val="24"/>
        </w:rPr>
        <w:t>Potential Providers should outline full details of this plan as part of their response, including the course of action to be followed should risks to project delivery arise, e.g. in the case of low response rates and/or slippage</w:t>
      </w:r>
    </w:p>
    <w:p w14:paraId="3995F8B2" w14:textId="77777777" w:rsidR="00D6678F" w:rsidRDefault="00D6678F" w:rsidP="00D6678F">
      <w:pPr>
        <w:pStyle w:val="Heading2"/>
        <w:rPr>
          <w:rFonts w:cs="Arial"/>
          <w:sz w:val="24"/>
          <w:szCs w:val="24"/>
        </w:rPr>
      </w:pPr>
      <w:r w:rsidRPr="00D6678F">
        <w:rPr>
          <w:sz w:val="24"/>
          <w:szCs w:val="24"/>
        </w:rPr>
        <w:t>As part of the weekly progress reports outlined above, the Supplier should report on performance against relevant milestones and include an update on risks identified and how these will be managed.</w:t>
      </w:r>
      <w:bookmarkStart w:id="67" w:name="_heading=h.jtj0rliyslyb" w:colFirst="0" w:colLast="0"/>
      <w:bookmarkEnd w:id="67"/>
    </w:p>
    <w:p w14:paraId="20EA86D5" w14:textId="77777777" w:rsidR="00D6678F" w:rsidRDefault="00D6678F" w:rsidP="00D6678F">
      <w:pPr>
        <w:pStyle w:val="Heading2"/>
        <w:rPr>
          <w:rFonts w:cs="Arial"/>
          <w:sz w:val="24"/>
          <w:szCs w:val="24"/>
        </w:rPr>
      </w:pPr>
      <w:r w:rsidRPr="00D6678F">
        <w:rPr>
          <w:sz w:val="24"/>
          <w:szCs w:val="24"/>
        </w:rPr>
        <w:t>The Authority will assess performance based on these reports and will require additional meetings with the Supplier if milestones are not met, either in terms of timings or quality.</w:t>
      </w:r>
    </w:p>
    <w:p w14:paraId="0E531ACC" w14:textId="38A167E7" w:rsidR="00926958" w:rsidRPr="00D6678F" w:rsidRDefault="00D6678F" w:rsidP="00D6678F">
      <w:pPr>
        <w:pStyle w:val="Heading2"/>
        <w:rPr>
          <w:rFonts w:cs="Arial"/>
          <w:sz w:val="24"/>
          <w:szCs w:val="24"/>
        </w:rPr>
      </w:pPr>
      <w:r w:rsidRPr="00D6678F">
        <w:rPr>
          <w:sz w:val="24"/>
          <w:szCs w:val="24"/>
        </w:rPr>
        <w:t>Attendance at Contract Review meetings shall be at the Supplier’s own expense</w:t>
      </w:r>
      <w:bookmarkEnd w:id="66"/>
      <w:r>
        <w:rPr>
          <w:sz w:val="24"/>
          <w:szCs w:val="24"/>
        </w:rPr>
        <w:t>.</w:t>
      </w:r>
    </w:p>
    <w:sectPr w:rsidR="00926958" w:rsidRPr="00D6678F" w:rsidSect="00703BFD">
      <w:headerReference w:type="default" r:id="rId10"/>
      <w:footerReference w:type="default" r:id="rId11"/>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4BB10" w14:textId="77777777" w:rsidR="00CE4BD7" w:rsidRDefault="00CE4BD7">
      <w:pPr>
        <w:spacing w:line="20" w:lineRule="exact"/>
      </w:pPr>
    </w:p>
  </w:endnote>
  <w:endnote w:type="continuationSeparator" w:id="0">
    <w:p w14:paraId="30EC99AA" w14:textId="77777777" w:rsidR="00CE4BD7" w:rsidRDefault="00CE4BD7">
      <w:pPr>
        <w:spacing w:line="20" w:lineRule="exact"/>
      </w:pPr>
      <w:r>
        <w:t xml:space="preserve"> </w:t>
      </w:r>
    </w:p>
  </w:endnote>
  <w:endnote w:type="continuationNotice" w:id="1">
    <w:p w14:paraId="65F5A8EF" w14:textId="77777777" w:rsidR="00CE4BD7" w:rsidRDefault="00CE4BD7">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13824"/>
      <w:docPartObj>
        <w:docPartGallery w:val="Page Numbers (Bottom of Page)"/>
        <w:docPartUnique/>
      </w:docPartObj>
    </w:sdtPr>
    <w:sdtEndPr>
      <w:rPr>
        <w:noProof/>
      </w:rPr>
    </w:sdtEndPr>
    <w:sdtContent>
      <w:p w14:paraId="5E3BDC75" w14:textId="030527A3" w:rsidR="00C52C2C" w:rsidRDefault="00C52C2C"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4CDB84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C52C2C" w:rsidRPr="00985B4D" w:rsidRDefault="00C52C2C" w:rsidP="00985B4D">
        <w:pPr>
          <w:pStyle w:val="Footer"/>
          <w:jc w:val="center"/>
          <w:rPr>
            <w:sz w:val="20"/>
            <w:szCs w:val="20"/>
          </w:rPr>
        </w:pPr>
        <w:r w:rsidRPr="00985B4D">
          <w:rPr>
            <w:sz w:val="20"/>
            <w:szCs w:val="20"/>
          </w:rPr>
          <w:t>OFFICIAL</w:t>
        </w:r>
      </w:p>
      <w:p w14:paraId="6F724001" w14:textId="2198B156" w:rsidR="000B5A25" w:rsidRDefault="00B574FD" w:rsidP="00AC7C8D">
        <w:pPr>
          <w:pBdr>
            <w:top w:val="none" w:sz="0" w:space="0" w:color="000000"/>
            <w:left w:val="none" w:sz="0" w:space="0" w:color="000000"/>
            <w:bottom w:val="none" w:sz="0" w:space="0" w:color="000000"/>
            <w:right w:val="none" w:sz="0" w:space="0" w:color="000000"/>
            <w:between w:val="none" w:sz="0" w:space="0" w:color="000000"/>
          </w:pBdr>
          <w:tabs>
            <w:tab w:val="left" w:pos="1572"/>
          </w:tabs>
          <w:rPr>
            <w:sz w:val="20"/>
            <w:szCs w:val="20"/>
            <w:highlight w:val="yellow"/>
          </w:rPr>
        </w:pPr>
        <w:r>
          <w:rPr>
            <w:sz w:val="20"/>
            <w:szCs w:val="20"/>
          </w:rPr>
          <w:t>Bid pack for</w:t>
        </w:r>
        <w:r w:rsidRPr="00B76BB3">
          <w:rPr>
            <w:sz w:val="20"/>
            <w:szCs w:val="20"/>
          </w:rPr>
          <w:t xml:space="preserve"> </w:t>
        </w:r>
        <w:r w:rsidR="00AC7C8D">
          <w:rPr>
            <w:sz w:val="20"/>
            <w:szCs w:val="20"/>
          </w:rPr>
          <w:t>Qualitative analysis of Terminology Relating to People’s Ethnic Identity</w:t>
        </w:r>
      </w:p>
      <w:p w14:paraId="475E2209" w14:textId="54BC444D" w:rsidR="00B574FD" w:rsidRDefault="00B574FD"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highlight w:val="white"/>
          </w:rPr>
          <w:t>Contract Reference</w:t>
        </w:r>
        <w:r>
          <w:rPr>
            <w:sz w:val="20"/>
            <w:szCs w:val="20"/>
          </w:rPr>
          <w:t>:</w:t>
        </w:r>
        <w:r w:rsidR="00AC7C8D">
          <w:rPr>
            <w:sz w:val="20"/>
            <w:szCs w:val="20"/>
          </w:rPr>
          <w:t xml:space="preserve"> CCZZ22A09                                                </w:t>
        </w:r>
        <w:r>
          <w:rPr>
            <w:sz w:val="20"/>
            <w:szCs w:val="20"/>
          </w:rPr>
          <w:t xml:space="preserve">                                     Page </w:t>
        </w:r>
        <w:r>
          <w:rPr>
            <w:sz w:val="20"/>
            <w:szCs w:val="20"/>
          </w:rPr>
          <w:fldChar w:fldCharType="begin"/>
        </w:r>
        <w:r>
          <w:rPr>
            <w:sz w:val="20"/>
            <w:szCs w:val="20"/>
          </w:rPr>
          <w:instrText>PAGE</w:instrText>
        </w:r>
        <w:r>
          <w:rPr>
            <w:sz w:val="20"/>
            <w:szCs w:val="20"/>
          </w:rPr>
          <w:fldChar w:fldCharType="separate"/>
        </w:r>
        <w:r w:rsidR="00293D9F">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293D9F">
          <w:rPr>
            <w:noProof/>
            <w:sz w:val="20"/>
            <w:szCs w:val="20"/>
          </w:rPr>
          <w:t>1</w:t>
        </w:r>
        <w:r>
          <w:rPr>
            <w:sz w:val="20"/>
            <w:szCs w:val="20"/>
          </w:rPr>
          <w:fldChar w:fldCharType="end"/>
        </w:r>
        <w:r>
          <w:rPr>
            <w:sz w:val="20"/>
            <w:szCs w:val="20"/>
          </w:rPr>
          <w:t xml:space="preserve"> </w:t>
        </w:r>
      </w:p>
      <w:p w14:paraId="014C7B5B" w14:textId="2BE6D711" w:rsidR="00B574FD" w:rsidRDefault="000B5A25"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GWG T15 </w:t>
        </w:r>
        <w:r w:rsidR="00B574FD">
          <w:rPr>
            <w:sz w:val="20"/>
            <w:szCs w:val="20"/>
          </w:rPr>
          <w:t>v</w:t>
        </w:r>
        <w:r>
          <w:rPr>
            <w:sz w:val="20"/>
            <w:szCs w:val="20"/>
          </w:rPr>
          <w:t>1</w:t>
        </w:r>
        <w:r w:rsidR="00B574FD">
          <w:rPr>
            <w:sz w:val="20"/>
            <w:szCs w:val="20"/>
          </w:rPr>
          <w:t>.</w:t>
        </w:r>
        <w:proofErr w:type="gramStart"/>
        <w:r w:rsidR="00B574FD">
          <w:rPr>
            <w:sz w:val="20"/>
            <w:szCs w:val="20"/>
          </w:rPr>
          <w:t xml:space="preserve">0 </w:t>
        </w:r>
        <w:r w:rsidR="00AC7C8D">
          <w:rPr>
            <w:sz w:val="20"/>
            <w:szCs w:val="20"/>
            <w:shd w:val="clear" w:color="auto" w:fill="FFFF99"/>
          </w:rPr>
          <w:t xml:space="preserve"> </w:t>
        </w:r>
        <w:r w:rsidR="00AC7C8D" w:rsidRPr="00AC7C8D">
          <w:rPr>
            <w:sz w:val="20"/>
            <w:szCs w:val="20"/>
          </w:rPr>
          <w:t>25</w:t>
        </w:r>
        <w:proofErr w:type="gramEnd"/>
        <w:r w:rsidR="00AC7C8D" w:rsidRPr="00AC7C8D">
          <w:rPr>
            <w:sz w:val="20"/>
            <w:szCs w:val="20"/>
          </w:rPr>
          <w:t>th July 2022</w:t>
        </w:r>
      </w:p>
      <w:p w14:paraId="42D6E6E6" w14:textId="0EA5D23B" w:rsidR="00C52C2C" w:rsidRPr="00985B4D" w:rsidRDefault="00B574FD" w:rsidP="00B574FD">
        <w:pPr>
          <w:pStyle w:val="Footer"/>
          <w:rPr>
            <w:sz w:val="20"/>
            <w:szCs w:val="20"/>
          </w:rPr>
        </w:pPr>
        <w:r>
          <w:rPr>
            <w:sz w:val="20"/>
            <w:szCs w:val="20"/>
          </w:rPr>
          <w:t>© Crown Copyright 20</w:t>
        </w:r>
        <w:r w:rsidR="000B5A25">
          <w:rPr>
            <w:sz w:val="20"/>
            <w:szCs w:val="20"/>
          </w:rPr>
          <w:t>20</w:t>
        </w:r>
        <w:r>
          <w:rPr>
            <w:sz w:val="20"/>
            <w:szCs w:val="20"/>
          </w:rPr>
          <w:tab/>
        </w:r>
      </w:p>
      <w:p w14:paraId="5214230D" w14:textId="0A7ED596" w:rsidR="00C52C2C" w:rsidRDefault="00CE4BD7" w:rsidP="00985B4D">
        <w:pPr>
          <w:pStyle w:val="Footer"/>
          <w:jc w:val="center"/>
        </w:pPr>
      </w:p>
    </w:sdtContent>
  </w:sdt>
  <w:p w14:paraId="6CEF1DBF" w14:textId="77777777" w:rsidR="00C52C2C" w:rsidRPr="002933F8" w:rsidRDefault="00C52C2C"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41734" w14:textId="77777777" w:rsidR="00CE4BD7" w:rsidRDefault="00CE4BD7">
      <w:r>
        <w:separator/>
      </w:r>
    </w:p>
  </w:footnote>
  <w:footnote w:type="continuationSeparator" w:id="0">
    <w:p w14:paraId="5FB93203" w14:textId="77777777" w:rsidR="00CE4BD7" w:rsidRDefault="00CE4BD7">
      <w:r>
        <w:continuationSeparator/>
      </w:r>
    </w:p>
  </w:footnote>
  <w:footnote w:type="continuationNotice" w:id="1">
    <w:p w14:paraId="1B1A9D8E" w14:textId="77777777" w:rsidR="00CE4BD7" w:rsidRDefault="00CE4BD7"/>
  </w:footnote>
  <w:footnote w:id="2">
    <w:p w14:paraId="248E3B97" w14:textId="77777777" w:rsidR="005B5D64" w:rsidRDefault="005B5D64" w:rsidP="005B5D64">
      <w:pPr>
        <w:rPr>
          <w:sz w:val="20"/>
          <w:szCs w:val="20"/>
        </w:rPr>
      </w:pPr>
      <w:r>
        <w:rPr>
          <w:rStyle w:val="FootnoteReference"/>
        </w:rPr>
        <w:footnoteRef/>
      </w:r>
      <w:r>
        <w:rPr>
          <w:sz w:val="20"/>
          <w:szCs w:val="20"/>
        </w:rPr>
        <w:t xml:space="preserve"> See Appendix C https://www.gov.uk/government/publications/final-report-on-progress-to-address-covid-19-health-inequalities</w:t>
      </w:r>
    </w:p>
  </w:footnote>
  <w:footnote w:id="3">
    <w:p w14:paraId="7F90E160" w14:textId="77777777" w:rsidR="005B5D64" w:rsidRDefault="005B5D64" w:rsidP="005B5D64">
      <w:pPr>
        <w:rPr>
          <w:sz w:val="20"/>
          <w:szCs w:val="20"/>
        </w:rPr>
      </w:pPr>
      <w:r>
        <w:rPr>
          <w:rStyle w:val="FootnoteReference"/>
        </w:rPr>
        <w:footnoteRef/>
      </w:r>
      <w:r>
        <w:rPr>
          <w:sz w:val="20"/>
          <w:szCs w:val="20"/>
        </w:rPr>
        <w:t xml:space="preserve"> See ‘Developing qualitative insights’ https://www.gov.uk/government/publications/final-report-on-progress-to-address-covid-19-health-inequalities/final-report-on-progress-to-address-covid-19-health-inequalities#stakeholder-engagement-and-insights</w:t>
      </w:r>
    </w:p>
  </w:footnote>
  <w:footnote w:id="4">
    <w:p w14:paraId="742311B0" w14:textId="77777777" w:rsidR="005B5D64" w:rsidRDefault="005B5D64" w:rsidP="005B5D64">
      <w:pPr>
        <w:rPr>
          <w:sz w:val="20"/>
          <w:szCs w:val="20"/>
        </w:rPr>
      </w:pPr>
      <w:r>
        <w:rPr>
          <w:rStyle w:val="FootnoteReference"/>
        </w:rPr>
        <w:footnoteRef/>
      </w:r>
      <w:r>
        <w:rPr>
          <w:sz w:val="20"/>
          <w:szCs w:val="20"/>
        </w:rPr>
        <w:t xml:space="preserve"> https://www.kantar.com/-/media/Project/Kantar/Global/Public-polls/2018/ONS-Colour-terms-Report.PDF</w:t>
      </w:r>
    </w:p>
  </w:footnote>
  <w:footnote w:id="5">
    <w:p w14:paraId="1A61D677" w14:textId="77777777" w:rsidR="0027506C" w:rsidRDefault="0027506C" w:rsidP="0027506C">
      <w:pPr>
        <w:rPr>
          <w:sz w:val="20"/>
          <w:szCs w:val="20"/>
        </w:rPr>
      </w:pPr>
      <w:r>
        <w:rPr>
          <w:rStyle w:val="FootnoteReference"/>
        </w:rPr>
        <w:footnoteRef/>
      </w:r>
      <w:r>
        <w:rPr>
          <w:sz w:val="20"/>
          <w:szCs w:val="20"/>
        </w:rPr>
        <w:t xml:space="preserve"> https://uksa.statisticsauthority.gov.uk/the-authority-board/committees/national-statisticians-advisory-committees-and-panels/national-statisticians-data-ethics-advisory-committee/ethics-self-assessment-tool/</w:t>
      </w:r>
    </w:p>
  </w:footnote>
  <w:footnote w:id="6">
    <w:p w14:paraId="7D536B4E" w14:textId="77777777" w:rsidR="00B8094A" w:rsidRDefault="00B8094A" w:rsidP="00B8094A">
      <w:pPr>
        <w:rPr>
          <w:sz w:val="20"/>
          <w:szCs w:val="20"/>
        </w:rPr>
      </w:pPr>
      <w:r>
        <w:rPr>
          <w:rStyle w:val="FootnoteReference"/>
        </w:rPr>
        <w:footnoteRef/>
      </w:r>
      <w:r>
        <w:rPr>
          <w:sz w:val="20"/>
          <w:szCs w:val="20"/>
        </w:rPr>
        <w:t xml:space="preserve"> For example, sorting LAs by % non-White British (and filtering out London Boroughs to side-step graduate-migration effects), the top 10 locations are: Slough, Leicester, Luton, Birmingham, Manchester, Bradford, Wolverhampton, Blackburn with Darwen, Sandwell and Nottingham. Birmingham, Manchester, Bradford, Blackburn with Darwen, Sandwell and Nottingham are in the top 15 most deprived local authorities (by average local deprivations score). Wolverhampton is in the top 30 and Leicester the top 45.</w:t>
      </w:r>
    </w:p>
  </w:footnote>
  <w:footnote w:id="7">
    <w:p w14:paraId="04489A1B" w14:textId="77777777" w:rsidR="00B8094A" w:rsidRDefault="00B8094A" w:rsidP="00B8094A">
      <w:pPr>
        <w:rPr>
          <w:sz w:val="20"/>
          <w:szCs w:val="20"/>
        </w:rPr>
      </w:pPr>
      <w:r>
        <w:rPr>
          <w:rStyle w:val="FootnoteReference"/>
        </w:rPr>
        <w:footnoteRef/>
      </w:r>
      <w:r>
        <w:rPr>
          <w:sz w:val="20"/>
          <w:szCs w:val="20"/>
        </w:rPr>
        <w:t xml:space="preserve"> Ethnicity profiles vary by country. Data from the 2011 Census estimates that white people make up 85.3% of the population in England, 95.5% in Wales, 95.9% in Scotland and 98.2% in Northern Ireland. Black people make up 3.5% of the population in England compared to 0.2% in Northern Ireland. Asian populations are larger than Black populations in every country. These profiles are supported by similar but more recent findings from the Annual Population Survey (2018-2020 3-year average). We would want ethnic minorities in devolved administrations to be represented if not oversampled.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B3446" w14:textId="1C5596A0" w:rsidR="00C52C2C" w:rsidRPr="009D0EAE" w:rsidRDefault="00C52C2C" w:rsidP="00F946AC">
    <w:pPr>
      <w:pStyle w:val="Header"/>
      <w:jc w:val="center"/>
      <w:rPr>
        <w:rFonts w:cs="Arial"/>
        <w:sz w:val="20"/>
        <w:szCs w:val="20"/>
        <w:highlight w:val="yellow"/>
      </w:rPr>
    </w:pPr>
  </w:p>
  <w:p w14:paraId="6F1572B1" w14:textId="4D54AA85" w:rsidR="00C52C2C" w:rsidRPr="00074357" w:rsidRDefault="00C52C2C" w:rsidP="00074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0270FA6"/>
    <w:multiLevelType w:val="multilevel"/>
    <w:tmpl w:val="12C460BC"/>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bullet"/>
      <w:lvlText w:val="●"/>
      <w:lvlJc w:val="left"/>
      <w:pPr>
        <w:ind w:left="1800" w:hanging="1080"/>
      </w:pPr>
      <w:rPr>
        <w:rFonts w:ascii="Noto Sans Symbols" w:eastAsia="Noto Sans Symbols" w:hAnsi="Noto Sans Symbols" w:cs="Noto Sans Symbols"/>
        <w:b w:val="0"/>
        <w:smallCaps w:val="0"/>
      </w:rPr>
    </w:lvl>
    <w:lvl w:ilvl="3">
      <w:start w:val="1"/>
      <w:numFmt w:val="decimal"/>
      <w:lvlText w:val="%1.%2.●.%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 w15:restartNumberingAfterBreak="0">
    <w:nsid w:val="009509B8"/>
    <w:multiLevelType w:val="multilevel"/>
    <w:tmpl w:val="FE0807A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bullet"/>
      <w:lvlText w:val="●"/>
      <w:lvlJc w:val="left"/>
      <w:pPr>
        <w:ind w:left="1800" w:hanging="1080"/>
      </w:pPr>
      <w:rPr>
        <w:rFonts w:ascii="Noto Sans Symbols" w:eastAsia="Noto Sans Symbols" w:hAnsi="Noto Sans Symbols" w:cs="Noto Sans Symbols"/>
        <w:b w:val="0"/>
        <w:smallCaps w:val="0"/>
      </w:rPr>
    </w:lvl>
    <w:lvl w:ilvl="3">
      <w:start w:val="1"/>
      <w:numFmt w:val="bullet"/>
      <w:lvlText w:val="o"/>
      <w:lvlJc w:val="left"/>
      <w:pPr>
        <w:ind w:left="2880" w:hanging="1080"/>
      </w:pPr>
      <w:rPr>
        <w:rFonts w:ascii="Courier New" w:eastAsia="Courier New" w:hAnsi="Courier New" w:cs="Courier New"/>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51309F"/>
    <w:multiLevelType w:val="multilevel"/>
    <w:tmpl w:val="E084ACE8"/>
    <w:lvl w:ilvl="0">
      <w:start w:val="1"/>
      <w:numFmt w:val="bullet"/>
      <w:lvlText w:val="●"/>
      <w:lvlJc w:val="left"/>
      <w:pPr>
        <w:ind w:left="1429" w:hanging="360"/>
      </w:pPr>
    </w:lvl>
    <w:lvl w:ilvl="1">
      <w:start w:val="1"/>
      <w:numFmt w:val="bullet"/>
      <w:lvlText w:val="○"/>
      <w:lvlJc w:val="left"/>
      <w:pPr>
        <w:ind w:left="2149" w:hanging="360"/>
      </w:pPr>
    </w:lvl>
    <w:lvl w:ilvl="2">
      <w:start w:val="1"/>
      <w:numFmt w:val="bullet"/>
      <w:lvlText w:val="■"/>
      <w:lvlJc w:val="left"/>
      <w:pPr>
        <w:ind w:left="2869" w:hanging="180"/>
      </w:pPr>
    </w:lvl>
    <w:lvl w:ilvl="3">
      <w:start w:val="1"/>
      <w:numFmt w:val="bullet"/>
      <w:lvlText w:val="●"/>
      <w:lvlJc w:val="left"/>
      <w:pPr>
        <w:ind w:left="3589" w:hanging="360"/>
      </w:pPr>
    </w:lvl>
    <w:lvl w:ilvl="4">
      <w:start w:val="1"/>
      <w:numFmt w:val="bullet"/>
      <w:lvlText w:val="○"/>
      <w:lvlJc w:val="left"/>
      <w:pPr>
        <w:ind w:left="4309" w:hanging="360"/>
      </w:pPr>
    </w:lvl>
    <w:lvl w:ilvl="5">
      <w:start w:val="1"/>
      <w:numFmt w:val="bullet"/>
      <w:lvlText w:val="■"/>
      <w:lvlJc w:val="left"/>
      <w:pPr>
        <w:ind w:left="5029" w:hanging="180"/>
      </w:pPr>
    </w:lvl>
    <w:lvl w:ilvl="6">
      <w:start w:val="1"/>
      <w:numFmt w:val="bullet"/>
      <w:lvlText w:val="●"/>
      <w:lvlJc w:val="left"/>
      <w:pPr>
        <w:ind w:left="5749" w:hanging="360"/>
      </w:pPr>
    </w:lvl>
    <w:lvl w:ilvl="7">
      <w:start w:val="1"/>
      <w:numFmt w:val="bullet"/>
      <w:lvlText w:val="○"/>
      <w:lvlJc w:val="left"/>
      <w:pPr>
        <w:ind w:left="6469" w:hanging="360"/>
      </w:pPr>
    </w:lvl>
    <w:lvl w:ilvl="8">
      <w:start w:val="1"/>
      <w:numFmt w:val="bullet"/>
      <w:lvlText w:val="■"/>
      <w:lvlJc w:val="left"/>
      <w:pPr>
        <w:ind w:left="7189" w:hanging="180"/>
      </w:pPr>
    </w:lvl>
  </w:abstractNum>
  <w:abstractNum w:abstractNumId="1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BBF3343"/>
    <w:multiLevelType w:val="multilevel"/>
    <w:tmpl w:val="7BD2C4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7"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9" w15:restartNumberingAfterBreak="0">
    <w:nsid w:val="2603079F"/>
    <w:multiLevelType w:val="multilevel"/>
    <w:tmpl w:val="33BE48A8"/>
    <w:lvl w:ilvl="0">
      <w:start w:val="1"/>
      <w:numFmt w:val="decimal"/>
      <w:lvlText w:val="%1."/>
      <w:lvlJc w:val="left"/>
      <w:pPr>
        <w:ind w:left="1440" w:hanging="360"/>
      </w:pPr>
      <w:rPr>
        <w:rFonts w:ascii="Calibri" w:eastAsia="Calibri" w:hAnsi="Calibri" w:cs="Calibri"/>
        <w:b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2A860762"/>
    <w:multiLevelType w:val="multilevel"/>
    <w:tmpl w:val="CADE4338"/>
    <w:lvl w:ilvl="0">
      <w:start w:val="1"/>
      <w:numFmt w:val="bullet"/>
      <w:lvlText w:val="●"/>
      <w:lvlJc w:val="left"/>
      <w:pPr>
        <w:ind w:left="758" w:hanging="360"/>
      </w:pPr>
      <w:rPr>
        <w:rFonts w:ascii="Noto Sans Symbols" w:eastAsia="Noto Sans Symbols" w:hAnsi="Noto Sans Symbols" w:cs="Noto Sans Symbols"/>
      </w:rPr>
    </w:lvl>
    <w:lvl w:ilvl="1">
      <w:start w:val="1"/>
      <w:numFmt w:val="bullet"/>
      <w:lvlText w:val="o"/>
      <w:lvlJc w:val="left"/>
      <w:pPr>
        <w:ind w:left="1478" w:hanging="360"/>
      </w:pPr>
      <w:rPr>
        <w:rFonts w:ascii="Courier New" w:eastAsia="Courier New" w:hAnsi="Courier New" w:cs="Courier New"/>
      </w:rPr>
    </w:lvl>
    <w:lvl w:ilvl="2">
      <w:start w:val="1"/>
      <w:numFmt w:val="bullet"/>
      <w:lvlText w:val="▪"/>
      <w:lvlJc w:val="left"/>
      <w:pPr>
        <w:ind w:left="2198" w:hanging="360"/>
      </w:pPr>
      <w:rPr>
        <w:rFonts w:ascii="Noto Sans Symbols" w:eastAsia="Noto Sans Symbols" w:hAnsi="Noto Sans Symbols" w:cs="Noto Sans Symbols"/>
      </w:rPr>
    </w:lvl>
    <w:lvl w:ilvl="3">
      <w:start w:val="1"/>
      <w:numFmt w:val="bullet"/>
      <w:lvlText w:val="●"/>
      <w:lvlJc w:val="left"/>
      <w:pPr>
        <w:ind w:left="2918" w:hanging="360"/>
      </w:pPr>
      <w:rPr>
        <w:rFonts w:ascii="Noto Sans Symbols" w:eastAsia="Noto Sans Symbols" w:hAnsi="Noto Sans Symbols" w:cs="Noto Sans Symbols"/>
      </w:rPr>
    </w:lvl>
    <w:lvl w:ilvl="4">
      <w:start w:val="1"/>
      <w:numFmt w:val="bullet"/>
      <w:lvlText w:val="o"/>
      <w:lvlJc w:val="left"/>
      <w:pPr>
        <w:ind w:left="3638" w:hanging="360"/>
      </w:pPr>
      <w:rPr>
        <w:rFonts w:ascii="Courier New" w:eastAsia="Courier New" w:hAnsi="Courier New" w:cs="Courier New"/>
      </w:rPr>
    </w:lvl>
    <w:lvl w:ilvl="5">
      <w:start w:val="1"/>
      <w:numFmt w:val="bullet"/>
      <w:lvlText w:val="▪"/>
      <w:lvlJc w:val="left"/>
      <w:pPr>
        <w:ind w:left="4358" w:hanging="360"/>
      </w:pPr>
      <w:rPr>
        <w:rFonts w:ascii="Noto Sans Symbols" w:eastAsia="Noto Sans Symbols" w:hAnsi="Noto Sans Symbols" w:cs="Noto Sans Symbols"/>
      </w:rPr>
    </w:lvl>
    <w:lvl w:ilvl="6">
      <w:start w:val="1"/>
      <w:numFmt w:val="bullet"/>
      <w:lvlText w:val="●"/>
      <w:lvlJc w:val="left"/>
      <w:pPr>
        <w:ind w:left="5078" w:hanging="360"/>
      </w:pPr>
      <w:rPr>
        <w:rFonts w:ascii="Noto Sans Symbols" w:eastAsia="Noto Sans Symbols" w:hAnsi="Noto Sans Symbols" w:cs="Noto Sans Symbols"/>
      </w:rPr>
    </w:lvl>
    <w:lvl w:ilvl="7">
      <w:start w:val="1"/>
      <w:numFmt w:val="bullet"/>
      <w:lvlText w:val="o"/>
      <w:lvlJc w:val="left"/>
      <w:pPr>
        <w:ind w:left="5798" w:hanging="360"/>
      </w:pPr>
      <w:rPr>
        <w:rFonts w:ascii="Courier New" w:eastAsia="Courier New" w:hAnsi="Courier New" w:cs="Courier New"/>
      </w:rPr>
    </w:lvl>
    <w:lvl w:ilvl="8">
      <w:start w:val="1"/>
      <w:numFmt w:val="bullet"/>
      <w:lvlText w:val="▪"/>
      <w:lvlJc w:val="left"/>
      <w:pPr>
        <w:ind w:left="6518" w:hanging="360"/>
      </w:pPr>
      <w:rPr>
        <w:rFonts w:ascii="Noto Sans Symbols" w:eastAsia="Noto Sans Symbols" w:hAnsi="Noto Sans Symbols" w:cs="Noto Sans Symbols"/>
      </w:rPr>
    </w:lvl>
  </w:abstractNum>
  <w:abstractNum w:abstractNumId="2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2"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3"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4" w15:restartNumberingAfterBreak="0">
    <w:nsid w:val="33BE46BF"/>
    <w:multiLevelType w:val="multilevel"/>
    <w:tmpl w:val="9ED4DC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411628CD"/>
    <w:multiLevelType w:val="multilevel"/>
    <w:tmpl w:val="EF58A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4B40158C"/>
    <w:multiLevelType w:val="hybridMultilevel"/>
    <w:tmpl w:val="B79A46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B6C2C5C"/>
    <w:multiLevelType w:val="multilevel"/>
    <w:tmpl w:val="1332CCD4"/>
    <w:name w:val="Plato Schedule Numbering List"/>
    <w:numStyleLink w:val="111111"/>
  </w:abstractNum>
  <w:abstractNum w:abstractNumId="33" w15:restartNumberingAfterBreak="0">
    <w:nsid w:val="50965CCA"/>
    <w:multiLevelType w:val="multilevel"/>
    <w:tmpl w:val="1332CCD4"/>
    <w:name w:val="Appendicies Heading List"/>
    <w:numStyleLink w:val="111111"/>
  </w:abstractNum>
  <w:abstractNum w:abstractNumId="34"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5" w15:restartNumberingAfterBreak="0">
    <w:nsid w:val="517A05CE"/>
    <w:multiLevelType w:val="multilevel"/>
    <w:tmpl w:val="A6C6A0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54737CCC"/>
    <w:multiLevelType w:val="multilevel"/>
    <w:tmpl w:val="C1B84B5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5F55B56"/>
    <w:multiLevelType w:val="multilevel"/>
    <w:tmpl w:val="9D5E8B7E"/>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8"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5C5956"/>
    <w:multiLevelType w:val="multilevel"/>
    <w:tmpl w:val="115AFD4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0"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1"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640D1030"/>
    <w:multiLevelType w:val="multilevel"/>
    <w:tmpl w:val="750229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5" w15:restartNumberingAfterBreak="0">
    <w:nsid w:val="65467242"/>
    <w:multiLevelType w:val="multilevel"/>
    <w:tmpl w:val="4F6A2BB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6"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7" w15:restartNumberingAfterBreak="0">
    <w:nsid w:val="7896523A"/>
    <w:multiLevelType w:val="multilevel"/>
    <w:tmpl w:val="78F8238C"/>
    <w:lvl w:ilvl="0">
      <w:start w:val="1"/>
      <w:numFmt w:val="upperLetter"/>
      <w:lvlText w:val="%1."/>
      <w:lvlJc w:val="left"/>
      <w:pPr>
        <w:ind w:left="1789" w:hanging="360"/>
      </w:p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48"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0"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8"/>
  </w:num>
  <w:num w:numId="2">
    <w:abstractNumId w:val="34"/>
  </w:num>
  <w:num w:numId="3">
    <w:abstractNumId w:val="21"/>
  </w:num>
  <w:num w:numId="4">
    <w:abstractNumId w:val="22"/>
  </w:num>
  <w:num w:numId="5">
    <w:abstractNumId w:val="7"/>
  </w:num>
  <w:num w:numId="6">
    <w:abstractNumId w:val="29"/>
  </w:num>
  <w:num w:numId="7">
    <w:abstractNumId w:val="25"/>
  </w:num>
  <w:num w:numId="8">
    <w:abstractNumId w:val="18"/>
  </w:num>
  <w:num w:numId="9">
    <w:abstractNumId w:val="4"/>
  </w:num>
  <w:num w:numId="10">
    <w:abstractNumId w:val="3"/>
  </w:num>
  <w:num w:numId="11">
    <w:abstractNumId w:val="2"/>
  </w:num>
  <w:num w:numId="12">
    <w:abstractNumId w:val="1"/>
  </w:num>
  <w:num w:numId="13">
    <w:abstractNumId w:val="0"/>
  </w:num>
  <w:num w:numId="14">
    <w:abstractNumId w:val="49"/>
  </w:num>
  <w:num w:numId="15">
    <w:abstractNumId w:val="12"/>
  </w:num>
  <w:num w:numId="16">
    <w:abstractNumId w:val="42"/>
  </w:num>
  <w:num w:numId="17">
    <w:abstractNumId w:val="11"/>
  </w:num>
  <w:num w:numId="18">
    <w:abstractNumId w:val="26"/>
  </w:num>
  <w:num w:numId="19">
    <w:abstractNumId w:val="23"/>
  </w:num>
  <w:num w:numId="20">
    <w:abstractNumId w:val="40"/>
  </w:num>
  <w:num w:numId="21">
    <w:abstractNumId w:val="17"/>
  </w:num>
  <w:num w:numId="22">
    <w:abstractNumId w:val="46"/>
  </w:num>
  <w:num w:numId="23">
    <w:abstractNumId w:val="30"/>
  </w:num>
  <w:num w:numId="24">
    <w:abstractNumId w:val="16"/>
  </w:num>
  <w:num w:numId="25">
    <w:abstractNumId w:val="44"/>
  </w:num>
  <w:num w:numId="26">
    <w:abstractNumId w:val="9"/>
  </w:num>
  <w:num w:numId="27">
    <w:abstractNumId w:val="38"/>
  </w:num>
  <w:num w:numId="28">
    <w:abstractNumId w:val="27"/>
  </w:num>
  <w:num w:numId="29">
    <w:abstractNumId w:val="48"/>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4"/>
  </w:num>
  <w:num w:numId="33">
    <w:abstractNumId w:val="15"/>
  </w:num>
  <w:num w:numId="34">
    <w:abstractNumId w:val="37"/>
  </w:num>
  <w:num w:numId="35">
    <w:abstractNumId w:val="20"/>
  </w:num>
  <w:num w:numId="36">
    <w:abstractNumId w:val="10"/>
  </w:num>
  <w:num w:numId="37">
    <w:abstractNumId w:val="5"/>
  </w:num>
  <w:num w:numId="38">
    <w:abstractNumId w:val="31"/>
  </w:num>
  <w:num w:numId="39">
    <w:abstractNumId w:val="19"/>
  </w:num>
  <w:num w:numId="40">
    <w:abstractNumId w:val="28"/>
  </w:num>
  <w:num w:numId="41">
    <w:abstractNumId w:val="39"/>
  </w:num>
  <w:num w:numId="42">
    <w:abstractNumId w:val="43"/>
  </w:num>
  <w:num w:numId="43">
    <w:abstractNumId w:val="24"/>
  </w:num>
  <w:num w:numId="44">
    <w:abstractNumId w:val="47"/>
  </w:num>
  <w:num w:numId="45">
    <w:abstractNumId w:val="35"/>
  </w:num>
  <w:num w:numId="46">
    <w:abstractNumId w:val="45"/>
  </w:num>
  <w:num w:numId="47">
    <w:abstractNumId w:val="36"/>
  </w:num>
  <w:num w:numId="48">
    <w:abstractNumId w:val="6"/>
  </w:num>
  <w:num w:numId="49">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0C2"/>
    <w:rsid w:val="00000F92"/>
    <w:rsid w:val="00001043"/>
    <w:rsid w:val="000014F8"/>
    <w:rsid w:val="00001B74"/>
    <w:rsid w:val="00002A5E"/>
    <w:rsid w:val="000033CA"/>
    <w:rsid w:val="00004DDC"/>
    <w:rsid w:val="0000639C"/>
    <w:rsid w:val="000067FA"/>
    <w:rsid w:val="000072A6"/>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A07"/>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2732"/>
    <w:rsid w:val="0008330B"/>
    <w:rsid w:val="00090D6B"/>
    <w:rsid w:val="000910A7"/>
    <w:rsid w:val="00092145"/>
    <w:rsid w:val="00092C56"/>
    <w:rsid w:val="00094E2D"/>
    <w:rsid w:val="00095BEC"/>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A10"/>
    <w:rsid w:val="000B5A25"/>
    <w:rsid w:val="000B5C9F"/>
    <w:rsid w:val="000B7E75"/>
    <w:rsid w:val="000C1D0A"/>
    <w:rsid w:val="000C2484"/>
    <w:rsid w:val="000C2E05"/>
    <w:rsid w:val="000C68BF"/>
    <w:rsid w:val="000C6BD6"/>
    <w:rsid w:val="000C7C2B"/>
    <w:rsid w:val="000D3719"/>
    <w:rsid w:val="000D383E"/>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4F66"/>
    <w:rsid w:val="00166299"/>
    <w:rsid w:val="0017017C"/>
    <w:rsid w:val="0017225B"/>
    <w:rsid w:val="00173352"/>
    <w:rsid w:val="0017368C"/>
    <w:rsid w:val="00176CBE"/>
    <w:rsid w:val="00176DF8"/>
    <w:rsid w:val="0018020B"/>
    <w:rsid w:val="001802DD"/>
    <w:rsid w:val="00181D58"/>
    <w:rsid w:val="00181E75"/>
    <w:rsid w:val="001838F8"/>
    <w:rsid w:val="00183DAF"/>
    <w:rsid w:val="00183EB0"/>
    <w:rsid w:val="001842F4"/>
    <w:rsid w:val="00184673"/>
    <w:rsid w:val="001863E6"/>
    <w:rsid w:val="001866C8"/>
    <w:rsid w:val="0018756A"/>
    <w:rsid w:val="00190525"/>
    <w:rsid w:val="00193FB5"/>
    <w:rsid w:val="001962E6"/>
    <w:rsid w:val="0019728E"/>
    <w:rsid w:val="001A1780"/>
    <w:rsid w:val="001A3C4D"/>
    <w:rsid w:val="001A45DF"/>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1F9D"/>
    <w:rsid w:val="00202978"/>
    <w:rsid w:val="00202DAB"/>
    <w:rsid w:val="00204498"/>
    <w:rsid w:val="00205CD6"/>
    <w:rsid w:val="00206015"/>
    <w:rsid w:val="002136EC"/>
    <w:rsid w:val="00215015"/>
    <w:rsid w:val="0022047E"/>
    <w:rsid w:val="00220ACA"/>
    <w:rsid w:val="002222F1"/>
    <w:rsid w:val="002229A8"/>
    <w:rsid w:val="002234DE"/>
    <w:rsid w:val="002235BF"/>
    <w:rsid w:val="00224FFC"/>
    <w:rsid w:val="0022513D"/>
    <w:rsid w:val="00225865"/>
    <w:rsid w:val="0022592F"/>
    <w:rsid w:val="002262A5"/>
    <w:rsid w:val="002268D4"/>
    <w:rsid w:val="0022721A"/>
    <w:rsid w:val="00233206"/>
    <w:rsid w:val="00234955"/>
    <w:rsid w:val="00235462"/>
    <w:rsid w:val="00241853"/>
    <w:rsid w:val="00243547"/>
    <w:rsid w:val="00243D8D"/>
    <w:rsid w:val="00245B30"/>
    <w:rsid w:val="00246795"/>
    <w:rsid w:val="00250446"/>
    <w:rsid w:val="00251900"/>
    <w:rsid w:val="00252FFC"/>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506C"/>
    <w:rsid w:val="00277524"/>
    <w:rsid w:val="00280B5B"/>
    <w:rsid w:val="002826D7"/>
    <w:rsid w:val="002848C1"/>
    <w:rsid w:val="0028697F"/>
    <w:rsid w:val="00286F62"/>
    <w:rsid w:val="002876FE"/>
    <w:rsid w:val="00287C83"/>
    <w:rsid w:val="00291584"/>
    <w:rsid w:val="002933F8"/>
    <w:rsid w:val="00293D9F"/>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0A45"/>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3D7"/>
    <w:rsid w:val="003874EB"/>
    <w:rsid w:val="003908EB"/>
    <w:rsid w:val="00390BC3"/>
    <w:rsid w:val="0039193D"/>
    <w:rsid w:val="003921A3"/>
    <w:rsid w:val="00396B62"/>
    <w:rsid w:val="003A0CDA"/>
    <w:rsid w:val="003A199A"/>
    <w:rsid w:val="003A21C8"/>
    <w:rsid w:val="003A2C48"/>
    <w:rsid w:val="003A3933"/>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CC8"/>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17175"/>
    <w:rsid w:val="00422823"/>
    <w:rsid w:val="0042602C"/>
    <w:rsid w:val="00426AB4"/>
    <w:rsid w:val="00427A64"/>
    <w:rsid w:val="00430054"/>
    <w:rsid w:val="004300D8"/>
    <w:rsid w:val="0043067F"/>
    <w:rsid w:val="004324B4"/>
    <w:rsid w:val="00433761"/>
    <w:rsid w:val="004401D5"/>
    <w:rsid w:val="00442EDE"/>
    <w:rsid w:val="00446C5F"/>
    <w:rsid w:val="00447F11"/>
    <w:rsid w:val="004516D6"/>
    <w:rsid w:val="0045279B"/>
    <w:rsid w:val="00453EE6"/>
    <w:rsid w:val="0045425C"/>
    <w:rsid w:val="00455C47"/>
    <w:rsid w:val="00456D72"/>
    <w:rsid w:val="00461688"/>
    <w:rsid w:val="00462365"/>
    <w:rsid w:val="00462E6A"/>
    <w:rsid w:val="00470A2A"/>
    <w:rsid w:val="004722DA"/>
    <w:rsid w:val="004759A5"/>
    <w:rsid w:val="00476F39"/>
    <w:rsid w:val="004771C4"/>
    <w:rsid w:val="00477C7D"/>
    <w:rsid w:val="00480506"/>
    <w:rsid w:val="00480E50"/>
    <w:rsid w:val="004900A1"/>
    <w:rsid w:val="004909B0"/>
    <w:rsid w:val="0049625F"/>
    <w:rsid w:val="00497D0E"/>
    <w:rsid w:val="004A225E"/>
    <w:rsid w:val="004A2D0B"/>
    <w:rsid w:val="004A2E7B"/>
    <w:rsid w:val="004A31F5"/>
    <w:rsid w:val="004A3BE6"/>
    <w:rsid w:val="004A4371"/>
    <w:rsid w:val="004A48ED"/>
    <w:rsid w:val="004B4E34"/>
    <w:rsid w:val="004B6951"/>
    <w:rsid w:val="004B6D96"/>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5A5"/>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B5D64"/>
    <w:rsid w:val="005C0826"/>
    <w:rsid w:val="005C2951"/>
    <w:rsid w:val="005C2A84"/>
    <w:rsid w:val="005C3B95"/>
    <w:rsid w:val="005C6291"/>
    <w:rsid w:val="005C6503"/>
    <w:rsid w:val="005D1196"/>
    <w:rsid w:val="005D2362"/>
    <w:rsid w:val="005E00DA"/>
    <w:rsid w:val="005E0E1E"/>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1240"/>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3BFD"/>
    <w:rsid w:val="00704A4D"/>
    <w:rsid w:val="00706FCC"/>
    <w:rsid w:val="007110A9"/>
    <w:rsid w:val="007116AE"/>
    <w:rsid w:val="007145F1"/>
    <w:rsid w:val="0072081F"/>
    <w:rsid w:val="007217F8"/>
    <w:rsid w:val="00724885"/>
    <w:rsid w:val="00727143"/>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02CE"/>
    <w:rsid w:val="00791568"/>
    <w:rsid w:val="00791F7F"/>
    <w:rsid w:val="00792660"/>
    <w:rsid w:val="00792A76"/>
    <w:rsid w:val="00792F41"/>
    <w:rsid w:val="00793CFE"/>
    <w:rsid w:val="007957E7"/>
    <w:rsid w:val="007966BD"/>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DC2"/>
    <w:rsid w:val="007E5ED3"/>
    <w:rsid w:val="007E69D2"/>
    <w:rsid w:val="007F062B"/>
    <w:rsid w:val="007F255C"/>
    <w:rsid w:val="007F48F8"/>
    <w:rsid w:val="007F521C"/>
    <w:rsid w:val="007F78F3"/>
    <w:rsid w:val="007F7976"/>
    <w:rsid w:val="00800097"/>
    <w:rsid w:val="0080204D"/>
    <w:rsid w:val="00802735"/>
    <w:rsid w:val="0080276C"/>
    <w:rsid w:val="00803909"/>
    <w:rsid w:val="00804229"/>
    <w:rsid w:val="008042A5"/>
    <w:rsid w:val="0080626B"/>
    <w:rsid w:val="00806CB2"/>
    <w:rsid w:val="00806DC0"/>
    <w:rsid w:val="008073BC"/>
    <w:rsid w:val="0081061A"/>
    <w:rsid w:val="00811C30"/>
    <w:rsid w:val="0081457C"/>
    <w:rsid w:val="008174FC"/>
    <w:rsid w:val="008203E3"/>
    <w:rsid w:val="00821734"/>
    <w:rsid w:val="00822196"/>
    <w:rsid w:val="008227FE"/>
    <w:rsid w:val="0082305E"/>
    <w:rsid w:val="0082468F"/>
    <w:rsid w:val="00825DD7"/>
    <w:rsid w:val="008265CE"/>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7CC"/>
    <w:rsid w:val="008E7D6B"/>
    <w:rsid w:val="008F0B3A"/>
    <w:rsid w:val="008F0B5B"/>
    <w:rsid w:val="008F0F5B"/>
    <w:rsid w:val="008F3470"/>
    <w:rsid w:val="008F48B8"/>
    <w:rsid w:val="008F4F1E"/>
    <w:rsid w:val="008F5670"/>
    <w:rsid w:val="008F7730"/>
    <w:rsid w:val="00900BFA"/>
    <w:rsid w:val="00900E71"/>
    <w:rsid w:val="009021F5"/>
    <w:rsid w:val="0090447A"/>
    <w:rsid w:val="00905BFB"/>
    <w:rsid w:val="009064EA"/>
    <w:rsid w:val="009066E0"/>
    <w:rsid w:val="009106C8"/>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47A2"/>
    <w:rsid w:val="009372EF"/>
    <w:rsid w:val="00943815"/>
    <w:rsid w:val="009448C5"/>
    <w:rsid w:val="0094512F"/>
    <w:rsid w:val="009509D8"/>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739"/>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147"/>
    <w:rsid w:val="00A27A35"/>
    <w:rsid w:val="00A3180D"/>
    <w:rsid w:val="00A326AA"/>
    <w:rsid w:val="00A32EAE"/>
    <w:rsid w:val="00A33F0B"/>
    <w:rsid w:val="00A3630D"/>
    <w:rsid w:val="00A363DA"/>
    <w:rsid w:val="00A37384"/>
    <w:rsid w:val="00A4055F"/>
    <w:rsid w:val="00A425FC"/>
    <w:rsid w:val="00A46AE8"/>
    <w:rsid w:val="00A520BB"/>
    <w:rsid w:val="00A53C36"/>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382"/>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C7C8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4FD"/>
    <w:rsid w:val="00B57549"/>
    <w:rsid w:val="00B60A7D"/>
    <w:rsid w:val="00B64C19"/>
    <w:rsid w:val="00B67970"/>
    <w:rsid w:val="00B67996"/>
    <w:rsid w:val="00B720D3"/>
    <w:rsid w:val="00B7286F"/>
    <w:rsid w:val="00B72C7B"/>
    <w:rsid w:val="00B7431E"/>
    <w:rsid w:val="00B74E47"/>
    <w:rsid w:val="00B768E2"/>
    <w:rsid w:val="00B769AD"/>
    <w:rsid w:val="00B76BB3"/>
    <w:rsid w:val="00B8094A"/>
    <w:rsid w:val="00B81025"/>
    <w:rsid w:val="00B81D11"/>
    <w:rsid w:val="00B82F46"/>
    <w:rsid w:val="00B905EC"/>
    <w:rsid w:val="00B90C10"/>
    <w:rsid w:val="00B919C4"/>
    <w:rsid w:val="00B9252C"/>
    <w:rsid w:val="00B92A35"/>
    <w:rsid w:val="00B9498B"/>
    <w:rsid w:val="00B951B1"/>
    <w:rsid w:val="00B96277"/>
    <w:rsid w:val="00B979BD"/>
    <w:rsid w:val="00B97A23"/>
    <w:rsid w:val="00BA0162"/>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3468"/>
    <w:rsid w:val="00BE407A"/>
    <w:rsid w:val="00BE595A"/>
    <w:rsid w:val="00BE5FEF"/>
    <w:rsid w:val="00BF1413"/>
    <w:rsid w:val="00BF19C4"/>
    <w:rsid w:val="00BF3BAD"/>
    <w:rsid w:val="00BF3CBD"/>
    <w:rsid w:val="00BF411A"/>
    <w:rsid w:val="00BF423A"/>
    <w:rsid w:val="00BF4C2E"/>
    <w:rsid w:val="00C00B5F"/>
    <w:rsid w:val="00C00D58"/>
    <w:rsid w:val="00C020DA"/>
    <w:rsid w:val="00C027FC"/>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46A8"/>
    <w:rsid w:val="00C44DC2"/>
    <w:rsid w:val="00C50014"/>
    <w:rsid w:val="00C50E68"/>
    <w:rsid w:val="00C52C2C"/>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4EB"/>
    <w:rsid w:val="00C75B3B"/>
    <w:rsid w:val="00C76852"/>
    <w:rsid w:val="00C7767B"/>
    <w:rsid w:val="00C77D9C"/>
    <w:rsid w:val="00C81EC7"/>
    <w:rsid w:val="00C847AF"/>
    <w:rsid w:val="00C860DD"/>
    <w:rsid w:val="00C862E9"/>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D7C0C"/>
    <w:rsid w:val="00CE0116"/>
    <w:rsid w:val="00CE0AE1"/>
    <w:rsid w:val="00CE0E02"/>
    <w:rsid w:val="00CE267D"/>
    <w:rsid w:val="00CE285C"/>
    <w:rsid w:val="00CE2942"/>
    <w:rsid w:val="00CE43E0"/>
    <w:rsid w:val="00CE44DA"/>
    <w:rsid w:val="00CE4BD7"/>
    <w:rsid w:val="00CE5D7B"/>
    <w:rsid w:val="00CF09E4"/>
    <w:rsid w:val="00CF0D89"/>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764"/>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51DF"/>
    <w:rsid w:val="00D56944"/>
    <w:rsid w:val="00D56954"/>
    <w:rsid w:val="00D62E47"/>
    <w:rsid w:val="00D6678F"/>
    <w:rsid w:val="00D70A58"/>
    <w:rsid w:val="00D7211C"/>
    <w:rsid w:val="00D73229"/>
    <w:rsid w:val="00D74BF3"/>
    <w:rsid w:val="00D74C4C"/>
    <w:rsid w:val="00D75C1C"/>
    <w:rsid w:val="00D80252"/>
    <w:rsid w:val="00D8251C"/>
    <w:rsid w:val="00D82A24"/>
    <w:rsid w:val="00D82DB4"/>
    <w:rsid w:val="00D83B95"/>
    <w:rsid w:val="00D83D32"/>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172B5"/>
    <w:rsid w:val="00E20D35"/>
    <w:rsid w:val="00E22084"/>
    <w:rsid w:val="00E22767"/>
    <w:rsid w:val="00E245A6"/>
    <w:rsid w:val="00E24EE7"/>
    <w:rsid w:val="00E25C2D"/>
    <w:rsid w:val="00E2791D"/>
    <w:rsid w:val="00E32A1D"/>
    <w:rsid w:val="00E33788"/>
    <w:rsid w:val="00E3410E"/>
    <w:rsid w:val="00E3799B"/>
    <w:rsid w:val="00E4045B"/>
    <w:rsid w:val="00E41D60"/>
    <w:rsid w:val="00E420B0"/>
    <w:rsid w:val="00E42A3E"/>
    <w:rsid w:val="00E43E82"/>
    <w:rsid w:val="00E450B0"/>
    <w:rsid w:val="00E50B0C"/>
    <w:rsid w:val="00E51B46"/>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2129"/>
    <w:rsid w:val="00ED3242"/>
    <w:rsid w:val="00ED3E54"/>
    <w:rsid w:val="00ED3ECF"/>
    <w:rsid w:val="00ED627A"/>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311A"/>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6B08"/>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366A"/>
    <w:rsid w:val="00F8387B"/>
    <w:rsid w:val="00F85C06"/>
    <w:rsid w:val="00F87597"/>
    <w:rsid w:val="00F937C4"/>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D5E1E1BD-FAFD-4252-9C42-5908C36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hnicity-facts-figures.service.gov.uk/style-guide/writing-about-ethni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FC29B-7536-4E6F-ACF4-41314F470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3981</Words>
  <Characters>22694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26622</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Greg Marsh</cp:lastModifiedBy>
  <cp:revision>9</cp:revision>
  <dcterms:created xsi:type="dcterms:W3CDTF">2022-07-22T16:19:00Z</dcterms:created>
  <dcterms:modified xsi:type="dcterms:W3CDTF">2022-10-21T11:25:00Z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