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28BE1" w14:textId="77777777" w:rsidR="00EE4B1A" w:rsidRPr="00845FBC" w:rsidRDefault="00BC0F0E">
      <w:pPr>
        <w:rPr>
          <w:rFonts w:ascii="Arial" w:hAnsi="Arial" w:cs="Arial"/>
          <w:b/>
        </w:rPr>
      </w:pPr>
      <w:r w:rsidRPr="00845FBC">
        <w:rPr>
          <w:rFonts w:ascii="Arial" w:hAnsi="Arial" w:cs="Arial"/>
          <w:b/>
        </w:rPr>
        <w:t>National Collaborative Outreach Programme (NCOP).</w:t>
      </w:r>
      <w:bookmarkStart w:id="0" w:name="_GoBack"/>
      <w:bookmarkEnd w:id="0"/>
    </w:p>
    <w:p w14:paraId="48BCFB26" w14:textId="77777777" w:rsidR="00BC0F0E" w:rsidRPr="00845FBC" w:rsidRDefault="00BC0F0E" w:rsidP="00BC0F0E">
      <w:pPr>
        <w:rPr>
          <w:rFonts w:ascii="Arial" w:hAnsi="Arial" w:cs="Arial"/>
        </w:rPr>
      </w:pPr>
      <w:r w:rsidRPr="00845FBC">
        <w:rPr>
          <w:rFonts w:ascii="Arial" w:hAnsi="Arial" w:cs="Arial"/>
        </w:rPr>
        <w:t xml:space="preserve">The Go Higher West Yorkshire (formally HEART) National Collaborative Outreach Programme supports </w:t>
      </w:r>
      <w:r w:rsidRPr="00845FBC">
        <w:rPr>
          <w:rFonts w:ascii="Arial" w:hAnsi="Arial" w:cs="Arial"/>
          <w:b/>
          <w:bCs/>
        </w:rPr>
        <w:t>access to higher education</w:t>
      </w:r>
      <w:r w:rsidRPr="00845FBC">
        <w:rPr>
          <w:rFonts w:ascii="Arial" w:hAnsi="Arial" w:cs="Arial"/>
        </w:rPr>
        <w:t xml:space="preserve"> for all those who are capable of and would benefit from the experience.</w:t>
      </w:r>
    </w:p>
    <w:p w14:paraId="14FBB46D" w14:textId="77777777" w:rsidR="00BC0F0E" w:rsidRPr="00845FBC" w:rsidRDefault="00BC0F0E" w:rsidP="00BC0F0E">
      <w:pPr>
        <w:rPr>
          <w:rFonts w:ascii="Arial" w:hAnsi="Arial" w:cs="Arial"/>
        </w:rPr>
      </w:pPr>
      <w:r w:rsidRPr="00845FBC">
        <w:rPr>
          <w:rFonts w:ascii="Arial" w:hAnsi="Arial" w:cs="Arial"/>
        </w:rPr>
        <w:t xml:space="preserve">It comprises </w:t>
      </w:r>
      <w:r w:rsidRPr="00845FBC">
        <w:rPr>
          <w:rFonts w:ascii="Arial" w:hAnsi="Arial" w:cs="Arial"/>
          <w:b/>
          <w:bCs/>
        </w:rPr>
        <w:t>12 Higher Education providers in West Yorkshire:</w:t>
      </w:r>
      <w:r w:rsidRPr="00845FBC">
        <w:rPr>
          <w:rFonts w:ascii="Arial" w:hAnsi="Arial" w:cs="Arial"/>
        </w:rPr>
        <w:t xml:space="preserve"> Bradford College, Calderdale College, Kirklees College, Leeds City College, Leeds College of Art, Leeds College of Building, Leeds Beckett University, Leeds Trinity University, University of Bradford, University of Huddersfield, University of Leeds and Wakefield College.</w:t>
      </w:r>
    </w:p>
    <w:p w14:paraId="1745885A" w14:textId="77777777" w:rsidR="00BC0F0E" w:rsidRPr="00845FBC" w:rsidRDefault="00BC0F0E" w:rsidP="00BC0F0E">
      <w:pPr>
        <w:rPr>
          <w:rFonts w:ascii="Arial" w:hAnsi="Arial" w:cs="Arial"/>
        </w:rPr>
      </w:pPr>
      <w:r w:rsidRPr="00845FBC">
        <w:rPr>
          <w:rFonts w:ascii="Arial" w:hAnsi="Arial" w:cs="Arial"/>
        </w:rPr>
        <w:t>The partnership successfully bid for funding under the National Collaborative Outreach Programme (NCOP) for a major project starting in January 2017.</w:t>
      </w:r>
    </w:p>
    <w:p w14:paraId="618C947F" w14:textId="2A53A45B" w:rsidR="00BC0F0E" w:rsidRPr="00845FBC" w:rsidRDefault="00BC0F0E" w:rsidP="00BC0F0E">
      <w:pPr>
        <w:rPr>
          <w:rFonts w:ascii="Arial" w:hAnsi="Arial" w:cs="Arial"/>
        </w:rPr>
      </w:pPr>
      <w:r w:rsidRPr="00845FBC">
        <w:rPr>
          <w:rFonts w:ascii="Arial" w:hAnsi="Arial" w:cs="Arial"/>
        </w:rPr>
        <w:t>The Go Higher West Yorkshire NCOP will work in</w:t>
      </w:r>
      <w:r w:rsidR="0056740A" w:rsidRPr="00845FBC">
        <w:rPr>
          <w:rFonts w:ascii="Arial" w:hAnsi="Arial" w:cs="Arial"/>
        </w:rPr>
        <w:t xml:space="preserve"> 27</w:t>
      </w:r>
      <w:r w:rsidRPr="00845FBC">
        <w:rPr>
          <w:rFonts w:ascii="Arial" w:hAnsi="Arial" w:cs="Arial"/>
        </w:rPr>
        <w:t xml:space="preserve"> Target Wards where participation in Higher Education is lo</w:t>
      </w:r>
      <w:r w:rsidR="0056740A" w:rsidRPr="00845FBC">
        <w:rPr>
          <w:rFonts w:ascii="Arial" w:hAnsi="Arial" w:cs="Arial"/>
        </w:rPr>
        <w:t>wer than might be expected when</w:t>
      </w:r>
      <w:r w:rsidRPr="00845FBC">
        <w:rPr>
          <w:rFonts w:ascii="Arial" w:hAnsi="Arial" w:cs="Arial"/>
        </w:rPr>
        <w:t xml:space="preserve"> achievement at GCSE is considered. </w:t>
      </w:r>
    </w:p>
    <w:p w14:paraId="6929C7FE" w14:textId="77777777" w:rsidR="00BC0F0E" w:rsidRPr="00845FBC" w:rsidRDefault="00BC0F0E" w:rsidP="00BC0F0E">
      <w:pPr>
        <w:rPr>
          <w:rFonts w:ascii="Arial" w:hAnsi="Arial" w:cs="Arial"/>
        </w:rPr>
      </w:pPr>
      <w:r w:rsidRPr="00845FBC">
        <w:rPr>
          <w:rFonts w:ascii="Arial" w:hAnsi="Arial" w:cs="Arial"/>
        </w:rPr>
        <w:t>The aim is over a period of four years is for more pupils to progress to and succeed in Higher Education. The project aims to work with pupils from the target ward areas as well as parents, carers and others who influence student choice.</w:t>
      </w:r>
      <w:r w:rsidR="0056740A" w:rsidRPr="00845FBC">
        <w:rPr>
          <w:rFonts w:ascii="Arial" w:hAnsi="Arial" w:cs="Arial"/>
        </w:rPr>
        <w:t xml:space="preserve"> Funding has been confirmed up until December 2018, with the possibility an extension of funding for a further two years.</w:t>
      </w:r>
    </w:p>
    <w:p w14:paraId="2BF70C0E" w14:textId="77777777" w:rsidR="00BC0F0E" w:rsidRPr="00845FBC" w:rsidRDefault="00BC0F0E">
      <w:pPr>
        <w:rPr>
          <w:rFonts w:ascii="Arial" w:hAnsi="Arial" w:cs="Arial"/>
        </w:rPr>
      </w:pPr>
      <w:r w:rsidRPr="00845FBC">
        <w:rPr>
          <w:rFonts w:ascii="Arial" w:hAnsi="Arial" w:cs="Arial"/>
        </w:rPr>
        <w:t>We are looking for external providers to help us to develop an engaging programme of activities to support and encourage more pupils from the targ</w:t>
      </w:r>
      <w:r w:rsidR="00880528" w:rsidRPr="00845FBC">
        <w:rPr>
          <w:rFonts w:ascii="Arial" w:hAnsi="Arial" w:cs="Arial"/>
        </w:rPr>
        <w:t>et areas into Higher Education and to help us meet the overall targets for the NCOP project which are:</w:t>
      </w:r>
    </w:p>
    <w:p w14:paraId="3F963DEB" w14:textId="77777777" w:rsidR="00BC0F0E" w:rsidRPr="00845FBC" w:rsidRDefault="00BC0F0E" w:rsidP="00BC0F0E">
      <w:pPr>
        <w:pStyle w:val="ListParagraph"/>
        <w:numPr>
          <w:ilvl w:val="0"/>
          <w:numId w:val="1"/>
        </w:numPr>
        <w:spacing w:before="0" w:after="120" w:line="264" w:lineRule="auto"/>
        <w:contextualSpacing w:val="0"/>
        <w:rPr>
          <w:sz w:val="22"/>
          <w:szCs w:val="22"/>
        </w:rPr>
      </w:pPr>
      <w:r w:rsidRPr="00845FBC">
        <w:rPr>
          <w:sz w:val="22"/>
          <w:szCs w:val="22"/>
        </w:rPr>
        <w:t>95% of project participants moving into KS4 make an informed choice for GCSE options</w:t>
      </w:r>
    </w:p>
    <w:p w14:paraId="01D22921" w14:textId="77777777" w:rsidR="00BC0F0E" w:rsidRPr="00845FBC" w:rsidRDefault="00BC0F0E" w:rsidP="00BC0F0E">
      <w:pPr>
        <w:pStyle w:val="ListParagraph"/>
        <w:numPr>
          <w:ilvl w:val="0"/>
          <w:numId w:val="1"/>
        </w:numPr>
        <w:spacing w:before="0" w:after="120" w:line="264" w:lineRule="auto"/>
        <w:contextualSpacing w:val="0"/>
        <w:rPr>
          <w:sz w:val="22"/>
          <w:szCs w:val="22"/>
        </w:rPr>
      </w:pPr>
      <w:r w:rsidRPr="00845FBC">
        <w:rPr>
          <w:sz w:val="22"/>
          <w:szCs w:val="22"/>
        </w:rPr>
        <w:t>95% of project participants moving into KS5 make informed post-16 choices</w:t>
      </w:r>
    </w:p>
    <w:p w14:paraId="768098C6" w14:textId="77777777" w:rsidR="00BC0F0E" w:rsidRPr="00845FBC" w:rsidRDefault="00BC0F0E" w:rsidP="00BC0F0E">
      <w:pPr>
        <w:pStyle w:val="ListParagraph"/>
        <w:numPr>
          <w:ilvl w:val="0"/>
          <w:numId w:val="1"/>
        </w:numPr>
        <w:spacing w:before="0" w:after="120" w:line="264" w:lineRule="auto"/>
        <w:contextualSpacing w:val="0"/>
        <w:rPr>
          <w:sz w:val="22"/>
          <w:szCs w:val="22"/>
        </w:rPr>
      </w:pPr>
      <w:r w:rsidRPr="00845FBC">
        <w:rPr>
          <w:sz w:val="22"/>
          <w:szCs w:val="22"/>
        </w:rPr>
        <w:t>95% of project participants leaving KS5 make informed post-18 choices</w:t>
      </w:r>
    </w:p>
    <w:p w14:paraId="3E71D034" w14:textId="77777777" w:rsidR="00BC0F0E" w:rsidRPr="00845FBC" w:rsidRDefault="00BC0F0E" w:rsidP="00BC0F0E">
      <w:pPr>
        <w:pStyle w:val="ListParagraph"/>
        <w:numPr>
          <w:ilvl w:val="0"/>
          <w:numId w:val="1"/>
        </w:numPr>
        <w:spacing w:before="0" w:after="120" w:line="264" w:lineRule="auto"/>
        <w:contextualSpacing w:val="0"/>
        <w:rPr>
          <w:sz w:val="22"/>
          <w:szCs w:val="22"/>
        </w:rPr>
      </w:pPr>
      <w:r w:rsidRPr="00845FBC">
        <w:rPr>
          <w:sz w:val="22"/>
          <w:szCs w:val="22"/>
        </w:rPr>
        <w:t>Achieve a 2% uplift across our partner schools/academies/colleges in numbers who progress to an HE destination</w:t>
      </w:r>
    </w:p>
    <w:p w14:paraId="2F4D376E" w14:textId="77777777" w:rsidR="00880528" w:rsidRPr="00845FBC" w:rsidRDefault="00880528" w:rsidP="00880528">
      <w:pPr>
        <w:spacing w:after="120" w:line="264" w:lineRule="auto"/>
        <w:rPr>
          <w:rFonts w:ascii="Arial" w:hAnsi="Arial" w:cs="Arial"/>
        </w:rPr>
      </w:pPr>
      <w:r w:rsidRPr="00845FBC">
        <w:rPr>
          <w:rFonts w:ascii="Arial" w:hAnsi="Arial" w:cs="Arial"/>
        </w:rPr>
        <w:t>During the lifetime of the project we aim to reach over 10,000 learners.</w:t>
      </w:r>
    </w:p>
    <w:p w14:paraId="405436F3" w14:textId="77777777" w:rsidR="00BC0F0E" w:rsidRPr="00845FBC" w:rsidRDefault="00880528">
      <w:pPr>
        <w:rPr>
          <w:rFonts w:ascii="Arial" w:hAnsi="Arial" w:cs="Arial"/>
        </w:rPr>
      </w:pPr>
      <w:r w:rsidRPr="00845FBC">
        <w:rPr>
          <w:rFonts w:ascii="Arial" w:hAnsi="Arial" w:cs="Arial"/>
        </w:rPr>
        <w:t>We are looking to commission activity in two phases:</w:t>
      </w:r>
    </w:p>
    <w:p w14:paraId="79CCE6C2" w14:textId="77777777" w:rsidR="00880528" w:rsidRPr="00845FBC" w:rsidRDefault="00880528">
      <w:pPr>
        <w:rPr>
          <w:rFonts w:ascii="Arial" w:hAnsi="Arial" w:cs="Arial"/>
          <w:b/>
        </w:rPr>
      </w:pPr>
      <w:r w:rsidRPr="00845FBC">
        <w:rPr>
          <w:rFonts w:ascii="Arial" w:hAnsi="Arial" w:cs="Arial"/>
          <w:b/>
        </w:rPr>
        <w:t>Phase 1 – Up to August 2017</w:t>
      </w:r>
    </w:p>
    <w:p w14:paraId="44BDA28D" w14:textId="77777777" w:rsidR="00880528" w:rsidRPr="00845FBC" w:rsidRDefault="00880528">
      <w:pPr>
        <w:rPr>
          <w:rFonts w:ascii="Arial" w:hAnsi="Arial" w:cs="Arial"/>
        </w:rPr>
      </w:pPr>
      <w:r w:rsidRPr="00845FBC">
        <w:rPr>
          <w:rFonts w:ascii="Arial" w:hAnsi="Arial" w:cs="Arial"/>
        </w:rPr>
        <w:t>During this phase we are looking to commission smaller scale activity or interventions to enable us begin to engage with target learners and to “test out” what works.</w:t>
      </w:r>
    </w:p>
    <w:p w14:paraId="66B67CB0" w14:textId="77777777" w:rsidR="00880528" w:rsidRPr="00845FBC" w:rsidRDefault="00880528">
      <w:pPr>
        <w:rPr>
          <w:rFonts w:ascii="Arial" w:hAnsi="Arial" w:cs="Arial"/>
          <w:b/>
        </w:rPr>
      </w:pPr>
      <w:r w:rsidRPr="00845FBC">
        <w:rPr>
          <w:rFonts w:ascii="Arial" w:hAnsi="Arial" w:cs="Arial"/>
          <w:b/>
        </w:rPr>
        <w:t>Phase 2 – September 2017 to December 2018.</w:t>
      </w:r>
    </w:p>
    <w:p w14:paraId="01DA61BB" w14:textId="77777777" w:rsidR="00880528" w:rsidRPr="00845FBC" w:rsidRDefault="00880528">
      <w:pPr>
        <w:rPr>
          <w:rFonts w:ascii="Arial" w:hAnsi="Arial" w:cs="Arial"/>
        </w:rPr>
      </w:pPr>
      <w:r w:rsidRPr="00845FBC">
        <w:rPr>
          <w:rFonts w:ascii="Arial" w:hAnsi="Arial" w:cs="Arial"/>
        </w:rPr>
        <w:t>The specification for the second stage will be developed as the project progresses and will build on emerging findings from phase 1.</w:t>
      </w:r>
    </w:p>
    <w:p w14:paraId="71E151D7" w14:textId="012E5326" w:rsidR="00433AE6" w:rsidRDefault="00433AE6" w:rsidP="00433AE6">
      <w:pPr>
        <w:rPr>
          <w:rFonts w:ascii="Arial" w:hAnsi="Arial" w:cs="Arial"/>
          <w:b/>
        </w:rPr>
      </w:pPr>
      <w:r w:rsidRPr="00845FBC">
        <w:rPr>
          <w:rFonts w:ascii="Arial" w:hAnsi="Arial" w:cs="Arial"/>
          <w:b/>
        </w:rPr>
        <w:lastRenderedPageBreak/>
        <w:t xml:space="preserve">Phase </w:t>
      </w:r>
      <w:r>
        <w:rPr>
          <w:rFonts w:ascii="Arial" w:hAnsi="Arial" w:cs="Arial"/>
          <w:b/>
        </w:rPr>
        <w:t>3</w:t>
      </w:r>
      <w:r w:rsidRPr="00845FBC">
        <w:rPr>
          <w:rFonts w:ascii="Arial" w:hAnsi="Arial" w:cs="Arial"/>
          <w:b/>
        </w:rPr>
        <w:t xml:space="preserve"> – </w:t>
      </w:r>
      <w:r>
        <w:rPr>
          <w:rFonts w:ascii="Arial" w:hAnsi="Arial" w:cs="Arial"/>
          <w:b/>
        </w:rPr>
        <w:t>December 2018 to December 2020</w:t>
      </w:r>
    </w:p>
    <w:p w14:paraId="00A99034" w14:textId="16F5DB1B" w:rsidR="00433AE6" w:rsidRDefault="00433AE6" w:rsidP="00433AE6">
      <w:pPr>
        <w:rPr>
          <w:rFonts w:ascii="Arial" w:hAnsi="Arial" w:cs="Arial"/>
        </w:rPr>
      </w:pPr>
      <w:r>
        <w:rPr>
          <w:rFonts w:ascii="Arial" w:hAnsi="Arial" w:cs="Arial"/>
        </w:rPr>
        <w:t xml:space="preserve">There is the </w:t>
      </w:r>
      <w:r w:rsidRPr="00845FBC">
        <w:rPr>
          <w:rFonts w:ascii="Arial" w:hAnsi="Arial" w:cs="Arial"/>
        </w:rPr>
        <w:t xml:space="preserve">possibility </w:t>
      </w:r>
      <w:r>
        <w:rPr>
          <w:rFonts w:ascii="Arial" w:hAnsi="Arial" w:cs="Arial"/>
        </w:rPr>
        <w:t xml:space="preserve">of </w:t>
      </w:r>
      <w:r w:rsidRPr="00845FBC">
        <w:rPr>
          <w:rFonts w:ascii="Arial" w:hAnsi="Arial" w:cs="Arial"/>
        </w:rPr>
        <w:t>an extension of funding for a further two years</w:t>
      </w:r>
      <w:r>
        <w:rPr>
          <w:rFonts w:ascii="Arial" w:hAnsi="Arial" w:cs="Arial"/>
        </w:rPr>
        <w:t xml:space="preserve"> – subject to approval.</w:t>
      </w:r>
    </w:p>
    <w:p w14:paraId="70E36476" w14:textId="77777777" w:rsidR="00433AE6" w:rsidRDefault="00433AE6" w:rsidP="00433AE6">
      <w:pPr>
        <w:rPr>
          <w:rFonts w:ascii="Arial" w:hAnsi="Arial" w:cs="Arial"/>
        </w:rPr>
      </w:pPr>
    </w:p>
    <w:p w14:paraId="5E91F1E9" w14:textId="77777777" w:rsidR="00433AE6" w:rsidRPr="00845FBC" w:rsidRDefault="00433AE6" w:rsidP="00433AE6">
      <w:pPr>
        <w:rPr>
          <w:rFonts w:ascii="Arial" w:hAnsi="Arial" w:cs="Arial"/>
          <w:b/>
        </w:rPr>
      </w:pPr>
    </w:p>
    <w:p w14:paraId="50174AF6" w14:textId="6B1DCF72" w:rsidR="00845FBC" w:rsidRDefault="00845FBC" w:rsidP="00845FBC">
      <w:pPr>
        <w:rPr>
          <w:rFonts w:ascii="Arial" w:hAnsi="Arial" w:cs="Arial"/>
          <w:b/>
        </w:rPr>
      </w:pPr>
      <w:r w:rsidRPr="00845FBC">
        <w:rPr>
          <w:rFonts w:ascii="Arial" w:hAnsi="Arial" w:cs="Arial"/>
          <w:b/>
        </w:rPr>
        <w:t>Target areas</w:t>
      </w:r>
    </w:p>
    <w:p w14:paraId="76096E25" w14:textId="18B6053B" w:rsidR="00845FBC" w:rsidRDefault="00845FBC" w:rsidP="00845FBC">
      <w:pPr>
        <w:rPr>
          <w:rFonts w:ascii="Arial" w:hAnsi="Arial" w:cs="Arial"/>
        </w:rPr>
      </w:pPr>
      <w:r>
        <w:rPr>
          <w:rFonts w:ascii="Arial" w:hAnsi="Arial" w:cs="Arial"/>
        </w:rPr>
        <w:t xml:space="preserve">The </w:t>
      </w:r>
      <w:r w:rsidRPr="00845FBC">
        <w:rPr>
          <w:rFonts w:ascii="Arial" w:hAnsi="Arial" w:cs="Arial"/>
        </w:rPr>
        <w:t>Go Higher West Yorkshire</w:t>
      </w:r>
      <w:r>
        <w:rPr>
          <w:rFonts w:ascii="Arial" w:hAnsi="Arial" w:cs="Arial"/>
        </w:rPr>
        <w:t xml:space="preserve"> NCOP project will be delivered across 27 ward areas. </w:t>
      </w:r>
      <w:r w:rsidRPr="00845FBC">
        <w:rPr>
          <w:rFonts w:ascii="Arial" w:hAnsi="Arial" w:cs="Arial"/>
        </w:rPr>
        <w:t xml:space="preserve">A map of the target areas can be found at </w:t>
      </w:r>
      <w:hyperlink r:id="rId8" w:history="1">
        <w:r w:rsidRPr="00132169">
          <w:rPr>
            <w:rStyle w:val="Hyperlink"/>
            <w:rFonts w:ascii="Arial" w:hAnsi="Arial" w:cs="Arial"/>
          </w:rPr>
          <w:t>http://www.hefce.ac.uk/sas/ncop/maps/</w:t>
        </w:r>
      </w:hyperlink>
    </w:p>
    <w:p w14:paraId="5DC39410" w14:textId="2AD06160" w:rsidR="00845FBC" w:rsidRDefault="00845FBC" w:rsidP="00845FBC">
      <w:pPr>
        <w:rPr>
          <w:rFonts w:ascii="Arial" w:hAnsi="Arial" w:cs="Arial"/>
        </w:rPr>
      </w:pPr>
      <w:r>
        <w:rPr>
          <w:rFonts w:ascii="Arial" w:hAnsi="Arial" w:cs="Arial"/>
        </w:rPr>
        <w:t>We wish to engage with learners in all of the target wards. The project is being managed on an area basis, with key partners working together to develop activity and interventions that suit geographically specific circumstances. The areas follow the metropolitan district boundaries and are:</w:t>
      </w:r>
    </w:p>
    <w:p w14:paraId="16C1FB3F" w14:textId="544EE131" w:rsidR="00845FBC" w:rsidRPr="00845FBC" w:rsidRDefault="00845FBC" w:rsidP="00845FBC">
      <w:pPr>
        <w:pStyle w:val="ListParagraph"/>
        <w:numPr>
          <w:ilvl w:val="0"/>
          <w:numId w:val="3"/>
        </w:numPr>
      </w:pPr>
      <w:r w:rsidRPr="00845FBC">
        <w:t>Leeds</w:t>
      </w:r>
    </w:p>
    <w:p w14:paraId="7E606D52" w14:textId="40453ECC" w:rsidR="00845FBC" w:rsidRPr="00845FBC" w:rsidRDefault="00845FBC" w:rsidP="00845FBC">
      <w:pPr>
        <w:pStyle w:val="ListParagraph"/>
        <w:numPr>
          <w:ilvl w:val="0"/>
          <w:numId w:val="3"/>
        </w:numPr>
      </w:pPr>
      <w:r w:rsidRPr="00845FBC">
        <w:t>Bradford and Calderdale</w:t>
      </w:r>
    </w:p>
    <w:p w14:paraId="7121FF1F" w14:textId="450DB127" w:rsidR="00845FBC" w:rsidRPr="00845FBC" w:rsidRDefault="00845FBC" w:rsidP="00845FBC">
      <w:pPr>
        <w:pStyle w:val="ListParagraph"/>
        <w:numPr>
          <w:ilvl w:val="0"/>
          <w:numId w:val="3"/>
        </w:numPr>
      </w:pPr>
      <w:r w:rsidRPr="00845FBC">
        <w:t>Wakefield</w:t>
      </w:r>
    </w:p>
    <w:p w14:paraId="38704D31" w14:textId="77777777" w:rsidR="00845FBC" w:rsidRDefault="00845FBC" w:rsidP="00845FBC">
      <w:pPr>
        <w:pStyle w:val="ListParagraph"/>
        <w:rPr>
          <w:b/>
        </w:rPr>
      </w:pPr>
    </w:p>
    <w:p w14:paraId="1B56B7CE" w14:textId="2F7643E0" w:rsidR="00845FBC" w:rsidRDefault="00845FBC" w:rsidP="00845FBC">
      <w:pPr>
        <w:pStyle w:val="ListParagraph"/>
        <w:ind w:left="0"/>
        <w:rPr>
          <w:b/>
        </w:rPr>
      </w:pPr>
      <w:r>
        <w:rPr>
          <w:b/>
        </w:rPr>
        <w:t>Partnership working</w:t>
      </w:r>
    </w:p>
    <w:p w14:paraId="19DC31FC" w14:textId="150294E6" w:rsidR="00845FBC" w:rsidRPr="00845FBC" w:rsidRDefault="00845FBC" w:rsidP="00845FBC">
      <w:pPr>
        <w:pStyle w:val="ListParagraph"/>
        <w:ind w:left="0"/>
      </w:pPr>
      <w:r>
        <w:t xml:space="preserve">Successful bidders will be expected to work in partnership with NCOP funded staff in schools/ colleges / Academies </w:t>
      </w:r>
      <w:r w:rsidR="00196B27">
        <w:t>and the Go Higher West Yorkshire partner institutions to deliver activity and work towards achieving the overall targets for the project.</w:t>
      </w:r>
    </w:p>
    <w:p w14:paraId="474E210D" w14:textId="77777777" w:rsidR="00845FBC" w:rsidRPr="00845FBC" w:rsidRDefault="00845FBC" w:rsidP="00845FBC">
      <w:pPr>
        <w:pStyle w:val="ListParagraph"/>
        <w:rPr>
          <w:b/>
        </w:rPr>
      </w:pPr>
    </w:p>
    <w:p w14:paraId="0A47BE2F" w14:textId="77777777" w:rsidR="00845FBC" w:rsidRDefault="00845FBC" w:rsidP="00845FBC">
      <w:pPr>
        <w:rPr>
          <w:rFonts w:ascii="Arial" w:hAnsi="Arial" w:cs="Arial"/>
        </w:rPr>
      </w:pPr>
      <w:r w:rsidRPr="00845FBC">
        <w:rPr>
          <w:rFonts w:ascii="Arial" w:hAnsi="Arial" w:cs="Arial"/>
        </w:rPr>
        <w:t xml:space="preserve">The following targets schools / colleges / Academies have been identified as partners for the project. However this list may be subject to change as the project progresses. </w:t>
      </w:r>
    </w:p>
    <w:tbl>
      <w:tblPr>
        <w:tblW w:w="8760" w:type="dxa"/>
        <w:tblLook w:val="04A0" w:firstRow="1" w:lastRow="0" w:firstColumn="1" w:lastColumn="0" w:noHBand="0" w:noVBand="1"/>
      </w:tblPr>
      <w:tblGrid>
        <w:gridCol w:w="8760"/>
      </w:tblGrid>
      <w:tr w:rsidR="00845FBC" w:rsidRPr="003875A8" w14:paraId="58C2B4AD" w14:textId="77777777" w:rsidTr="009D3A45">
        <w:trPr>
          <w:trHeight w:val="3904"/>
        </w:trPr>
        <w:tc>
          <w:tcPr>
            <w:tcW w:w="8760" w:type="dxa"/>
            <w:tcBorders>
              <w:top w:val="nil"/>
              <w:left w:val="nil"/>
              <w:bottom w:val="nil"/>
              <w:right w:val="nil"/>
            </w:tcBorders>
            <w:shd w:val="clear" w:color="auto" w:fill="auto"/>
            <w:noWrap/>
            <w:vAlign w:val="bottom"/>
            <w:hideMark/>
          </w:tcPr>
          <w:p w14:paraId="7D57D960" w14:textId="77777777" w:rsidR="00845FBC" w:rsidRPr="00845FBC" w:rsidRDefault="00845FBC" w:rsidP="009D3A45">
            <w:pPr>
              <w:spacing w:after="0" w:line="240" w:lineRule="auto"/>
              <w:rPr>
                <w:rFonts w:ascii="Arial" w:eastAsia="Times New Roman" w:hAnsi="Arial" w:cs="Arial"/>
                <w:color w:val="000000"/>
                <w:lang w:eastAsia="en-GB"/>
              </w:rPr>
            </w:pPr>
          </w:p>
          <w:tbl>
            <w:tblPr>
              <w:tblStyle w:val="TableGrid"/>
              <w:tblW w:w="8534" w:type="dxa"/>
              <w:tblLook w:val="04A0" w:firstRow="1" w:lastRow="0" w:firstColumn="1" w:lastColumn="0" w:noHBand="0" w:noVBand="1"/>
            </w:tblPr>
            <w:tblGrid>
              <w:gridCol w:w="2439"/>
              <w:gridCol w:w="2835"/>
              <w:gridCol w:w="3260"/>
            </w:tblGrid>
            <w:tr w:rsidR="00845FBC" w:rsidRPr="00845FBC" w14:paraId="07DA6165" w14:textId="77777777" w:rsidTr="009D3A45">
              <w:tc>
                <w:tcPr>
                  <w:tcW w:w="2439" w:type="dxa"/>
                </w:tcPr>
                <w:p w14:paraId="2E3B42F1" w14:textId="77777777" w:rsidR="00845FBC" w:rsidRPr="00845FBC" w:rsidRDefault="00845FBC" w:rsidP="009D3A45">
                  <w:pPr>
                    <w:rPr>
                      <w:rFonts w:ascii="Arial" w:eastAsia="Times New Roman" w:hAnsi="Arial" w:cs="Arial"/>
                      <w:b/>
                      <w:color w:val="000000"/>
                      <w:lang w:eastAsia="en-GB"/>
                    </w:rPr>
                  </w:pPr>
                  <w:r w:rsidRPr="00845FBC">
                    <w:rPr>
                      <w:rFonts w:ascii="Arial" w:eastAsia="Times New Roman" w:hAnsi="Arial" w:cs="Arial"/>
                      <w:b/>
                      <w:color w:val="000000"/>
                      <w:lang w:eastAsia="en-GB"/>
                    </w:rPr>
                    <w:t>Wakefield</w:t>
                  </w:r>
                </w:p>
              </w:tc>
              <w:tc>
                <w:tcPr>
                  <w:tcW w:w="2835" w:type="dxa"/>
                </w:tcPr>
                <w:p w14:paraId="3283F630" w14:textId="77777777" w:rsidR="00845FBC" w:rsidRPr="00845FBC" w:rsidRDefault="00845FBC" w:rsidP="009D3A45">
                  <w:pPr>
                    <w:rPr>
                      <w:rFonts w:ascii="Arial" w:eastAsia="Times New Roman" w:hAnsi="Arial" w:cs="Arial"/>
                      <w:b/>
                      <w:color w:val="000000"/>
                      <w:lang w:eastAsia="en-GB"/>
                    </w:rPr>
                  </w:pPr>
                  <w:r w:rsidRPr="00845FBC">
                    <w:rPr>
                      <w:rFonts w:ascii="Arial" w:eastAsia="Times New Roman" w:hAnsi="Arial" w:cs="Arial"/>
                      <w:b/>
                      <w:color w:val="000000"/>
                      <w:lang w:eastAsia="en-GB"/>
                    </w:rPr>
                    <w:t>Leeds</w:t>
                  </w:r>
                </w:p>
              </w:tc>
              <w:tc>
                <w:tcPr>
                  <w:tcW w:w="3260" w:type="dxa"/>
                </w:tcPr>
                <w:p w14:paraId="0B8852BA" w14:textId="77777777" w:rsidR="00845FBC" w:rsidRPr="00845FBC" w:rsidRDefault="00845FBC" w:rsidP="009D3A45">
                  <w:pPr>
                    <w:rPr>
                      <w:rFonts w:ascii="Arial" w:eastAsia="Times New Roman" w:hAnsi="Arial" w:cs="Arial"/>
                      <w:b/>
                      <w:color w:val="000000"/>
                      <w:lang w:eastAsia="en-GB"/>
                    </w:rPr>
                  </w:pPr>
                  <w:r w:rsidRPr="00845FBC">
                    <w:rPr>
                      <w:rFonts w:ascii="Arial" w:eastAsia="Times New Roman" w:hAnsi="Arial" w:cs="Arial"/>
                      <w:b/>
                      <w:color w:val="000000"/>
                      <w:lang w:eastAsia="en-GB"/>
                    </w:rPr>
                    <w:t>Bradford &amp; Calderdale</w:t>
                  </w:r>
                </w:p>
              </w:tc>
            </w:tr>
            <w:tr w:rsidR="00845FBC" w:rsidRPr="00845FBC" w14:paraId="2CFAE4E6" w14:textId="77777777" w:rsidTr="009D3A45">
              <w:tc>
                <w:tcPr>
                  <w:tcW w:w="2439" w:type="dxa"/>
                </w:tcPr>
                <w:p w14:paraId="5FD71F87"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Airedale Academy</w:t>
                  </w:r>
                </w:p>
              </w:tc>
              <w:tc>
                <w:tcPr>
                  <w:tcW w:w="2835" w:type="dxa"/>
                </w:tcPr>
                <w:p w14:paraId="5AE174F4"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Cockburn</w:t>
                  </w:r>
                  <w:r w:rsidRPr="00845FBC">
                    <w:rPr>
                      <w:rFonts w:ascii="Arial" w:eastAsia="Times New Roman" w:hAnsi="Arial" w:cs="Arial"/>
                      <w:color w:val="000000"/>
                      <w:lang w:eastAsia="en-GB"/>
                    </w:rPr>
                    <w:t xml:space="preserve"> Academy</w:t>
                  </w:r>
                </w:p>
              </w:tc>
              <w:tc>
                <w:tcPr>
                  <w:tcW w:w="3260" w:type="dxa"/>
                </w:tcPr>
                <w:p w14:paraId="16509899"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Appleton Academy</w:t>
                  </w:r>
                </w:p>
              </w:tc>
            </w:tr>
            <w:tr w:rsidR="00845FBC" w:rsidRPr="00845FBC" w14:paraId="6F19793E" w14:textId="77777777" w:rsidTr="009D3A45">
              <w:tc>
                <w:tcPr>
                  <w:tcW w:w="2439" w:type="dxa"/>
                </w:tcPr>
                <w:p w14:paraId="302C11B0"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Castleford Academy</w:t>
                  </w:r>
                </w:p>
              </w:tc>
              <w:tc>
                <w:tcPr>
                  <w:tcW w:w="2835" w:type="dxa"/>
                </w:tcPr>
                <w:p w14:paraId="25AF6761"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David Young Community Academy</w:t>
                  </w:r>
                </w:p>
              </w:tc>
              <w:tc>
                <w:tcPr>
                  <w:tcW w:w="3260" w:type="dxa"/>
                </w:tcPr>
                <w:p w14:paraId="551DB0EE"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Bradford Academy</w:t>
                  </w:r>
                </w:p>
              </w:tc>
            </w:tr>
            <w:tr w:rsidR="00845FBC" w:rsidRPr="00845FBC" w14:paraId="2F7EC2EB" w14:textId="77777777" w:rsidTr="009D3A45">
              <w:tc>
                <w:tcPr>
                  <w:tcW w:w="2439" w:type="dxa"/>
                </w:tcPr>
                <w:p w14:paraId="3F4D371C"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De Lacy Academy</w:t>
                  </w:r>
                </w:p>
              </w:tc>
              <w:tc>
                <w:tcPr>
                  <w:tcW w:w="2835" w:type="dxa"/>
                </w:tcPr>
                <w:p w14:paraId="1048031E" w14:textId="77777777" w:rsidR="00845FBC" w:rsidRPr="00845FBC" w:rsidRDefault="00845FBC" w:rsidP="009D3A45">
                  <w:pPr>
                    <w:rPr>
                      <w:rFonts w:ascii="Arial" w:eastAsia="Times New Roman" w:hAnsi="Arial" w:cs="Arial"/>
                      <w:color w:val="000000"/>
                      <w:lang w:eastAsia="en-GB"/>
                    </w:rPr>
                  </w:pPr>
                  <w:r w:rsidRPr="00845FBC">
                    <w:rPr>
                      <w:rFonts w:ascii="Arial" w:eastAsia="Times New Roman" w:hAnsi="Arial" w:cs="Arial"/>
                      <w:color w:val="000000"/>
                      <w:lang w:eastAsia="en-GB"/>
                    </w:rPr>
                    <w:t>Elliott Hudson College</w:t>
                  </w:r>
                </w:p>
              </w:tc>
              <w:tc>
                <w:tcPr>
                  <w:tcW w:w="3260" w:type="dxa"/>
                </w:tcPr>
                <w:p w14:paraId="35AC567D"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Bradford College</w:t>
                  </w:r>
                </w:p>
              </w:tc>
            </w:tr>
            <w:tr w:rsidR="00845FBC" w:rsidRPr="00845FBC" w14:paraId="50E61F82" w14:textId="77777777" w:rsidTr="009D3A45">
              <w:tc>
                <w:tcPr>
                  <w:tcW w:w="2439" w:type="dxa"/>
                </w:tcPr>
                <w:p w14:paraId="2D086C1E"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Hemsworth Arts and Community Academy</w:t>
                  </w:r>
                </w:p>
              </w:tc>
              <w:tc>
                <w:tcPr>
                  <w:tcW w:w="2835" w:type="dxa"/>
                </w:tcPr>
                <w:p w14:paraId="37287DF6"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Leeds City College</w:t>
                  </w:r>
                </w:p>
              </w:tc>
              <w:tc>
                <w:tcPr>
                  <w:tcW w:w="3260" w:type="dxa"/>
                </w:tcPr>
                <w:p w14:paraId="27750FA6"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Carlton Bolling College</w:t>
                  </w:r>
                </w:p>
              </w:tc>
            </w:tr>
            <w:tr w:rsidR="00845FBC" w:rsidRPr="00845FBC" w14:paraId="412FEFBF" w14:textId="77777777" w:rsidTr="009D3A45">
              <w:tc>
                <w:tcPr>
                  <w:tcW w:w="2439" w:type="dxa"/>
                </w:tcPr>
                <w:p w14:paraId="27538DA7"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Minsthorpe Community College A Specialist Science College</w:t>
                  </w:r>
                </w:p>
              </w:tc>
              <w:tc>
                <w:tcPr>
                  <w:tcW w:w="2835" w:type="dxa"/>
                </w:tcPr>
                <w:p w14:paraId="4B6E07D3"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Leeds West Academy</w:t>
                  </w:r>
                </w:p>
              </w:tc>
              <w:tc>
                <w:tcPr>
                  <w:tcW w:w="3260" w:type="dxa"/>
                </w:tcPr>
                <w:p w14:paraId="572F006B" w14:textId="77777777" w:rsidR="00845FBC" w:rsidRPr="00845FBC" w:rsidRDefault="00845FBC" w:rsidP="009D3A45">
                  <w:pPr>
                    <w:rPr>
                      <w:rFonts w:ascii="Arial" w:eastAsia="Times New Roman" w:hAnsi="Arial" w:cs="Arial"/>
                      <w:color w:val="000000"/>
                      <w:lang w:eastAsia="en-GB"/>
                    </w:rPr>
                  </w:pPr>
                  <w:r w:rsidRPr="00845FBC">
                    <w:rPr>
                      <w:rFonts w:ascii="Arial" w:eastAsia="Times New Roman" w:hAnsi="Arial" w:cs="Arial"/>
                      <w:color w:val="000000"/>
                      <w:lang w:eastAsia="en-GB"/>
                    </w:rPr>
                    <w:t>Hanson Academy</w:t>
                  </w:r>
                </w:p>
              </w:tc>
            </w:tr>
            <w:tr w:rsidR="00845FBC" w:rsidRPr="00845FBC" w14:paraId="5FB6017D" w14:textId="77777777" w:rsidTr="009D3A45">
              <w:tc>
                <w:tcPr>
                  <w:tcW w:w="2439" w:type="dxa"/>
                </w:tcPr>
                <w:p w14:paraId="670D5B49"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St Wilfrid's Catholic High School &amp; Sixth Form College: A Voluntary Academy</w:t>
                  </w:r>
                </w:p>
              </w:tc>
              <w:tc>
                <w:tcPr>
                  <w:tcW w:w="2835" w:type="dxa"/>
                </w:tcPr>
                <w:p w14:paraId="0673E4C0"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Mount St Mary's Catholic High School</w:t>
                  </w:r>
                </w:p>
              </w:tc>
              <w:tc>
                <w:tcPr>
                  <w:tcW w:w="3260" w:type="dxa"/>
                </w:tcPr>
                <w:p w14:paraId="271B5C70"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Immanuel College</w:t>
                  </w:r>
                </w:p>
              </w:tc>
            </w:tr>
            <w:tr w:rsidR="00845FBC" w:rsidRPr="00845FBC" w14:paraId="3EDC19B5" w14:textId="77777777" w:rsidTr="009D3A45">
              <w:tc>
                <w:tcPr>
                  <w:tcW w:w="2439" w:type="dxa"/>
                </w:tcPr>
                <w:p w14:paraId="6463F937"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Wakefield College</w:t>
                  </w:r>
                </w:p>
              </w:tc>
              <w:tc>
                <w:tcPr>
                  <w:tcW w:w="2835" w:type="dxa"/>
                </w:tcPr>
                <w:p w14:paraId="6A5CA6E4"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Notre Dame College</w:t>
                  </w:r>
                </w:p>
              </w:tc>
              <w:tc>
                <w:tcPr>
                  <w:tcW w:w="3260" w:type="dxa"/>
                </w:tcPr>
                <w:p w14:paraId="7F7B78F4"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Oakbank School</w:t>
                  </w:r>
                </w:p>
              </w:tc>
            </w:tr>
            <w:tr w:rsidR="00845FBC" w:rsidRPr="00845FBC" w14:paraId="15E2EEB6" w14:textId="77777777" w:rsidTr="009D3A45">
              <w:tc>
                <w:tcPr>
                  <w:tcW w:w="2439" w:type="dxa"/>
                </w:tcPr>
                <w:p w14:paraId="1CD31258" w14:textId="77777777" w:rsidR="00845FBC" w:rsidRPr="00845FBC" w:rsidRDefault="00845FBC" w:rsidP="009D3A45">
                  <w:pPr>
                    <w:rPr>
                      <w:rFonts w:ascii="Arial" w:eastAsia="Times New Roman" w:hAnsi="Arial" w:cs="Arial"/>
                      <w:color w:val="000000"/>
                      <w:lang w:eastAsia="en-GB"/>
                    </w:rPr>
                  </w:pPr>
                </w:p>
              </w:tc>
              <w:tc>
                <w:tcPr>
                  <w:tcW w:w="2835" w:type="dxa"/>
                </w:tcPr>
                <w:p w14:paraId="6873686C"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Rodillian Academy</w:t>
                  </w:r>
                </w:p>
              </w:tc>
              <w:tc>
                <w:tcPr>
                  <w:tcW w:w="3260" w:type="dxa"/>
                </w:tcPr>
                <w:p w14:paraId="2E79E8C1"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Tong High School</w:t>
                  </w:r>
                </w:p>
              </w:tc>
            </w:tr>
            <w:tr w:rsidR="00845FBC" w:rsidRPr="00845FBC" w14:paraId="25D10E08" w14:textId="77777777" w:rsidTr="009D3A45">
              <w:tc>
                <w:tcPr>
                  <w:tcW w:w="2439" w:type="dxa"/>
                </w:tcPr>
                <w:p w14:paraId="3DEC713E" w14:textId="77777777" w:rsidR="00845FBC" w:rsidRPr="00845FBC" w:rsidRDefault="00845FBC" w:rsidP="009D3A45">
                  <w:pPr>
                    <w:rPr>
                      <w:rFonts w:ascii="Arial" w:eastAsia="Times New Roman" w:hAnsi="Arial" w:cs="Arial"/>
                      <w:color w:val="000000"/>
                      <w:lang w:eastAsia="en-GB"/>
                    </w:rPr>
                  </w:pPr>
                </w:p>
              </w:tc>
              <w:tc>
                <w:tcPr>
                  <w:tcW w:w="2835" w:type="dxa"/>
                </w:tcPr>
                <w:p w14:paraId="32C1290C"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South Leeds Academy</w:t>
                  </w:r>
                </w:p>
              </w:tc>
              <w:tc>
                <w:tcPr>
                  <w:tcW w:w="3260" w:type="dxa"/>
                </w:tcPr>
                <w:p w14:paraId="37507CD0"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Trinity Academy Halifax</w:t>
                  </w:r>
                </w:p>
              </w:tc>
            </w:tr>
            <w:tr w:rsidR="00845FBC" w:rsidRPr="00845FBC" w14:paraId="7C1E1941" w14:textId="77777777" w:rsidTr="009D3A45">
              <w:tc>
                <w:tcPr>
                  <w:tcW w:w="2439" w:type="dxa"/>
                </w:tcPr>
                <w:p w14:paraId="601413E8" w14:textId="77777777" w:rsidR="00845FBC" w:rsidRPr="00845FBC" w:rsidRDefault="00845FBC" w:rsidP="009D3A45">
                  <w:pPr>
                    <w:rPr>
                      <w:rFonts w:ascii="Arial" w:eastAsia="Times New Roman" w:hAnsi="Arial" w:cs="Arial"/>
                      <w:color w:val="000000"/>
                      <w:lang w:eastAsia="en-GB"/>
                    </w:rPr>
                  </w:pPr>
                </w:p>
              </w:tc>
              <w:tc>
                <w:tcPr>
                  <w:tcW w:w="2835" w:type="dxa"/>
                </w:tcPr>
                <w:p w14:paraId="7D4CA4A9"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The Co-operative Academy of Leeds</w:t>
                  </w:r>
                </w:p>
              </w:tc>
              <w:tc>
                <w:tcPr>
                  <w:tcW w:w="3260" w:type="dxa"/>
                </w:tcPr>
                <w:p w14:paraId="0055F17E" w14:textId="77777777" w:rsidR="00845FBC" w:rsidRPr="00845FBC" w:rsidRDefault="00845FBC" w:rsidP="009D3A45">
                  <w:pPr>
                    <w:rPr>
                      <w:rFonts w:ascii="Arial" w:eastAsia="Times New Roman" w:hAnsi="Arial" w:cs="Arial"/>
                      <w:color w:val="000000"/>
                      <w:lang w:eastAsia="en-GB"/>
                    </w:rPr>
                  </w:pPr>
                </w:p>
              </w:tc>
            </w:tr>
            <w:tr w:rsidR="00845FBC" w:rsidRPr="00845FBC" w14:paraId="16207BAE" w14:textId="77777777" w:rsidTr="009D3A45">
              <w:tc>
                <w:tcPr>
                  <w:tcW w:w="2439" w:type="dxa"/>
                </w:tcPr>
                <w:p w14:paraId="29BBD272" w14:textId="77777777" w:rsidR="00845FBC" w:rsidRPr="00845FBC" w:rsidRDefault="00845FBC" w:rsidP="009D3A45">
                  <w:pPr>
                    <w:rPr>
                      <w:rFonts w:ascii="Arial" w:eastAsia="Times New Roman" w:hAnsi="Arial" w:cs="Arial"/>
                      <w:color w:val="000000"/>
                      <w:lang w:eastAsia="en-GB"/>
                    </w:rPr>
                  </w:pPr>
                </w:p>
              </w:tc>
              <w:tc>
                <w:tcPr>
                  <w:tcW w:w="2835" w:type="dxa"/>
                </w:tcPr>
                <w:p w14:paraId="25851CA2" w14:textId="77777777" w:rsidR="00845FBC" w:rsidRPr="00845FBC" w:rsidRDefault="00845FBC" w:rsidP="009D3A45">
                  <w:pPr>
                    <w:rPr>
                      <w:rFonts w:ascii="Arial" w:eastAsia="Times New Roman" w:hAnsi="Arial" w:cs="Arial"/>
                      <w:color w:val="000000"/>
                      <w:lang w:eastAsia="en-GB"/>
                    </w:rPr>
                  </w:pPr>
                  <w:r w:rsidRPr="003875A8">
                    <w:rPr>
                      <w:rFonts w:ascii="Arial" w:eastAsia="Times New Roman" w:hAnsi="Arial" w:cs="Arial"/>
                      <w:color w:val="000000"/>
                      <w:lang w:eastAsia="en-GB"/>
                    </w:rPr>
                    <w:t>The Farnley Academy</w:t>
                  </w:r>
                </w:p>
              </w:tc>
              <w:tc>
                <w:tcPr>
                  <w:tcW w:w="3260" w:type="dxa"/>
                </w:tcPr>
                <w:p w14:paraId="7EA835AF" w14:textId="77777777" w:rsidR="00845FBC" w:rsidRPr="00845FBC" w:rsidRDefault="00845FBC" w:rsidP="009D3A45">
                  <w:pPr>
                    <w:rPr>
                      <w:rFonts w:ascii="Arial" w:eastAsia="Times New Roman" w:hAnsi="Arial" w:cs="Arial"/>
                      <w:color w:val="000000"/>
                      <w:lang w:eastAsia="en-GB"/>
                    </w:rPr>
                  </w:pPr>
                </w:p>
              </w:tc>
            </w:tr>
          </w:tbl>
          <w:p w14:paraId="7735747C" w14:textId="77777777" w:rsidR="00845FBC" w:rsidRPr="003875A8" w:rsidRDefault="00845FBC" w:rsidP="009D3A45">
            <w:pPr>
              <w:spacing w:after="0" w:line="240" w:lineRule="auto"/>
              <w:rPr>
                <w:rFonts w:ascii="Arial" w:eastAsia="Times New Roman" w:hAnsi="Arial" w:cs="Arial"/>
                <w:color w:val="000000"/>
                <w:lang w:eastAsia="en-GB"/>
              </w:rPr>
            </w:pPr>
          </w:p>
        </w:tc>
      </w:tr>
    </w:tbl>
    <w:p w14:paraId="166D5FF1" w14:textId="77777777" w:rsidR="00845FBC" w:rsidRPr="00845FBC" w:rsidRDefault="00845FBC">
      <w:pPr>
        <w:rPr>
          <w:rFonts w:ascii="Arial" w:hAnsi="Arial" w:cs="Arial"/>
          <w:b/>
        </w:rPr>
      </w:pPr>
    </w:p>
    <w:p w14:paraId="485366FB" w14:textId="42A27DC1" w:rsidR="00845FBC" w:rsidRPr="00845FBC" w:rsidRDefault="00845FBC">
      <w:pPr>
        <w:rPr>
          <w:rFonts w:ascii="Arial" w:hAnsi="Arial" w:cs="Arial"/>
          <w:b/>
        </w:rPr>
      </w:pPr>
      <w:r w:rsidRPr="00845FBC">
        <w:rPr>
          <w:rFonts w:ascii="Arial" w:hAnsi="Arial" w:cs="Arial"/>
          <w:b/>
        </w:rPr>
        <w:lastRenderedPageBreak/>
        <w:t>Type of activity</w:t>
      </w:r>
    </w:p>
    <w:p w14:paraId="26121A2E" w14:textId="1F16FD1F" w:rsidR="00845FBC" w:rsidRPr="00433AE6" w:rsidRDefault="00196B27" w:rsidP="00845FBC">
      <w:pPr>
        <w:rPr>
          <w:rFonts w:ascii="Arial" w:hAnsi="Arial" w:cs="Arial"/>
        </w:rPr>
      </w:pPr>
      <w:r>
        <w:rPr>
          <w:rFonts w:ascii="Arial" w:hAnsi="Arial" w:cs="Arial"/>
        </w:rPr>
        <w:t xml:space="preserve">We are looking to commission activity that will engage learners in Years 9 to 13, as well as key </w:t>
      </w:r>
      <w:r w:rsidRPr="00433AE6">
        <w:rPr>
          <w:rFonts w:ascii="Arial" w:hAnsi="Arial" w:cs="Arial"/>
        </w:rPr>
        <w:t xml:space="preserve">influencers. </w:t>
      </w:r>
      <w:r w:rsidR="00845FBC" w:rsidRPr="00433AE6">
        <w:rPr>
          <w:rFonts w:ascii="Arial" w:hAnsi="Arial" w:cs="Arial"/>
        </w:rPr>
        <w:t>In particular we are looking to commission activity under three distinct themes:</w:t>
      </w:r>
    </w:p>
    <w:p w14:paraId="1F832085" w14:textId="0520CF33" w:rsidR="00845FBC" w:rsidRPr="00433AE6" w:rsidRDefault="00196B27" w:rsidP="00845FBC">
      <w:pPr>
        <w:pStyle w:val="ListParagraph"/>
        <w:numPr>
          <w:ilvl w:val="0"/>
          <w:numId w:val="2"/>
        </w:numPr>
        <w:rPr>
          <w:sz w:val="22"/>
          <w:szCs w:val="22"/>
        </w:rPr>
      </w:pPr>
      <w:r w:rsidRPr="00433AE6">
        <w:rPr>
          <w:sz w:val="22"/>
          <w:szCs w:val="22"/>
        </w:rPr>
        <w:t>M</w:t>
      </w:r>
      <w:r w:rsidR="00845FBC" w:rsidRPr="00433AE6">
        <w:rPr>
          <w:sz w:val="22"/>
          <w:szCs w:val="22"/>
        </w:rPr>
        <w:t>entoring</w:t>
      </w:r>
    </w:p>
    <w:p w14:paraId="3F57D59A" w14:textId="42EB4037" w:rsidR="00196B27" w:rsidRPr="00433AE6" w:rsidRDefault="00196B27" w:rsidP="00196B27">
      <w:pPr>
        <w:rPr>
          <w:rFonts w:ascii="Arial" w:hAnsi="Arial" w:cs="Arial"/>
        </w:rPr>
      </w:pPr>
      <w:r w:rsidRPr="00433AE6">
        <w:rPr>
          <w:rFonts w:ascii="Arial" w:hAnsi="Arial" w:cs="Arial"/>
        </w:rPr>
        <w:t xml:space="preserve">One to one mentoring which supports learners to overcome problems or barriers and encourages them towards Higher Education. We welcome the involvement of volunteers as mentors, including undergraduate students and people from industry. </w:t>
      </w:r>
    </w:p>
    <w:p w14:paraId="04833E93" w14:textId="0D0F5B23" w:rsidR="00845FBC" w:rsidRPr="00433AE6" w:rsidRDefault="00845FBC" w:rsidP="00845FBC">
      <w:pPr>
        <w:pStyle w:val="ListParagraph"/>
        <w:numPr>
          <w:ilvl w:val="0"/>
          <w:numId w:val="2"/>
        </w:numPr>
        <w:rPr>
          <w:sz w:val="22"/>
          <w:szCs w:val="22"/>
        </w:rPr>
      </w:pPr>
      <w:r w:rsidRPr="00433AE6">
        <w:rPr>
          <w:sz w:val="22"/>
          <w:szCs w:val="22"/>
        </w:rPr>
        <w:t>Confidence and resilience building</w:t>
      </w:r>
      <w:r w:rsidR="00196B27" w:rsidRPr="00433AE6">
        <w:rPr>
          <w:sz w:val="22"/>
          <w:szCs w:val="22"/>
        </w:rPr>
        <w:t>.</w:t>
      </w:r>
    </w:p>
    <w:p w14:paraId="560B5D83" w14:textId="71BB96BF" w:rsidR="00196B27" w:rsidRPr="00433AE6" w:rsidRDefault="00196B27" w:rsidP="00196B27">
      <w:pPr>
        <w:rPr>
          <w:rFonts w:ascii="Arial" w:hAnsi="Arial" w:cs="Arial"/>
        </w:rPr>
      </w:pPr>
      <w:r w:rsidRPr="00433AE6">
        <w:rPr>
          <w:rFonts w:ascii="Arial" w:hAnsi="Arial" w:cs="Arial"/>
        </w:rPr>
        <w:t xml:space="preserve">Group or individual activity that provides young people with opportunities to develop their confidence and resilience. We are specifically looking </w:t>
      </w:r>
      <w:r w:rsidR="00061254" w:rsidRPr="00433AE6">
        <w:rPr>
          <w:rFonts w:ascii="Arial" w:hAnsi="Arial" w:cs="Arial"/>
        </w:rPr>
        <w:t>at</w:t>
      </w:r>
      <w:r w:rsidRPr="00433AE6">
        <w:rPr>
          <w:rFonts w:ascii="Arial" w:hAnsi="Arial" w:cs="Arial"/>
        </w:rPr>
        <w:t xml:space="preserve"> activity that empowers young people and supports them to “take the leap” into Higher Education.</w:t>
      </w:r>
    </w:p>
    <w:p w14:paraId="3A043FFB" w14:textId="77777777" w:rsidR="00845FBC" w:rsidRPr="00433AE6" w:rsidRDefault="00845FBC" w:rsidP="00845FBC">
      <w:pPr>
        <w:pStyle w:val="ListParagraph"/>
        <w:numPr>
          <w:ilvl w:val="0"/>
          <w:numId w:val="2"/>
        </w:numPr>
        <w:rPr>
          <w:sz w:val="22"/>
          <w:szCs w:val="22"/>
        </w:rPr>
      </w:pPr>
      <w:r w:rsidRPr="00433AE6">
        <w:rPr>
          <w:sz w:val="22"/>
          <w:szCs w:val="22"/>
        </w:rPr>
        <w:t>“world of work” activity.</w:t>
      </w:r>
    </w:p>
    <w:p w14:paraId="30D47D54" w14:textId="38A2DC27" w:rsidR="00196B27" w:rsidRPr="00433AE6" w:rsidRDefault="00196B27" w:rsidP="00196B27">
      <w:pPr>
        <w:rPr>
          <w:rFonts w:ascii="Arial" w:hAnsi="Arial" w:cs="Arial"/>
        </w:rPr>
      </w:pPr>
      <w:r w:rsidRPr="00433AE6">
        <w:rPr>
          <w:rFonts w:ascii="Arial" w:hAnsi="Arial" w:cs="Arial"/>
        </w:rPr>
        <w:t>Activity that introduces young people to different career opportunities</w:t>
      </w:r>
      <w:r w:rsidR="0096107F" w:rsidRPr="00433AE6">
        <w:rPr>
          <w:rFonts w:ascii="Arial" w:hAnsi="Arial" w:cs="Arial"/>
        </w:rPr>
        <w:t xml:space="preserve"> and </w:t>
      </w:r>
      <w:r w:rsidRPr="00433AE6">
        <w:rPr>
          <w:rFonts w:ascii="Arial" w:hAnsi="Arial" w:cs="Arial"/>
        </w:rPr>
        <w:t>develops their enthusiasm and aspirations</w:t>
      </w:r>
      <w:r w:rsidR="0096107F" w:rsidRPr="00433AE6">
        <w:rPr>
          <w:rFonts w:ascii="Arial" w:hAnsi="Arial" w:cs="Arial"/>
        </w:rPr>
        <w:t>.</w:t>
      </w:r>
      <w:r w:rsidRPr="00433AE6">
        <w:rPr>
          <w:rFonts w:ascii="Arial" w:hAnsi="Arial" w:cs="Arial"/>
        </w:rPr>
        <w:t xml:space="preserve"> </w:t>
      </w:r>
    </w:p>
    <w:p w14:paraId="09AD4FF1" w14:textId="48A98612" w:rsidR="00F01EBE" w:rsidRPr="00433AE6" w:rsidRDefault="00F01EBE" w:rsidP="00196B27">
      <w:pPr>
        <w:rPr>
          <w:rFonts w:ascii="Arial" w:hAnsi="Arial" w:cs="Arial"/>
        </w:rPr>
      </w:pPr>
      <w:r w:rsidRPr="00433AE6">
        <w:rPr>
          <w:rFonts w:ascii="Arial" w:hAnsi="Arial" w:cs="Arial"/>
        </w:rPr>
        <w:t>We welcome new and innovative approaches, as well as activity that builds on “tried and tested” methodologies.</w:t>
      </w:r>
    </w:p>
    <w:p w14:paraId="69D4DC3E" w14:textId="7B18B558" w:rsidR="00845FBC" w:rsidRPr="00433AE6" w:rsidRDefault="00F01EBE">
      <w:pPr>
        <w:rPr>
          <w:rFonts w:ascii="Arial" w:hAnsi="Arial" w:cs="Arial"/>
          <w:b/>
        </w:rPr>
      </w:pPr>
      <w:r w:rsidRPr="00433AE6">
        <w:rPr>
          <w:rFonts w:ascii="Arial" w:hAnsi="Arial" w:cs="Arial"/>
          <w:b/>
        </w:rPr>
        <w:t>Existing provision</w:t>
      </w:r>
    </w:p>
    <w:p w14:paraId="340DA48D" w14:textId="7119E684" w:rsidR="00523C26" w:rsidRPr="00433AE6" w:rsidRDefault="00F01EBE">
      <w:pPr>
        <w:rPr>
          <w:rFonts w:ascii="Arial" w:hAnsi="Arial" w:cs="Arial"/>
        </w:rPr>
      </w:pPr>
      <w:r w:rsidRPr="00433AE6">
        <w:rPr>
          <w:rFonts w:ascii="Arial" w:hAnsi="Arial" w:cs="Arial"/>
        </w:rPr>
        <w:t xml:space="preserve">The NCOP project is looking to complement, not duplicate or replace, existing provision and funding streams. Bidders must be clear on how their proposed activity fits with existing provision. </w:t>
      </w:r>
    </w:p>
    <w:p w14:paraId="0A6E7FC8" w14:textId="77777777" w:rsidR="00523C26" w:rsidRDefault="00523C26">
      <w:pPr>
        <w:rPr>
          <w:rFonts w:ascii="Arial" w:hAnsi="Arial" w:cs="Arial"/>
        </w:rPr>
      </w:pPr>
    </w:p>
    <w:sectPr w:rsidR="00523C2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2B7D4" w14:textId="77777777" w:rsidR="00B53D78" w:rsidRDefault="00B53D78" w:rsidP="00B53D78">
      <w:pPr>
        <w:spacing w:after="0" w:line="240" w:lineRule="auto"/>
      </w:pPr>
      <w:r>
        <w:separator/>
      </w:r>
    </w:p>
  </w:endnote>
  <w:endnote w:type="continuationSeparator" w:id="0">
    <w:p w14:paraId="2B8E9DE0" w14:textId="77777777" w:rsidR="00B53D78" w:rsidRDefault="00B53D78" w:rsidP="00B5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DB576" w14:textId="77777777" w:rsidR="00B53D78" w:rsidRDefault="00B53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78F71" w14:textId="77777777" w:rsidR="00B53D78" w:rsidRDefault="00B53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E2B0" w14:textId="77777777" w:rsidR="00B53D78" w:rsidRDefault="00B53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4E7D9" w14:textId="77777777" w:rsidR="00B53D78" w:rsidRDefault="00B53D78" w:rsidP="00B53D78">
      <w:pPr>
        <w:spacing w:after="0" w:line="240" w:lineRule="auto"/>
      </w:pPr>
      <w:r>
        <w:separator/>
      </w:r>
    </w:p>
  </w:footnote>
  <w:footnote w:type="continuationSeparator" w:id="0">
    <w:p w14:paraId="68EC8C21" w14:textId="77777777" w:rsidR="00B53D78" w:rsidRDefault="00B53D78" w:rsidP="00B53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BA285" w14:textId="77777777" w:rsidR="00B53D78" w:rsidRDefault="00B53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73985"/>
      <w:docPartObj>
        <w:docPartGallery w:val="Watermarks"/>
        <w:docPartUnique/>
      </w:docPartObj>
    </w:sdtPr>
    <w:sdtContent>
      <w:p w14:paraId="297E7182" w14:textId="384FE76D" w:rsidR="00B53D78" w:rsidRDefault="00B53D78">
        <w:pPr>
          <w:pStyle w:val="Header"/>
        </w:pPr>
        <w:r>
          <w:rPr>
            <w:noProof/>
            <w:lang w:val="en-US"/>
          </w:rPr>
          <w:pict w14:anchorId="50463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31B44" w14:textId="77777777" w:rsidR="00B53D78" w:rsidRDefault="00B53D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18D"/>
    <w:multiLevelType w:val="hybridMultilevel"/>
    <w:tmpl w:val="7AD6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451C3"/>
    <w:multiLevelType w:val="hybridMultilevel"/>
    <w:tmpl w:val="CF8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61A56"/>
    <w:multiLevelType w:val="hybridMultilevel"/>
    <w:tmpl w:val="0958B11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B5"/>
    <w:rsid w:val="00061254"/>
    <w:rsid w:val="00196B27"/>
    <w:rsid w:val="003875A8"/>
    <w:rsid w:val="00433AE6"/>
    <w:rsid w:val="00523C26"/>
    <w:rsid w:val="0056740A"/>
    <w:rsid w:val="00797502"/>
    <w:rsid w:val="00845FBC"/>
    <w:rsid w:val="00880528"/>
    <w:rsid w:val="00897C1C"/>
    <w:rsid w:val="0096107F"/>
    <w:rsid w:val="00B147D4"/>
    <w:rsid w:val="00B53D78"/>
    <w:rsid w:val="00B57413"/>
    <w:rsid w:val="00BB721F"/>
    <w:rsid w:val="00BC0F0E"/>
    <w:rsid w:val="00DE4E2B"/>
    <w:rsid w:val="00E746B5"/>
    <w:rsid w:val="00F01EBE"/>
    <w:rsid w:val="00FA0EA0"/>
    <w:rsid w:val="00FD6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8A581"/>
  <w15:chartTrackingRefBased/>
  <w15:docId w15:val="{87686363-42E1-469A-BDF7-B72EF7BE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F0E"/>
    <w:pPr>
      <w:spacing w:before="120" w:after="0" w:line="276" w:lineRule="auto"/>
      <w:ind w:left="720"/>
      <w:contextualSpacing/>
    </w:pPr>
    <w:rPr>
      <w:rFonts w:ascii="Arial" w:hAnsi="Arial" w:cs="Arial"/>
      <w:sz w:val="24"/>
      <w:szCs w:val="24"/>
    </w:rPr>
  </w:style>
  <w:style w:type="table" w:styleId="TableGrid">
    <w:name w:val="Table Grid"/>
    <w:basedOn w:val="TableNormal"/>
    <w:uiPriority w:val="39"/>
    <w:rsid w:val="00387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740A"/>
    <w:rPr>
      <w:sz w:val="16"/>
      <w:szCs w:val="16"/>
    </w:rPr>
  </w:style>
  <w:style w:type="paragraph" w:styleId="CommentText">
    <w:name w:val="annotation text"/>
    <w:basedOn w:val="Normal"/>
    <w:link w:val="CommentTextChar"/>
    <w:uiPriority w:val="99"/>
    <w:semiHidden/>
    <w:unhideWhenUsed/>
    <w:rsid w:val="0056740A"/>
    <w:pPr>
      <w:spacing w:line="240" w:lineRule="auto"/>
    </w:pPr>
    <w:rPr>
      <w:sz w:val="20"/>
      <w:szCs w:val="20"/>
    </w:rPr>
  </w:style>
  <w:style w:type="character" w:customStyle="1" w:styleId="CommentTextChar">
    <w:name w:val="Comment Text Char"/>
    <w:basedOn w:val="DefaultParagraphFont"/>
    <w:link w:val="CommentText"/>
    <w:uiPriority w:val="99"/>
    <w:semiHidden/>
    <w:rsid w:val="0056740A"/>
    <w:rPr>
      <w:sz w:val="20"/>
      <w:szCs w:val="20"/>
    </w:rPr>
  </w:style>
  <w:style w:type="paragraph" w:styleId="CommentSubject">
    <w:name w:val="annotation subject"/>
    <w:basedOn w:val="CommentText"/>
    <w:next w:val="CommentText"/>
    <w:link w:val="CommentSubjectChar"/>
    <w:uiPriority w:val="99"/>
    <w:semiHidden/>
    <w:unhideWhenUsed/>
    <w:rsid w:val="0056740A"/>
    <w:rPr>
      <w:b/>
      <w:bCs/>
    </w:rPr>
  </w:style>
  <w:style w:type="character" w:customStyle="1" w:styleId="CommentSubjectChar">
    <w:name w:val="Comment Subject Char"/>
    <w:basedOn w:val="CommentTextChar"/>
    <w:link w:val="CommentSubject"/>
    <w:uiPriority w:val="99"/>
    <w:semiHidden/>
    <w:rsid w:val="0056740A"/>
    <w:rPr>
      <w:b/>
      <w:bCs/>
      <w:sz w:val="20"/>
      <w:szCs w:val="20"/>
    </w:rPr>
  </w:style>
  <w:style w:type="paragraph" w:styleId="BalloonText">
    <w:name w:val="Balloon Text"/>
    <w:basedOn w:val="Normal"/>
    <w:link w:val="BalloonTextChar"/>
    <w:uiPriority w:val="99"/>
    <w:semiHidden/>
    <w:unhideWhenUsed/>
    <w:rsid w:val="00567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40A"/>
    <w:rPr>
      <w:rFonts w:ascii="Segoe UI" w:hAnsi="Segoe UI" w:cs="Segoe UI"/>
      <w:sz w:val="18"/>
      <w:szCs w:val="18"/>
    </w:rPr>
  </w:style>
  <w:style w:type="character" w:styleId="Hyperlink">
    <w:name w:val="Hyperlink"/>
    <w:basedOn w:val="DefaultParagraphFont"/>
    <w:uiPriority w:val="99"/>
    <w:unhideWhenUsed/>
    <w:rsid w:val="00845FBC"/>
    <w:rPr>
      <w:color w:val="0563C1" w:themeColor="hyperlink"/>
      <w:u w:val="single"/>
    </w:rPr>
  </w:style>
  <w:style w:type="paragraph" w:styleId="Header">
    <w:name w:val="header"/>
    <w:basedOn w:val="Normal"/>
    <w:link w:val="HeaderChar"/>
    <w:uiPriority w:val="99"/>
    <w:unhideWhenUsed/>
    <w:rsid w:val="00B53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D78"/>
  </w:style>
  <w:style w:type="paragraph" w:styleId="Footer">
    <w:name w:val="footer"/>
    <w:basedOn w:val="Normal"/>
    <w:link w:val="FooterChar"/>
    <w:uiPriority w:val="99"/>
    <w:unhideWhenUsed/>
    <w:rsid w:val="00B53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fce.ac.uk/sas/ncop/ma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0FCC-74BC-4C0D-A220-B08EEEA0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Taylor</dc:creator>
  <cp:keywords/>
  <dc:description/>
  <cp:lastModifiedBy>Zoe Jones</cp:lastModifiedBy>
  <cp:revision>4</cp:revision>
  <dcterms:created xsi:type="dcterms:W3CDTF">2017-01-17T12:29:00Z</dcterms:created>
  <dcterms:modified xsi:type="dcterms:W3CDTF">2017-01-17T12:33:00Z</dcterms:modified>
</cp:coreProperties>
</file>