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CAD63" w14:textId="54FEAE34" w:rsidR="007F3A84" w:rsidRDefault="00E91DDD" w:rsidP="007F3A84">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Ernst and Young LLP</w:t>
      </w:r>
    </w:p>
    <w:p w14:paraId="526DAFD0" w14:textId="0E3ABE23" w:rsidR="00E91DDD" w:rsidRDefault="00E91DDD" w:rsidP="007F3A84">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1 More London</w:t>
      </w:r>
    </w:p>
    <w:p w14:paraId="64B4FC2A" w14:textId="692C077A" w:rsidR="00E91DDD" w:rsidRDefault="00E91DDD" w:rsidP="007F3A84">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London</w:t>
      </w:r>
    </w:p>
    <w:p w14:paraId="7E9D073F" w14:textId="5927BC72" w:rsidR="00E91DDD" w:rsidRPr="00815910" w:rsidRDefault="00E91DDD" w:rsidP="007F3A84">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SE1 2AF</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4134F745"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8B5393">
        <w:rPr>
          <w:rFonts w:ascii="Arial" w:eastAsia="Times New Roman" w:hAnsi="Arial" w:cs="Arial"/>
          <w:b/>
          <w:lang w:eastAsia="en-GB"/>
        </w:rPr>
        <w:t>Redacted</w:t>
      </w:r>
    </w:p>
    <w:p w14:paraId="0E425FB9" w14:textId="7B0025B0" w:rsidR="0084655D" w:rsidRPr="008B5393" w:rsidRDefault="008B5393"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63D45286" w:rsidR="0084655D" w:rsidRPr="007F3A84"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E91DDD">
        <w:rPr>
          <w:rFonts w:ascii="Arial" w:eastAsia="Times New Roman" w:hAnsi="Arial" w:cs="Arial"/>
        </w:rPr>
        <w:t xml:space="preserve"> </w:t>
      </w:r>
      <w:r w:rsidR="0043765B">
        <w:rPr>
          <w:rFonts w:ascii="Arial" w:eastAsia="Times New Roman" w:hAnsi="Arial" w:cs="Arial"/>
        </w:rPr>
        <w:t>25</w:t>
      </w:r>
      <w:r w:rsidR="00924438" w:rsidRPr="00924438">
        <w:rPr>
          <w:rFonts w:ascii="Arial" w:eastAsia="Times New Roman" w:hAnsi="Arial" w:cs="Arial"/>
          <w:vertAlign w:val="superscript"/>
        </w:rPr>
        <w:t>th</w:t>
      </w:r>
      <w:r w:rsidR="00924438">
        <w:rPr>
          <w:rFonts w:ascii="Arial" w:eastAsia="Times New Roman" w:hAnsi="Arial" w:cs="Arial"/>
        </w:rPr>
        <w:t xml:space="preserve"> May</w:t>
      </w:r>
      <w:r w:rsidR="007F3A84">
        <w:rPr>
          <w:rFonts w:ascii="Arial" w:eastAsia="Times New Roman" w:hAnsi="Arial" w:cs="Arial"/>
        </w:rPr>
        <w:t xml:space="preserve"> </w:t>
      </w:r>
      <w:r w:rsidR="007F3A84" w:rsidRPr="007F3A84">
        <w:rPr>
          <w:rFonts w:ascii="Arial" w:eastAsia="Times New Roman" w:hAnsi="Arial" w:cs="Arial"/>
        </w:rPr>
        <w:t>2018</w:t>
      </w:r>
      <w:r w:rsidRPr="007F3A84">
        <w:rPr>
          <w:rFonts w:ascii="Arial" w:eastAsia="Times New Roman" w:hAnsi="Arial" w:cs="Arial"/>
        </w:rPr>
        <w:t xml:space="preserve"> </w:t>
      </w:r>
    </w:p>
    <w:p w14:paraId="3547D31E" w14:textId="61E79E3A" w:rsidR="0084655D" w:rsidRPr="007F3A84" w:rsidRDefault="00426F1E" w:rsidP="00A31772">
      <w:pPr>
        <w:spacing w:after="120" w:line="240" w:lineRule="atLeast"/>
        <w:ind w:left="5760" w:right="-46"/>
        <w:rPr>
          <w:rFonts w:ascii="Arial" w:eastAsia="Times New Roman" w:hAnsi="Arial" w:cs="Arial"/>
        </w:rPr>
      </w:pPr>
      <w:r w:rsidRPr="007F3A84">
        <w:rPr>
          <w:rFonts w:ascii="Arial" w:eastAsia="Times New Roman" w:hAnsi="Arial" w:cs="Arial"/>
        </w:rPr>
        <w:t xml:space="preserve">Procurement </w:t>
      </w:r>
      <w:r w:rsidR="0084655D" w:rsidRPr="007F3A84">
        <w:rPr>
          <w:rFonts w:ascii="Arial" w:eastAsia="Times New Roman" w:hAnsi="Arial" w:cs="Arial"/>
        </w:rPr>
        <w:t xml:space="preserve">ref: </w:t>
      </w:r>
      <w:r w:rsidR="00E91DDD">
        <w:rPr>
          <w:rFonts w:ascii="Arial" w:eastAsia="Times New Roman" w:hAnsi="Arial" w:cs="Arial"/>
        </w:rPr>
        <w:t>CCCC18A10</w:t>
      </w:r>
    </w:p>
    <w:p w14:paraId="1F7AEBCF" w14:textId="5D85DD92" w:rsidR="0084655D" w:rsidRPr="0084655D" w:rsidRDefault="005C77EA" w:rsidP="0084655D">
      <w:pPr>
        <w:spacing w:after="120" w:line="240" w:lineRule="atLeast"/>
        <w:jc w:val="both"/>
        <w:rPr>
          <w:rFonts w:ascii="Arial" w:eastAsia="Times New Roman" w:hAnsi="Arial" w:cs="Arial"/>
        </w:rPr>
      </w:pPr>
      <w:r>
        <w:rPr>
          <w:rFonts w:ascii="Arial" w:eastAsia="Times New Roman" w:hAnsi="Arial" w:cs="Arial"/>
        </w:rPr>
        <w:t>Dear Alan</w:t>
      </w:r>
      <w:r w:rsidR="0084655D" w:rsidRPr="007F3A84">
        <w:rPr>
          <w:rFonts w:ascii="Arial" w:eastAsia="Times New Roman" w:hAnsi="Arial" w:cs="Arial"/>
        </w:rPr>
        <w:t>,</w:t>
      </w:r>
    </w:p>
    <w:p w14:paraId="49B529BB" w14:textId="1A582615"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Awar</w:t>
      </w:r>
      <w:r w:rsidR="00871B1D">
        <w:rPr>
          <w:rFonts w:ascii="Arial" w:eastAsia="Times New Roman" w:hAnsi="Arial" w:cs="Arial"/>
          <w:b/>
          <w:bCs/>
          <w:spacing w:val="-4"/>
          <w:u w:val="single"/>
          <w:lang w:val="en-US"/>
        </w:rPr>
        <w:t xml:space="preserve">d of contract for the Provision of Consultancy for </w:t>
      </w:r>
      <w:r w:rsidR="00666B79">
        <w:rPr>
          <w:rFonts w:ascii="Arial" w:eastAsia="Times New Roman" w:hAnsi="Arial" w:cs="Arial"/>
          <w:b/>
          <w:bCs/>
          <w:spacing w:val="-4"/>
          <w:u w:val="single"/>
          <w:lang w:val="en-US"/>
        </w:rPr>
        <w:t>Financial Advisers for Operator of Last Resort</w:t>
      </w:r>
      <w:r w:rsidRPr="00880B11">
        <w:rPr>
          <w:rFonts w:ascii="Arial" w:eastAsia="Times New Roman" w:hAnsi="Arial" w:cs="Arial"/>
          <w:b/>
          <w:bCs/>
          <w:spacing w:val="-4"/>
          <w:u w:val="single"/>
          <w:lang w:val="en-US"/>
        </w:rPr>
        <w:t xml:space="preserve">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26E731B" w14:textId="77777777" w:rsidR="00871B1D" w:rsidRPr="00B56971" w:rsidRDefault="00871B1D" w:rsidP="00871B1D">
      <w:pPr>
        <w:pStyle w:val="BasicParagraph"/>
        <w:tabs>
          <w:tab w:val="left" w:pos="5670"/>
        </w:tabs>
        <w:spacing w:line="240" w:lineRule="auto"/>
        <w:jc w:val="both"/>
        <w:rPr>
          <w:rFonts w:ascii="Arial" w:hAnsi="Arial" w:cs="Arial"/>
          <w:color w:val="auto"/>
          <w:sz w:val="22"/>
          <w:szCs w:val="22"/>
        </w:rPr>
      </w:pPr>
      <w:r w:rsidRPr="00B56971">
        <w:rPr>
          <w:rFonts w:ascii="Arial" w:hAnsi="Arial" w:cs="Arial"/>
          <w:color w:val="auto"/>
          <w:sz w:val="22"/>
          <w:szCs w:val="22"/>
        </w:rPr>
        <w:t xml:space="preserve">Further to your submission of a Tender for the above Procurement, I am writing to advise that the </w:t>
      </w:r>
      <w:proofErr w:type="gramStart"/>
      <w:r w:rsidRPr="00B56971">
        <w:rPr>
          <w:rFonts w:ascii="Arial" w:hAnsi="Arial" w:cs="Arial"/>
          <w:color w:val="auto"/>
          <w:sz w:val="22"/>
          <w:szCs w:val="22"/>
        </w:rPr>
        <w:t>procurement</w:t>
      </w:r>
      <w:proofErr w:type="gramEnd"/>
      <w:r w:rsidRPr="00B56971">
        <w:rPr>
          <w:rFonts w:ascii="Arial" w:hAnsi="Arial" w:cs="Arial"/>
          <w:color w:val="auto"/>
          <w:sz w:val="22"/>
          <w:szCs w:val="22"/>
        </w:rPr>
        <w:t xml:space="preserve"> is now complete.</w:t>
      </w:r>
      <w:r>
        <w:rPr>
          <w:rFonts w:ascii="Arial" w:hAnsi="Arial" w:cs="Arial"/>
          <w:color w:val="auto"/>
          <w:sz w:val="22"/>
          <w:szCs w:val="22"/>
        </w:rPr>
        <w:t xml:space="preserve"> </w:t>
      </w:r>
    </w:p>
    <w:p w14:paraId="02429413" w14:textId="77777777" w:rsidR="00871B1D" w:rsidRPr="00B56971" w:rsidRDefault="00871B1D" w:rsidP="00871B1D">
      <w:pPr>
        <w:pStyle w:val="BasicParagraph"/>
        <w:spacing w:line="240" w:lineRule="auto"/>
        <w:jc w:val="both"/>
        <w:rPr>
          <w:rFonts w:ascii="Arial" w:hAnsi="Arial" w:cs="Arial"/>
          <w:color w:val="auto"/>
          <w:sz w:val="22"/>
          <w:szCs w:val="22"/>
        </w:rPr>
      </w:pPr>
    </w:p>
    <w:p w14:paraId="4F375865" w14:textId="77777777" w:rsidR="00871B1D" w:rsidRDefault="00871B1D" w:rsidP="00871B1D">
      <w:pPr>
        <w:spacing w:after="0" w:line="240" w:lineRule="auto"/>
        <w:jc w:val="both"/>
        <w:rPr>
          <w:rFonts w:ascii="Arial" w:hAnsi="Arial" w:cs="Arial"/>
        </w:rPr>
      </w:pPr>
      <w:r w:rsidRPr="00F25935">
        <w:rPr>
          <w:rFonts w:ascii="Arial" w:eastAsiaTheme="minorEastAsia" w:hAnsi="Arial" w:cs="Arial"/>
        </w:rPr>
        <w:t xml:space="preserve">I am pleased to inform you that your company ranked first in our evaluation and therefore we would like to award the contract to you. </w:t>
      </w:r>
    </w:p>
    <w:p w14:paraId="1946FD14" w14:textId="77777777" w:rsidR="00871B1D" w:rsidRDefault="00871B1D" w:rsidP="00871B1D">
      <w:pPr>
        <w:spacing w:after="0" w:line="240" w:lineRule="auto"/>
        <w:jc w:val="both"/>
        <w:rPr>
          <w:rFonts w:ascii="Arial" w:hAnsi="Arial" w:cs="Arial"/>
        </w:rPr>
      </w:pPr>
    </w:p>
    <w:p w14:paraId="53679F56" w14:textId="77777777" w:rsidR="00871B1D" w:rsidRPr="00F25935" w:rsidRDefault="00871B1D" w:rsidP="00871B1D">
      <w:pPr>
        <w:spacing w:after="0" w:line="240" w:lineRule="auto"/>
        <w:jc w:val="both"/>
        <w:rPr>
          <w:rFonts w:ascii="Arial" w:eastAsiaTheme="minorEastAsia" w:hAnsi="Arial" w:cs="Arial"/>
        </w:rPr>
      </w:pPr>
      <w:r w:rsidRPr="006A421C">
        <w:rPr>
          <w:rFonts w:ascii="Arial" w:eastAsiaTheme="minorEastAsia" w:hAnsi="Arial" w:cs="Arial"/>
        </w:rPr>
        <w:t xml:space="preserve">The attached </w:t>
      </w:r>
      <w:r>
        <w:rPr>
          <w:rFonts w:ascii="Arial" w:eastAsiaTheme="minorEastAsia" w:hAnsi="Arial" w:cs="Arial"/>
        </w:rPr>
        <w:t>A</w:t>
      </w:r>
      <w:r w:rsidRPr="006A421C">
        <w:rPr>
          <w:rFonts w:ascii="Arial" w:eastAsiaTheme="minorEastAsia" w:hAnsi="Arial" w:cs="Arial"/>
        </w:rPr>
        <w:t>ppendix</w:t>
      </w:r>
      <w:r>
        <w:rPr>
          <w:rFonts w:ascii="Arial" w:eastAsiaTheme="minorEastAsia" w:hAnsi="Arial" w:cs="Arial"/>
        </w:rPr>
        <w:t xml:space="preserve"> 1 </w:t>
      </w:r>
      <w:r w:rsidRPr="006A421C">
        <w:rPr>
          <w:rFonts w:ascii="Arial" w:eastAsiaTheme="minorEastAsia" w:hAnsi="Arial" w:cs="Arial"/>
        </w:rPr>
        <w:t>provides detailed feedback on your submitted proposal.</w:t>
      </w:r>
    </w:p>
    <w:p w14:paraId="4958937D" w14:textId="77777777" w:rsidR="00871B1D" w:rsidRPr="00F25935" w:rsidRDefault="00871B1D" w:rsidP="00871B1D">
      <w:pPr>
        <w:spacing w:after="0" w:line="240" w:lineRule="auto"/>
        <w:jc w:val="both"/>
        <w:rPr>
          <w:rFonts w:ascii="Arial" w:eastAsiaTheme="minorEastAsia" w:hAnsi="Arial" w:cs="Arial"/>
        </w:rPr>
      </w:pPr>
    </w:p>
    <w:p w14:paraId="661EF5CE" w14:textId="620A09C0" w:rsidR="00871B1D" w:rsidRDefault="00871B1D" w:rsidP="00871B1D">
      <w:pPr>
        <w:spacing w:after="0" w:line="240" w:lineRule="auto"/>
        <w:jc w:val="both"/>
        <w:rPr>
          <w:rFonts w:ascii="Arial" w:eastAsiaTheme="minorEastAsia" w:hAnsi="Arial" w:cs="Arial"/>
        </w:rPr>
      </w:pPr>
      <w:r w:rsidRPr="00F25935">
        <w:rPr>
          <w:rFonts w:ascii="Arial" w:eastAsiaTheme="minorEastAsia" w:hAnsi="Arial" w:cs="Arial"/>
        </w:rPr>
        <w:t xml:space="preserve">The </w:t>
      </w:r>
      <w:r>
        <w:rPr>
          <w:rFonts w:ascii="Arial" w:eastAsiaTheme="minorEastAsia" w:hAnsi="Arial" w:cs="Arial"/>
        </w:rPr>
        <w:t>cal</w:t>
      </w:r>
      <w:r w:rsidR="00666B79">
        <w:rPr>
          <w:rFonts w:ascii="Arial" w:eastAsiaTheme="minorEastAsia" w:hAnsi="Arial" w:cs="Arial"/>
        </w:rPr>
        <w:t xml:space="preserve">l-off contract shall commence </w:t>
      </w:r>
      <w:r w:rsidR="00FE2882">
        <w:rPr>
          <w:rFonts w:ascii="Arial" w:eastAsiaTheme="minorEastAsia" w:hAnsi="Arial" w:cs="Arial"/>
        </w:rPr>
        <w:t>2</w:t>
      </w:r>
      <w:r w:rsidR="0043765B">
        <w:rPr>
          <w:rFonts w:ascii="Arial" w:eastAsiaTheme="minorEastAsia" w:hAnsi="Arial" w:cs="Arial"/>
        </w:rPr>
        <w:t>5</w:t>
      </w:r>
      <w:r w:rsidR="0043765B" w:rsidRPr="0043765B">
        <w:rPr>
          <w:rFonts w:ascii="Arial" w:eastAsiaTheme="minorEastAsia" w:hAnsi="Arial" w:cs="Arial"/>
          <w:vertAlign w:val="superscript"/>
        </w:rPr>
        <w:t>th</w:t>
      </w:r>
      <w:r w:rsidR="0043765B">
        <w:rPr>
          <w:rFonts w:ascii="Arial" w:eastAsiaTheme="minorEastAsia" w:hAnsi="Arial" w:cs="Arial"/>
        </w:rPr>
        <w:t xml:space="preserve"> </w:t>
      </w:r>
      <w:r>
        <w:rPr>
          <w:rFonts w:ascii="Arial" w:eastAsiaTheme="minorEastAsia" w:hAnsi="Arial" w:cs="Arial"/>
        </w:rPr>
        <w:t xml:space="preserve">day of </w:t>
      </w:r>
      <w:r w:rsidR="0043765B">
        <w:rPr>
          <w:rFonts w:ascii="Arial" w:eastAsiaTheme="minorEastAsia" w:hAnsi="Arial" w:cs="Arial"/>
        </w:rPr>
        <w:t>June</w:t>
      </w:r>
      <w:r w:rsidR="00FE2882">
        <w:rPr>
          <w:rFonts w:ascii="Arial" w:eastAsiaTheme="minorEastAsia" w:hAnsi="Arial" w:cs="Arial"/>
        </w:rPr>
        <w:t xml:space="preserve"> </w:t>
      </w:r>
      <w:r>
        <w:rPr>
          <w:rFonts w:ascii="Arial" w:eastAsiaTheme="minorEastAsia" w:hAnsi="Arial" w:cs="Arial"/>
        </w:rPr>
        <w:t>201</w:t>
      </w:r>
      <w:r w:rsidR="00AE087F">
        <w:rPr>
          <w:rFonts w:ascii="Arial" w:eastAsiaTheme="minorEastAsia" w:hAnsi="Arial" w:cs="Arial"/>
        </w:rPr>
        <w:t xml:space="preserve">8 and the Expiry Date will be </w:t>
      </w:r>
      <w:r w:rsidR="0043765B">
        <w:rPr>
          <w:rFonts w:ascii="Arial" w:eastAsiaTheme="minorEastAsia" w:hAnsi="Arial" w:cs="Arial"/>
        </w:rPr>
        <w:t xml:space="preserve">24th </w:t>
      </w:r>
      <w:r>
        <w:rPr>
          <w:rFonts w:ascii="Arial" w:eastAsiaTheme="minorEastAsia" w:hAnsi="Arial" w:cs="Arial"/>
        </w:rPr>
        <w:t xml:space="preserve">day of </w:t>
      </w:r>
      <w:r w:rsidR="0043765B">
        <w:rPr>
          <w:rFonts w:ascii="Arial" w:eastAsiaTheme="minorEastAsia" w:hAnsi="Arial" w:cs="Arial"/>
        </w:rPr>
        <w:t>June</w:t>
      </w:r>
      <w:r w:rsidR="00FE2882">
        <w:rPr>
          <w:rFonts w:ascii="Arial" w:eastAsiaTheme="minorEastAsia" w:hAnsi="Arial" w:cs="Arial"/>
        </w:rPr>
        <w:t xml:space="preserve"> </w:t>
      </w:r>
      <w:r w:rsidR="00AE087F">
        <w:rPr>
          <w:rFonts w:ascii="Arial" w:eastAsiaTheme="minorEastAsia" w:hAnsi="Arial" w:cs="Arial"/>
        </w:rPr>
        <w:t>2020</w:t>
      </w:r>
      <w:r>
        <w:rPr>
          <w:rFonts w:ascii="Arial" w:eastAsiaTheme="minorEastAsia" w:hAnsi="Arial" w:cs="Arial"/>
        </w:rPr>
        <w:t>, with</w:t>
      </w:r>
      <w:r w:rsidR="00D708C4">
        <w:rPr>
          <w:rFonts w:ascii="Arial" w:eastAsiaTheme="minorEastAsia" w:hAnsi="Arial" w:cs="Arial"/>
        </w:rPr>
        <w:t xml:space="preserve"> an option to extend for up to </w:t>
      </w:r>
      <w:r w:rsidR="00AE087F">
        <w:rPr>
          <w:rFonts w:ascii="Arial" w:eastAsiaTheme="minorEastAsia" w:hAnsi="Arial" w:cs="Arial"/>
        </w:rPr>
        <w:t>1</w:t>
      </w:r>
      <w:r>
        <w:rPr>
          <w:rFonts w:ascii="Arial" w:eastAsiaTheme="minorEastAsia" w:hAnsi="Arial" w:cs="Arial"/>
        </w:rPr>
        <w:t xml:space="preserve">2 months. </w:t>
      </w:r>
      <w:r w:rsidRPr="00D57F8D">
        <w:rPr>
          <w:rFonts w:ascii="Arial" w:eastAsiaTheme="minorEastAsia" w:hAnsi="Arial" w:cs="Arial"/>
        </w:rPr>
        <w:t>The total contract value shall not exceed £</w:t>
      </w:r>
      <w:r w:rsidR="00AE087F">
        <w:rPr>
          <w:rFonts w:ascii="Arial" w:eastAsiaTheme="minorEastAsia" w:hAnsi="Arial" w:cs="Arial"/>
        </w:rPr>
        <w:t>3,000,000.00</w:t>
      </w:r>
      <w:r w:rsidRPr="00D57F8D">
        <w:rPr>
          <w:rFonts w:ascii="Arial" w:eastAsiaTheme="minorEastAsia" w:hAnsi="Arial" w:cs="Arial"/>
        </w:rPr>
        <w:t xml:space="preserve"> (</w:t>
      </w:r>
      <w:proofErr w:type="spellStart"/>
      <w:r w:rsidRPr="00D57F8D">
        <w:rPr>
          <w:rFonts w:ascii="Arial" w:eastAsiaTheme="minorEastAsia" w:hAnsi="Arial" w:cs="Arial"/>
        </w:rPr>
        <w:t>exc</w:t>
      </w:r>
      <w:proofErr w:type="spellEnd"/>
      <w:r w:rsidRPr="00D57F8D">
        <w:rPr>
          <w:rFonts w:ascii="Arial" w:eastAsiaTheme="minorEastAsia" w:hAnsi="Arial" w:cs="Arial"/>
        </w:rPr>
        <w:t xml:space="preserve"> VAT) including all extension options.</w:t>
      </w:r>
    </w:p>
    <w:p w14:paraId="4CC8C00B" w14:textId="77777777" w:rsidR="00871B1D" w:rsidRPr="00F25935" w:rsidRDefault="00871B1D" w:rsidP="00871B1D">
      <w:pPr>
        <w:spacing w:after="0" w:line="240" w:lineRule="auto"/>
        <w:jc w:val="both"/>
        <w:rPr>
          <w:rFonts w:ascii="Arial" w:eastAsiaTheme="minorEastAsia" w:hAnsi="Arial" w:cs="Arial"/>
        </w:rPr>
      </w:pPr>
    </w:p>
    <w:p w14:paraId="4C7C4887" w14:textId="77777777" w:rsidR="00871B1D" w:rsidRDefault="00871B1D" w:rsidP="00871B1D">
      <w:pPr>
        <w:spacing w:after="0" w:line="240" w:lineRule="auto"/>
        <w:jc w:val="both"/>
        <w:rPr>
          <w:rFonts w:ascii="Arial" w:eastAsiaTheme="minorEastAsia" w:hAnsi="Arial" w:cs="Arial"/>
        </w:rPr>
      </w:pPr>
      <w:r>
        <w:rPr>
          <w:rFonts w:ascii="Arial" w:eastAsiaTheme="minorEastAsia" w:hAnsi="Arial" w:cs="Arial"/>
        </w:rPr>
        <w:t>This procurement activity was under RM3745 Management Consultancy Framework Lot 2- Finance, and the framework Terms and Conditions shall apply. A copy of the contract is provided with this Award Letter and includes</w:t>
      </w:r>
      <w:r w:rsidRPr="00F25935">
        <w:rPr>
          <w:rFonts w:ascii="Arial" w:eastAsiaTheme="minorEastAsia" w:hAnsi="Arial" w:cs="Arial"/>
        </w:rPr>
        <w:t xml:space="preserve"> </w:t>
      </w:r>
      <w:r>
        <w:rPr>
          <w:rFonts w:ascii="Arial" w:eastAsiaTheme="minorEastAsia" w:hAnsi="Arial" w:cs="Arial"/>
        </w:rPr>
        <w:t xml:space="preserve">those framework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56F73769" w14:textId="77777777" w:rsidR="00871B1D" w:rsidRDefault="00871B1D" w:rsidP="00871B1D">
      <w:pPr>
        <w:spacing w:after="0" w:line="240" w:lineRule="auto"/>
        <w:jc w:val="both"/>
        <w:rPr>
          <w:rFonts w:ascii="Arial" w:eastAsiaTheme="minorEastAsia" w:hAnsi="Arial" w:cs="Arial"/>
        </w:rPr>
      </w:pPr>
    </w:p>
    <w:p w14:paraId="6515A536" w14:textId="77777777" w:rsidR="00871B1D" w:rsidRPr="00F25935" w:rsidRDefault="00871B1D" w:rsidP="00871B1D">
      <w:pPr>
        <w:spacing w:after="0" w:line="240" w:lineRule="auto"/>
        <w:jc w:val="both"/>
        <w:rPr>
          <w:rFonts w:ascii="Arial" w:eastAsiaTheme="minorEastAsia" w:hAnsi="Arial" w:cs="Arial"/>
        </w:rPr>
      </w:pPr>
      <w:r>
        <w:rPr>
          <w:rFonts w:ascii="Arial" w:eastAsiaTheme="minorEastAsia" w:hAnsi="Arial" w:cs="Arial"/>
        </w:rPr>
        <w:t>Please print and sign a copy</w:t>
      </w:r>
      <w:r w:rsidRPr="00F25935">
        <w:rPr>
          <w:rFonts w:ascii="Arial" w:eastAsiaTheme="minorEastAsia" w:hAnsi="Arial" w:cs="Arial"/>
        </w:rPr>
        <w:t xml:space="preserve"> and forward to the Procurement Lead </w:t>
      </w:r>
      <w:r>
        <w:rPr>
          <w:rFonts w:ascii="Arial" w:eastAsiaTheme="minorEastAsia" w:hAnsi="Arial" w:cs="Arial"/>
        </w:rPr>
        <w:t>electronically via the e-Sourcing Suites’ messaging service.</w:t>
      </w:r>
      <w:r w:rsidRPr="00F25935">
        <w:rPr>
          <w:rFonts w:ascii="Arial" w:eastAsiaTheme="minorEastAsia" w:hAnsi="Arial" w:cs="Arial"/>
        </w:rPr>
        <w:t xml:space="preserve">  They in turn will </w:t>
      </w:r>
      <w:r>
        <w:rPr>
          <w:rFonts w:ascii="Arial" w:eastAsiaTheme="minorEastAsia" w:hAnsi="Arial" w:cs="Arial"/>
        </w:rPr>
        <w:t>manage its ratification</w:t>
      </w:r>
      <w:r w:rsidRPr="00F25935">
        <w:rPr>
          <w:rFonts w:ascii="Arial" w:eastAsiaTheme="minorEastAsia" w:hAnsi="Arial" w:cs="Arial"/>
        </w:rPr>
        <w:t xml:space="preserve"> and return a copy for your records. </w:t>
      </w:r>
    </w:p>
    <w:p w14:paraId="0A70024E" w14:textId="77777777" w:rsidR="00871B1D" w:rsidRPr="00F25935" w:rsidRDefault="00871B1D" w:rsidP="00871B1D">
      <w:pPr>
        <w:tabs>
          <w:tab w:val="left" w:pos="7995"/>
        </w:tabs>
        <w:spacing w:after="0" w:line="240" w:lineRule="auto"/>
        <w:jc w:val="both"/>
        <w:rPr>
          <w:rFonts w:ascii="Arial" w:eastAsiaTheme="minorEastAsia" w:hAnsi="Arial" w:cs="Arial"/>
        </w:rPr>
      </w:pPr>
      <w:r>
        <w:rPr>
          <w:rFonts w:ascii="Arial" w:eastAsiaTheme="minorEastAsia" w:hAnsi="Arial" w:cs="Arial"/>
        </w:rPr>
        <w:tab/>
      </w:r>
    </w:p>
    <w:p w14:paraId="06151D37" w14:textId="327ED898" w:rsidR="00871B1D" w:rsidRPr="00F25935" w:rsidRDefault="00871B1D" w:rsidP="00871B1D">
      <w:pPr>
        <w:spacing w:after="0" w:line="240" w:lineRule="auto"/>
        <w:jc w:val="both"/>
        <w:rPr>
          <w:rFonts w:ascii="Arial" w:eastAsiaTheme="minorEastAsia" w:hAnsi="Arial" w:cs="Arial"/>
        </w:rPr>
      </w:pPr>
      <w:r>
        <w:rPr>
          <w:rFonts w:ascii="Arial" w:eastAsiaTheme="minorEastAsia" w:hAnsi="Arial" w:cs="Arial"/>
        </w:rPr>
        <w:t>Please</w:t>
      </w:r>
      <w:r w:rsidRPr="00F25935">
        <w:rPr>
          <w:rFonts w:ascii="Arial" w:eastAsiaTheme="minorEastAsia" w:hAnsi="Arial" w:cs="Arial"/>
        </w:rPr>
        <w:t xml:space="preserve"> </w:t>
      </w:r>
      <w:r>
        <w:rPr>
          <w:rFonts w:ascii="Arial" w:eastAsiaTheme="minorEastAsia" w:hAnsi="Arial" w:cs="Arial"/>
        </w:rPr>
        <w:t>ensure that the</w:t>
      </w:r>
      <w:r w:rsidRPr="00F25935">
        <w:rPr>
          <w:rFonts w:ascii="Arial" w:eastAsiaTheme="minorEastAsia" w:hAnsi="Arial" w:cs="Arial"/>
        </w:rPr>
        <w:t xml:space="preserve"> signed copy of the contract is submit</w:t>
      </w:r>
      <w:r>
        <w:rPr>
          <w:rFonts w:ascii="Arial" w:eastAsiaTheme="minorEastAsia" w:hAnsi="Arial" w:cs="Arial"/>
        </w:rPr>
        <w:t>ted via the e-sourcing suite by</w:t>
      </w:r>
      <w:r w:rsidRPr="00F25935">
        <w:rPr>
          <w:rFonts w:ascii="Arial" w:eastAsiaTheme="minorEastAsia" w:hAnsi="Arial" w:cs="Arial"/>
        </w:rPr>
        <w:t xml:space="preserve"> </w:t>
      </w:r>
      <w:r w:rsidR="00AE087F">
        <w:rPr>
          <w:rFonts w:ascii="Arial" w:eastAsiaTheme="minorEastAsia" w:hAnsi="Arial" w:cs="Arial"/>
        </w:rPr>
        <w:t>16</w:t>
      </w:r>
      <w:r>
        <w:rPr>
          <w:rFonts w:ascii="Arial" w:eastAsiaTheme="minorEastAsia" w:hAnsi="Arial" w:cs="Arial"/>
        </w:rPr>
        <w:t xml:space="preserve">:00 on </w:t>
      </w:r>
      <w:r w:rsidR="0043765B">
        <w:rPr>
          <w:rFonts w:ascii="Arial" w:eastAsiaTheme="minorEastAsia" w:hAnsi="Arial" w:cs="Arial"/>
        </w:rPr>
        <w:t>Monday 28</w:t>
      </w:r>
      <w:r w:rsidR="0043765B" w:rsidRPr="0043765B">
        <w:rPr>
          <w:rFonts w:ascii="Arial" w:eastAsiaTheme="minorEastAsia" w:hAnsi="Arial" w:cs="Arial"/>
          <w:vertAlign w:val="superscript"/>
        </w:rPr>
        <w:t>th</w:t>
      </w:r>
      <w:r w:rsidR="0043765B">
        <w:rPr>
          <w:rFonts w:ascii="Arial" w:eastAsiaTheme="minorEastAsia" w:hAnsi="Arial" w:cs="Arial"/>
        </w:rPr>
        <w:t xml:space="preserve"> </w:t>
      </w:r>
      <w:r w:rsidR="00FE2882">
        <w:rPr>
          <w:rFonts w:ascii="Arial" w:eastAsiaTheme="minorEastAsia" w:hAnsi="Arial" w:cs="Arial"/>
        </w:rPr>
        <w:t xml:space="preserve">May </w:t>
      </w:r>
      <w:r>
        <w:rPr>
          <w:rFonts w:ascii="Arial" w:eastAsiaTheme="minorEastAsia" w:hAnsi="Arial" w:cs="Arial"/>
        </w:rPr>
        <w:t>2018.</w:t>
      </w:r>
    </w:p>
    <w:p w14:paraId="730E8744" w14:textId="77777777" w:rsidR="00871B1D" w:rsidRPr="00B56971" w:rsidRDefault="00871B1D" w:rsidP="00871B1D">
      <w:pPr>
        <w:pStyle w:val="BasicParagraph"/>
        <w:tabs>
          <w:tab w:val="left" w:pos="567"/>
        </w:tabs>
        <w:spacing w:line="240" w:lineRule="auto"/>
        <w:jc w:val="both"/>
        <w:rPr>
          <w:rFonts w:ascii="Arial" w:hAnsi="Arial" w:cs="Arial"/>
          <w:color w:val="auto"/>
          <w:sz w:val="22"/>
          <w:szCs w:val="22"/>
        </w:rPr>
      </w:pPr>
    </w:p>
    <w:p w14:paraId="0F683610" w14:textId="77777777" w:rsidR="00871B1D" w:rsidRDefault="00871B1D" w:rsidP="00871B1D">
      <w:pPr>
        <w:spacing w:after="0" w:line="240" w:lineRule="auto"/>
        <w:jc w:val="both"/>
        <w:rPr>
          <w:rFonts w:ascii="Arial" w:hAnsi="Arial" w:cs="Arial"/>
        </w:rPr>
      </w:pPr>
      <w:r w:rsidRPr="003047BD">
        <w:rPr>
          <w:rFonts w:ascii="Arial" w:hAnsi="Arial" w:cs="Arial"/>
        </w:rPr>
        <w:t>Should you have any queries regarding this or any other matter please do not hesitate to contact me.</w:t>
      </w:r>
    </w:p>
    <w:p w14:paraId="2BEECF1E" w14:textId="77777777" w:rsidR="00871B1D" w:rsidRPr="003047BD" w:rsidRDefault="00871B1D" w:rsidP="00871B1D">
      <w:pPr>
        <w:spacing w:after="0" w:line="240" w:lineRule="auto"/>
        <w:jc w:val="both"/>
        <w:rPr>
          <w:rFonts w:ascii="Arial" w:hAnsi="Arial" w:cs="Arial"/>
        </w:rPr>
      </w:pPr>
    </w:p>
    <w:p w14:paraId="038C7A6F" w14:textId="77777777" w:rsidR="00871B1D" w:rsidRPr="0084655D" w:rsidRDefault="00871B1D" w:rsidP="00871B1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3667"/>
        <w:gridCol w:w="1668"/>
        <w:gridCol w:w="4763"/>
      </w:tblGrid>
      <w:tr w:rsidR="00871B1D" w:rsidRPr="0084655D" w14:paraId="44023F74" w14:textId="77777777" w:rsidTr="00861BB0">
        <w:trPr>
          <w:cantSplit/>
        </w:trPr>
        <w:tc>
          <w:tcPr>
            <w:tcW w:w="5335" w:type="dxa"/>
            <w:gridSpan w:val="2"/>
          </w:tcPr>
          <w:p w14:paraId="3F41A135" w14:textId="6428508C" w:rsidR="00871B1D" w:rsidRPr="009041C6" w:rsidRDefault="00871B1D" w:rsidP="00E92A41">
            <w:pPr>
              <w:spacing w:after="120" w:line="240" w:lineRule="atLeast"/>
              <w:ind w:right="3"/>
              <w:jc w:val="both"/>
              <w:rPr>
                <w:rFonts w:ascii="Arial" w:eastAsia="Times New Roman" w:hAnsi="Arial" w:cs="Arial"/>
              </w:rPr>
            </w:pPr>
            <w:r w:rsidRPr="009041C6">
              <w:rPr>
                <w:rFonts w:ascii="Arial" w:eastAsia="Times New Roman" w:hAnsi="Arial" w:cs="Arial"/>
              </w:rPr>
              <w:t xml:space="preserve">Signed for and on behalf of </w:t>
            </w:r>
            <w:r w:rsidR="00B033F4">
              <w:rPr>
                <w:rFonts w:ascii="Arial" w:eastAsia="Times New Roman" w:hAnsi="Arial" w:cs="Arial"/>
                <w:bCs/>
              </w:rPr>
              <w:t>Department for Transport</w:t>
            </w:r>
          </w:p>
        </w:tc>
        <w:tc>
          <w:tcPr>
            <w:tcW w:w="4763" w:type="dxa"/>
          </w:tcPr>
          <w:p w14:paraId="53D24086" w14:textId="77777777" w:rsidR="00871B1D" w:rsidRPr="009041C6" w:rsidRDefault="00871B1D" w:rsidP="00861BB0">
            <w:pPr>
              <w:spacing w:after="120" w:line="240" w:lineRule="atLeast"/>
              <w:ind w:right="3"/>
              <w:jc w:val="both"/>
              <w:rPr>
                <w:rFonts w:ascii="Arial" w:eastAsia="Times New Roman" w:hAnsi="Arial" w:cs="Arial"/>
              </w:rPr>
            </w:pPr>
          </w:p>
        </w:tc>
      </w:tr>
      <w:tr w:rsidR="00871B1D" w:rsidRPr="0084655D" w14:paraId="3B37D160" w14:textId="77777777" w:rsidTr="00861BB0">
        <w:tc>
          <w:tcPr>
            <w:tcW w:w="3667" w:type="dxa"/>
          </w:tcPr>
          <w:p w14:paraId="254918C3" w14:textId="1BDA0F23" w:rsidR="00871B1D" w:rsidRPr="009041C6" w:rsidRDefault="00871B1D" w:rsidP="00861BB0">
            <w:pPr>
              <w:spacing w:after="120" w:line="240" w:lineRule="atLeast"/>
              <w:ind w:right="3"/>
              <w:rPr>
                <w:rFonts w:ascii="Arial" w:eastAsia="Times New Roman" w:hAnsi="Arial" w:cs="Arial"/>
              </w:rPr>
            </w:pPr>
            <w:r>
              <w:rPr>
                <w:rFonts w:ascii="Arial" w:eastAsia="Times New Roman" w:hAnsi="Arial" w:cs="Arial"/>
              </w:rPr>
              <w:t xml:space="preserve">Name: </w:t>
            </w:r>
            <w:r w:rsidR="008B5393">
              <w:rPr>
                <w:rFonts w:ascii="Arial" w:eastAsia="Times New Roman" w:hAnsi="Arial" w:cs="Arial"/>
                <w:b/>
              </w:rPr>
              <w:t>Redacted</w:t>
            </w:r>
          </w:p>
          <w:p w14:paraId="0047BF98" w14:textId="77777777" w:rsidR="00871B1D" w:rsidRPr="009041C6" w:rsidRDefault="00871B1D" w:rsidP="00861BB0">
            <w:pPr>
              <w:spacing w:after="120" w:line="240" w:lineRule="atLeast"/>
              <w:ind w:right="3"/>
              <w:rPr>
                <w:rFonts w:ascii="Arial" w:eastAsia="Times New Roman" w:hAnsi="Arial" w:cs="Arial"/>
              </w:rPr>
            </w:pPr>
            <w:r>
              <w:rPr>
                <w:rFonts w:ascii="Arial" w:eastAsia="Times New Roman" w:hAnsi="Arial" w:cs="Arial"/>
              </w:rPr>
              <w:lastRenderedPageBreak/>
              <w:t>Category Executive</w:t>
            </w:r>
          </w:p>
        </w:tc>
        <w:tc>
          <w:tcPr>
            <w:tcW w:w="1668" w:type="dxa"/>
          </w:tcPr>
          <w:p w14:paraId="5B8DDA06" w14:textId="77777777" w:rsidR="00871B1D" w:rsidRPr="009041C6" w:rsidRDefault="00871B1D" w:rsidP="00861BB0">
            <w:pPr>
              <w:spacing w:after="120" w:line="240" w:lineRule="atLeast"/>
              <w:ind w:right="3"/>
              <w:rPr>
                <w:rFonts w:ascii="Arial" w:eastAsia="Times New Roman" w:hAnsi="Arial" w:cs="Arial"/>
              </w:rPr>
            </w:pPr>
          </w:p>
        </w:tc>
        <w:tc>
          <w:tcPr>
            <w:tcW w:w="4763" w:type="dxa"/>
          </w:tcPr>
          <w:p w14:paraId="6BF1EDAC" w14:textId="77777777" w:rsidR="00871B1D" w:rsidRPr="009041C6" w:rsidRDefault="00871B1D" w:rsidP="00861BB0">
            <w:pPr>
              <w:spacing w:after="120" w:line="240" w:lineRule="atLeast"/>
              <w:ind w:right="3"/>
              <w:rPr>
                <w:rFonts w:ascii="Arial" w:eastAsia="Times New Roman" w:hAnsi="Arial" w:cs="Arial"/>
              </w:rPr>
            </w:pPr>
          </w:p>
        </w:tc>
      </w:tr>
      <w:tr w:rsidR="00871B1D" w:rsidRPr="0084655D" w14:paraId="4FF10DE8" w14:textId="77777777" w:rsidTr="00861BB0">
        <w:tc>
          <w:tcPr>
            <w:tcW w:w="3667" w:type="dxa"/>
          </w:tcPr>
          <w:p w14:paraId="67682D4F" w14:textId="56D3AC0F" w:rsidR="00871B1D" w:rsidRPr="008B5393" w:rsidRDefault="00871B1D" w:rsidP="00861BB0">
            <w:pPr>
              <w:spacing w:after="120" w:line="240" w:lineRule="atLeast"/>
              <w:ind w:right="3"/>
              <w:jc w:val="both"/>
              <w:rPr>
                <w:rFonts w:ascii="Arial" w:eastAsia="Times New Roman" w:hAnsi="Arial" w:cs="Arial"/>
                <w:b/>
              </w:rPr>
            </w:pPr>
            <w:r w:rsidRPr="0084655D">
              <w:rPr>
                <w:rFonts w:ascii="Arial" w:eastAsia="Times New Roman" w:hAnsi="Arial" w:cs="Arial"/>
              </w:rPr>
              <w:t>Signature:</w:t>
            </w:r>
            <w:r>
              <w:rPr>
                <w:rFonts w:ascii="Arial" w:eastAsia="Times New Roman" w:hAnsi="Arial" w:cs="Arial"/>
              </w:rPr>
              <w:t xml:space="preserve"> </w:t>
            </w:r>
            <w:r w:rsidR="008B5393">
              <w:rPr>
                <w:rFonts w:ascii="Arial" w:eastAsia="Times New Roman" w:hAnsi="Arial" w:cs="Arial"/>
                <w:b/>
                <w:noProof/>
                <w:lang w:eastAsia="en-GB"/>
              </w:rPr>
              <w:t>Redacted</w:t>
            </w:r>
            <w:bookmarkStart w:id="2" w:name="_GoBack"/>
            <w:bookmarkEnd w:id="2"/>
          </w:p>
        </w:tc>
        <w:tc>
          <w:tcPr>
            <w:tcW w:w="1668" w:type="dxa"/>
          </w:tcPr>
          <w:p w14:paraId="229F1CF2" w14:textId="77777777" w:rsidR="00871B1D" w:rsidRPr="0084655D" w:rsidRDefault="00871B1D" w:rsidP="00861BB0">
            <w:pPr>
              <w:spacing w:after="120" w:line="240" w:lineRule="atLeast"/>
              <w:ind w:right="3"/>
              <w:jc w:val="both"/>
              <w:rPr>
                <w:rFonts w:ascii="Arial" w:eastAsia="Times New Roman" w:hAnsi="Arial" w:cs="Arial"/>
              </w:rPr>
            </w:pPr>
          </w:p>
        </w:tc>
        <w:tc>
          <w:tcPr>
            <w:tcW w:w="4763" w:type="dxa"/>
          </w:tcPr>
          <w:p w14:paraId="4D26434F" w14:textId="77777777" w:rsidR="00871B1D" w:rsidRPr="0084655D" w:rsidRDefault="00871B1D" w:rsidP="00861BB0">
            <w:pPr>
              <w:spacing w:after="120" w:line="240" w:lineRule="atLeast"/>
              <w:ind w:right="3"/>
              <w:jc w:val="both"/>
              <w:rPr>
                <w:rFonts w:ascii="Arial" w:eastAsia="Times New Roman" w:hAnsi="Arial" w:cs="Arial"/>
              </w:rPr>
            </w:pPr>
          </w:p>
        </w:tc>
      </w:tr>
      <w:tr w:rsidR="00871B1D" w:rsidRPr="0084655D" w14:paraId="37D13E8B" w14:textId="77777777" w:rsidTr="00861BB0">
        <w:tc>
          <w:tcPr>
            <w:tcW w:w="3667" w:type="dxa"/>
          </w:tcPr>
          <w:p w14:paraId="6DAF5FCF" w14:textId="2B364625" w:rsidR="00871B1D" w:rsidRPr="0084655D" w:rsidRDefault="00871B1D" w:rsidP="00924438">
            <w:pPr>
              <w:spacing w:after="120" w:line="240" w:lineRule="atLeast"/>
              <w:ind w:right="6"/>
              <w:jc w:val="both"/>
              <w:rPr>
                <w:rFonts w:ascii="Arial" w:eastAsia="Times New Roman" w:hAnsi="Arial" w:cs="Arial"/>
              </w:rPr>
            </w:pPr>
            <w:r w:rsidRPr="0084655D">
              <w:rPr>
                <w:rFonts w:ascii="Arial" w:eastAsia="Times New Roman" w:hAnsi="Arial" w:cs="Arial"/>
              </w:rPr>
              <w:t>Date:</w:t>
            </w:r>
            <w:r>
              <w:rPr>
                <w:rFonts w:ascii="Arial" w:eastAsia="Times New Roman" w:hAnsi="Arial" w:cs="Arial"/>
              </w:rPr>
              <w:t xml:space="preserve"> </w:t>
            </w:r>
            <w:r w:rsidR="0043765B">
              <w:rPr>
                <w:rFonts w:ascii="Arial" w:eastAsia="Times New Roman" w:hAnsi="Arial" w:cs="Arial"/>
              </w:rPr>
              <w:t>25</w:t>
            </w:r>
            <w:r w:rsidR="00924438">
              <w:rPr>
                <w:rFonts w:ascii="Arial" w:eastAsia="Times New Roman" w:hAnsi="Arial" w:cs="Arial"/>
              </w:rPr>
              <w:t>th May</w:t>
            </w:r>
            <w:r>
              <w:rPr>
                <w:rFonts w:ascii="Arial" w:eastAsia="Times New Roman" w:hAnsi="Arial" w:cs="Arial"/>
              </w:rPr>
              <w:t xml:space="preserve"> 2018</w:t>
            </w:r>
          </w:p>
        </w:tc>
        <w:tc>
          <w:tcPr>
            <w:tcW w:w="1668" w:type="dxa"/>
          </w:tcPr>
          <w:p w14:paraId="7BFB82EE" w14:textId="77777777" w:rsidR="00871B1D" w:rsidRPr="0084655D" w:rsidRDefault="00871B1D" w:rsidP="00861BB0">
            <w:pPr>
              <w:spacing w:after="120" w:line="240" w:lineRule="atLeast"/>
              <w:ind w:right="3"/>
              <w:jc w:val="both"/>
              <w:rPr>
                <w:rFonts w:ascii="Arial" w:eastAsia="Times New Roman" w:hAnsi="Arial" w:cs="Arial"/>
              </w:rPr>
            </w:pPr>
          </w:p>
        </w:tc>
        <w:tc>
          <w:tcPr>
            <w:tcW w:w="4763" w:type="dxa"/>
          </w:tcPr>
          <w:p w14:paraId="7ADAD2AD" w14:textId="77777777" w:rsidR="00871B1D" w:rsidRPr="0084655D" w:rsidRDefault="00871B1D" w:rsidP="00861BB0">
            <w:pPr>
              <w:spacing w:after="120" w:line="240" w:lineRule="atLeast"/>
              <w:ind w:right="3"/>
              <w:jc w:val="both"/>
              <w:rPr>
                <w:rFonts w:ascii="Arial" w:eastAsia="Times New Roman" w:hAnsi="Arial" w:cs="Arial"/>
              </w:rPr>
            </w:pPr>
          </w:p>
        </w:tc>
      </w:tr>
    </w:tbl>
    <w:p w14:paraId="7441A1BE" w14:textId="5A1BEAF0" w:rsidR="00D47985" w:rsidRDefault="00A42E95">
      <w:r>
        <w:t>Appendix 1:</w:t>
      </w:r>
    </w:p>
    <w:tbl>
      <w:tblPr>
        <w:tblStyle w:val="TableGrid"/>
        <w:tblW w:w="0" w:type="auto"/>
        <w:tblLook w:val="04A0" w:firstRow="1" w:lastRow="0" w:firstColumn="1" w:lastColumn="0" w:noHBand="0" w:noVBand="1"/>
      </w:tblPr>
      <w:tblGrid>
        <w:gridCol w:w="1041"/>
        <w:gridCol w:w="3839"/>
        <w:gridCol w:w="907"/>
        <w:gridCol w:w="2543"/>
        <w:gridCol w:w="1866"/>
      </w:tblGrid>
      <w:tr w:rsidR="00141D3E" w:rsidRPr="006449F5" w14:paraId="3A14AC1A" w14:textId="77777777" w:rsidTr="005C77EA">
        <w:tc>
          <w:tcPr>
            <w:tcW w:w="1041" w:type="dxa"/>
            <w:shd w:val="clear" w:color="auto" w:fill="ACB9CA" w:themeFill="text2" w:themeFillTint="66"/>
            <w:vAlign w:val="center"/>
          </w:tcPr>
          <w:p w14:paraId="19FCCD62" w14:textId="77777777" w:rsidR="00141D3E" w:rsidRPr="005C77EA" w:rsidRDefault="00141D3E" w:rsidP="006E495D">
            <w:pPr>
              <w:jc w:val="center"/>
              <w:rPr>
                <w:rFonts w:ascii="Arial" w:hAnsi="Arial" w:cs="Arial"/>
              </w:rPr>
            </w:pPr>
            <w:r w:rsidRPr="005C77EA">
              <w:rPr>
                <w:rFonts w:ascii="Arial" w:hAnsi="Arial" w:cs="Arial"/>
              </w:rPr>
              <w:t>Number</w:t>
            </w:r>
          </w:p>
        </w:tc>
        <w:tc>
          <w:tcPr>
            <w:tcW w:w="3839" w:type="dxa"/>
            <w:shd w:val="clear" w:color="auto" w:fill="ACB9CA" w:themeFill="text2" w:themeFillTint="66"/>
            <w:vAlign w:val="center"/>
          </w:tcPr>
          <w:p w14:paraId="125FEF56" w14:textId="77777777" w:rsidR="00141D3E" w:rsidRPr="005C77EA" w:rsidRDefault="00141D3E" w:rsidP="006E495D">
            <w:pPr>
              <w:jc w:val="center"/>
              <w:rPr>
                <w:rFonts w:ascii="Arial" w:hAnsi="Arial" w:cs="Arial"/>
              </w:rPr>
            </w:pPr>
            <w:r w:rsidRPr="005C77EA">
              <w:rPr>
                <w:rFonts w:ascii="Arial" w:hAnsi="Arial" w:cs="Arial"/>
              </w:rPr>
              <w:t>Question</w:t>
            </w:r>
          </w:p>
        </w:tc>
        <w:tc>
          <w:tcPr>
            <w:tcW w:w="907" w:type="dxa"/>
            <w:shd w:val="clear" w:color="auto" w:fill="ACB9CA" w:themeFill="text2" w:themeFillTint="66"/>
            <w:vAlign w:val="center"/>
          </w:tcPr>
          <w:p w14:paraId="056D7BB4" w14:textId="77777777" w:rsidR="00141D3E" w:rsidRPr="005C77EA" w:rsidRDefault="00141D3E" w:rsidP="006E495D">
            <w:pPr>
              <w:jc w:val="center"/>
              <w:rPr>
                <w:rFonts w:ascii="Arial" w:hAnsi="Arial" w:cs="Arial"/>
              </w:rPr>
            </w:pPr>
            <w:r w:rsidRPr="005C77EA">
              <w:rPr>
                <w:rFonts w:ascii="Arial" w:hAnsi="Arial" w:cs="Arial"/>
              </w:rPr>
              <w:t>Score (out of 100)</w:t>
            </w:r>
          </w:p>
        </w:tc>
        <w:tc>
          <w:tcPr>
            <w:tcW w:w="4409" w:type="dxa"/>
            <w:gridSpan w:val="2"/>
            <w:shd w:val="clear" w:color="auto" w:fill="ACB9CA" w:themeFill="text2" w:themeFillTint="66"/>
            <w:vAlign w:val="center"/>
          </w:tcPr>
          <w:p w14:paraId="542F6A7A" w14:textId="77777777" w:rsidR="00141D3E" w:rsidRPr="005C77EA" w:rsidRDefault="00141D3E" w:rsidP="006E495D">
            <w:pPr>
              <w:jc w:val="center"/>
              <w:rPr>
                <w:rFonts w:ascii="Arial" w:hAnsi="Arial" w:cs="Arial"/>
              </w:rPr>
            </w:pPr>
            <w:r w:rsidRPr="005C77EA">
              <w:rPr>
                <w:rFonts w:ascii="Arial" w:hAnsi="Arial" w:cs="Arial"/>
              </w:rPr>
              <w:t>Evaluators’ Feedback</w:t>
            </w:r>
          </w:p>
        </w:tc>
      </w:tr>
      <w:tr w:rsidR="00141D3E" w:rsidRPr="006449F5" w14:paraId="3038ADE5" w14:textId="77777777" w:rsidTr="005C77EA">
        <w:trPr>
          <w:trHeight w:val="378"/>
        </w:trPr>
        <w:tc>
          <w:tcPr>
            <w:tcW w:w="8330" w:type="dxa"/>
            <w:gridSpan w:val="4"/>
            <w:shd w:val="clear" w:color="auto" w:fill="D5DCE4" w:themeFill="text2" w:themeFillTint="33"/>
            <w:vAlign w:val="center"/>
          </w:tcPr>
          <w:p w14:paraId="461B3CDC" w14:textId="77777777" w:rsidR="00141D3E" w:rsidRPr="005C77EA" w:rsidRDefault="00141D3E" w:rsidP="006E495D">
            <w:pPr>
              <w:rPr>
                <w:rFonts w:ascii="Arial" w:hAnsi="Arial" w:cs="Arial"/>
              </w:rPr>
            </w:pPr>
            <w:r w:rsidRPr="005C77EA">
              <w:rPr>
                <w:rFonts w:ascii="Arial" w:hAnsi="Arial" w:cs="Arial"/>
              </w:rPr>
              <w:t>4.0 – Methodology</w:t>
            </w:r>
          </w:p>
        </w:tc>
        <w:tc>
          <w:tcPr>
            <w:tcW w:w="1866" w:type="dxa"/>
            <w:shd w:val="clear" w:color="auto" w:fill="D5DCE4" w:themeFill="text2" w:themeFillTint="33"/>
            <w:vAlign w:val="center"/>
          </w:tcPr>
          <w:p w14:paraId="1DFA8E7A" w14:textId="77777777" w:rsidR="00141D3E" w:rsidRPr="005C77EA" w:rsidRDefault="00141D3E" w:rsidP="006E495D">
            <w:pPr>
              <w:rPr>
                <w:rFonts w:ascii="Arial" w:hAnsi="Arial" w:cs="Arial"/>
                <w:highlight w:val="yellow"/>
              </w:rPr>
            </w:pPr>
            <w:r w:rsidRPr="005C77EA">
              <w:rPr>
                <w:rFonts w:ascii="Arial" w:hAnsi="Arial" w:cs="Arial"/>
              </w:rPr>
              <w:t>WEIGHTING 30%</w:t>
            </w:r>
          </w:p>
        </w:tc>
      </w:tr>
      <w:tr w:rsidR="00141D3E" w:rsidRPr="006449F5" w14:paraId="600E0B6F" w14:textId="77777777" w:rsidTr="005C77EA">
        <w:tc>
          <w:tcPr>
            <w:tcW w:w="1041" w:type="dxa"/>
          </w:tcPr>
          <w:p w14:paraId="0974004A" w14:textId="77777777" w:rsidR="00141D3E" w:rsidRPr="005C77EA" w:rsidRDefault="00141D3E" w:rsidP="006E495D">
            <w:pPr>
              <w:jc w:val="center"/>
              <w:rPr>
                <w:rFonts w:ascii="Arial" w:hAnsi="Arial" w:cs="Arial"/>
              </w:rPr>
            </w:pPr>
            <w:r w:rsidRPr="005C77EA">
              <w:rPr>
                <w:rFonts w:ascii="Arial" w:hAnsi="Arial" w:cs="Arial"/>
              </w:rPr>
              <w:t>4.1</w:t>
            </w:r>
          </w:p>
        </w:tc>
        <w:tc>
          <w:tcPr>
            <w:tcW w:w="3839" w:type="dxa"/>
          </w:tcPr>
          <w:p w14:paraId="423BBF0B" w14:textId="77777777" w:rsidR="00141D3E" w:rsidRPr="005C77EA" w:rsidRDefault="00141D3E" w:rsidP="006E495D">
            <w:pPr>
              <w:rPr>
                <w:rFonts w:ascii="Arial" w:hAnsi="Arial" w:cs="Arial"/>
              </w:rPr>
            </w:pPr>
            <w:r w:rsidRPr="005C77EA">
              <w:rPr>
                <w:rFonts w:ascii="Arial" w:hAnsi="Arial" w:cs="Arial"/>
              </w:rPr>
              <w:t>Potential Providers are required to demonstrate that they understand the role of the Department’s Section 30 team and how a financial adviser can add value to this team.</w:t>
            </w:r>
          </w:p>
          <w:p w14:paraId="091CF0A0" w14:textId="77777777" w:rsidR="00141D3E" w:rsidRPr="005C77EA" w:rsidRDefault="00141D3E" w:rsidP="006E495D">
            <w:pPr>
              <w:rPr>
                <w:rFonts w:ascii="Arial" w:hAnsi="Arial" w:cs="Arial"/>
              </w:rPr>
            </w:pPr>
            <w:r w:rsidRPr="005C77EA">
              <w:rPr>
                <w:rFonts w:ascii="Arial" w:hAnsi="Arial" w:cs="Arial"/>
              </w:rPr>
              <w:t>Potential Providers are required to demonstrate that they understand the obligations the Department has in the event of a rail franchise failure and the role of the OLR in delivering those obligations.</w:t>
            </w:r>
          </w:p>
          <w:p w14:paraId="3647E59E" w14:textId="77777777" w:rsidR="00141D3E" w:rsidRPr="005C77EA" w:rsidRDefault="00141D3E" w:rsidP="006E495D">
            <w:pPr>
              <w:rPr>
                <w:rFonts w:ascii="Arial" w:hAnsi="Arial" w:cs="Arial"/>
              </w:rPr>
            </w:pPr>
            <w:r w:rsidRPr="005C77EA">
              <w:rPr>
                <w:rFonts w:ascii="Arial" w:hAnsi="Arial" w:cs="Arial"/>
              </w:rPr>
              <w:t>Potential Providers are required to demonstrate that they understand the risks to the Department and the sensitivities inherent in the Direct Award programme and the role that the new Provider will perform in mitigating these risks.</w:t>
            </w:r>
          </w:p>
          <w:p w14:paraId="7F40C0C7" w14:textId="77777777" w:rsidR="00141D3E" w:rsidRPr="005C77EA" w:rsidRDefault="00141D3E" w:rsidP="006E495D">
            <w:pPr>
              <w:rPr>
                <w:rFonts w:ascii="Arial" w:hAnsi="Arial" w:cs="Arial"/>
              </w:rPr>
            </w:pPr>
            <w:r w:rsidRPr="005C77EA">
              <w:rPr>
                <w:rFonts w:ascii="Arial" w:hAnsi="Arial" w:cs="Arial"/>
              </w:rPr>
              <w:t>Potential Providers are required to provide a proposed handover plan from the existing supplier that demonstrates how they will ensure a smooth transition.</w:t>
            </w:r>
          </w:p>
          <w:p w14:paraId="72307F16" w14:textId="77777777" w:rsidR="00141D3E" w:rsidRPr="005C77EA" w:rsidRDefault="00141D3E" w:rsidP="006E495D">
            <w:pPr>
              <w:rPr>
                <w:rFonts w:ascii="Arial" w:hAnsi="Arial" w:cs="Arial"/>
                <w:highlight w:val="yellow"/>
              </w:rPr>
            </w:pPr>
            <w:r w:rsidRPr="005C77EA">
              <w:rPr>
                <w:rFonts w:ascii="Arial" w:hAnsi="Arial" w:cs="Arial"/>
              </w:rPr>
              <w:t>Potential Providers are required to provide evidence that they understand the sensitivities and confidentiality issues of carrying out such an exercise, albeit that this is permissible under the Franchise Agreements with TOCs.</w:t>
            </w:r>
          </w:p>
        </w:tc>
        <w:tc>
          <w:tcPr>
            <w:tcW w:w="907" w:type="dxa"/>
          </w:tcPr>
          <w:p w14:paraId="4988654E" w14:textId="77777777" w:rsidR="00141D3E" w:rsidRPr="005C77EA" w:rsidRDefault="00141D3E" w:rsidP="006E495D">
            <w:pPr>
              <w:rPr>
                <w:rFonts w:ascii="Arial" w:hAnsi="Arial" w:cs="Arial"/>
              </w:rPr>
            </w:pPr>
            <w:r w:rsidRPr="005C77EA">
              <w:rPr>
                <w:rFonts w:ascii="Arial" w:hAnsi="Arial" w:cs="Arial"/>
              </w:rPr>
              <w:t>75</w:t>
            </w:r>
          </w:p>
        </w:tc>
        <w:tc>
          <w:tcPr>
            <w:tcW w:w="4409" w:type="dxa"/>
            <w:gridSpan w:val="2"/>
          </w:tcPr>
          <w:p w14:paraId="10A333FC" w14:textId="77777777" w:rsidR="00141D3E" w:rsidRPr="005C77EA" w:rsidRDefault="00141D3E" w:rsidP="006E495D">
            <w:pPr>
              <w:rPr>
                <w:rFonts w:ascii="Arial" w:hAnsi="Arial" w:cs="Arial"/>
                <w:highlight w:val="yellow"/>
              </w:rPr>
            </w:pPr>
            <w:r w:rsidRPr="005C77EA">
              <w:rPr>
                <w:rFonts w:ascii="Arial" w:hAnsi="Arial" w:cs="Arial"/>
              </w:rPr>
              <w:t>This response demonstrated a good understanding of the requirement and that they understand the role of the Section 30 team and how the financial advisor would add value.  Note the need for collaborative working and have industry and HMG experience. Excellent points on training and upskilling further their own staff.</w:t>
            </w:r>
          </w:p>
        </w:tc>
      </w:tr>
      <w:tr w:rsidR="00141D3E" w:rsidRPr="006449F5" w14:paraId="3B38E6B5" w14:textId="77777777" w:rsidTr="005C77EA">
        <w:tc>
          <w:tcPr>
            <w:tcW w:w="1041" w:type="dxa"/>
          </w:tcPr>
          <w:p w14:paraId="15D986B5" w14:textId="77777777" w:rsidR="00141D3E" w:rsidRPr="005C77EA" w:rsidRDefault="00141D3E" w:rsidP="006E495D">
            <w:pPr>
              <w:jc w:val="center"/>
              <w:rPr>
                <w:rFonts w:ascii="Arial" w:hAnsi="Arial" w:cs="Arial"/>
              </w:rPr>
            </w:pPr>
            <w:r w:rsidRPr="005C77EA">
              <w:rPr>
                <w:rFonts w:ascii="Arial" w:hAnsi="Arial" w:cs="Arial"/>
              </w:rPr>
              <w:t>4.2</w:t>
            </w:r>
          </w:p>
        </w:tc>
        <w:tc>
          <w:tcPr>
            <w:tcW w:w="3839" w:type="dxa"/>
          </w:tcPr>
          <w:p w14:paraId="55117803" w14:textId="77777777" w:rsidR="00141D3E" w:rsidRPr="005C77EA" w:rsidRDefault="00141D3E" w:rsidP="006E495D">
            <w:pPr>
              <w:rPr>
                <w:rFonts w:ascii="Arial" w:hAnsi="Arial" w:cs="Arial"/>
              </w:rPr>
            </w:pPr>
            <w:r w:rsidRPr="005C77EA">
              <w:rPr>
                <w:rFonts w:ascii="Arial" w:hAnsi="Arial" w:cs="Arial"/>
              </w:rPr>
              <w:t xml:space="preserve">Potential Providers are required to provide evidence to demonstrate that they have the capacity to procure a team at 2 weeks’ notice without having any adverse impact on other </w:t>
            </w:r>
            <w:proofErr w:type="spellStart"/>
            <w:r w:rsidRPr="005C77EA">
              <w:rPr>
                <w:rFonts w:ascii="Arial" w:hAnsi="Arial" w:cs="Arial"/>
              </w:rPr>
              <w:lastRenderedPageBreak/>
              <w:t>DfT</w:t>
            </w:r>
            <w:proofErr w:type="spellEnd"/>
            <w:r w:rsidRPr="005C77EA">
              <w:rPr>
                <w:rFonts w:ascii="Arial" w:hAnsi="Arial" w:cs="Arial"/>
              </w:rPr>
              <w:t xml:space="preserve"> engagements or projects that the bidder is engaged on.</w:t>
            </w:r>
          </w:p>
          <w:p w14:paraId="1A35F604" w14:textId="77777777" w:rsidR="00141D3E" w:rsidRPr="005C77EA" w:rsidRDefault="00141D3E" w:rsidP="006E495D">
            <w:pPr>
              <w:rPr>
                <w:rFonts w:ascii="Arial" w:hAnsi="Arial" w:cs="Arial"/>
              </w:rPr>
            </w:pPr>
            <w:r w:rsidRPr="005C77EA">
              <w:rPr>
                <w:rFonts w:ascii="Arial" w:hAnsi="Arial" w:cs="Arial"/>
              </w:rPr>
              <w:t>Potential Providers are required provide proposals that set out how they would approach the creation and deployment of this team, including:</w:t>
            </w:r>
          </w:p>
          <w:p w14:paraId="232BB2A6" w14:textId="77777777" w:rsidR="00141D3E" w:rsidRPr="005C77EA" w:rsidRDefault="00141D3E" w:rsidP="00141D3E">
            <w:pPr>
              <w:pStyle w:val="ListParagraph"/>
              <w:numPr>
                <w:ilvl w:val="0"/>
                <w:numId w:val="8"/>
              </w:numPr>
              <w:overflowPunct w:val="0"/>
              <w:autoSpaceDE w:val="0"/>
              <w:autoSpaceDN w:val="0"/>
              <w:adjustRightInd w:val="0"/>
              <w:spacing w:before="120" w:after="120"/>
              <w:contextualSpacing w:val="0"/>
              <w:jc w:val="both"/>
              <w:textAlignment w:val="baseline"/>
              <w:rPr>
                <w:rFonts w:ascii="Arial" w:hAnsi="Arial" w:cs="Arial"/>
              </w:rPr>
            </w:pPr>
            <w:r w:rsidRPr="005C77EA">
              <w:rPr>
                <w:rFonts w:ascii="Arial" w:hAnsi="Arial" w:cs="Arial"/>
              </w:rPr>
              <w:t>Full team mobilisation proposals (i.e. where the advisers need to provide experts for all areas in scope).</w:t>
            </w:r>
          </w:p>
          <w:p w14:paraId="5E7150D0" w14:textId="77777777" w:rsidR="00141D3E" w:rsidRPr="005C77EA" w:rsidRDefault="00141D3E" w:rsidP="00141D3E">
            <w:pPr>
              <w:pStyle w:val="ListParagraph"/>
              <w:numPr>
                <w:ilvl w:val="0"/>
                <w:numId w:val="8"/>
              </w:numPr>
              <w:overflowPunct w:val="0"/>
              <w:autoSpaceDE w:val="0"/>
              <w:autoSpaceDN w:val="0"/>
              <w:adjustRightInd w:val="0"/>
              <w:spacing w:before="120" w:after="120"/>
              <w:contextualSpacing w:val="0"/>
              <w:jc w:val="both"/>
              <w:textAlignment w:val="baseline"/>
              <w:rPr>
                <w:rFonts w:ascii="Arial" w:hAnsi="Arial" w:cs="Arial"/>
              </w:rPr>
            </w:pPr>
            <w:r w:rsidRPr="005C77EA">
              <w:rPr>
                <w:rFonts w:ascii="Arial" w:hAnsi="Arial" w:cs="Arial"/>
              </w:rPr>
              <w:t xml:space="preserve">How they would work collaboratively with various </w:t>
            </w:r>
            <w:proofErr w:type="spellStart"/>
            <w:r w:rsidRPr="005C77EA">
              <w:rPr>
                <w:rFonts w:ascii="Arial" w:hAnsi="Arial" w:cs="Arial"/>
              </w:rPr>
              <w:t>DfT</w:t>
            </w:r>
            <w:proofErr w:type="spellEnd"/>
            <w:r w:rsidRPr="005C77EA">
              <w:rPr>
                <w:rFonts w:ascii="Arial" w:hAnsi="Arial" w:cs="Arial"/>
              </w:rPr>
              <w:t xml:space="preserve"> internal teams, Technical Advisers and Legal Advisers to create and lead a full mobilisation team.</w:t>
            </w:r>
          </w:p>
          <w:p w14:paraId="3C36127B" w14:textId="77777777" w:rsidR="00141D3E" w:rsidRPr="005C77EA" w:rsidRDefault="00141D3E" w:rsidP="006E495D">
            <w:pPr>
              <w:rPr>
                <w:rFonts w:ascii="Arial" w:hAnsi="Arial" w:cs="Arial"/>
                <w:highlight w:val="yellow"/>
              </w:rPr>
            </w:pPr>
            <w:r w:rsidRPr="005C77EA">
              <w:rPr>
                <w:rFonts w:ascii="Arial" w:hAnsi="Arial" w:cs="Arial"/>
              </w:rPr>
              <w:t xml:space="preserve">How they would deploy staff into specific roles to fill gaps in any mobilisation team that might already exist (for example, where a mobilisation or procurement has failed and </w:t>
            </w:r>
            <w:proofErr w:type="spellStart"/>
            <w:r w:rsidRPr="005C77EA">
              <w:rPr>
                <w:rFonts w:ascii="Arial" w:hAnsi="Arial" w:cs="Arial"/>
              </w:rPr>
              <w:t>DfT</w:t>
            </w:r>
            <w:proofErr w:type="spellEnd"/>
            <w:r w:rsidRPr="005C77EA">
              <w:rPr>
                <w:rFonts w:ascii="Arial" w:hAnsi="Arial" w:cs="Arial"/>
              </w:rPr>
              <w:t xml:space="preserve"> already has partial teams in place to mobilise a Section 30).</w:t>
            </w:r>
          </w:p>
        </w:tc>
        <w:tc>
          <w:tcPr>
            <w:tcW w:w="907" w:type="dxa"/>
          </w:tcPr>
          <w:p w14:paraId="016FC723" w14:textId="77777777" w:rsidR="00141D3E" w:rsidRPr="005C77EA" w:rsidRDefault="00141D3E" w:rsidP="006E495D">
            <w:pPr>
              <w:rPr>
                <w:rFonts w:ascii="Arial" w:hAnsi="Arial" w:cs="Arial"/>
              </w:rPr>
            </w:pPr>
            <w:r w:rsidRPr="005C77EA">
              <w:rPr>
                <w:rFonts w:ascii="Arial" w:hAnsi="Arial" w:cs="Arial"/>
              </w:rPr>
              <w:lastRenderedPageBreak/>
              <w:t>75</w:t>
            </w:r>
          </w:p>
        </w:tc>
        <w:tc>
          <w:tcPr>
            <w:tcW w:w="4409" w:type="dxa"/>
            <w:gridSpan w:val="2"/>
          </w:tcPr>
          <w:p w14:paraId="38374403" w14:textId="77777777" w:rsidR="00141D3E" w:rsidRPr="005C77EA" w:rsidRDefault="00141D3E" w:rsidP="006E495D">
            <w:pPr>
              <w:rPr>
                <w:rFonts w:ascii="Arial" w:hAnsi="Arial" w:cs="Arial"/>
                <w:highlight w:val="yellow"/>
              </w:rPr>
            </w:pPr>
            <w:r w:rsidRPr="005C77EA">
              <w:rPr>
                <w:rFonts w:ascii="Arial" w:hAnsi="Arial" w:cs="Arial"/>
              </w:rPr>
              <w:t xml:space="preserve">This is again a good response in which the bidder has provided comprehensive and strong evidence that they have the capacity to deploy a team within 14 days. The evidence is also relevant to recent section 30 projects which, as the </w:t>
            </w:r>
            <w:r w:rsidRPr="005C77EA">
              <w:rPr>
                <w:rFonts w:ascii="Arial" w:hAnsi="Arial" w:cs="Arial"/>
              </w:rPr>
              <w:lastRenderedPageBreak/>
              <w:t xml:space="preserve">incumbent, they have been involved in. A good approach for embedding staff in the </w:t>
            </w:r>
            <w:proofErr w:type="spellStart"/>
            <w:r w:rsidRPr="005C77EA">
              <w:rPr>
                <w:rFonts w:ascii="Arial" w:hAnsi="Arial" w:cs="Arial"/>
              </w:rPr>
              <w:t>DfT</w:t>
            </w:r>
            <w:proofErr w:type="spellEnd"/>
            <w:r w:rsidRPr="005C77EA">
              <w:rPr>
                <w:rFonts w:ascii="Arial" w:hAnsi="Arial" w:cs="Arial"/>
              </w:rPr>
              <w:t xml:space="preserve"> team. Clear and detailed on process, but could have gone further on how to secure great outcomes and add value via this process.</w:t>
            </w:r>
          </w:p>
        </w:tc>
      </w:tr>
      <w:tr w:rsidR="00141D3E" w:rsidRPr="006449F5" w14:paraId="17E5E5EF" w14:textId="77777777" w:rsidTr="005C77EA">
        <w:tc>
          <w:tcPr>
            <w:tcW w:w="1041" w:type="dxa"/>
          </w:tcPr>
          <w:p w14:paraId="10F774DD" w14:textId="77777777" w:rsidR="00141D3E" w:rsidRPr="005C77EA" w:rsidRDefault="00141D3E" w:rsidP="006E495D">
            <w:pPr>
              <w:jc w:val="center"/>
              <w:rPr>
                <w:rFonts w:ascii="Arial" w:hAnsi="Arial" w:cs="Arial"/>
              </w:rPr>
            </w:pPr>
            <w:r w:rsidRPr="005C77EA">
              <w:rPr>
                <w:rFonts w:ascii="Arial" w:hAnsi="Arial" w:cs="Arial"/>
              </w:rPr>
              <w:lastRenderedPageBreak/>
              <w:t>4.3</w:t>
            </w:r>
          </w:p>
        </w:tc>
        <w:tc>
          <w:tcPr>
            <w:tcW w:w="3839" w:type="dxa"/>
          </w:tcPr>
          <w:p w14:paraId="004B043A" w14:textId="77777777" w:rsidR="00141D3E" w:rsidRPr="005C77EA" w:rsidRDefault="00141D3E" w:rsidP="006E495D">
            <w:pPr>
              <w:rPr>
                <w:rFonts w:ascii="Arial" w:hAnsi="Arial" w:cs="Arial"/>
                <w:highlight w:val="yellow"/>
              </w:rPr>
            </w:pPr>
            <w:r w:rsidRPr="005C77EA">
              <w:rPr>
                <w:rFonts w:ascii="Arial" w:hAnsi="Arial" w:cs="Arial"/>
              </w:rPr>
              <w:t xml:space="preserve">Potential Providers are required to provide their approach for supporting preparation for and attending the quarterly finance review meetings and any associated financial monitoring of TOC financial health as prompted by these meetings. </w:t>
            </w:r>
          </w:p>
        </w:tc>
        <w:tc>
          <w:tcPr>
            <w:tcW w:w="907" w:type="dxa"/>
          </w:tcPr>
          <w:p w14:paraId="58EDD28D" w14:textId="77777777" w:rsidR="00141D3E" w:rsidRPr="005C77EA" w:rsidRDefault="00141D3E" w:rsidP="006E495D">
            <w:pPr>
              <w:rPr>
                <w:rFonts w:ascii="Arial" w:hAnsi="Arial" w:cs="Arial"/>
                <w:highlight w:val="yellow"/>
              </w:rPr>
            </w:pPr>
            <w:r w:rsidRPr="005C77EA">
              <w:rPr>
                <w:rFonts w:ascii="Arial" w:hAnsi="Arial" w:cs="Arial"/>
              </w:rPr>
              <w:t>75</w:t>
            </w:r>
          </w:p>
        </w:tc>
        <w:tc>
          <w:tcPr>
            <w:tcW w:w="4409" w:type="dxa"/>
            <w:gridSpan w:val="2"/>
          </w:tcPr>
          <w:p w14:paraId="36B34EE1" w14:textId="2B8CA007" w:rsidR="00141D3E" w:rsidRPr="005C77EA" w:rsidRDefault="00141D3E" w:rsidP="006E495D">
            <w:pPr>
              <w:rPr>
                <w:rFonts w:ascii="Arial" w:hAnsi="Arial" w:cs="Arial"/>
                <w:highlight w:val="yellow"/>
              </w:rPr>
            </w:pPr>
            <w:r w:rsidRPr="005C77EA">
              <w:rPr>
                <w:rFonts w:ascii="Arial" w:hAnsi="Arial" w:cs="Arial"/>
              </w:rPr>
              <w:t>This response demonstrated a good understanding and the approach set out by the bidder here is excellent and exactly what was asked for in the ITT. They are the incumbent so this is not to be unexpected. However</w:t>
            </w:r>
            <w:r w:rsidR="00013636">
              <w:rPr>
                <w:rFonts w:ascii="Arial" w:hAnsi="Arial" w:cs="Arial"/>
              </w:rPr>
              <w:t>, for full marks</w:t>
            </w:r>
            <w:r w:rsidRPr="005C77EA">
              <w:rPr>
                <w:rFonts w:ascii="Arial" w:hAnsi="Arial" w:cs="Arial"/>
              </w:rPr>
              <w:t xml:space="preserve"> more could have been said on any new ideas to add value to the internally generated reports</w:t>
            </w:r>
            <w:r w:rsidR="00013636">
              <w:rPr>
                <w:rFonts w:ascii="Arial" w:hAnsi="Arial" w:cs="Arial"/>
              </w:rPr>
              <w:t xml:space="preserve"> and/or further detail provided</w:t>
            </w:r>
            <w:r w:rsidRPr="005C77EA">
              <w:rPr>
                <w:rFonts w:ascii="Arial" w:hAnsi="Arial" w:cs="Arial"/>
              </w:rPr>
              <w:t>.</w:t>
            </w:r>
          </w:p>
        </w:tc>
      </w:tr>
      <w:tr w:rsidR="00141D3E" w:rsidRPr="006449F5" w14:paraId="15124928" w14:textId="77777777" w:rsidTr="005C77EA">
        <w:trPr>
          <w:trHeight w:val="435"/>
        </w:trPr>
        <w:tc>
          <w:tcPr>
            <w:tcW w:w="4880" w:type="dxa"/>
            <w:gridSpan w:val="2"/>
          </w:tcPr>
          <w:p w14:paraId="69B2AD48" w14:textId="77777777" w:rsidR="00141D3E" w:rsidRPr="005C77EA" w:rsidRDefault="00141D3E" w:rsidP="006E495D">
            <w:pPr>
              <w:rPr>
                <w:rFonts w:ascii="Arial" w:hAnsi="Arial" w:cs="Arial"/>
              </w:rPr>
            </w:pPr>
            <w:r w:rsidRPr="005C77EA">
              <w:rPr>
                <w:rFonts w:ascii="Arial" w:hAnsi="Arial" w:cs="Arial"/>
              </w:rPr>
              <w:t>Total Questionnaire Weighted Score</w:t>
            </w:r>
          </w:p>
        </w:tc>
        <w:tc>
          <w:tcPr>
            <w:tcW w:w="907" w:type="dxa"/>
          </w:tcPr>
          <w:p w14:paraId="06AE8A7C" w14:textId="77777777" w:rsidR="00141D3E" w:rsidRPr="005C77EA" w:rsidRDefault="00141D3E" w:rsidP="006E495D">
            <w:pPr>
              <w:rPr>
                <w:rFonts w:ascii="Arial" w:hAnsi="Arial" w:cs="Arial"/>
              </w:rPr>
            </w:pPr>
            <w:r w:rsidRPr="005C77EA">
              <w:rPr>
                <w:rFonts w:ascii="Arial" w:hAnsi="Arial" w:cs="Arial"/>
              </w:rPr>
              <w:t>22.50</w:t>
            </w:r>
          </w:p>
        </w:tc>
        <w:tc>
          <w:tcPr>
            <w:tcW w:w="2543" w:type="dxa"/>
            <w:shd w:val="clear" w:color="auto" w:fill="D9D9D9" w:themeFill="background1" w:themeFillShade="D9"/>
          </w:tcPr>
          <w:p w14:paraId="71037D07" w14:textId="77777777" w:rsidR="00141D3E" w:rsidRPr="005C77EA" w:rsidRDefault="00141D3E" w:rsidP="006E495D">
            <w:pPr>
              <w:rPr>
                <w:rFonts w:ascii="Arial" w:hAnsi="Arial" w:cs="Arial"/>
              </w:rPr>
            </w:pPr>
            <w:r w:rsidRPr="005C77EA">
              <w:rPr>
                <w:rFonts w:ascii="Arial" w:hAnsi="Arial" w:cs="Arial"/>
              </w:rPr>
              <w:t>Winning Suppliers’ Weighted Score</w:t>
            </w:r>
          </w:p>
        </w:tc>
        <w:tc>
          <w:tcPr>
            <w:tcW w:w="1866" w:type="dxa"/>
            <w:shd w:val="clear" w:color="auto" w:fill="D9D9D9" w:themeFill="background1" w:themeFillShade="D9"/>
          </w:tcPr>
          <w:p w14:paraId="2DE06869" w14:textId="77777777" w:rsidR="00141D3E" w:rsidRPr="005C77EA" w:rsidRDefault="00141D3E" w:rsidP="006E495D">
            <w:pPr>
              <w:rPr>
                <w:rFonts w:ascii="Arial" w:hAnsi="Arial" w:cs="Arial"/>
              </w:rPr>
            </w:pPr>
            <w:r w:rsidRPr="005C77EA">
              <w:rPr>
                <w:rFonts w:ascii="Arial" w:hAnsi="Arial" w:cs="Arial"/>
              </w:rPr>
              <w:t>22.50</w:t>
            </w:r>
          </w:p>
        </w:tc>
      </w:tr>
      <w:tr w:rsidR="00141D3E" w:rsidRPr="006449F5" w14:paraId="4ACAD93A" w14:textId="77777777" w:rsidTr="005C77EA">
        <w:trPr>
          <w:trHeight w:val="410"/>
        </w:trPr>
        <w:tc>
          <w:tcPr>
            <w:tcW w:w="8330" w:type="dxa"/>
            <w:gridSpan w:val="4"/>
            <w:shd w:val="clear" w:color="auto" w:fill="D5DCE4" w:themeFill="text2" w:themeFillTint="33"/>
            <w:vAlign w:val="center"/>
          </w:tcPr>
          <w:p w14:paraId="798D422B" w14:textId="77777777" w:rsidR="00141D3E" w:rsidRPr="005C77EA" w:rsidRDefault="00141D3E" w:rsidP="006E495D">
            <w:pPr>
              <w:rPr>
                <w:rFonts w:ascii="Arial" w:hAnsi="Arial" w:cs="Arial"/>
                <w:highlight w:val="yellow"/>
              </w:rPr>
            </w:pPr>
            <w:r w:rsidRPr="005C77EA">
              <w:rPr>
                <w:rFonts w:ascii="Arial" w:hAnsi="Arial" w:cs="Arial"/>
              </w:rPr>
              <w:t>5.0 – Project Specific Experience</w:t>
            </w:r>
          </w:p>
        </w:tc>
        <w:tc>
          <w:tcPr>
            <w:tcW w:w="1866" w:type="dxa"/>
            <w:shd w:val="clear" w:color="auto" w:fill="D5DCE4" w:themeFill="text2" w:themeFillTint="33"/>
            <w:vAlign w:val="center"/>
          </w:tcPr>
          <w:p w14:paraId="3B306621" w14:textId="77777777" w:rsidR="00141D3E" w:rsidRPr="005C77EA" w:rsidRDefault="00141D3E" w:rsidP="006E495D">
            <w:pPr>
              <w:rPr>
                <w:rFonts w:ascii="Arial" w:hAnsi="Arial" w:cs="Arial"/>
                <w:highlight w:val="yellow"/>
              </w:rPr>
            </w:pPr>
            <w:r w:rsidRPr="005C77EA">
              <w:rPr>
                <w:rFonts w:ascii="Arial" w:hAnsi="Arial" w:cs="Arial"/>
              </w:rPr>
              <w:t>WEIGHTING 40%</w:t>
            </w:r>
          </w:p>
        </w:tc>
      </w:tr>
      <w:tr w:rsidR="00141D3E" w:rsidRPr="006449F5" w14:paraId="0D1C8CB7" w14:textId="77777777" w:rsidTr="005C77EA">
        <w:tc>
          <w:tcPr>
            <w:tcW w:w="1041" w:type="dxa"/>
          </w:tcPr>
          <w:p w14:paraId="62FC6CB8" w14:textId="77777777" w:rsidR="00141D3E" w:rsidRPr="005C77EA" w:rsidRDefault="00141D3E" w:rsidP="006E495D">
            <w:pPr>
              <w:jc w:val="center"/>
              <w:rPr>
                <w:rFonts w:ascii="Arial" w:hAnsi="Arial" w:cs="Arial"/>
              </w:rPr>
            </w:pPr>
            <w:r w:rsidRPr="005C77EA">
              <w:rPr>
                <w:rFonts w:ascii="Arial" w:hAnsi="Arial" w:cs="Arial"/>
              </w:rPr>
              <w:t>5.1</w:t>
            </w:r>
          </w:p>
        </w:tc>
        <w:tc>
          <w:tcPr>
            <w:tcW w:w="3839" w:type="dxa"/>
          </w:tcPr>
          <w:p w14:paraId="08E3C935" w14:textId="77777777" w:rsidR="00141D3E" w:rsidRPr="005C77EA" w:rsidRDefault="00141D3E" w:rsidP="006E495D">
            <w:pPr>
              <w:rPr>
                <w:rFonts w:ascii="Arial" w:hAnsi="Arial" w:cs="Arial"/>
              </w:rPr>
            </w:pPr>
            <w:r w:rsidRPr="005C77EA">
              <w:rPr>
                <w:rFonts w:ascii="Arial" w:hAnsi="Arial" w:cs="Arial"/>
              </w:rPr>
              <w:t xml:space="preserve">Potential Providers are required to demonstrate that they have a strong supply chain of suitably qualified experts who would not be conflicted or engaged on multiple </w:t>
            </w:r>
            <w:proofErr w:type="spellStart"/>
            <w:r w:rsidRPr="005C77EA">
              <w:rPr>
                <w:rFonts w:ascii="Arial" w:hAnsi="Arial" w:cs="Arial"/>
              </w:rPr>
              <w:t>DfT</w:t>
            </w:r>
            <w:proofErr w:type="spellEnd"/>
            <w:r w:rsidRPr="005C77EA">
              <w:rPr>
                <w:rFonts w:ascii="Arial" w:hAnsi="Arial" w:cs="Arial"/>
              </w:rPr>
              <w:t xml:space="preserve"> projects at the same time.</w:t>
            </w:r>
          </w:p>
          <w:p w14:paraId="25AA9B1F" w14:textId="77777777" w:rsidR="00141D3E" w:rsidRPr="005C77EA" w:rsidRDefault="00141D3E" w:rsidP="006E495D">
            <w:pPr>
              <w:rPr>
                <w:rFonts w:ascii="Arial" w:hAnsi="Arial" w:cs="Arial"/>
                <w:highlight w:val="yellow"/>
              </w:rPr>
            </w:pPr>
            <w:r w:rsidRPr="005C77EA">
              <w:rPr>
                <w:rFonts w:ascii="Arial" w:hAnsi="Arial" w:cs="Arial"/>
              </w:rPr>
              <w:lastRenderedPageBreak/>
              <w:t>To reflect this Potential Providers are required to provide CVs for no more than 10 potential team members to demonstrate they have the right level of skills and experience for this contract.</w:t>
            </w:r>
          </w:p>
        </w:tc>
        <w:tc>
          <w:tcPr>
            <w:tcW w:w="907" w:type="dxa"/>
          </w:tcPr>
          <w:p w14:paraId="1D0DB5D4" w14:textId="77777777" w:rsidR="00141D3E" w:rsidRPr="005C77EA" w:rsidRDefault="00141D3E" w:rsidP="006E495D">
            <w:pPr>
              <w:rPr>
                <w:rFonts w:ascii="Arial" w:hAnsi="Arial" w:cs="Arial"/>
                <w:highlight w:val="yellow"/>
              </w:rPr>
            </w:pPr>
            <w:r w:rsidRPr="005C77EA">
              <w:rPr>
                <w:rFonts w:ascii="Arial" w:hAnsi="Arial" w:cs="Arial"/>
              </w:rPr>
              <w:lastRenderedPageBreak/>
              <w:t>75</w:t>
            </w:r>
          </w:p>
        </w:tc>
        <w:tc>
          <w:tcPr>
            <w:tcW w:w="4409" w:type="dxa"/>
            <w:gridSpan w:val="2"/>
          </w:tcPr>
          <w:p w14:paraId="32053705" w14:textId="77777777" w:rsidR="00141D3E" w:rsidRPr="005C77EA" w:rsidRDefault="00141D3E" w:rsidP="006E495D">
            <w:pPr>
              <w:rPr>
                <w:rFonts w:ascii="Arial" w:hAnsi="Arial" w:cs="Arial"/>
                <w:highlight w:val="yellow"/>
              </w:rPr>
            </w:pPr>
            <w:r w:rsidRPr="005C77EA">
              <w:rPr>
                <w:rFonts w:ascii="Arial" w:hAnsi="Arial" w:cs="Arial"/>
              </w:rPr>
              <w:t xml:space="preserve">Demonstrated a good knowledge of s30 handbook and evidence of helping refine it. Staff with deep understanding of subtle internal </w:t>
            </w:r>
            <w:proofErr w:type="spellStart"/>
            <w:r w:rsidRPr="005C77EA">
              <w:rPr>
                <w:rFonts w:ascii="Arial" w:hAnsi="Arial" w:cs="Arial"/>
              </w:rPr>
              <w:t>DfT</w:t>
            </w:r>
            <w:proofErr w:type="spellEnd"/>
            <w:r w:rsidRPr="005C77EA">
              <w:rPr>
                <w:rFonts w:ascii="Arial" w:hAnsi="Arial" w:cs="Arial"/>
              </w:rPr>
              <w:t xml:space="preserve"> issues. Evidence that they have a strong supply chain of resources with suitable skills and experience for this project. However, there is no mention in </w:t>
            </w:r>
            <w:r w:rsidRPr="005C77EA">
              <w:rPr>
                <w:rFonts w:ascii="Arial" w:hAnsi="Arial" w:cs="Arial"/>
              </w:rPr>
              <w:lastRenderedPageBreak/>
              <w:t>their response to this section as to how they would manage any conflicts if key team members were conflicted.</w:t>
            </w:r>
          </w:p>
        </w:tc>
      </w:tr>
      <w:tr w:rsidR="00141D3E" w:rsidRPr="006449F5" w14:paraId="35D54087" w14:textId="77777777" w:rsidTr="005C77EA">
        <w:tc>
          <w:tcPr>
            <w:tcW w:w="1041" w:type="dxa"/>
          </w:tcPr>
          <w:p w14:paraId="1B4F106A" w14:textId="77777777" w:rsidR="00141D3E" w:rsidRPr="005C77EA" w:rsidRDefault="00141D3E" w:rsidP="006E495D">
            <w:pPr>
              <w:jc w:val="center"/>
              <w:rPr>
                <w:rFonts w:ascii="Arial" w:hAnsi="Arial" w:cs="Arial"/>
              </w:rPr>
            </w:pPr>
            <w:r w:rsidRPr="005C77EA">
              <w:rPr>
                <w:rFonts w:ascii="Arial" w:hAnsi="Arial" w:cs="Arial"/>
              </w:rPr>
              <w:lastRenderedPageBreak/>
              <w:t>5.2</w:t>
            </w:r>
          </w:p>
        </w:tc>
        <w:tc>
          <w:tcPr>
            <w:tcW w:w="3839" w:type="dxa"/>
          </w:tcPr>
          <w:p w14:paraId="4335745F" w14:textId="77777777" w:rsidR="00141D3E" w:rsidRPr="005C77EA" w:rsidRDefault="00141D3E" w:rsidP="006E495D">
            <w:pPr>
              <w:rPr>
                <w:rFonts w:ascii="Arial" w:hAnsi="Arial" w:cs="Arial"/>
              </w:rPr>
            </w:pPr>
            <w:r w:rsidRPr="005C77EA">
              <w:rPr>
                <w:rFonts w:ascii="Arial" w:hAnsi="Arial" w:cs="Arial"/>
              </w:rPr>
              <w:t xml:space="preserve">Potential Providers are required to demonstrate that they have the capacity to provide suitably experienced team members to work with TOCs and </w:t>
            </w:r>
            <w:proofErr w:type="spellStart"/>
            <w:r w:rsidRPr="005C77EA">
              <w:rPr>
                <w:rFonts w:ascii="Arial" w:hAnsi="Arial" w:cs="Arial"/>
              </w:rPr>
              <w:t>DfT’s</w:t>
            </w:r>
            <w:proofErr w:type="spellEnd"/>
            <w:r w:rsidRPr="005C77EA">
              <w:rPr>
                <w:rFonts w:ascii="Arial" w:hAnsi="Arial" w:cs="Arial"/>
              </w:rPr>
              <w:t xml:space="preserve"> Rail Finance team in order to obtain OLR and finance-related information that would be set out in the scope of any commissioned deep-dive exercises.</w:t>
            </w:r>
          </w:p>
        </w:tc>
        <w:tc>
          <w:tcPr>
            <w:tcW w:w="907" w:type="dxa"/>
          </w:tcPr>
          <w:p w14:paraId="74BE2D63" w14:textId="77777777" w:rsidR="00141D3E" w:rsidRPr="005C77EA" w:rsidRDefault="00141D3E" w:rsidP="006E495D">
            <w:pPr>
              <w:rPr>
                <w:rFonts w:ascii="Arial" w:hAnsi="Arial" w:cs="Arial"/>
              </w:rPr>
            </w:pPr>
            <w:r w:rsidRPr="005C77EA">
              <w:rPr>
                <w:rFonts w:ascii="Arial" w:hAnsi="Arial" w:cs="Arial"/>
              </w:rPr>
              <w:t>50</w:t>
            </w:r>
          </w:p>
        </w:tc>
        <w:tc>
          <w:tcPr>
            <w:tcW w:w="4409" w:type="dxa"/>
            <w:gridSpan w:val="2"/>
          </w:tcPr>
          <w:p w14:paraId="3EE016BE" w14:textId="3F30C3D3" w:rsidR="00141D3E" w:rsidRPr="005C77EA" w:rsidRDefault="00141D3E" w:rsidP="003C018B">
            <w:pPr>
              <w:rPr>
                <w:rFonts w:ascii="Arial" w:hAnsi="Arial" w:cs="Arial"/>
                <w:highlight w:val="yellow"/>
              </w:rPr>
            </w:pPr>
            <w:r w:rsidRPr="005C77EA">
              <w:rPr>
                <w:rFonts w:ascii="Arial" w:hAnsi="Arial" w:cs="Arial"/>
              </w:rPr>
              <w:t>This response generally meets the requirement but they have not offered a specific reasons to this section but their response to question 5.1 does clearly demonstrate that they have the capability to contribute to deep dives</w:t>
            </w:r>
            <w:r w:rsidR="003C018B">
              <w:rPr>
                <w:rFonts w:ascii="Arial" w:hAnsi="Arial" w:cs="Arial"/>
              </w:rPr>
              <w:t>.</w:t>
            </w:r>
            <w:r w:rsidRPr="005C77EA">
              <w:rPr>
                <w:rFonts w:ascii="Arial" w:hAnsi="Arial" w:cs="Arial"/>
              </w:rPr>
              <w:t xml:space="preserve"> </w:t>
            </w:r>
            <w:r w:rsidR="003C018B">
              <w:rPr>
                <w:rFonts w:ascii="Arial" w:hAnsi="Arial" w:cs="Arial"/>
              </w:rPr>
              <w:t>T</w:t>
            </w:r>
            <w:r w:rsidRPr="005C77EA">
              <w:rPr>
                <w:rFonts w:ascii="Arial" w:hAnsi="Arial" w:cs="Arial"/>
              </w:rPr>
              <w:t xml:space="preserve">hey could have scored higher marks by including a specific and detailed section on deep dive plans and approaches in </w:t>
            </w:r>
            <w:r w:rsidR="00924438" w:rsidRPr="005C77EA">
              <w:rPr>
                <w:rFonts w:ascii="Arial" w:hAnsi="Arial" w:cs="Arial"/>
              </w:rPr>
              <w:t>different situations</w:t>
            </w:r>
            <w:r w:rsidRPr="005C77EA">
              <w:rPr>
                <w:rFonts w:ascii="Arial" w:hAnsi="Arial" w:cs="Arial"/>
              </w:rPr>
              <w:t>.</w:t>
            </w:r>
          </w:p>
        </w:tc>
      </w:tr>
      <w:tr w:rsidR="00141D3E" w:rsidRPr="006449F5" w14:paraId="475B2400" w14:textId="77777777" w:rsidTr="005C77EA">
        <w:trPr>
          <w:trHeight w:val="428"/>
        </w:trPr>
        <w:tc>
          <w:tcPr>
            <w:tcW w:w="4880" w:type="dxa"/>
            <w:gridSpan w:val="2"/>
          </w:tcPr>
          <w:p w14:paraId="51195C26" w14:textId="77777777" w:rsidR="00141D3E" w:rsidRPr="005C77EA" w:rsidRDefault="00141D3E" w:rsidP="006E495D">
            <w:pPr>
              <w:rPr>
                <w:rFonts w:ascii="Arial" w:hAnsi="Arial" w:cs="Arial"/>
              </w:rPr>
            </w:pPr>
            <w:r w:rsidRPr="005C77EA">
              <w:rPr>
                <w:rFonts w:ascii="Arial" w:hAnsi="Arial" w:cs="Arial"/>
              </w:rPr>
              <w:t>Total Questionnaire Weighted Score</w:t>
            </w:r>
          </w:p>
        </w:tc>
        <w:tc>
          <w:tcPr>
            <w:tcW w:w="907" w:type="dxa"/>
          </w:tcPr>
          <w:p w14:paraId="54F1073A" w14:textId="77777777" w:rsidR="00141D3E" w:rsidRPr="005C77EA" w:rsidRDefault="00141D3E" w:rsidP="006E495D">
            <w:pPr>
              <w:rPr>
                <w:rFonts w:ascii="Arial" w:hAnsi="Arial" w:cs="Arial"/>
              </w:rPr>
            </w:pPr>
            <w:r w:rsidRPr="005C77EA">
              <w:rPr>
                <w:rFonts w:ascii="Arial" w:hAnsi="Arial" w:cs="Arial"/>
              </w:rPr>
              <w:t>25.00</w:t>
            </w:r>
          </w:p>
        </w:tc>
        <w:tc>
          <w:tcPr>
            <w:tcW w:w="2543" w:type="dxa"/>
            <w:shd w:val="clear" w:color="auto" w:fill="D9D9D9" w:themeFill="background1" w:themeFillShade="D9"/>
          </w:tcPr>
          <w:p w14:paraId="3DAF2BB7" w14:textId="77777777" w:rsidR="00141D3E" w:rsidRPr="005C77EA" w:rsidRDefault="00141D3E" w:rsidP="006E495D">
            <w:pPr>
              <w:rPr>
                <w:rFonts w:ascii="Arial" w:hAnsi="Arial" w:cs="Arial"/>
              </w:rPr>
            </w:pPr>
            <w:r w:rsidRPr="005C77EA">
              <w:rPr>
                <w:rFonts w:ascii="Arial" w:hAnsi="Arial" w:cs="Arial"/>
              </w:rPr>
              <w:t>Winning Suppliers’ Weighted Score</w:t>
            </w:r>
          </w:p>
        </w:tc>
        <w:tc>
          <w:tcPr>
            <w:tcW w:w="1866" w:type="dxa"/>
            <w:shd w:val="clear" w:color="auto" w:fill="D9D9D9" w:themeFill="background1" w:themeFillShade="D9"/>
          </w:tcPr>
          <w:p w14:paraId="042CD7B0" w14:textId="77777777" w:rsidR="00141D3E" w:rsidRPr="005C77EA" w:rsidRDefault="00141D3E" w:rsidP="006E495D">
            <w:pPr>
              <w:rPr>
                <w:rFonts w:ascii="Arial" w:hAnsi="Arial" w:cs="Arial"/>
              </w:rPr>
            </w:pPr>
            <w:r w:rsidRPr="005C77EA">
              <w:rPr>
                <w:rFonts w:ascii="Arial" w:hAnsi="Arial" w:cs="Arial"/>
              </w:rPr>
              <w:t>25.00</w:t>
            </w:r>
          </w:p>
        </w:tc>
      </w:tr>
      <w:tr w:rsidR="00141D3E" w:rsidRPr="006449F5" w14:paraId="6626677C" w14:textId="77777777" w:rsidTr="005C77EA">
        <w:trPr>
          <w:trHeight w:val="409"/>
        </w:trPr>
        <w:tc>
          <w:tcPr>
            <w:tcW w:w="8330" w:type="dxa"/>
            <w:gridSpan w:val="4"/>
            <w:shd w:val="clear" w:color="auto" w:fill="D5DCE4" w:themeFill="text2" w:themeFillTint="33"/>
            <w:vAlign w:val="center"/>
          </w:tcPr>
          <w:p w14:paraId="0E80DC29" w14:textId="77777777" w:rsidR="00141D3E" w:rsidRPr="005C77EA" w:rsidRDefault="00141D3E" w:rsidP="006E495D">
            <w:pPr>
              <w:rPr>
                <w:rFonts w:ascii="Arial" w:hAnsi="Arial" w:cs="Arial"/>
              </w:rPr>
            </w:pPr>
            <w:r w:rsidRPr="005C77EA">
              <w:rPr>
                <w:rFonts w:ascii="Arial" w:hAnsi="Arial" w:cs="Arial"/>
              </w:rPr>
              <w:t>6.0 – Price</w:t>
            </w:r>
          </w:p>
        </w:tc>
        <w:tc>
          <w:tcPr>
            <w:tcW w:w="1866" w:type="dxa"/>
            <w:shd w:val="clear" w:color="auto" w:fill="D5DCE4" w:themeFill="text2" w:themeFillTint="33"/>
            <w:vAlign w:val="center"/>
          </w:tcPr>
          <w:p w14:paraId="008AC14D" w14:textId="77777777" w:rsidR="00141D3E" w:rsidRPr="005C77EA" w:rsidRDefault="00141D3E" w:rsidP="006E495D">
            <w:pPr>
              <w:rPr>
                <w:rFonts w:ascii="Arial" w:hAnsi="Arial" w:cs="Arial"/>
              </w:rPr>
            </w:pPr>
            <w:r w:rsidRPr="005C77EA">
              <w:rPr>
                <w:rFonts w:ascii="Arial" w:hAnsi="Arial" w:cs="Arial"/>
              </w:rPr>
              <w:t>WEIGHTING 30%</w:t>
            </w:r>
          </w:p>
        </w:tc>
      </w:tr>
      <w:tr w:rsidR="00141D3E" w:rsidRPr="006449F5" w14:paraId="74918E5C" w14:textId="77777777" w:rsidTr="005C77EA">
        <w:tc>
          <w:tcPr>
            <w:tcW w:w="1041" w:type="dxa"/>
          </w:tcPr>
          <w:p w14:paraId="6A5CE8F2" w14:textId="77777777" w:rsidR="00141D3E" w:rsidRPr="005C77EA" w:rsidRDefault="00141D3E" w:rsidP="006E495D">
            <w:pPr>
              <w:jc w:val="center"/>
              <w:rPr>
                <w:rFonts w:ascii="Arial" w:hAnsi="Arial" w:cs="Arial"/>
              </w:rPr>
            </w:pPr>
            <w:r w:rsidRPr="005C77EA">
              <w:rPr>
                <w:rFonts w:ascii="Arial" w:hAnsi="Arial" w:cs="Arial"/>
              </w:rPr>
              <w:t>6.1</w:t>
            </w:r>
          </w:p>
        </w:tc>
        <w:tc>
          <w:tcPr>
            <w:tcW w:w="3839" w:type="dxa"/>
          </w:tcPr>
          <w:p w14:paraId="09617C9C" w14:textId="77777777" w:rsidR="00141D3E" w:rsidRPr="005C77EA" w:rsidRDefault="00141D3E" w:rsidP="006E495D">
            <w:pPr>
              <w:rPr>
                <w:rFonts w:ascii="Arial" w:hAnsi="Arial" w:cs="Arial"/>
              </w:rPr>
            </w:pPr>
            <w:r w:rsidRPr="005C77EA">
              <w:rPr>
                <w:rFonts w:ascii="Arial" w:hAnsi="Arial" w:cs="Arial"/>
              </w:rPr>
              <w:t>“Please confirm by selecting ‘YES’…”</w:t>
            </w:r>
          </w:p>
        </w:tc>
        <w:tc>
          <w:tcPr>
            <w:tcW w:w="907" w:type="dxa"/>
          </w:tcPr>
          <w:p w14:paraId="7BF62756" w14:textId="709403B3" w:rsidR="00141D3E" w:rsidRPr="005C77EA" w:rsidRDefault="00F706AC" w:rsidP="006E495D">
            <w:pPr>
              <w:rPr>
                <w:rFonts w:ascii="Arial" w:hAnsi="Arial" w:cs="Arial"/>
              </w:rPr>
            </w:pPr>
            <w:r>
              <w:rPr>
                <w:rFonts w:ascii="Arial" w:hAnsi="Arial" w:cs="Arial"/>
              </w:rPr>
              <w:t>98.72</w:t>
            </w:r>
          </w:p>
        </w:tc>
        <w:tc>
          <w:tcPr>
            <w:tcW w:w="4409" w:type="dxa"/>
            <w:gridSpan w:val="2"/>
          </w:tcPr>
          <w:p w14:paraId="2D501710" w14:textId="77777777" w:rsidR="00141D3E" w:rsidRPr="005C77EA" w:rsidRDefault="00141D3E" w:rsidP="006E495D">
            <w:pPr>
              <w:rPr>
                <w:rFonts w:ascii="Arial" w:hAnsi="Arial" w:cs="Arial"/>
              </w:rPr>
            </w:pPr>
            <w:r w:rsidRPr="005C77EA">
              <w:rPr>
                <w:rFonts w:ascii="Arial" w:hAnsi="Arial" w:cs="Arial"/>
              </w:rPr>
              <w:t xml:space="preserve"> </w:t>
            </w:r>
          </w:p>
        </w:tc>
      </w:tr>
      <w:tr w:rsidR="00141D3E" w:rsidRPr="006449F5" w14:paraId="5F52895C" w14:textId="77777777" w:rsidTr="005C77EA">
        <w:trPr>
          <w:trHeight w:val="435"/>
        </w:trPr>
        <w:tc>
          <w:tcPr>
            <w:tcW w:w="4880" w:type="dxa"/>
            <w:gridSpan w:val="2"/>
          </w:tcPr>
          <w:p w14:paraId="0F0F5F8D" w14:textId="77777777" w:rsidR="00141D3E" w:rsidRPr="005C77EA" w:rsidRDefault="00141D3E" w:rsidP="006E495D">
            <w:pPr>
              <w:rPr>
                <w:rFonts w:ascii="Arial" w:hAnsi="Arial" w:cs="Arial"/>
              </w:rPr>
            </w:pPr>
            <w:r w:rsidRPr="005C77EA">
              <w:rPr>
                <w:rFonts w:ascii="Arial" w:hAnsi="Arial" w:cs="Arial"/>
              </w:rPr>
              <w:t>Total Questionnaire Weighted Score</w:t>
            </w:r>
          </w:p>
        </w:tc>
        <w:tc>
          <w:tcPr>
            <w:tcW w:w="907" w:type="dxa"/>
          </w:tcPr>
          <w:p w14:paraId="5BD16F13" w14:textId="4858563F" w:rsidR="00141D3E" w:rsidRPr="005C77EA" w:rsidRDefault="00F706AC" w:rsidP="006E495D">
            <w:pPr>
              <w:rPr>
                <w:rFonts w:ascii="Arial" w:hAnsi="Arial" w:cs="Arial"/>
              </w:rPr>
            </w:pPr>
            <w:r>
              <w:rPr>
                <w:rFonts w:ascii="Arial" w:hAnsi="Arial" w:cs="Arial"/>
              </w:rPr>
              <w:t>29.62</w:t>
            </w:r>
          </w:p>
        </w:tc>
        <w:tc>
          <w:tcPr>
            <w:tcW w:w="2543" w:type="dxa"/>
            <w:shd w:val="clear" w:color="auto" w:fill="D9D9D9" w:themeFill="background1" w:themeFillShade="D9"/>
          </w:tcPr>
          <w:p w14:paraId="0C9F175A" w14:textId="77777777" w:rsidR="00141D3E" w:rsidRPr="005C77EA" w:rsidRDefault="00141D3E" w:rsidP="006E495D">
            <w:pPr>
              <w:rPr>
                <w:rFonts w:ascii="Arial" w:hAnsi="Arial" w:cs="Arial"/>
              </w:rPr>
            </w:pPr>
            <w:r w:rsidRPr="005C77EA">
              <w:rPr>
                <w:rFonts w:ascii="Arial" w:hAnsi="Arial" w:cs="Arial"/>
              </w:rPr>
              <w:t>Winning Suppliers’ Weighted Score</w:t>
            </w:r>
          </w:p>
        </w:tc>
        <w:tc>
          <w:tcPr>
            <w:tcW w:w="1866" w:type="dxa"/>
            <w:shd w:val="clear" w:color="auto" w:fill="D9D9D9" w:themeFill="background1" w:themeFillShade="D9"/>
          </w:tcPr>
          <w:p w14:paraId="4E4F9D4E" w14:textId="72DFF92B" w:rsidR="00141D3E" w:rsidRPr="005C77EA" w:rsidRDefault="00F706AC" w:rsidP="006E495D">
            <w:pPr>
              <w:rPr>
                <w:rFonts w:ascii="Arial" w:hAnsi="Arial" w:cs="Arial"/>
              </w:rPr>
            </w:pPr>
            <w:r>
              <w:rPr>
                <w:rFonts w:ascii="Arial" w:hAnsi="Arial" w:cs="Arial"/>
              </w:rPr>
              <w:t>29.62</w:t>
            </w:r>
          </w:p>
        </w:tc>
      </w:tr>
      <w:tr w:rsidR="00141D3E" w:rsidRPr="006449F5" w14:paraId="65DD2487" w14:textId="77777777" w:rsidTr="005C77EA">
        <w:trPr>
          <w:trHeight w:val="413"/>
        </w:trPr>
        <w:tc>
          <w:tcPr>
            <w:tcW w:w="10196" w:type="dxa"/>
            <w:gridSpan w:val="5"/>
            <w:shd w:val="clear" w:color="auto" w:fill="D5DCE4" w:themeFill="text2" w:themeFillTint="33"/>
            <w:vAlign w:val="center"/>
          </w:tcPr>
          <w:p w14:paraId="7C6C67F5" w14:textId="77777777" w:rsidR="00141D3E" w:rsidRPr="005C77EA" w:rsidRDefault="00141D3E" w:rsidP="006E495D">
            <w:pPr>
              <w:rPr>
                <w:rFonts w:ascii="Arial" w:hAnsi="Arial" w:cs="Arial"/>
              </w:rPr>
            </w:pPr>
            <w:r w:rsidRPr="005C77EA">
              <w:rPr>
                <w:rFonts w:ascii="Arial" w:hAnsi="Arial" w:cs="Arial"/>
              </w:rPr>
              <w:t>Evaluation Summary</w:t>
            </w:r>
          </w:p>
        </w:tc>
      </w:tr>
      <w:tr w:rsidR="00141D3E" w:rsidRPr="006449F5" w14:paraId="736D088F" w14:textId="77777777" w:rsidTr="005C77EA">
        <w:tc>
          <w:tcPr>
            <w:tcW w:w="4880" w:type="dxa"/>
            <w:gridSpan w:val="2"/>
            <w:vAlign w:val="center"/>
          </w:tcPr>
          <w:p w14:paraId="6FCF3910" w14:textId="77777777" w:rsidR="00141D3E" w:rsidRPr="005C77EA" w:rsidRDefault="00141D3E" w:rsidP="006E495D">
            <w:pPr>
              <w:rPr>
                <w:rFonts w:ascii="Arial" w:hAnsi="Arial" w:cs="Arial"/>
              </w:rPr>
            </w:pPr>
            <w:r w:rsidRPr="005C77EA">
              <w:rPr>
                <w:rFonts w:ascii="Arial" w:hAnsi="Arial" w:cs="Arial"/>
              </w:rPr>
              <w:t>Overall Bid Score (Weighted)</w:t>
            </w:r>
          </w:p>
        </w:tc>
        <w:tc>
          <w:tcPr>
            <w:tcW w:w="907" w:type="dxa"/>
            <w:vAlign w:val="center"/>
          </w:tcPr>
          <w:p w14:paraId="7BCD1BD6" w14:textId="23F7A956" w:rsidR="00141D3E" w:rsidRPr="005C77EA" w:rsidRDefault="00F706AC" w:rsidP="006E495D">
            <w:pPr>
              <w:rPr>
                <w:rFonts w:ascii="Arial" w:hAnsi="Arial" w:cs="Arial"/>
              </w:rPr>
            </w:pPr>
            <w:r>
              <w:rPr>
                <w:rFonts w:ascii="Arial" w:hAnsi="Arial" w:cs="Arial"/>
              </w:rPr>
              <w:t>77.12</w:t>
            </w:r>
          </w:p>
        </w:tc>
        <w:tc>
          <w:tcPr>
            <w:tcW w:w="2543" w:type="dxa"/>
            <w:shd w:val="clear" w:color="auto" w:fill="D9D9D9" w:themeFill="background1" w:themeFillShade="D9"/>
          </w:tcPr>
          <w:p w14:paraId="06B1D8DB" w14:textId="77777777" w:rsidR="00141D3E" w:rsidRPr="005C77EA" w:rsidRDefault="00141D3E" w:rsidP="006E495D">
            <w:pPr>
              <w:rPr>
                <w:rFonts w:ascii="Arial" w:hAnsi="Arial" w:cs="Arial"/>
              </w:rPr>
            </w:pPr>
            <w:r w:rsidRPr="005C77EA">
              <w:rPr>
                <w:rFonts w:ascii="Arial" w:hAnsi="Arial" w:cs="Arial"/>
              </w:rPr>
              <w:t>Winning Suppliers’ Overall Bid Score</w:t>
            </w:r>
          </w:p>
        </w:tc>
        <w:tc>
          <w:tcPr>
            <w:tcW w:w="1866" w:type="dxa"/>
            <w:shd w:val="clear" w:color="auto" w:fill="D9D9D9" w:themeFill="background1" w:themeFillShade="D9"/>
          </w:tcPr>
          <w:p w14:paraId="6FD903A0" w14:textId="70BBFC4A" w:rsidR="00141D3E" w:rsidRPr="005C77EA" w:rsidRDefault="00F706AC" w:rsidP="006E495D">
            <w:pPr>
              <w:rPr>
                <w:rFonts w:ascii="Arial" w:hAnsi="Arial" w:cs="Arial"/>
              </w:rPr>
            </w:pPr>
            <w:r>
              <w:rPr>
                <w:rFonts w:ascii="Arial" w:hAnsi="Arial" w:cs="Arial"/>
              </w:rPr>
              <w:t>77.12</w:t>
            </w:r>
          </w:p>
        </w:tc>
      </w:tr>
      <w:tr w:rsidR="00141D3E" w:rsidRPr="006449F5" w14:paraId="66F81AA8" w14:textId="77777777" w:rsidTr="005C77EA">
        <w:tc>
          <w:tcPr>
            <w:tcW w:w="4880" w:type="dxa"/>
            <w:gridSpan w:val="2"/>
            <w:vAlign w:val="center"/>
          </w:tcPr>
          <w:p w14:paraId="38EE4478" w14:textId="77777777" w:rsidR="00141D3E" w:rsidRPr="005C77EA" w:rsidRDefault="00141D3E" w:rsidP="006E495D">
            <w:pPr>
              <w:rPr>
                <w:rFonts w:ascii="Arial" w:hAnsi="Arial" w:cs="Arial"/>
              </w:rPr>
            </w:pPr>
            <w:r w:rsidRPr="005C77EA">
              <w:rPr>
                <w:rFonts w:ascii="Arial" w:hAnsi="Arial" w:cs="Arial"/>
              </w:rPr>
              <w:t xml:space="preserve">Overall Ranking </w:t>
            </w:r>
          </w:p>
        </w:tc>
        <w:tc>
          <w:tcPr>
            <w:tcW w:w="907" w:type="dxa"/>
            <w:vAlign w:val="center"/>
          </w:tcPr>
          <w:p w14:paraId="27C58670" w14:textId="57918CB8" w:rsidR="00141D3E" w:rsidRPr="005C77EA" w:rsidRDefault="00F706AC" w:rsidP="006E495D">
            <w:pPr>
              <w:rPr>
                <w:rFonts w:ascii="Arial" w:hAnsi="Arial" w:cs="Arial"/>
              </w:rPr>
            </w:pPr>
            <w:r>
              <w:rPr>
                <w:rFonts w:ascii="Arial" w:hAnsi="Arial" w:cs="Arial"/>
              </w:rPr>
              <w:t>1</w:t>
            </w:r>
            <w:r w:rsidRPr="00F706AC">
              <w:rPr>
                <w:rFonts w:ascii="Arial" w:hAnsi="Arial" w:cs="Arial"/>
                <w:vertAlign w:val="superscript"/>
              </w:rPr>
              <w:t>st</w:t>
            </w:r>
            <w:r>
              <w:rPr>
                <w:rFonts w:ascii="Arial" w:hAnsi="Arial" w:cs="Arial"/>
              </w:rPr>
              <w:t xml:space="preserve"> </w:t>
            </w:r>
          </w:p>
        </w:tc>
        <w:tc>
          <w:tcPr>
            <w:tcW w:w="2543" w:type="dxa"/>
            <w:shd w:val="clear" w:color="auto" w:fill="D9D9D9" w:themeFill="background1" w:themeFillShade="D9"/>
          </w:tcPr>
          <w:p w14:paraId="5FC33E2B" w14:textId="77777777" w:rsidR="00141D3E" w:rsidRPr="005C77EA" w:rsidRDefault="00141D3E" w:rsidP="006E495D">
            <w:pPr>
              <w:rPr>
                <w:rFonts w:ascii="Arial" w:hAnsi="Arial" w:cs="Arial"/>
              </w:rPr>
            </w:pPr>
            <w:r w:rsidRPr="005C77EA">
              <w:rPr>
                <w:rFonts w:ascii="Arial" w:hAnsi="Arial" w:cs="Arial"/>
              </w:rPr>
              <w:t>Winning Suppliers’ Overall Ranking</w:t>
            </w:r>
          </w:p>
        </w:tc>
        <w:tc>
          <w:tcPr>
            <w:tcW w:w="1866" w:type="dxa"/>
            <w:shd w:val="clear" w:color="auto" w:fill="D9D9D9" w:themeFill="background1" w:themeFillShade="D9"/>
          </w:tcPr>
          <w:p w14:paraId="6034DC66" w14:textId="2572515D" w:rsidR="00141D3E" w:rsidRPr="005C77EA" w:rsidRDefault="00F706AC" w:rsidP="006E495D">
            <w:pPr>
              <w:rPr>
                <w:rFonts w:ascii="Arial" w:hAnsi="Arial" w:cs="Arial"/>
                <w:b/>
              </w:rPr>
            </w:pPr>
            <w:r>
              <w:rPr>
                <w:rFonts w:ascii="Arial" w:hAnsi="Arial" w:cs="Arial"/>
                <w:b/>
              </w:rPr>
              <w:t>1</w:t>
            </w:r>
            <w:r w:rsidRPr="00F706AC">
              <w:rPr>
                <w:rFonts w:ascii="Arial" w:hAnsi="Arial" w:cs="Arial"/>
                <w:b/>
                <w:vertAlign w:val="superscript"/>
              </w:rPr>
              <w:t>st</w:t>
            </w:r>
            <w:r>
              <w:rPr>
                <w:rFonts w:ascii="Arial" w:hAnsi="Arial" w:cs="Arial"/>
                <w:b/>
              </w:rPr>
              <w:t xml:space="preserve"> </w:t>
            </w:r>
          </w:p>
        </w:tc>
      </w:tr>
    </w:tbl>
    <w:p w14:paraId="3C27B372" w14:textId="77777777" w:rsidR="00A42E95" w:rsidRDefault="00A42E95"/>
    <w:sectPr w:rsidR="00A42E9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975E3" w14:textId="77777777" w:rsidR="00D14162" w:rsidRDefault="00D14162" w:rsidP="0071513A">
      <w:pPr>
        <w:spacing w:after="0" w:line="240" w:lineRule="auto"/>
      </w:pPr>
      <w:r>
        <w:separator/>
      </w:r>
    </w:p>
  </w:endnote>
  <w:endnote w:type="continuationSeparator" w:id="0">
    <w:p w14:paraId="38CA8893" w14:textId="77777777" w:rsidR="00D14162" w:rsidRDefault="00D14162" w:rsidP="0071513A">
      <w:pPr>
        <w:spacing w:after="0" w:line="240" w:lineRule="auto"/>
      </w:pPr>
      <w:r>
        <w:continuationSeparator/>
      </w:r>
    </w:p>
  </w:endnote>
  <w:endnote w:type="continuationNotice" w:id="1">
    <w:p w14:paraId="36DFE05D" w14:textId="77777777" w:rsidR="00D14162" w:rsidRDefault="00D14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354D14FE" w:rsidR="00D6687B" w:rsidRDefault="00B033F4" w:rsidP="003770B5">
    <w:pPr>
      <w:pStyle w:val="Footer"/>
      <w:pBdr>
        <w:top w:val="single" w:sz="4" w:space="1" w:color="auto"/>
      </w:pBdr>
      <w:jc w:val="right"/>
      <w:rPr>
        <w:rFonts w:ascii="Arial" w:hAnsi="Arial" w:cs="Arial"/>
        <w:sz w:val="20"/>
        <w:szCs w:val="20"/>
      </w:rPr>
    </w:pPr>
    <w:r>
      <w:rPr>
        <w:rFonts w:ascii="Arial" w:hAnsi="Arial" w:cs="Arial"/>
        <w:sz w:val="20"/>
        <w:szCs w:val="20"/>
      </w:rPr>
      <w:t xml:space="preserve">V1.0 </w:t>
    </w:r>
    <w:r w:rsidR="00C36949">
      <w:rPr>
        <w:rFonts w:ascii="Arial" w:hAnsi="Arial" w:cs="Arial"/>
        <w:sz w:val="20"/>
        <w:szCs w:val="20"/>
      </w:rPr>
      <w:t>25</w:t>
    </w:r>
    <w:r w:rsidR="00E479E8" w:rsidRPr="00E479E8">
      <w:rPr>
        <w:rFonts w:ascii="Arial" w:hAnsi="Arial" w:cs="Arial"/>
        <w:sz w:val="20"/>
        <w:szCs w:val="20"/>
        <w:vertAlign w:val="superscript"/>
      </w:rPr>
      <w:t>th</w:t>
    </w:r>
    <w:r w:rsidR="00E479E8">
      <w:rPr>
        <w:rFonts w:ascii="Arial" w:hAnsi="Arial" w:cs="Arial"/>
        <w:sz w:val="20"/>
        <w:szCs w:val="20"/>
      </w:rPr>
      <w:t xml:space="preserve"> May</w:t>
    </w:r>
    <w:r w:rsidR="00871B1D">
      <w:rPr>
        <w:rFonts w:ascii="Arial" w:hAnsi="Arial" w:cs="Arial"/>
        <w:sz w:val="20"/>
        <w:szCs w:val="20"/>
      </w:rPr>
      <w:t xml:space="preserve"> 2018</w:t>
    </w:r>
  </w:p>
  <w:p w14:paraId="0EEA54C1" w14:textId="77777777" w:rsidR="00D6687B" w:rsidRPr="00F00F8A" w:rsidRDefault="00D14162"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8B5393">
          <w:rPr>
            <w:rFonts w:ascii="Arial" w:hAnsi="Arial" w:cs="Arial"/>
            <w:noProof/>
            <w:sz w:val="20"/>
            <w:szCs w:val="20"/>
          </w:rPr>
          <w:t>4</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0ADBC" w14:textId="77777777" w:rsidR="00D14162" w:rsidRDefault="00D14162" w:rsidP="0071513A">
      <w:pPr>
        <w:spacing w:after="0" w:line="240" w:lineRule="auto"/>
      </w:pPr>
      <w:r>
        <w:separator/>
      </w:r>
    </w:p>
  </w:footnote>
  <w:footnote w:type="continuationSeparator" w:id="0">
    <w:p w14:paraId="0E23739C" w14:textId="77777777" w:rsidR="00D14162" w:rsidRDefault="00D14162" w:rsidP="0071513A">
      <w:pPr>
        <w:spacing w:after="0" w:line="240" w:lineRule="auto"/>
      </w:pPr>
      <w:r>
        <w:continuationSeparator/>
      </w:r>
    </w:p>
  </w:footnote>
  <w:footnote w:type="continuationNotice" w:id="1">
    <w:p w14:paraId="6463982A" w14:textId="77777777" w:rsidR="00D14162" w:rsidRDefault="00D1416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D14162"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7" w15:restartNumberingAfterBreak="0">
    <w:nsid w:val="63C66EA3"/>
    <w:multiLevelType w:val="hybridMultilevel"/>
    <w:tmpl w:val="476A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3636"/>
    <w:rsid w:val="00016FFB"/>
    <w:rsid w:val="00072C09"/>
    <w:rsid w:val="00090B56"/>
    <w:rsid w:val="000A2B62"/>
    <w:rsid w:val="000E20E7"/>
    <w:rsid w:val="00123A6E"/>
    <w:rsid w:val="00141D3E"/>
    <w:rsid w:val="00170E8A"/>
    <w:rsid w:val="0017409A"/>
    <w:rsid w:val="001B2C91"/>
    <w:rsid w:val="001F684C"/>
    <w:rsid w:val="00202B5D"/>
    <w:rsid w:val="002412E5"/>
    <w:rsid w:val="00252849"/>
    <w:rsid w:val="00271837"/>
    <w:rsid w:val="002C6287"/>
    <w:rsid w:val="002F4E59"/>
    <w:rsid w:val="002F6F0C"/>
    <w:rsid w:val="00303D7D"/>
    <w:rsid w:val="003541BD"/>
    <w:rsid w:val="003640EE"/>
    <w:rsid w:val="003770B5"/>
    <w:rsid w:val="003A1909"/>
    <w:rsid w:val="003C018B"/>
    <w:rsid w:val="003D17EC"/>
    <w:rsid w:val="003F7831"/>
    <w:rsid w:val="00405BA1"/>
    <w:rsid w:val="00407356"/>
    <w:rsid w:val="00407F37"/>
    <w:rsid w:val="00426F1E"/>
    <w:rsid w:val="0043765B"/>
    <w:rsid w:val="004A5B2C"/>
    <w:rsid w:val="004B258E"/>
    <w:rsid w:val="004F049F"/>
    <w:rsid w:val="005B69AF"/>
    <w:rsid w:val="005B6F70"/>
    <w:rsid w:val="005C77EA"/>
    <w:rsid w:val="005D05A8"/>
    <w:rsid w:val="005D08A1"/>
    <w:rsid w:val="005E170C"/>
    <w:rsid w:val="005F418A"/>
    <w:rsid w:val="005F4AFE"/>
    <w:rsid w:val="0060383B"/>
    <w:rsid w:val="006275A2"/>
    <w:rsid w:val="006456A9"/>
    <w:rsid w:val="00653A30"/>
    <w:rsid w:val="00661691"/>
    <w:rsid w:val="00666B79"/>
    <w:rsid w:val="00667B38"/>
    <w:rsid w:val="006762F9"/>
    <w:rsid w:val="006F20BA"/>
    <w:rsid w:val="006F7170"/>
    <w:rsid w:val="007009B4"/>
    <w:rsid w:val="007101D8"/>
    <w:rsid w:val="0071513A"/>
    <w:rsid w:val="00715713"/>
    <w:rsid w:val="00736492"/>
    <w:rsid w:val="00746D49"/>
    <w:rsid w:val="00757BB9"/>
    <w:rsid w:val="00757CA7"/>
    <w:rsid w:val="00770A8A"/>
    <w:rsid w:val="007D3534"/>
    <w:rsid w:val="007F3A84"/>
    <w:rsid w:val="00801670"/>
    <w:rsid w:val="00813A56"/>
    <w:rsid w:val="0084655D"/>
    <w:rsid w:val="00871B1D"/>
    <w:rsid w:val="00872420"/>
    <w:rsid w:val="008738F8"/>
    <w:rsid w:val="00880B11"/>
    <w:rsid w:val="00884E03"/>
    <w:rsid w:val="008B5393"/>
    <w:rsid w:val="008B79E0"/>
    <w:rsid w:val="008E0209"/>
    <w:rsid w:val="00924438"/>
    <w:rsid w:val="00935571"/>
    <w:rsid w:val="00984953"/>
    <w:rsid w:val="00984F1A"/>
    <w:rsid w:val="009B1B73"/>
    <w:rsid w:val="009F3D7F"/>
    <w:rsid w:val="00A1051E"/>
    <w:rsid w:val="00A31772"/>
    <w:rsid w:val="00A42E95"/>
    <w:rsid w:val="00A5182C"/>
    <w:rsid w:val="00A611E5"/>
    <w:rsid w:val="00A727BE"/>
    <w:rsid w:val="00A7686A"/>
    <w:rsid w:val="00A8216F"/>
    <w:rsid w:val="00A94459"/>
    <w:rsid w:val="00AD266E"/>
    <w:rsid w:val="00AE087F"/>
    <w:rsid w:val="00B033F4"/>
    <w:rsid w:val="00B32AE3"/>
    <w:rsid w:val="00B51C96"/>
    <w:rsid w:val="00B96861"/>
    <w:rsid w:val="00BA7699"/>
    <w:rsid w:val="00C008A6"/>
    <w:rsid w:val="00C008D5"/>
    <w:rsid w:val="00C36949"/>
    <w:rsid w:val="00C949C5"/>
    <w:rsid w:val="00CE0ECA"/>
    <w:rsid w:val="00CE1A09"/>
    <w:rsid w:val="00D14162"/>
    <w:rsid w:val="00D4299A"/>
    <w:rsid w:val="00D47985"/>
    <w:rsid w:val="00D6687B"/>
    <w:rsid w:val="00D708C4"/>
    <w:rsid w:val="00D968FE"/>
    <w:rsid w:val="00DB50D4"/>
    <w:rsid w:val="00DD179A"/>
    <w:rsid w:val="00DD5B54"/>
    <w:rsid w:val="00E12B8C"/>
    <w:rsid w:val="00E17914"/>
    <w:rsid w:val="00E479E8"/>
    <w:rsid w:val="00E51751"/>
    <w:rsid w:val="00E7260A"/>
    <w:rsid w:val="00E770D3"/>
    <w:rsid w:val="00E90806"/>
    <w:rsid w:val="00E91DDD"/>
    <w:rsid w:val="00E92A41"/>
    <w:rsid w:val="00E95215"/>
    <w:rsid w:val="00EC1349"/>
    <w:rsid w:val="00EF3DBB"/>
    <w:rsid w:val="00F00F8A"/>
    <w:rsid w:val="00F227A4"/>
    <w:rsid w:val="00F250F8"/>
    <w:rsid w:val="00F50FDE"/>
    <w:rsid w:val="00F54ABC"/>
    <w:rsid w:val="00F706AC"/>
    <w:rsid w:val="00FB1C62"/>
    <w:rsid w:val="00FB297F"/>
    <w:rsid w:val="00FC46F1"/>
    <w:rsid w:val="00FD19ED"/>
    <w:rsid w:val="00FE2882"/>
    <w:rsid w:val="00FE6B9A"/>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9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BasicParagraph">
    <w:name w:val="[Basic Paragraph]"/>
    <w:basedOn w:val="Normal"/>
    <w:uiPriority w:val="99"/>
    <w:rsid w:val="00871B1D"/>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2</cp:revision>
  <dcterms:created xsi:type="dcterms:W3CDTF">2018-06-22T12:30:00Z</dcterms:created>
  <dcterms:modified xsi:type="dcterms:W3CDTF">2018-06-22T12:30:00Z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