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0EDDF7FF" w14:textId="77777777" w:rsidR="00C33580" w:rsidRPr="00C33580" w:rsidRDefault="00C33580" w:rsidP="00C33580">
      <w:pPr>
        <w:widowControl w:val="0"/>
        <w:tabs>
          <w:tab w:val="center" w:pos="4513"/>
        </w:tabs>
        <w:spacing w:before="120" w:after="120"/>
        <w:jc w:val="center"/>
        <w:rPr>
          <w:b/>
          <w:bCs/>
          <w:sz w:val="36"/>
          <w:szCs w:val="36"/>
        </w:rPr>
      </w:pPr>
      <w:r w:rsidRPr="00C33580">
        <w:rPr>
          <w:b/>
          <w:bCs/>
          <w:sz w:val="36"/>
          <w:szCs w:val="36"/>
        </w:rPr>
        <w:t>NATIONAL INFRASTRUCTURE COMMISSION (NIC)</w:t>
      </w:r>
    </w:p>
    <w:p w14:paraId="747FAE8D" w14:textId="77777777" w:rsidR="00C33580" w:rsidRPr="00C33580" w:rsidRDefault="00C33580" w:rsidP="00C33580">
      <w:pPr>
        <w:widowControl w:val="0"/>
        <w:tabs>
          <w:tab w:val="center" w:pos="4513"/>
        </w:tabs>
        <w:spacing w:before="120" w:after="120"/>
        <w:jc w:val="center"/>
        <w:rPr>
          <w:b/>
          <w:bCs/>
          <w:sz w:val="36"/>
          <w:szCs w:val="36"/>
        </w:rPr>
      </w:pPr>
    </w:p>
    <w:p w14:paraId="61584AE9" w14:textId="77777777" w:rsidR="00C33580" w:rsidRPr="00C33580" w:rsidRDefault="00C33580" w:rsidP="00C33580">
      <w:pPr>
        <w:widowControl w:val="0"/>
        <w:tabs>
          <w:tab w:val="center" w:pos="4513"/>
        </w:tabs>
        <w:spacing w:before="120" w:after="120"/>
        <w:jc w:val="center"/>
        <w:rPr>
          <w:b/>
          <w:bCs/>
          <w:sz w:val="36"/>
          <w:szCs w:val="36"/>
        </w:rPr>
      </w:pPr>
      <w:r w:rsidRPr="00C33580">
        <w:rPr>
          <w:b/>
          <w:bCs/>
          <w:sz w:val="36"/>
          <w:szCs w:val="36"/>
        </w:rPr>
        <w:t xml:space="preserve">AN EXECUTIVE AGENCY OF </w:t>
      </w:r>
    </w:p>
    <w:p w14:paraId="207D55C6" w14:textId="133EB7DF" w:rsidR="00B327EC" w:rsidRPr="002C519F" w:rsidRDefault="00C33580" w:rsidP="00C33580">
      <w:pPr>
        <w:widowControl w:val="0"/>
        <w:tabs>
          <w:tab w:val="center" w:pos="4513"/>
        </w:tabs>
        <w:spacing w:before="120" w:after="120"/>
        <w:jc w:val="center"/>
        <w:rPr>
          <w:b/>
          <w:bCs/>
          <w:sz w:val="36"/>
          <w:szCs w:val="36"/>
        </w:rPr>
      </w:pPr>
      <w:r w:rsidRPr="00C33580">
        <w:rPr>
          <w:b/>
          <w:bCs/>
          <w:sz w:val="36"/>
          <w:szCs w:val="36"/>
        </w:rPr>
        <w:t>HM TREASURY (HMT)</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and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0AC1DA6B" w14:textId="0ECE22F3" w:rsidR="00B327EC" w:rsidRDefault="00C33580" w:rsidP="00B327EC">
      <w:pPr>
        <w:widowControl w:val="0"/>
        <w:tabs>
          <w:tab w:val="center" w:pos="4513"/>
        </w:tabs>
        <w:spacing w:before="120" w:after="120"/>
        <w:jc w:val="center"/>
        <w:rPr>
          <w:b/>
          <w:bCs/>
          <w:sz w:val="36"/>
          <w:szCs w:val="36"/>
        </w:rPr>
      </w:pPr>
      <w:r w:rsidRPr="00C33580">
        <w:rPr>
          <w:b/>
          <w:bCs/>
          <w:sz w:val="36"/>
          <w:szCs w:val="36"/>
        </w:rPr>
        <w:t>OXFORD GLOBAL PROJECTS</w:t>
      </w:r>
    </w:p>
    <w:p w14:paraId="151F7476" w14:textId="77777777" w:rsidR="00C33580" w:rsidRPr="002C519F" w:rsidRDefault="00C33580"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r w:rsidRPr="002C519F">
        <w:rPr>
          <w:b/>
          <w:bCs/>
          <w:sz w:val="36"/>
          <w:szCs w:val="36"/>
        </w:rPr>
        <w:t>relating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0E269805" w14:textId="21C65331" w:rsidR="000B47A6" w:rsidRDefault="00C33580" w:rsidP="00B327EC">
      <w:pPr>
        <w:widowControl w:val="0"/>
        <w:tabs>
          <w:tab w:val="center" w:pos="4513"/>
        </w:tabs>
        <w:spacing w:before="120" w:after="120"/>
        <w:jc w:val="center"/>
        <w:rPr>
          <w:b/>
          <w:bCs/>
          <w:sz w:val="36"/>
          <w:szCs w:val="36"/>
        </w:rPr>
      </w:pPr>
      <w:r w:rsidRPr="00C33580">
        <w:rPr>
          <w:b/>
          <w:bCs/>
          <w:sz w:val="36"/>
          <w:szCs w:val="36"/>
        </w:rPr>
        <w:t>PROVISION OF RAIL CLASS FORECASTING</w:t>
      </w:r>
    </w:p>
    <w:p w14:paraId="507250D9" w14:textId="32DB4144" w:rsidR="00C33580" w:rsidRDefault="00C33580" w:rsidP="00B327EC">
      <w:pPr>
        <w:widowControl w:val="0"/>
        <w:tabs>
          <w:tab w:val="center" w:pos="4513"/>
        </w:tabs>
        <w:spacing w:before="120" w:after="120"/>
        <w:jc w:val="center"/>
        <w:rPr>
          <w:b/>
          <w:bCs/>
          <w:sz w:val="36"/>
          <w:szCs w:val="36"/>
        </w:rPr>
      </w:pPr>
    </w:p>
    <w:p w14:paraId="206389BA" w14:textId="6E13CDC5" w:rsidR="00C33580" w:rsidRPr="002C519F" w:rsidRDefault="00C33580" w:rsidP="00B327EC">
      <w:pPr>
        <w:widowControl w:val="0"/>
        <w:tabs>
          <w:tab w:val="center" w:pos="4513"/>
        </w:tabs>
        <w:spacing w:before="120" w:after="120"/>
        <w:jc w:val="center"/>
        <w:rPr>
          <w:b/>
          <w:bCs/>
          <w:sz w:val="36"/>
          <w:szCs w:val="36"/>
        </w:rPr>
      </w:pPr>
      <w:r>
        <w:rPr>
          <w:b/>
          <w:bCs/>
          <w:sz w:val="36"/>
          <w:szCs w:val="36"/>
        </w:rPr>
        <w:t>Contract Reference: CCZZ20A65</w:t>
      </w: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3A7AFFF8" w14:textId="5995AD7F" w:rsidR="008A2169"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8220902" w:history="1">
        <w:r w:rsidR="008A2169" w:rsidRPr="0047552E">
          <w:rPr>
            <w:rStyle w:val="Hyperlink"/>
            <w:rFonts w:eastAsia="Times New Roman"/>
            <w:b/>
            <w:noProof/>
            <w:lang w:eastAsia="en-US"/>
          </w:rPr>
          <w:t>ANNEX 1 – TERMS AND CONDITIONS</w:t>
        </w:r>
        <w:r w:rsidR="008A2169">
          <w:rPr>
            <w:noProof/>
            <w:webHidden/>
          </w:rPr>
          <w:tab/>
        </w:r>
        <w:r w:rsidR="008A2169">
          <w:rPr>
            <w:noProof/>
            <w:webHidden/>
          </w:rPr>
          <w:fldChar w:fldCharType="begin"/>
        </w:r>
        <w:r w:rsidR="008A2169">
          <w:rPr>
            <w:noProof/>
            <w:webHidden/>
          </w:rPr>
          <w:instrText xml:space="preserve"> PAGEREF _Toc48220902 \h </w:instrText>
        </w:r>
        <w:r w:rsidR="008A2169">
          <w:rPr>
            <w:noProof/>
            <w:webHidden/>
          </w:rPr>
        </w:r>
        <w:r w:rsidR="008A2169">
          <w:rPr>
            <w:noProof/>
            <w:webHidden/>
          </w:rPr>
          <w:fldChar w:fldCharType="separate"/>
        </w:r>
        <w:r w:rsidR="008A2169">
          <w:rPr>
            <w:noProof/>
            <w:webHidden/>
          </w:rPr>
          <w:t>4</w:t>
        </w:r>
        <w:r w:rsidR="008A2169">
          <w:rPr>
            <w:noProof/>
            <w:webHidden/>
          </w:rPr>
          <w:fldChar w:fldCharType="end"/>
        </w:r>
      </w:hyperlink>
    </w:p>
    <w:p w14:paraId="1BBAA822" w14:textId="0CE43B05" w:rsidR="008A2169" w:rsidRDefault="008C75D8">
      <w:pPr>
        <w:pStyle w:val="TOC1"/>
        <w:rPr>
          <w:rFonts w:asciiTheme="minorHAnsi" w:eastAsiaTheme="minorEastAsia" w:hAnsiTheme="minorHAnsi" w:cstheme="minorBidi"/>
          <w:caps w:val="0"/>
          <w:noProof/>
          <w:szCs w:val="22"/>
          <w:lang w:eastAsia="en-GB"/>
        </w:rPr>
      </w:pPr>
      <w:hyperlink w:anchor="_Toc48220903" w:history="1">
        <w:r w:rsidR="008A2169" w:rsidRPr="0047552E">
          <w:rPr>
            <w:rStyle w:val="Hyperlink"/>
            <w:rFonts w:cs="Arial"/>
            <w:noProof/>
          </w:rPr>
          <w:t>1</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Interpretation</w:t>
        </w:r>
        <w:r w:rsidR="008A2169">
          <w:rPr>
            <w:noProof/>
            <w:webHidden/>
          </w:rPr>
          <w:tab/>
        </w:r>
        <w:r w:rsidR="008A2169">
          <w:rPr>
            <w:noProof/>
            <w:webHidden/>
          </w:rPr>
          <w:fldChar w:fldCharType="begin"/>
        </w:r>
        <w:r w:rsidR="008A2169">
          <w:rPr>
            <w:noProof/>
            <w:webHidden/>
          </w:rPr>
          <w:instrText xml:space="preserve"> PAGEREF _Toc48220903 \h </w:instrText>
        </w:r>
        <w:r w:rsidR="008A2169">
          <w:rPr>
            <w:noProof/>
            <w:webHidden/>
          </w:rPr>
        </w:r>
        <w:r w:rsidR="008A2169">
          <w:rPr>
            <w:noProof/>
            <w:webHidden/>
          </w:rPr>
          <w:fldChar w:fldCharType="separate"/>
        </w:r>
        <w:r w:rsidR="008A2169">
          <w:rPr>
            <w:noProof/>
            <w:webHidden/>
          </w:rPr>
          <w:t>4</w:t>
        </w:r>
        <w:r w:rsidR="008A2169">
          <w:rPr>
            <w:noProof/>
            <w:webHidden/>
          </w:rPr>
          <w:fldChar w:fldCharType="end"/>
        </w:r>
      </w:hyperlink>
    </w:p>
    <w:p w14:paraId="62D0EE6D" w14:textId="79F89566" w:rsidR="008A2169" w:rsidRDefault="008C75D8">
      <w:pPr>
        <w:pStyle w:val="TOC1"/>
        <w:rPr>
          <w:rFonts w:asciiTheme="minorHAnsi" w:eastAsiaTheme="minorEastAsia" w:hAnsiTheme="minorHAnsi" w:cstheme="minorBidi"/>
          <w:caps w:val="0"/>
          <w:noProof/>
          <w:szCs w:val="22"/>
          <w:lang w:eastAsia="en-GB"/>
        </w:rPr>
      </w:pPr>
      <w:hyperlink w:anchor="_Toc48220904" w:history="1">
        <w:r w:rsidR="008A2169" w:rsidRPr="0047552E">
          <w:rPr>
            <w:rStyle w:val="Hyperlink"/>
            <w:rFonts w:cs="Arial"/>
            <w:noProof/>
          </w:rPr>
          <w:t>2</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Basis of Agreement</w:t>
        </w:r>
        <w:r w:rsidR="008A2169">
          <w:rPr>
            <w:noProof/>
            <w:webHidden/>
          </w:rPr>
          <w:tab/>
        </w:r>
        <w:r w:rsidR="008A2169">
          <w:rPr>
            <w:noProof/>
            <w:webHidden/>
          </w:rPr>
          <w:fldChar w:fldCharType="begin"/>
        </w:r>
        <w:r w:rsidR="008A2169">
          <w:rPr>
            <w:noProof/>
            <w:webHidden/>
          </w:rPr>
          <w:instrText xml:space="preserve"> PAGEREF _Toc48220904 \h </w:instrText>
        </w:r>
        <w:r w:rsidR="008A2169">
          <w:rPr>
            <w:noProof/>
            <w:webHidden/>
          </w:rPr>
        </w:r>
        <w:r w:rsidR="008A2169">
          <w:rPr>
            <w:noProof/>
            <w:webHidden/>
          </w:rPr>
          <w:fldChar w:fldCharType="separate"/>
        </w:r>
        <w:r w:rsidR="008A2169">
          <w:rPr>
            <w:noProof/>
            <w:webHidden/>
          </w:rPr>
          <w:t>5</w:t>
        </w:r>
        <w:r w:rsidR="008A2169">
          <w:rPr>
            <w:noProof/>
            <w:webHidden/>
          </w:rPr>
          <w:fldChar w:fldCharType="end"/>
        </w:r>
      </w:hyperlink>
    </w:p>
    <w:p w14:paraId="0457AFC8" w14:textId="7DA3523C" w:rsidR="008A2169" w:rsidRDefault="008C75D8">
      <w:pPr>
        <w:pStyle w:val="TOC1"/>
        <w:rPr>
          <w:rFonts w:asciiTheme="minorHAnsi" w:eastAsiaTheme="minorEastAsia" w:hAnsiTheme="minorHAnsi" w:cstheme="minorBidi"/>
          <w:caps w:val="0"/>
          <w:noProof/>
          <w:szCs w:val="22"/>
          <w:lang w:eastAsia="en-GB"/>
        </w:rPr>
      </w:pPr>
      <w:hyperlink w:anchor="_Toc48220905" w:history="1">
        <w:r w:rsidR="008A2169" w:rsidRPr="0047552E">
          <w:rPr>
            <w:rStyle w:val="Hyperlink"/>
            <w:rFonts w:cs="Arial"/>
            <w:noProof/>
          </w:rPr>
          <w:t>3</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Supply of Services</w:t>
        </w:r>
        <w:r w:rsidR="008A2169">
          <w:rPr>
            <w:noProof/>
            <w:webHidden/>
          </w:rPr>
          <w:tab/>
        </w:r>
        <w:r w:rsidR="008A2169">
          <w:rPr>
            <w:noProof/>
            <w:webHidden/>
          </w:rPr>
          <w:fldChar w:fldCharType="begin"/>
        </w:r>
        <w:r w:rsidR="008A2169">
          <w:rPr>
            <w:noProof/>
            <w:webHidden/>
          </w:rPr>
          <w:instrText xml:space="preserve"> PAGEREF _Toc48220905 \h </w:instrText>
        </w:r>
        <w:r w:rsidR="008A2169">
          <w:rPr>
            <w:noProof/>
            <w:webHidden/>
          </w:rPr>
        </w:r>
        <w:r w:rsidR="008A2169">
          <w:rPr>
            <w:noProof/>
            <w:webHidden/>
          </w:rPr>
          <w:fldChar w:fldCharType="separate"/>
        </w:r>
        <w:r w:rsidR="008A2169">
          <w:rPr>
            <w:noProof/>
            <w:webHidden/>
          </w:rPr>
          <w:t>5</w:t>
        </w:r>
        <w:r w:rsidR="008A2169">
          <w:rPr>
            <w:noProof/>
            <w:webHidden/>
          </w:rPr>
          <w:fldChar w:fldCharType="end"/>
        </w:r>
      </w:hyperlink>
    </w:p>
    <w:p w14:paraId="32FF3983" w14:textId="3AE5DEA1" w:rsidR="008A2169" w:rsidRDefault="008C75D8">
      <w:pPr>
        <w:pStyle w:val="TOC1"/>
        <w:rPr>
          <w:rFonts w:asciiTheme="minorHAnsi" w:eastAsiaTheme="minorEastAsia" w:hAnsiTheme="minorHAnsi" w:cstheme="minorBidi"/>
          <w:caps w:val="0"/>
          <w:noProof/>
          <w:szCs w:val="22"/>
          <w:lang w:eastAsia="en-GB"/>
        </w:rPr>
      </w:pPr>
      <w:hyperlink w:anchor="_Toc48220906" w:history="1">
        <w:r w:rsidR="008A2169" w:rsidRPr="0047552E">
          <w:rPr>
            <w:rStyle w:val="Hyperlink"/>
            <w:rFonts w:cs="Arial"/>
            <w:noProof/>
          </w:rPr>
          <w:t>4</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Term</w:t>
        </w:r>
        <w:r w:rsidR="008A2169">
          <w:rPr>
            <w:noProof/>
            <w:webHidden/>
          </w:rPr>
          <w:tab/>
        </w:r>
        <w:r w:rsidR="008A2169">
          <w:rPr>
            <w:noProof/>
            <w:webHidden/>
          </w:rPr>
          <w:fldChar w:fldCharType="begin"/>
        </w:r>
        <w:r w:rsidR="008A2169">
          <w:rPr>
            <w:noProof/>
            <w:webHidden/>
          </w:rPr>
          <w:instrText xml:space="preserve"> PAGEREF _Toc48220906 \h </w:instrText>
        </w:r>
        <w:r w:rsidR="008A2169">
          <w:rPr>
            <w:noProof/>
            <w:webHidden/>
          </w:rPr>
        </w:r>
        <w:r w:rsidR="008A2169">
          <w:rPr>
            <w:noProof/>
            <w:webHidden/>
          </w:rPr>
          <w:fldChar w:fldCharType="separate"/>
        </w:r>
        <w:r w:rsidR="008A2169">
          <w:rPr>
            <w:noProof/>
            <w:webHidden/>
          </w:rPr>
          <w:t>6</w:t>
        </w:r>
        <w:r w:rsidR="008A2169">
          <w:rPr>
            <w:noProof/>
            <w:webHidden/>
          </w:rPr>
          <w:fldChar w:fldCharType="end"/>
        </w:r>
      </w:hyperlink>
    </w:p>
    <w:p w14:paraId="044E36BA" w14:textId="48C648CE" w:rsidR="008A2169" w:rsidRDefault="008C75D8">
      <w:pPr>
        <w:pStyle w:val="TOC1"/>
        <w:rPr>
          <w:rFonts w:asciiTheme="minorHAnsi" w:eastAsiaTheme="minorEastAsia" w:hAnsiTheme="minorHAnsi" w:cstheme="minorBidi"/>
          <w:caps w:val="0"/>
          <w:noProof/>
          <w:szCs w:val="22"/>
          <w:lang w:eastAsia="en-GB"/>
        </w:rPr>
      </w:pPr>
      <w:hyperlink w:anchor="_Toc48220907" w:history="1">
        <w:r w:rsidR="008A2169" w:rsidRPr="0047552E">
          <w:rPr>
            <w:rStyle w:val="Hyperlink"/>
            <w:rFonts w:cs="Arial"/>
            <w:noProof/>
          </w:rPr>
          <w:t>5</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Charges, Payment and Recovery of Sums Due</w:t>
        </w:r>
        <w:r w:rsidR="008A2169">
          <w:rPr>
            <w:noProof/>
            <w:webHidden/>
          </w:rPr>
          <w:tab/>
        </w:r>
        <w:r w:rsidR="008A2169">
          <w:rPr>
            <w:noProof/>
            <w:webHidden/>
          </w:rPr>
          <w:fldChar w:fldCharType="begin"/>
        </w:r>
        <w:r w:rsidR="008A2169">
          <w:rPr>
            <w:noProof/>
            <w:webHidden/>
          </w:rPr>
          <w:instrText xml:space="preserve"> PAGEREF _Toc48220907 \h </w:instrText>
        </w:r>
        <w:r w:rsidR="008A2169">
          <w:rPr>
            <w:noProof/>
            <w:webHidden/>
          </w:rPr>
        </w:r>
        <w:r w:rsidR="008A2169">
          <w:rPr>
            <w:noProof/>
            <w:webHidden/>
          </w:rPr>
          <w:fldChar w:fldCharType="separate"/>
        </w:r>
        <w:r w:rsidR="008A2169">
          <w:rPr>
            <w:noProof/>
            <w:webHidden/>
          </w:rPr>
          <w:t>6</w:t>
        </w:r>
        <w:r w:rsidR="008A2169">
          <w:rPr>
            <w:noProof/>
            <w:webHidden/>
          </w:rPr>
          <w:fldChar w:fldCharType="end"/>
        </w:r>
      </w:hyperlink>
    </w:p>
    <w:p w14:paraId="479632C5" w14:textId="206C90C2" w:rsidR="008A2169" w:rsidRDefault="008C75D8">
      <w:pPr>
        <w:pStyle w:val="TOC1"/>
        <w:rPr>
          <w:rFonts w:asciiTheme="minorHAnsi" w:eastAsiaTheme="minorEastAsia" w:hAnsiTheme="minorHAnsi" w:cstheme="minorBidi"/>
          <w:caps w:val="0"/>
          <w:noProof/>
          <w:szCs w:val="22"/>
          <w:lang w:eastAsia="en-GB"/>
        </w:rPr>
      </w:pPr>
      <w:hyperlink w:anchor="_Toc48220908" w:history="1">
        <w:r w:rsidR="008A2169" w:rsidRPr="0047552E">
          <w:rPr>
            <w:rStyle w:val="Hyperlink"/>
            <w:rFonts w:cs="Arial"/>
            <w:noProof/>
          </w:rPr>
          <w:t>6</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Premises and equipment</w:t>
        </w:r>
        <w:r w:rsidR="008A2169">
          <w:rPr>
            <w:noProof/>
            <w:webHidden/>
          </w:rPr>
          <w:tab/>
        </w:r>
        <w:r w:rsidR="008A2169">
          <w:rPr>
            <w:noProof/>
            <w:webHidden/>
          </w:rPr>
          <w:fldChar w:fldCharType="begin"/>
        </w:r>
        <w:r w:rsidR="008A2169">
          <w:rPr>
            <w:noProof/>
            <w:webHidden/>
          </w:rPr>
          <w:instrText xml:space="preserve"> PAGEREF _Toc48220908 \h </w:instrText>
        </w:r>
        <w:r w:rsidR="008A2169">
          <w:rPr>
            <w:noProof/>
            <w:webHidden/>
          </w:rPr>
        </w:r>
        <w:r w:rsidR="008A2169">
          <w:rPr>
            <w:noProof/>
            <w:webHidden/>
          </w:rPr>
          <w:fldChar w:fldCharType="separate"/>
        </w:r>
        <w:r w:rsidR="008A2169">
          <w:rPr>
            <w:noProof/>
            <w:webHidden/>
          </w:rPr>
          <w:t>7</w:t>
        </w:r>
        <w:r w:rsidR="008A2169">
          <w:rPr>
            <w:noProof/>
            <w:webHidden/>
          </w:rPr>
          <w:fldChar w:fldCharType="end"/>
        </w:r>
      </w:hyperlink>
    </w:p>
    <w:p w14:paraId="6826880E" w14:textId="7297442F" w:rsidR="008A2169" w:rsidRDefault="008C75D8">
      <w:pPr>
        <w:pStyle w:val="TOC1"/>
        <w:rPr>
          <w:rFonts w:asciiTheme="minorHAnsi" w:eastAsiaTheme="minorEastAsia" w:hAnsiTheme="minorHAnsi" w:cstheme="minorBidi"/>
          <w:caps w:val="0"/>
          <w:noProof/>
          <w:szCs w:val="22"/>
          <w:lang w:eastAsia="en-GB"/>
        </w:rPr>
      </w:pPr>
      <w:hyperlink w:anchor="_Toc48220909" w:history="1">
        <w:r w:rsidR="008A2169" w:rsidRPr="0047552E">
          <w:rPr>
            <w:rStyle w:val="Hyperlink"/>
            <w:rFonts w:cs="Arial"/>
            <w:bCs/>
            <w:noProof/>
          </w:rPr>
          <w:t>7</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Staff and Key Personnel</w:t>
        </w:r>
        <w:r w:rsidR="008A2169">
          <w:rPr>
            <w:noProof/>
            <w:webHidden/>
          </w:rPr>
          <w:tab/>
        </w:r>
        <w:r w:rsidR="008A2169">
          <w:rPr>
            <w:noProof/>
            <w:webHidden/>
          </w:rPr>
          <w:fldChar w:fldCharType="begin"/>
        </w:r>
        <w:r w:rsidR="008A2169">
          <w:rPr>
            <w:noProof/>
            <w:webHidden/>
          </w:rPr>
          <w:instrText xml:space="preserve"> PAGEREF _Toc48220909 \h </w:instrText>
        </w:r>
        <w:r w:rsidR="008A2169">
          <w:rPr>
            <w:noProof/>
            <w:webHidden/>
          </w:rPr>
        </w:r>
        <w:r w:rsidR="008A2169">
          <w:rPr>
            <w:noProof/>
            <w:webHidden/>
          </w:rPr>
          <w:fldChar w:fldCharType="separate"/>
        </w:r>
        <w:r w:rsidR="008A2169">
          <w:rPr>
            <w:noProof/>
            <w:webHidden/>
          </w:rPr>
          <w:t>8</w:t>
        </w:r>
        <w:r w:rsidR="008A2169">
          <w:rPr>
            <w:noProof/>
            <w:webHidden/>
          </w:rPr>
          <w:fldChar w:fldCharType="end"/>
        </w:r>
      </w:hyperlink>
    </w:p>
    <w:p w14:paraId="293E6EC8" w14:textId="63E3094F" w:rsidR="008A2169" w:rsidRDefault="008C75D8">
      <w:pPr>
        <w:pStyle w:val="TOC1"/>
        <w:rPr>
          <w:rFonts w:asciiTheme="minorHAnsi" w:eastAsiaTheme="minorEastAsia" w:hAnsiTheme="minorHAnsi" w:cstheme="minorBidi"/>
          <w:caps w:val="0"/>
          <w:noProof/>
          <w:szCs w:val="22"/>
          <w:lang w:eastAsia="en-GB"/>
        </w:rPr>
      </w:pPr>
      <w:hyperlink w:anchor="_Toc48220910" w:history="1">
        <w:r w:rsidR="008A2169" w:rsidRPr="0047552E">
          <w:rPr>
            <w:rStyle w:val="Hyperlink"/>
            <w:rFonts w:cs="Arial"/>
            <w:noProof/>
          </w:rPr>
          <w:t>8</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Assignment and sub-contracting</w:t>
        </w:r>
        <w:r w:rsidR="008A2169">
          <w:rPr>
            <w:noProof/>
            <w:webHidden/>
          </w:rPr>
          <w:tab/>
        </w:r>
        <w:r w:rsidR="008A2169">
          <w:rPr>
            <w:noProof/>
            <w:webHidden/>
          </w:rPr>
          <w:fldChar w:fldCharType="begin"/>
        </w:r>
        <w:r w:rsidR="008A2169">
          <w:rPr>
            <w:noProof/>
            <w:webHidden/>
          </w:rPr>
          <w:instrText xml:space="preserve"> PAGEREF _Toc48220910 \h </w:instrText>
        </w:r>
        <w:r w:rsidR="008A2169">
          <w:rPr>
            <w:noProof/>
            <w:webHidden/>
          </w:rPr>
        </w:r>
        <w:r w:rsidR="008A2169">
          <w:rPr>
            <w:noProof/>
            <w:webHidden/>
          </w:rPr>
          <w:fldChar w:fldCharType="separate"/>
        </w:r>
        <w:r w:rsidR="008A2169">
          <w:rPr>
            <w:noProof/>
            <w:webHidden/>
          </w:rPr>
          <w:t>8</w:t>
        </w:r>
        <w:r w:rsidR="008A2169">
          <w:rPr>
            <w:noProof/>
            <w:webHidden/>
          </w:rPr>
          <w:fldChar w:fldCharType="end"/>
        </w:r>
      </w:hyperlink>
    </w:p>
    <w:p w14:paraId="5B2CC57F" w14:textId="464273FB" w:rsidR="008A2169" w:rsidRDefault="008C75D8">
      <w:pPr>
        <w:pStyle w:val="TOC1"/>
        <w:rPr>
          <w:rFonts w:asciiTheme="minorHAnsi" w:eastAsiaTheme="minorEastAsia" w:hAnsiTheme="minorHAnsi" w:cstheme="minorBidi"/>
          <w:caps w:val="0"/>
          <w:noProof/>
          <w:szCs w:val="22"/>
          <w:lang w:eastAsia="en-GB"/>
        </w:rPr>
      </w:pPr>
      <w:hyperlink w:anchor="_Toc48220911" w:history="1">
        <w:r w:rsidR="008A2169" w:rsidRPr="0047552E">
          <w:rPr>
            <w:rStyle w:val="Hyperlink"/>
            <w:rFonts w:cs="Arial"/>
            <w:noProof/>
          </w:rPr>
          <w:t>9</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Intellectual Property Rights</w:t>
        </w:r>
        <w:r w:rsidR="008A2169">
          <w:rPr>
            <w:noProof/>
            <w:webHidden/>
          </w:rPr>
          <w:tab/>
        </w:r>
        <w:r w:rsidR="008A2169">
          <w:rPr>
            <w:noProof/>
            <w:webHidden/>
          </w:rPr>
          <w:fldChar w:fldCharType="begin"/>
        </w:r>
        <w:r w:rsidR="008A2169">
          <w:rPr>
            <w:noProof/>
            <w:webHidden/>
          </w:rPr>
          <w:instrText xml:space="preserve"> PAGEREF _Toc48220911 \h </w:instrText>
        </w:r>
        <w:r w:rsidR="008A2169">
          <w:rPr>
            <w:noProof/>
            <w:webHidden/>
          </w:rPr>
        </w:r>
        <w:r w:rsidR="008A2169">
          <w:rPr>
            <w:noProof/>
            <w:webHidden/>
          </w:rPr>
          <w:fldChar w:fldCharType="separate"/>
        </w:r>
        <w:r w:rsidR="008A2169">
          <w:rPr>
            <w:noProof/>
            <w:webHidden/>
          </w:rPr>
          <w:t>9</w:t>
        </w:r>
        <w:r w:rsidR="008A2169">
          <w:rPr>
            <w:noProof/>
            <w:webHidden/>
          </w:rPr>
          <w:fldChar w:fldCharType="end"/>
        </w:r>
      </w:hyperlink>
    </w:p>
    <w:p w14:paraId="5FA186FB" w14:textId="439A8442" w:rsidR="008A2169" w:rsidRDefault="008C75D8">
      <w:pPr>
        <w:pStyle w:val="TOC1"/>
        <w:rPr>
          <w:rFonts w:asciiTheme="minorHAnsi" w:eastAsiaTheme="minorEastAsia" w:hAnsiTheme="minorHAnsi" w:cstheme="minorBidi"/>
          <w:caps w:val="0"/>
          <w:noProof/>
          <w:szCs w:val="22"/>
          <w:lang w:eastAsia="en-GB"/>
        </w:rPr>
      </w:pPr>
      <w:hyperlink w:anchor="_Toc48220912" w:history="1">
        <w:r w:rsidR="008A2169" w:rsidRPr="0047552E">
          <w:rPr>
            <w:rStyle w:val="Hyperlink"/>
            <w:rFonts w:cs="Arial"/>
            <w:noProof/>
          </w:rPr>
          <w:t>10</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Governance and Records</w:t>
        </w:r>
        <w:r w:rsidR="008A2169">
          <w:rPr>
            <w:noProof/>
            <w:webHidden/>
          </w:rPr>
          <w:tab/>
        </w:r>
        <w:r w:rsidR="008A2169">
          <w:rPr>
            <w:noProof/>
            <w:webHidden/>
          </w:rPr>
          <w:fldChar w:fldCharType="begin"/>
        </w:r>
        <w:r w:rsidR="008A2169">
          <w:rPr>
            <w:noProof/>
            <w:webHidden/>
          </w:rPr>
          <w:instrText xml:space="preserve"> PAGEREF _Toc48220912 \h </w:instrText>
        </w:r>
        <w:r w:rsidR="008A2169">
          <w:rPr>
            <w:noProof/>
            <w:webHidden/>
          </w:rPr>
        </w:r>
        <w:r w:rsidR="008A2169">
          <w:rPr>
            <w:noProof/>
            <w:webHidden/>
          </w:rPr>
          <w:fldChar w:fldCharType="separate"/>
        </w:r>
        <w:r w:rsidR="008A2169">
          <w:rPr>
            <w:noProof/>
            <w:webHidden/>
          </w:rPr>
          <w:t>9</w:t>
        </w:r>
        <w:r w:rsidR="008A2169">
          <w:rPr>
            <w:noProof/>
            <w:webHidden/>
          </w:rPr>
          <w:fldChar w:fldCharType="end"/>
        </w:r>
      </w:hyperlink>
    </w:p>
    <w:p w14:paraId="52C42FF6" w14:textId="3DAD9995" w:rsidR="008A2169" w:rsidRDefault="008C75D8">
      <w:pPr>
        <w:pStyle w:val="TOC1"/>
        <w:rPr>
          <w:rFonts w:asciiTheme="minorHAnsi" w:eastAsiaTheme="minorEastAsia" w:hAnsiTheme="minorHAnsi" w:cstheme="minorBidi"/>
          <w:caps w:val="0"/>
          <w:noProof/>
          <w:szCs w:val="22"/>
          <w:lang w:eastAsia="en-GB"/>
        </w:rPr>
      </w:pPr>
      <w:hyperlink w:anchor="_Toc48220913" w:history="1">
        <w:r w:rsidR="008A2169" w:rsidRPr="0047552E">
          <w:rPr>
            <w:rStyle w:val="Hyperlink"/>
            <w:rFonts w:cs="Arial"/>
            <w:noProof/>
          </w:rPr>
          <w:t>11</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Confidentiality, Transparency and Publicity</w:t>
        </w:r>
        <w:r w:rsidR="008A2169">
          <w:rPr>
            <w:noProof/>
            <w:webHidden/>
          </w:rPr>
          <w:tab/>
        </w:r>
        <w:r w:rsidR="008A2169">
          <w:rPr>
            <w:noProof/>
            <w:webHidden/>
          </w:rPr>
          <w:fldChar w:fldCharType="begin"/>
        </w:r>
        <w:r w:rsidR="008A2169">
          <w:rPr>
            <w:noProof/>
            <w:webHidden/>
          </w:rPr>
          <w:instrText xml:space="preserve"> PAGEREF _Toc48220913 \h </w:instrText>
        </w:r>
        <w:r w:rsidR="008A2169">
          <w:rPr>
            <w:noProof/>
            <w:webHidden/>
          </w:rPr>
        </w:r>
        <w:r w:rsidR="008A2169">
          <w:rPr>
            <w:noProof/>
            <w:webHidden/>
          </w:rPr>
          <w:fldChar w:fldCharType="separate"/>
        </w:r>
        <w:r w:rsidR="008A2169">
          <w:rPr>
            <w:noProof/>
            <w:webHidden/>
          </w:rPr>
          <w:t>10</w:t>
        </w:r>
        <w:r w:rsidR="008A2169">
          <w:rPr>
            <w:noProof/>
            <w:webHidden/>
          </w:rPr>
          <w:fldChar w:fldCharType="end"/>
        </w:r>
      </w:hyperlink>
    </w:p>
    <w:p w14:paraId="4B70D5F8" w14:textId="4078C154" w:rsidR="008A2169" w:rsidRDefault="008C75D8">
      <w:pPr>
        <w:pStyle w:val="TOC1"/>
        <w:rPr>
          <w:rFonts w:asciiTheme="minorHAnsi" w:eastAsiaTheme="minorEastAsia" w:hAnsiTheme="minorHAnsi" w:cstheme="minorBidi"/>
          <w:caps w:val="0"/>
          <w:noProof/>
          <w:szCs w:val="22"/>
          <w:lang w:eastAsia="en-GB"/>
        </w:rPr>
      </w:pPr>
      <w:hyperlink w:anchor="_Toc48220914" w:history="1">
        <w:r w:rsidR="008A2169" w:rsidRPr="0047552E">
          <w:rPr>
            <w:rStyle w:val="Hyperlink"/>
            <w:rFonts w:cs="Arial"/>
            <w:noProof/>
          </w:rPr>
          <w:t>12</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Freedom of Information</w:t>
        </w:r>
        <w:r w:rsidR="008A2169">
          <w:rPr>
            <w:noProof/>
            <w:webHidden/>
          </w:rPr>
          <w:tab/>
        </w:r>
        <w:r w:rsidR="008A2169">
          <w:rPr>
            <w:noProof/>
            <w:webHidden/>
          </w:rPr>
          <w:fldChar w:fldCharType="begin"/>
        </w:r>
        <w:r w:rsidR="008A2169">
          <w:rPr>
            <w:noProof/>
            <w:webHidden/>
          </w:rPr>
          <w:instrText xml:space="preserve"> PAGEREF _Toc48220914 \h </w:instrText>
        </w:r>
        <w:r w:rsidR="008A2169">
          <w:rPr>
            <w:noProof/>
            <w:webHidden/>
          </w:rPr>
        </w:r>
        <w:r w:rsidR="008A2169">
          <w:rPr>
            <w:noProof/>
            <w:webHidden/>
          </w:rPr>
          <w:fldChar w:fldCharType="separate"/>
        </w:r>
        <w:r w:rsidR="008A2169">
          <w:rPr>
            <w:noProof/>
            <w:webHidden/>
          </w:rPr>
          <w:t>11</w:t>
        </w:r>
        <w:r w:rsidR="008A2169">
          <w:rPr>
            <w:noProof/>
            <w:webHidden/>
          </w:rPr>
          <w:fldChar w:fldCharType="end"/>
        </w:r>
      </w:hyperlink>
    </w:p>
    <w:p w14:paraId="42CD709F" w14:textId="0CB7C127" w:rsidR="008A2169" w:rsidRDefault="008C75D8">
      <w:pPr>
        <w:pStyle w:val="TOC1"/>
        <w:rPr>
          <w:rFonts w:asciiTheme="minorHAnsi" w:eastAsiaTheme="minorEastAsia" w:hAnsiTheme="minorHAnsi" w:cstheme="minorBidi"/>
          <w:caps w:val="0"/>
          <w:noProof/>
          <w:szCs w:val="22"/>
          <w:lang w:eastAsia="en-GB"/>
        </w:rPr>
      </w:pPr>
      <w:hyperlink w:anchor="_Toc48220915" w:history="1">
        <w:r w:rsidR="008A2169" w:rsidRPr="0047552E">
          <w:rPr>
            <w:rStyle w:val="Hyperlink"/>
            <w:rFonts w:cs="Arial"/>
            <w:noProof/>
          </w:rPr>
          <w:t>13</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Protection of Personal Data and Security of Data</w:t>
        </w:r>
        <w:r w:rsidR="008A2169">
          <w:rPr>
            <w:noProof/>
            <w:webHidden/>
          </w:rPr>
          <w:tab/>
        </w:r>
        <w:r w:rsidR="008A2169">
          <w:rPr>
            <w:noProof/>
            <w:webHidden/>
          </w:rPr>
          <w:fldChar w:fldCharType="begin"/>
        </w:r>
        <w:r w:rsidR="008A2169">
          <w:rPr>
            <w:noProof/>
            <w:webHidden/>
          </w:rPr>
          <w:instrText xml:space="preserve"> PAGEREF _Toc48220915 \h </w:instrText>
        </w:r>
        <w:r w:rsidR="008A2169">
          <w:rPr>
            <w:noProof/>
            <w:webHidden/>
          </w:rPr>
        </w:r>
        <w:r w:rsidR="008A2169">
          <w:rPr>
            <w:noProof/>
            <w:webHidden/>
          </w:rPr>
          <w:fldChar w:fldCharType="separate"/>
        </w:r>
        <w:r w:rsidR="008A2169">
          <w:rPr>
            <w:noProof/>
            <w:webHidden/>
          </w:rPr>
          <w:t>11</w:t>
        </w:r>
        <w:r w:rsidR="008A2169">
          <w:rPr>
            <w:noProof/>
            <w:webHidden/>
          </w:rPr>
          <w:fldChar w:fldCharType="end"/>
        </w:r>
      </w:hyperlink>
    </w:p>
    <w:p w14:paraId="5E666252" w14:textId="025CAA03" w:rsidR="008A2169" w:rsidRDefault="008C75D8">
      <w:pPr>
        <w:pStyle w:val="TOC1"/>
        <w:rPr>
          <w:rFonts w:asciiTheme="minorHAnsi" w:eastAsiaTheme="minorEastAsia" w:hAnsiTheme="minorHAnsi" w:cstheme="minorBidi"/>
          <w:caps w:val="0"/>
          <w:noProof/>
          <w:szCs w:val="22"/>
          <w:lang w:eastAsia="en-GB"/>
        </w:rPr>
      </w:pPr>
      <w:hyperlink w:anchor="_Toc48220916" w:history="1">
        <w:r w:rsidR="008A2169" w:rsidRPr="0047552E">
          <w:rPr>
            <w:rStyle w:val="Hyperlink"/>
            <w:rFonts w:cs="Arial"/>
            <w:noProof/>
          </w:rPr>
          <w:t>14</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Liability</w:t>
        </w:r>
        <w:r w:rsidR="008A2169">
          <w:rPr>
            <w:noProof/>
            <w:webHidden/>
          </w:rPr>
          <w:tab/>
        </w:r>
        <w:r w:rsidR="008A2169">
          <w:rPr>
            <w:noProof/>
            <w:webHidden/>
          </w:rPr>
          <w:fldChar w:fldCharType="begin"/>
        </w:r>
        <w:r w:rsidR="008A2169">
          <w:rPr>
            <w:noProof/>
            <w:webHidden/>
          </w:rPr>
          <w:instrText xml:space="preserve"> PAGEREF _Toc48220916 \h </w:instrText>
        </w:r>
        <w:r w:rsidR="008A2169">
          <w:rPr>
            <w:noProof/>
            <w:webHidden/>
          </w:rPr>
        </w:r>
        <w:r w:rsidR="008A2169">
          <w:rPr>
            <w:noProof/>
            <w:webHidden/>
          </w:rPr>
          <w:fldChar w:fldCharType="separate"/>
        </w:r>
        <w:r w:rsidR="008A2169">
          <w:rPr>
            <w:noProof/>
            <w:webHidden/>
          </w:rPr>
          <w:t>12</w:t>
        </w:r>
        <w:r w:rsidR="008A2169">
          <w:rPr>
            <w:noProof/>
            <w:webHidden/>
          </w:rPr>
          <w:fldChar w:fldCharType="end"/>
        </w:r>
      </w:hyperlink>
    </w:p>
    <w:p w14:paraId="18D6C679" w14:textId="304442F3" w:rsidR="008A2169" w:rsidRDefault="008C75D8">
      <w:pPr>
        <w:pStyle w:val="TOC1"/>
        <w:rPr>
          <w:rFonts w:asciiTheme="minorHAnsi" w:eastAsiaTheme="minorEastAsia" w:hAnsiTheme="minorHAnsi" w:cstheme="minorBidi"/>
          <w:caps w:val="0"/>
          <w:noProof/>
          <w:szCs w:val="22"/>
          <w:lang w:eastAsia="en-GB"/>
        </w:rPr>
      </w:pPr>
      <w:hyperlink w:anchor="_Toc48220917" w:history="1">
        <w:r w:rsidR="008A2169" w:rsidRPr="0047552E">
          <w:rPr>
            <w:rStyle w:val="Hyperlink"/>
            <w:rFonts w:cs="Arial"/>
            <w:noProof/>
          </w:rPr>
          <w:t>15</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Force Majeure</w:t>
        </w:r>
        <w:r w:rsidR="008A2169">
          <w:rPr>
            <w:noProof/>
            <w:webHidden/>
          </w:rPr>
          <w:tab/>
        </w:r>
        <w:r w:rsidR="008A2169">
          <w:rPr>
            <w:noProof/>
            <w:webHidden/>
          </w:rPr>
          <w:fldChar w:fldCharType="begin"/>
        </w:r>
        <w:r w:rsidR="008A2169">
          <w:rPr>
            <w:noProof/>
            <w:webHidden/>
          </w:rPr>
          <w:instrText xml:space="preserve"> PAGEREF _Toc48220917 \h </w:instrText>
        </w:r>
        <w:r w:rsidR="008A2169">
          <w:rPr>
            <w:noProof/>
            <w:webHidden/>
          </w:rPr>
        </w:r>
        <w:r w:rsidR="008A2169">
          <w:rPr>
            <w:noProof/>
            <w:webHidden/>
          </w:rPr>
          <w:fldChar w:fldCharType="separate"/>
        </w:r>
        <w:r w:rsidR="008A2169">
          <w:rPr>
            <w:noProof/>
            <w:webHidden/>
          </w:rPr>
          <w:t>12</w:t>
        </w:r>
        <w:r w:rsidR="008A2169">
          <w:rPr>
            <w:noProof/>
            <w:webHidden/>
          </w:rPr>
          <w:fldChar w:fldCharType="end"/>
        </w:r>
      </w:hyperlink>
    </w:p>
    <w:p w14:paraId="0288CBE7" w14:textId="17A6C0DC" w:rsidR="008A2169" w:rsidRDefault="008C75D8">
      <w:pPr>
        <w:pStyle w:val="TOC1"/>
        <w:rPr>
          <w:rFonts w:asciiTheme="minorHAnsi" w:eastAsiaTheme="minorEastAsia" w:hAnsiTheme="minorHAnsi" w:cstheme="minorBidi"/>
          <w:caps w:val="0"/>
          <w:noProof/>
          <w:szCs w:val="22"/>
          <w:lang w:eastAsia="en-GB"/>
        </w:rPr>
      </w:pPr>
      <w:hyperlink w:anchor="_Toc48220918" w:history="1">
        <w:r w:rsidR="008A2169" w:rsidRPr="0047552E">
          <w:rPr>
            <w:rStyle w:val="Hyperlink"/>
            <w:rFonts w:cs="Arial"/>
            <w:noProof/>
          </w:rPr>
          <w:t>16</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Termination</w:t>
        </w:r>
        <w:r w:rsidR="008A2169">
          <w:rPr>
            <w:noProof/>
            <w:webHidden/>
          </w:rPr>
          <w:tab/>
        </w:r>
        <w:r w:rsidR="008A2169">
          <w:rPr>
            <w:noProof/>
            <w:webHidden/>
          </w:rPr>
          <w:fldChar w:fldCharType="begin"/>
        </w:r>
        <w:r w:rsidR="008A2169">
          <w:rPr>
            <w:noProof/>
            <w:webHidden/>
          </w:rPr>
          <w:instrText xml:space="preserve"> PAGEREF _Toc48220918 \h </w:instrText>
        </w:r>
        <w:r w:rsidR="008A2169">
          <w:rPr>
            <w:noProof/>
            <w:webHidden/>
          </w:rPr>
        </w:r>
        <w:r w:rsidR="008A2169">
          <w:rPr>
            <w:noProof/>
            <w:webHidden/>
          </w:rPr>
          <w:fldChar w:fldCharType="separate"/>
        </w:r>
        <w:r w:rsidR="008A2169">
          <w:rPr>
            <w:noProof/>
            <w:webHidden/>
          </w:rPr>
          <w:t>12</w:t>
        </w:r>
        <w:r w:rsidR="008A2169">
          <w:rPr>
            <w:noProof/>
            <w:webHidden/>
          </w:rPr>
          <w:fldChar w:fldCharType="end"/>
        </w:r>
      </w:hyperlink>
    </w:p>
    <w:p w14:paraId="55031C62" w14:textId="7EB39541" w:rsidR="008A2169" w:rsidRDefault="008C75D8">
      <w:pPr>
        <w:pStyle w:val="TOC1"/>
        <w:rPr>
          <w:rFonts w:asciiTheme="minorHAnsi" w:eastAsiaTheme="minorEastAsia" w:hAnsiTheme="minorHAnsi" w:cstheme="minorBidi"/>
          <w:caps w:val="0"/>
          <w:noProof/>
          <w:szCs w:val="22"/>
          <w:lang w:eastAsia="en-GB"/>
        </w:rPr>
      </w:pPr>
      <w:hyperlink w:anchor="_Toc48220919" w:history="1">
        <w:r w:rsidR="008A2169" w:rsidRPr="0047552E">
          <w:rPr>
            <w:rStyle w:val="Hyperlink"/>
            <w:rFonts w:cs="Arial"/>
            <w:noProof/>
          </w:rPr>
          <w:t>17</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Compliance</w:t>
        </w:r>
        <w:r w:rsidR="008A2169">
          <w:rPr>
            <w:noProof/>
            <w:webHidden/>
          </w:rPr>
          <w:tab/>
        </w:r>
        <w:r w:rsidR="008A2169">
          <w:rPr>
            <w:noProof/>
            <w:webHidden/>
          </w:rPr>
          <w:fldChar w:fldCharType="begin"/>
        </w:r>
        <w:r w:rsidR="008A2169">
          <w:rPr>
            <w:noProof/>
            <w:webHidden/>
          </w:rPr>
          <w:instrText xml:space="preserve"> PAGEREF _Toc48220919 \h </w:instrText>
        </w:r>
        <w:r w:rsidR="008A2169">
          <w:rPr>
            <w:noProof/>
            <w:webHidden/>
          </w:rPr>
        </w:r>
        <w:r w:rsidR="008A2169">
          <w:rPr>
            <w:noProof/>
            <w:webHidden/>
          </w:rPr>
          <w:fldChar w:fldCharType="separate"/>
        </w:r>
        <w:r w:rsidR="008A2169">
          <w:rPr>
            <w:noProof/>
            <w:webHidden/>
          </w:rPr>
          <w:t>13</w:t>
        </w:r>
        <w:r w:rsidR="008A2169">
          <w:rPr>
            <w:noProof/>
            <w:webHidden/>
          </w:rPr>
          <w:fldChar w:fldCharType="end"/>
        </w:r>
      </w:hyperlink>
    </w:p>
    <w:p w14:paraId="7364AFAC" w14:textId="34103895" w:rsidR="008A2169" w:rsidRDefault="008C75D8">
      <w:pPr>
        <w:pStyle w:val="TOC1"/>
        <w:rPr>
          <w:rFonts w:asciiTheme="minorHAnsi" w:eastAsiaTheme="minorEastAsia" w:hAnsiTheme="minorHAnsi" w:cstheme="minorBidi"/>
          <w:caps w:val="0"/>
          <w:noProof/>
          <w:szCs w:val="22"/>
          <w:lang w:eastAsia="en-GB"/>
        </w:rPr>
      </w:pPr>
      <w:hyperlink w:anchor="_Toc48220920" w:history="1">
        <w:r w:rsidR="008A2169" w:rsidRPr="0047552E">
          <w:rPr>
            <w:rStyle w:val="Hyperlink"/>
            <w:rFonts w:cs="Arial"/>
            <w:noProof/>
          </w:rPr>
          <w:t>18</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Prevention of Fraud and Corruption</w:t>
        </w:r>
        <w:r w:rsidR="008A2169">
          <w:rPr>
            <w:noProof/>
            <w:webHidden/>
          </w:rPr>
          <w:tab/>
        </w:r>
        <w:r w:rsidR="008A2169">
          <w:rPr>
            <w:noProof/>
            <w:webHidden/>
          </w:rPr>
          <w:fldChar w:fldCharType="begin"/>
        </w:r>
        <w:r w:rsidR="008A2169">
          <w:rPr>
            <w:noProof/>
            <w:webHidden/>
          </w:rPr>
          <w:instrText xml:space="preserve"> PAGEREF _Toc48220920 \h </w:instrText>
        </w:r>
        <w:r w:rsidR="008A2169">
          <w:rPr>
            <w:noProof/>
            <w:webHidden/>
          </w:rPr>
        </w:r>
        <w:r w:rsidR="008A2169">
          <w:rPr>
            <w:noProof/>
            <w:webHidden/>
          </w:rPr>
          <w:fldChar w:fldCharType="separate"/>
        </w:r>
        <w:r w:rsidR="008A2169">
          <w:rPr>
            <w:noProof/>
            <w:webHidden/>
          </w:rPr>
          <w:t>14</w:t>
        </w:r>
        <w:r w:rsidR="008A2169">
          <w:rPr>
            <w:noProof/>
            <w:webHidden/>
          </w:rPr>
          <w:fldChar w:fldCharType="end"/>
        </w:r>
      </w:hyperlink>
    </w:p>
    <w:p w14:paraId="78B442AE" w14:textId="6EAB76B7" w:rsidR="008A2169" w:rsidRDefault="008C75D8">
      <w:pPr>
        <w:pStyle w:val="TOC1"/>
        <w:rPr>
          <w:rFonts w:asciiTheme="minorHAnsi" w:eastAsiaTheme="minorEastAsia" w:hAnsiTheme="minorHAnsi" w:cstheme="minorBidi"/>
          <w:caps w:val="0"/>
          <w:noProof/>
          <w:szCs w:val="22"/>
          <w:lang w:eastAsia="en-GB"/>
        </w:rPr>
      </w:pPr>
      <w:hyperlink w:anchor="_Toc48220921" w:history="1">
        <w:r w:rsidR="008A2169" w:rsidRPr="0047552E">
          <w:rPr>
            <w:rStyle w:val="Hyperlink"/>
            <w:rFonts w:cs="Arial"/>
            <w:noProof/>
          </w:rPr>
          <w:t>19</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Dispute Resolution</w:t>
        </w:r>
        <w:r w:rsidR="008A2169">
          <w:rPr>
            <w:noProof/>
            <w:webHidden/>
          </w:rPr>
          <w:tab/>
        </w:r>
        <w:r w:rsidR="008A2169">
          <w:rPr>
            <w:noProof/>
            <w:webHidden/>
          </w:rPr>
          <w:fldChar w:fldCharType="begin"/>
        </w:r>
        <w:r w:rsidR="008A2169">
          <w:rPr>
            <w:noProof/>
            <w:webHidden/>
          </w:rPr>
          <w:instrText xml:space="preserve"> PAGEREF _Toc48220921 \h </w:instrText>
        </w:r>
        <w:r w:rsidR="008A2169">
          <w:rPr>
            <w:noProof/>
            <w:webHidden/>
          </w:rPr>
        </w:r>
        <w:r w:rsidR="008A2169">
          <w:rPr>
            <w:noProof/>
            <w:webHidden/>
          </w:rPr>
          <w:fldChar w:fldCharType="separate"/>
        </w:r>
        <w:r w:rsidR="008A2169">
          <w:rPr>
            <w:noProof/>
            <w:webHidden/>
          </w:rPr>
          <w:t>14</w:t>
        </w:r>
        <w:r w:rsidR="008A2169">
          <w:rPr>
            <w:noProof/>
            <w:webHidden/>
          </w:rPr>
          <w:fldChar w:fldCharType="end"/>
        </w:r>
      </w:hyperlink>
    </w:p>
    <w:p w14:paraId="366F0E50" w14:textId="5D6C4511" w:rsidR="008A2169" w:rsidRDefault="008C75D8">
      <w:pPr>
        <w:pStyle w:val="TOC1"/>
        <w:rPr>
          <w:rFonts w:asciiTheme="minorHAnsi" w:eastAsiaTheme="minorEastAsia" w:hAnsiTheme="minorHAnsi" w:cstheme="minorBidi"/>
          <w:caps w:val="0"/>
          <w:noProof/>
          <w:szCs w:val="22"/>
          <w:lang w:eastAsia="en-GB"/>
        </w:rPr>
      </w:pPr>
      <w:hyperlink w:anchor="_Toc48220922" w:history="1">
        <w:r w:rsidR="008A2169" w:rsidRPr="0047552E">
          <w:rPr>
            <w:rStyle w:val="Hyperlink"/>
            <w:rFonts w:cs="Arial"/>
            <w:noProof/>
          </w:rPr>
          <w:t>20</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General</w:t>
        </w:r>
        <w:r w:rsidR="008A2169">
          <w:rPr>
            <w:noProof/>
            <w:webHidden/>
          </w:rPr>
          <w:tab/>
        </w:r>
        <w:r w:rsidR="008A2169">
          <w:rPr>
            <w:noProof/>
            <w:webHidden/>
          </w:rPr>
          <w:fldChar w:fldCharType="begin"/>
        </w:r>
        <w:r w:rsidR="008A2169">
          <w:rPr>
            <w:noProof/>
            <w:webHidden/>
          </w:rPr>
          <w:instrText xml:space="preserve"> PAGEREF _Toc48220922 \h </w:instrText>
        </w:r>
        <w:r w:rsidR="008A2169">
          <w:rPr>
            <w:noProof/>
            <w:webHidden/>
          </w:rPr>
        </w:r>
        <w:r w:rsidR="008A2169">
          <w:rPr>
            <w:noProof/>
            <w:webHidden/>
          </w:rPr>
          <w:fldChar w:fldCharType="separate"/>
        </w:r>
        <w:r w:rsidR="008A2169">
          <w:rPr>
            <w:noProof/>
            <w:webHidden/>
          </w:rPr>
          <w:t>15</w:t>
        </w:r>
        <w:r w:rsidR="008A2169">
          <w:rPr>
            <w:noProof/>
            <w:webHidden/>
          </w:rPr>
          <w:fldChar w:fldCharType="end"/>
        </w:r>
      </w:hyperlink>
    </w:p>
    <w:p w14:paraId="5D84EBB4" w14:textId="00803A61" w:rsidR="008A2169" w:rsidRDefault="008C75D8">
      <w:pPr>
        <w:pStyle w:val="TOC1"/>
        <w:rPr>
          <w:rFonts w:asciiTheme="minorHAnsi" w:eastAsiaTheme="minorEastAsia" w:hAnsiTheme="minorHAnsi" w:cstheme="minorBidi"/>
          <w:caps w:val="0"/>
          <w:noProof/>
          <w:szCs w:val="22"/>
          <w:lang w:eastAsia="en-GB"/>
        </w:rPr>
      </w:pPr>
      <w:hyperlink w:anchor="_Toc48220923" w:history="1">
        <w:r w:rsidR="008A2169" w:rsidRPr="0047552E">
          <w:rPr>
            <w:rStyle w:val="Hyperlink"/>
            <w:rFonts w:cs="Arial"/>
            <w:noProof/>
          </w:rPr>
          <w:t>21</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Notices</w:t>
        </w:r>
        <w:r w:rsidR="008A2169">
          <w:rPr>
            <w:noProof/>
            <w:webHidden/>
          </w:rPr>
          <w:tab/>
        </w:r>
        <w:r w:rsidR="008A2169">
          <w:rPr>
            <w:noProof/>
            <w:webHidden/>
          </w:rPr>
          <w:fldChar w:fldCharType="begin"/>
        </w:r>
        <w:r w:rsidR="008A2169">
          <w:rPr>
            <w:noProof/>
            <w:webHidden/>
          </w:rPr>
          <w:instrText xml:space="preserve"> PAGEREF _Toc48220923 \h </w:instrText>
        </w:r>
        <w:r w:rsidR="008A2169">
          <w:rPr>
            <w:noProof/>
            <w:webHidden/>
          </w:rPr>
        </w:r>
        <w:r w:rsidR="008A2169">
          <w:rPr>
            <w:noProof/>
            <w:webHidden/>
          </w:rPr>
          <w:fldChar w:fldCharType="separate"/>
        </w:r>
        <w:r w:rsidR="008A2169">
          <w:rPr>
            <w:noProof/>
            <w:webHidden/>
          </w:rPr>
          <w:t>15</w:t>
        </w:r>
        <w:r w:rsidR="008A2169">
          <w:rPr>
            <w:noProof/>
            <w:webHidden/>
          </w:rPr>
          <w:fldChar w:fldCharType="end"/>
        </w:r>
      </w:hyperlink>
    </w:p>
    <w:p w14:paraId="4F532DA9" w14:textId="4BC31B27" w:rsidR="008A2169" w:rsidRDefault="008C75D8">
      <w:pPr>
        <w:pStyle w:val="TOC1"/>
        <w:rPr>
          <w:rFonts w:asciiTheme="minorHAnsi" w:eastAsiaTheme="minorEastAsia" w:hAnsiTheme="minorHAnsi" w:cstheme="minorBidi"/>
          <w:caps w:val="0"/>
          <w:noProof/>
          <w:szCs w:val="22"/>
          <w:lang w:eastAsia="en-GB"/>
        </w:rPr>
      </w:pPr>
      <w:hyperlink w:anchor="_Toc48220924" w:history="1">
        <w:r w:rsidR="008A2169" w:rsidRPr="0047552E">
          <w:rPr>
            <w:rStyle w:val="Hyperlink"/>
            <w:rFonts w:cs="Arial"/>
            <w:noProof/>
          </w:rPr>
          <w:t>22</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Governing Law and Jurisdiction</w:t>
        </w:r>
        <w:r w:rsidR="008A2169">
          <w:rPr>
            <w:noProof/>
            <w:webHidden/>
          </w:rPr>
          <w:tab/>
        </w:r>
        <w:r w:rsidR="008A2169">
          <w:rPr>
            <w:noProof/>
            <w:webHidden/>
          </w:rPr>
          <w:fldChar w:fldCharType="begin"/>
        </w:r>
        <w:r w:rsidR="008A2169">
          <w:rPr>
            <w:noProof/>
            <w:webHidden/>
          </w:rPr>
          <w:instrText xml:space="preserve"> PAGEREF _Toc48220924 \h </w:instrText>
        </w:r>
        <w:r w:rsidR="008A2169">
          <w:rPr>
            <w:noProof/>
            <w:webHidden/>
          </w:rPr>
        </w:r>
        <w:r w:rsidR="008A2169">
          <w:rPr>
            <w:noProof/>
            <w:webHidden/>
          </w:rPr>
          <w:fldChar w:fldCharType="separate"/>
        </w:r>
        <w:r w:rsidR="008A2169">
          <w:rPr>
            <w:noProof/>
            <w:webHidden/>
          </w:rPr>
          <w:t>16</w:t>
        </w:r>
        <w:r w:rsidR="008A2169">
          <w:rPr>
            <w:noProof/>
            <w:webHidden/>
          </w:rPr>
          <w:fldChar w:fldCharType="end"/>
        </w:r>
      </w:hyperlink>
    </w:p>
    <w:p w14:paraId="450B7AFF" w14:textId="1F911280" w:rsidR="008A2169" w:rsidRDefault="008C75D8">
      <w:pPr>
        <w:pStyle w:val="TOC1"/>
        <w:rPr>
          <w:rFonts w:asciiTheme="minorHAnsi" w:eastAsiaTheme="minorEastAsia" w:hAnsiTheme="minorHAnsi" w:cstheme="minorBidi"/>
          <w:caps w:val="0"/>
          <w:noProof/>
          <w:szCs w:val="22"/>
          <w:lang w:eastAsia="en-GB"/>
        </w:rPr>
      </w:pPr>
      <w:hyperlink w:anchor="_Toc48220925" w:history="1">
        <w:r w:rsidR="008A2169" w:rsidRPr="0047552E">
          <w:rPr>
            <w:rStyle w:val="Hyperlink"/>
            <w:rFonts w:eastAsia="Times New Roman"/>
            <w:b/>
            <w:noProof/>
            <w:lang w:eastAsia="en-US"/>
          </w:rPr>
          <w:t>ANNEX 2 – PRICE SCHEDULE</w:t>
        </w:r>
        <w:r w:rsidR="008A2169">
          <w:rPr>
            <w:noProof/>
            <w:webHidden/>
          </w:rPr>
          <w:tab/>
        </w:r>
        <w:r w:rsidR="008A2169">
          <w:rPr>
            <w:noProof/>
            <w:webHidden/>
          </w:rPr>
          <w:fldChar w:fldCharType="begin"/>
        </w:r>
        <w:r w:rsidR="008A2169">
          <w:rPr>
            <w:noProof/>
            <w:webHidden/>
          </w:rPr>
          <w:instrText xml:space="preserve"> PAGEREF _Toc48220925 \h </w:instrText>
        </w:r>
        <w:r w:rsidR="008A2169">
          <w:rPr>
            <w:noProof/>
            <w:webHidden/>
          </w:rPr>
        </w:r>
        <w:r w:rsidR="008A2169">
          <w:rPr>
            <w:noProof/>
            <w:webHidden/>
          </w:rPr>
          <w:fldChar w:fldCharType="separate"/>
        </w:r>
        <w:r w:rsidR="008A2169">
          <w:rPr>
            <w:noProof/>
            <w:webHidden/>
          </w:rPr>
          <w:t>17</w:t>
        </w:r>
        <w:r w:rsidR="008A2169">
          <w:rPr>
            <w:noProof/>
            <w:webHidden/>
          </w:rPr>
          <w:fldChar w:fldCharType="end"/>
        </w:r>
      </w:hyperlink>
    </w:p>
    <w:p w14:paraId="647A50DE" w14:textId="0EB97A78" w:rsidR="008A2169" w:rsidRDefault="008C75D8">
      <w:pPr>
        <w:pStyle w:val="TOC1"/>
        <w:rPr>
          <w:rFonts w:asciiTheme="minorHAnsi" w:eastAsiaTheme="minorEastAsia" w:hAnsiTheme="minorHAnsi" w:cstheme="minorBidi"/>
          <w:caps w:val="0"/>
          <w:noProof/>
          <w:szCs w:val="22"/>
          <w:lang w:eastAsia="en-GB"/>
        </w:rPr>
      </w:pPr>
      <w:hyperlink w:anchor="_Toc48220926" w:history="1">
        <w:r w:rsidR="008A2169" w:rsidRPr="0047552E">
          <w:rPr>
            <w:rStyle w:val="Hyperlink"/>
            <w:rFonts w:eastAsia="Times New Roman"/>
            <w:b/>
            <w:noProof/>
            <w:lang w:eastAsia="en-US"/>
          </w:rPr>
          <w:t>ANNEX 3 – STATEMENT OF REQUIREMENTS</w:t>
        </w:r>
        <w:r w:rsidR="008A2169">
          <w:rPr>
            <w:noProof/>
            <w:webHidden/>
          </w:rPr>
          <w:tab/>
        </w:r>
        <w:r w:rsidR="008A2169">
          <w:rPr>
            <w:noProof/>
            <w:webHidden/>
          </w:rPr>
          <w:fldChar w:fldCharType="begin"/>
        </w:r>
        <w:r w:rsidR="008A2169">
          <w:rPr>
            <w:noProof/>
            <w:webHidden/>
          </w:rPr>
          <w:instrText xml:space="preserve"> PAGEREF _Toc48220926 \h </w:instrText>
        </w:r>
        <w:r w:rsidR="008A2169">
          <w:rPr>
            <w:noProof/>
            <w:webHidden/>
          </w:rPr>
        </w:r>
        <w:r w:rsidR="008A2169">
          <w:rPr>
            <w:noProof/>
            <w:webHidden/>
          </w:rPr>
          <w:fldChar w:fldCharType="separate"/>
        </w:r>
        <w:r w:rsidR="008A2169">
          <w:rPr>
            <w:noProof/>
            <w:webHidden/>
          </w:rPr>
          <w:t>18</w:t>
        </w:r>
        <w:r w:rsidR="008A2169">
          <w:rPr>
            <w:noProof/>
            <w:webHidden/>
          </w:rPr>
          <w:fldChar w:fldCharType="end"/>
        </w:r>
      </w:hyperlink>
    </w:p>
    <w:p w14:paraId="437D3262" w14:textId="16539546" w:rsidR="008A2169" w:rsidRDefault="008C75D8">
      <w:pPr>
        <w:pStyle w:val="TOC1"/>
        <w:rPr>
          <w:rFonts w:asciiTheme="minorHAnsi" w:eastAsiaTheme="minorEastAsia" w:hAnsiTheme="minorHAnsi" w:cstheme="minorBidi"/>
          <w:caps w:val="0"/>
          <w:noProof/>
          <w:szCs w:val="22"/>
          <w:lang w:eastAsia="en-GB"/>
        </w:rPr>
      </w:pPr>
      <w:hyperlink w:anchor="_Toc48220927" w:history="1">
        <w:r w:rsidR="008A2169" w:rsidRPr="0047552E">
          <w:rPr>
            <w:rStyle w:val="Hyperlink"/>
            <w:noProof/>
          </w:rPr>
          <w:t>1.</w:t>
        </w:r>
        <w:r w:rsidR="008A2169">
          <w:rPr>
            <w:rFonts w:asciiTheme="minorHAnsi" w:eastAsiaTheme="minorEastAsia" w:hAnsiTheme="minorHAnsi" w:cstheme="minorBidi"/>
            <w:caps w:val="0"/>
            <w:noProof/>
            <w:szCs w:val="22"/>
            <w:lang w:eastAsia="en-GB"/>
          </w:rPr>
          <w:tab/>
        </w:r>
        <w:r w:rsidR="008A2169" w:rsidRPr="0047552E">
          <w:rPr>
            <w:rStyle w:val="Hyperlink"/>
            <w:noProof/>
          </w:rPr>
          <w:t>PURPOSE</w:t>
        </w:r>
        <w:r w:rsidR="008A2169">
          <w:rPr>
            <w:noProof/>
            <w:webHidden/>
          </w:rPr>
          <w:tab/>
        </w:r>
        <w:r w:rsidR="008A2169">
          <w:rPr>
            <w:noProof/>
            <w:webHidden/>
          </w:rPr>
          <w:fldChar w:fldCharType="begin"/>
        </w:r>
        <w:r w:rsidR="008A2169">
          <w:rPr>
            <w:noProof/>
            <w:webHidden/>
          </w:rPr>
          <w:instrText xml:space="preserve"> PAGEREF _Toc48220927 \h </w:instrText>
        </w:r>
        <w:r w:rsidR="008A2169">
          <w:rPr>
            <w:noProof/>
            <w:webHidden/>
          </w:rPr>
        </w:r>
        <w:r w:rsidR="008A2169">
          <w:rPr>
            <w:noProof/>
            <w:webHidden/>
          </w:rPr>
          <w:fldChar w:fldCharType="separate"/>
        </w:r>
        <w:r w:rsidR="008A2169">
          <w:rPr>
            <w:noProof/>
            <w:webHidden/>
          </w:rPr>
          <w:t>19</w:t>
        </w:r>
        <w:r w:rsidR="008A2169">
          <w:rPr>
            <w:noProof/>
            <w:webHidden/>
          </w:rPr>
          <w:fldChar w:fldCharType="end"/>
        </w:r>
      </w:hyperlink>
    </w:p>
    <w:p w14:paraId="3502BC5C" w14:textId="316F0FF1" w:rsidR="008A2169" w:rsidRDefault="008C75D8">
      <w:pPr>
        <w:pStyle w:val="TOC1"/>
        <w:rPr>
          <w:rFonts w:asciiTheme="minorHAnsi" w:eastAsiaTheme="minorEastAsia" w:hAnsiTheme="minorHAnsi" w:cstheme="minorBidi"/>
          <w:caps w:val="0"/>
          <w:noProof/>
          <w:szCs w:val="22"/>
          <w:lang w:eastAsia="en-GB"/>
        </w:rPr>
      </w:pPr>
      <w:hyperlink w:anchor="_Toc48220928" w:history="1">
        <w:r w:rsidR="008A2169" w:rsidRPr="0047552E">
          <w:rPr>
            <w:rStyle w:val="Hyperlink"/>
            <w:noProof/>
          </w:rPr>
          <w:t>2.</w:t>
        </w:r>
        <w:r w:rsidR="008A2169">
          <w:rPr>
            <w:rFonts w:asciiTheme="minorHAnsi" w:eastAsiaTheme="minorEastAsia" w:hAnsiTheme="minorHAnsi" w:cstheme="minorBidi"/>
            <w:caps w:val="0"/>
            <w:noProof/>
            <w:szCs w:val="22"/>
            <w:lang w:eastAsia="en-GB"/>
          </w:rPr>
          <w:tab/>
        </w:r>
        <w:r w:rsidR="008A2169" w:rsidRPr="0047552E">
          <w:rPr>
            <w:rStyle w:val="Hyperlink"/>
            <w:noProof/>
          </w:rPr>
          <w:t>BACKGROUND TO THE CONTRACTING CUSTOMER</w:t>
        </w:r>
        <w:r w:rsidR="008A2169">
          <w:rPr>
            <w:noProof/>
            <w:webHidden/>
          </w:rPr>
          <w:tab/>
        </w:r>
        <w:r w:rsidR="008A2169">
          <w:rPr>
            <w:noProof/>
            <w:webHidden/>
          </w:rPr>
          <w:fldChar w:fldCharType="begin"/>
        </w:r>
        <w:r w:rsidR="008A2169">
          <w:rPr>
            <w:noProof/>
            <w:webHidden/>
          </w:rPr>
          <w:instrText xml:space="preserve"> PAGEREF _Toc48220928 \h </w:instrText>
        </w:r>
        <w:r w:rsidR="008A2169">
          <w:rPr>
            <w:noProof/>
            <w:webHidden/>
          </w:rPr>
        </w:r>
        <w:r w:rsidR="008A2169">
          <w:rPr>
            <w:noProof/>
            <w:webHidden/>
          </w:rPr>
          <w:fldChar w:fldCharType="separate"/>
        </w:r>
        <w:r w:rsidR="008A2169">
          <w:rPr>
            <w:noProof/>
            <w:webHidden/>
          </w:rPr>
          <w:t>19</w:t>
        </w:r>
        <w:r w:rsidR="008A2169">
          <w:rPr>
            <w:noProof/>
            <w:webHidden/>
          </w:rPr>
          <w:fldChar w:fldCharType="end"/>
        </w:r>
      </w:hyperlink>
    </w:p>
    <w:p w14:paraId="4500D855" w14:textId="4FB34134" w:rsidR="008A2169" w:rsidRDefault="008C75D8">
      <w:pPr>
        <w:pStyle w:val="TOC1"/>
        <w:rPr>
          <w:rFonts w:asciiTheme="minorHAnsi" w:eastAsiaTheme="minorEastAsia" w:hAnsiTheme="minorHAnsi" w:cstheme="minorBidi"/>
          <w:caps w:val="0"/>
          <w:noProof/>
          <w:szCs w:val="22"/>
          <w:lang w:eastAsia="en-GB"/>
        </w:rPr>
      </w:pPr>
      <w:hyperlink w:anchor="_Toc48220929" w:history="1">
        <w:r w:rsidR="008A2169" w:rsidRPr="0047552E">
          <w:rPr>
            <w:rStyle w:val="Hyperlink"/>
            <w:noProof/>
          </w:rPr>
          <w:t>3.</w:t>
        </w:r>
        <w:r w:rsidR="008A2169">
          <w:rPr>
            <w:rFonts w:asciiTheme="minorHAnsi" w:eastAsiaTheme="minorEastAsia" w:hAnsiTheme="minorHAnsi" w:cstheme="minorBidi"/>
            <w:caps w:val="0"/>
            <w:noProof/>
            <w:szCs w:val="22"/>
            <w:lang w:eastAsia="en-GB"/>
          </w:rPr>
          <w:tab/>
        </w:r>
        <w:r w:rsidR="008A2169" w:rsidRPr="0047552E">
          <w:rPr>
            <w:rStyle w:val="Hyperlink"/>
            <w:noProof/>
          </w:rPr>
          <w:t>Background to requirement/OVERVIEW of requirement</w:t>
        </w:r>
        <w:r w:rsidR="008A2169">
          <w:rPr>
            <w:noProof/>
            <w:webHidden/>
          </w:rPr>
          <w:tab/>
        </w:r>
        <w:r w:rsidR="008A2169">
          <w:rPr>
            <w:noProof/>
            <w:webHidden/>
          </w:rPr>
          <w:fldChar w:fldCharType="begin"/>
        </w:r>
        <w:r w:rsidR="008A2169">
          <w:rPr>
            <w:noProof/>
            <w:webHidden/>
          </w:rPr>
          <w:instrText xml:space="preserve"> PAGEREF _Toc48220929 \h </w:instrText>
        </w:r>
        <w:r w:rsidR="008A2169">
          <w:rPr>
            <w:noProof/>
            <w:webHidden/>
          </w:rPr>
        </w:r>
        <w:r w:rsidR="008A2169">
          <w:rPr>
            <w:noProof/>
            <w:webHidden/>
          </w:rPr>
          <w:fldChar w:fldCharType="separate"/>
        </w:r>
        <w:r w:rsidR="008A2169">
          <w:rPr>
            <w:noProof/>
            <w:webHidden/>
          </w:rPr>
          <w:t>19</w:t>
        </w:r>
        <w:r w:rsidR="008A2169">
          <w:rPr>
            <w:noProof/>
            <w:webHidden/>
          </w:rPr>
          <w:fldChar w:fldCharType="end"/>
        </w:r>
      </w:hyperlink>
    </w:p>
    <w:p w14:paraId="4C781696" w14:textId="665DA30B" w:rsidR="008A2169" w:rsidRDefault="008C75D8">
      <w:pPr>
        <w:pStyle w:val="TOC1"/>
        <w:rPr>
          <w:rFonts w:asciiTheme="minorHAnsi" w:eastAsiaTheme="minorEastAsia" w:hAnsiTheme="minorHAnsi" w:cstheme="minorBidi"/>
          <w:caps w:val="0"/>
          <w:noProof/>
          <w:szCs w:val="22"/>
          <w:lang w:eastAsia="en-GB"/>
        </w:rPr>
      </w:pPr>
      <w:hyperlink w:anchor="_Toc48220930" w:history="1">
        <w:r w:rsidR="008A2169" w:rsidRPr="0047552E">
          <w:rPr>
            <w:rStyle w:val="Hyperlink"/>
            <w:noProof/>
          </w:rPr>
          <w:t>4.</w:t>
        </w:r>
        <w:r w:rsidR="008A2169">
          <w:rPr>
            <w:rFonts w:asciiTheme="minorHAnsi" w:eastAsiaTheme="minorEastAsia" w:hAnsiTheme="minorHAnsi" w:cstheme="minorBidi"/>
            <w:caps w:val="0"/>
            <w:noProof/>
            <w:szCs w:val="22"/>
            <w:lang w:eastAsia="en-GB"/>
          </w:rPr>
          <w:tab/>
        </w:r>
        <w:r w:rsidR="008A2169" w:rsidRPr="0047552E">
          <w:rPr>
            <w:rStyle w:val="Hyperlink"/>
            <w:noProof/>
          </w:rPr>
          <w:t>definitions</w:t>
        </w:r>
        <w:r w:rsidR="008A2169">
          <w:rPr>
            <w:noProof/>
            <w:webHidden/>
          </w:rPr>
          <w:tab/>
        </w:r>
        <w:r w:rsidR="008A2169">
          <w:rPr>
            <w:noProof/>
            <w:webHidden/>
          </w:rPr>
          <w:fldChar w:fldCharType="begin"/>
        </w:r>
        <w:r w:rsidR="008A2169">
          <w:rPr>
            <w:noProof/>
            <w:webHidden/>
          </w:rPr>
          <w:instrText xml:space="preserve"> PAGEREF _Toc48220930 \h </w:instrText>
        </w:r>
        <w:r w:rsidR="008A2169">
          <w:rPr>
            <w:noProof/>
            <w:webHidden/>
          </w:rPr>
        </w:r>
        <w:r w:rsidR="008A2169">
          <w:rPr>
            <w:noProof/>
            <w:webHidden/>
          </w:rPr>
          <w:fldChar w:fldCharType="separate"/>
        </w:r>
        <w:r w:rsidR="008A2169">
          <w:rPr>
            <w:noProof/>
            <w:webHidden/>
          </w:rPr>
          <w:t>20</w:t>
        </w:r>
        <w:r w:rsidR="008A2169">
          <w:rPr>
            <w:noProof/>
            <w:webHidden/>
          </w:rPr>
          <w:fldChar w:fldCharType="end"/>
        </w:r>
      </w:hyperlink>
    </w:p>
    <w:p w14:paraId="36074CF0" w14:textId="18C944B5" w:rsidR="008A2169" w:rsidRDefault="008C75D8">
      <w:pPr>
        <w:pStyle w:val="TOC1"/>
        <w:rPr>
          <w:rFonts w:asciiTheme="minorHAnsi" w:eastAsiaTheme="minorEastAsia" w:hAnsiTheme="minorHAnsi" w:cstheme="minorBidi"/>
          <w:caps w:val="0"/>
          <w:noProof/>
          <w:szCs w:val="22"/>
          <w:lang w:eastAsia="en-GB"/>
        </w:rPr>
      </w:pPr>
      <w:hyperlink w:anchor="_Toc48220931" w:history="1">
        <w:r w:rsidR="008A2169" w:rsidRPr="0047552E">
          <w:rPr>
            <w:rStyle w:val="Hyperlink"/>
            <w:noProof/>
          </w:rPr>
          <w:t>5.</w:t>
        </w:r>
        <w:r w:rsidR="008A2169">
          <w:rPr>
            <w:rFonts w:asciiTheme="minorHAnsi" w:eastAsiaTheme="minorEastAsia" w:hAnsiTheme="minorHAnsi" w:cstheme="minorBidi"/>
            <w:caps w:val="0"/>
            <w:noProof/>
            <w:szCs w:val="22"/>
            <w:lang w:eastAsia="en-GB"/>
          </w:rPr>
          <w:tab/>
        </w:r>
        <w:r w:rsidR="008A2169" w:rsidRPr="0047552E">
          <w:rPr>
            <w:rStyle w:val="Hyperlink"/>
            <w:noProof/>
          </w:rPr>
          <w:t>scope of requirement</w:t>
        </w:r>
        <w:r w:rsidR="008A2169">
          <w:rPr>
            <w:noProof/>
            <w:webHidden/>
          </w:rPr>
          <w:tab/>
        </w:r>
        <w:r w:rsidR="008A2169">
          <w:rPr>
            <w:noProof/>
            <w:webHidden/>
          </w:rPr>
          <w:fldChar w:fldCharType="begin"/>
        </w:r>
        <w:r w:rsidR="008A2169">
          <w:rPr>
            <w:noProof/>
            <w:webHidden/>
          </w:rPr>
          <w:instrText xml:space="preserve"> PAGEREF _Toc48220931 \h </w:instrText>
        </w:r>
        <w:r w:rsidR="008A2169">
          <w:rPr>
            <w:noProof/>
            <w:webHidden/>
          </w:rPr>
        </w:r>
        <w:r w:rsidR="008A2169">
          <w:rPr>
            <w:noProof/>
            <w:webHidden/>
          </w:rPr>
          <w:fldChar w:fldCharType="separate"/>
        </w:r>
        <w:r w:rsidR="008A2169">
          <w:rPr>
            <w:noProof/>
            <w:webHidden/>
          </w:rPr>
          <w:t>20</w:t>
        </w:r>
        <w:r w:rsidR="008A2169">
          <w:rPr>
            <w:noProof/>
            <w:webHidden/>
          </w:rPr>
          <w:fldChar w:fldCharType="end"/>
        </w:r>
      </w:hyperlink>
    </w:p>
    <w:p w14:paraId="511F61DD" w14:textId="7EFA601B" w:rsidR="008A2169" w:rsidRDefault="008C75D8">
      <w:pPr>
        <w:pStyle w:val="TOC1"/>
        <w:rPr>
          <w:rFonts w:asciiTheme="minorHAnsi" w:eastAsiaTheme="minorEastAsia" w:hAnsiTheme="minorHAnsi" w:cstheme="minorBidi"/>
          <w:caps w:val="0"/>
          <w:noProof/>
          <w:szCs w:val="22"/>
          <w:lang w:eastAsia="en-GB"/>
        </w:rPr>
      </w:pPr>
      <w:hyperlink w:anchor="_Toc48220932" w:history="1">
        <w:r w:rsidR="008A2169" w:rsidRPr="0047552E">
          <w:rPr>
            <w:rStyle w:val="Hyperlink"/>
            <w:noProof/>
          </w:rPr>
          <w:t>6.</w:t>
        </w:r>
        <w:r w:rsidR="008A2169">
          <w:rPr>
            <w:rFonts w:asciiTheme="minorHAnsi" w:eastAsiaTheme="minorEastAsia" w:hAnsiTheme="minorHAnsi" w:cstheme="minorBidi"/>
            <w:caps w:val="0"/>
            <w:noProof/>
            <w:szCs w:val="22"/>
            <w:lang w:eastAsia="en-GB"/>
          </w:rPr>
          <w:tab/>
        </w:r>
        <w:r w:rsidR="008A2169" w:rsidRPr="0047552E">
          <w:rPr>
            <w:rStyle w:val="Hyperlink"/>
            <w:noProof/>
          </w:rPr>
          <w:t>The requirement</w:t>
        </w:r>
        <w:r w:rsidR="008A2169">
          <w:rPr>
            <w:noProof/>
            <w:webHidden/>
          </w:rPr>
          <w:tab/>
        </w:r>
        <w:r w:rsidR="008A2169">
          <w:rPr>
            <w:noProof/>
            <w:webHidden/>
          </w:rPr>
          <w:fldChar w:fldCharType="begin"/>
        </w:r>
        <w:r w:rsidR="008A2169">
          <w:rPr>
            <w:noProof/>
            <w:webHidden/>
          </w:rPr>
          <w:instrText xml:space="preserve"> PAGEREF _Toc48220932 \h </w:instrText>
        </w:r>
        <w:r w:rsidR="008A2169">
          <w:rPr>
            <w:noProof/>
            <w:webHidden/>
          </w:rPr>
        </w:r>
        <w:r w:rsidR="008A2169">
          <w:rPr>
            <w:noProof/>
            <w:webHidden/>
          </w:rPr>
          <w:fldChar w:fldCharType="separate"/>
        </w:r>
        <w:r w:rsidR="008A2169">
          <w:rPr>
            <w:noProof/>
            <w:webHidden/>
          </w:rPr>
          <w:t>20</w:t>
        </w:r>
        <w:r w:rsidR="008A2169">
          <w:rPr>
            <w:noProof/>
            <w:webHidden/>
          </w:rPr>
          <w:fldChar w:fldCharType="end"/>
        </w:r>
      </w:hyperlink>
    </w:p>
    <w:p w14:paraId="3BFA2A7C" w14:textId="4E453D9F" w:rsidR="008A2169" w:rsidRDefault="008C75D8">
      <w:pPr>
        <w:pStyle w:val="TOC1"/>
        <w:rPr>
          <w:rFonts w:asciiTheme="minorHAnsi" w:eastAsiaTheme="minorEastAsia" w:hAnsiTheme="minorHAnsi" w:cstheme="minorBidi"/>
          <w:caps w:val="0"/>
          <w:noProof/>
          <w:szCs w:val="22"/>
          <w:lang w:eastAsia="en-GB"/>
        </w:rPr>
      </w:pPr>
      <w:hyperlink w:anchor="_Toc48220933" w:history="1">
        <w:r w:rsidR="008A2169" w:rsidRPr="0047552E">
          <w:rPr>
            <w:rStyle w:val="Hyperlink"/>
            <w:noProof/>
          </w:rPr>
          <w:t>7.</w:t>
        </w:r>
        <w:r w:rsidR="008A2169">
          <w:rPr>
            <w:rFonts w:asciiTheme="minorHAnsi" w:eastAsiaTheme="minorEastAsia" w:hAnsiTheme="minorHAnsi" w:cstheme="minorBidi"/>
            <w:caps w:val="0"/>
            <w:noProof/>
            <w:szCs w:val="22"/>
            <w:lang w:eastAsia="en-GB"/>
          </w:rPr>
          <w:tab/>
        </w:r>
        <w:r w:rsidR="008A2169" w:rsidRPr="0047552E">
          <w:rPr>
            <w:rStyle w:val="Hyperlink"/>
            <w:noProof/>
          </w:rPr>
          <w:t>key milestones and Deliverables</w:t>
        </w:r>
        <w:r w:rsidR="008A2169">
          <w:rPr>
            <w:noProof/>
            <w:webHidden/>
          </w:rPr>
          <w:tab/>
        </w:r>
        <w:r w:rsidR="008A2169">
          <w:rPr>
            <w:noProof/>
            <w:webHidden/>
          </w:rPr>
          <w:fldChar w:fldCharType="begin"/>
        </w:r>
        <w:r w:rsidR="008A2169">
          <w:rPr>
            <w:noProof/>
            <w:webHidden/>
          </w:rPr>
          <w:instrText xml:space="preserve"> PAGEREF _Toc48220933 \h </w:instrText>
        </w:r>
        <w:r w:rsidR="008A2169">
          <w:rPr>
            <w:noProof/>
            <w:webHidden/>
          </w:rPr>
        </w:r>
        <w:r w:rsidR="008A2169">
          <w:rPr>
            <w:noProof/>
            <w:webHidden/>
          </w:rPr>
          <w:fldChar w:fldCharType="separate"/>
        </w:r>
        <w:r w:rsidR="008A2169">
          <w:rPr>
            <w:noProof/>
            <w:webHidden/>
          </w:rPr>
          <w:t>21</w:t>
        </w:r>
        <w:r w:rsidR="008A2169">
          <w:rPr>
            <w:noProof/>
            <w:webHidden/>
          </w:rPr>
          <w:fldChar w:fldCharType="end"/>
        </w:r>
      </w:hyperlink>
    </w:p>
    <w:p w14:paraId="073CB0AA" w14:textId="51A90F03" w:rsidR="008A2169" w:rsidRDefault="008C75D8">
      <w:pPr>
        <w:pStyle w:val="TOC1"/>
        <w:rPr>
          <w:rFonts w:asciiTheme="minorHAnsi" w:eastAsiaTheme="minorEastAsia" w:hAnsiTheme="minorHAnsi" w:cstheme="minorBidi"/>
          <w:caps w:val="0"/>
          <w:noProof/>
          <w:szCs w:val="22"/>
          <w:lang w:eastAsia="en-GB"/>
        </w:rPr>
      </w:pPr>
      <w:hyperlink w:anchor="_Toc48220934" w:history="1">
        <w:r w:rsidR="008A2169" w:rsidRPr="0047552E">
          <w:rPr>
            <w:rStyle w:val="Hyperlink"/>
            <w:rFonts w:cs="Arial"/>
            <w:noProof/>
          </w:rPr>
          <w:t>8.</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MANAGEMENT INFORMATION/reporting</w:t>
        </w:r>
        <w:r w:rsidR="008A2169">
          <w:rPr>
            <w:noProof/>
            <w:webHidden/>
          </w:rPr>
          <w:tab/>
        </w:r>
        <w:r w:rsidR="008A2169">
          <w:rPr>
            <w:noProof/>
            <w:webHidden/>
          </w:rPr>
          <w:fldChar w:fldCharType="begin"/>
        </w:r>
        <w:r w:rsidR="008A2169">
          <w:rPr>
            <w:noProof/>
            <w:webHidden/>
          </w:rPr>
          <w:instrText xml:space="preserve"> PAGEREF _Toc48220934 \h </w:instrText>
        </w:r>
        <w:r w:rsidR="008A2169">
          <w:rPr>
            <w:noProof/>
            <w:webHidden/>
          </w:rPr>
        </w:r>
        <w:r w:rsidR="008A2169">
          <w:rPr>
            <w:noProof/>
            <w:webHidden/>
          </w:rPr>
          <w:fldChar w:fldCharType="separate"/>
        </w:r>
        <w:r w:rsidR="008A2169">
          <w:rPr>
            <w:noProof/>
            <w:webHidden/>
          </w:rPr>
          <w:t>21</w:t>
        </w:r>
        <w:r w:rsidR="008A2169">
          <w:rPr>
            <w:noProof/>
            <w:webHidden/>
          </w:rPr>
          <w:fldChar w:fldCharType="end"/>
        </w:r>
      </w:hyperlink>
    </w:p>
    <w:p w14:paraId="3E522686" w14:textId="24B18CEA" w:rsidR="008A2169" w:rsidRDefault="008C75D8">
      <w:pPr>
        <w:pStyle w:val="TOC1"/>
        <w:rPr>
          <w:rFonts w:asciiTheme="minorHAnsi" w:eastAsiaTheme="minorEastAsia" w:hAnsiTheme="minorHAnsi" w:cstheme="minorBidi"/>
          <w:caps w:val="0"/>
          <w:noProof/>
          <w:szCs w:val="22"/>
          <w:lang w:eastAsia="en-GB"/>
        </w:rPr>
      </w:pPr>
      <w:hyperlink w:anchor="_Toc48220935" w:history="1">
        <w:r w:rsidR="008A2169" w:rsidRPr="0047552E">
          <w:rPr>
            <w:rStyle w:val="Hyperlink"/>
            <w:rFonts w:cs="Arial"/>
            <w:noProof/>
          </w:rPr>
          <w:t>9.</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continuous improvement</w:t>
        </w:r>
        <w:r w:rsidR="008A2169">
          <w:rPr>
            <w:noProof/>
            <w:webHidden/>
          </w:rPr>
          <w:tab/>
        </w:r>
        <w:r w:rsidR="008A2169">
          <w:rPr>
            <w:noProof/>
            <w:webHidden/>
          </w:rPr>
          <w:fldChar w:fldCharType="begin"/>
        </w:r>
        <w:r w:rsidR="008A2169">
          <w:rPr>
            <w:noProof/>
            <w:webHidden/>
          </w:rPr>
          <w:instrText xml:space="preserve"> PAGEREF _Toc48220935 \h </w:instrText>
        </w:r>
        <w:r w:rsidR="008A2169">
          <w:rPr>
            <w:noProof/>
            <w:webHidden/>
          </w:rPr>
        </w:r>
        <w:r w:rsidR="008A2169">
          <w:rPr>
            <w:noProof/>
            <w:webHidden/>
          </w:rPr>
          <w:fldChar w:fldCharType="separate"/>
        </w:r>
        <w:r w:rsidR="008A2169">
          <w:rPr>
            <w:noProof/>
            <w:webHidden/>
          </w:rPr>
          <w:t>21</w:t>
        </w:r>
        <w:r w:rsidR="008A2169">
          <w:rPr>
            <w:noProof/>
            <w:webHidden/>
          </w:rPr>
          <w:fldChar w:fldCharType="end"/>
        </w:r>
      </w:hyperlink>
    </w:p>
    <w:p w14:paraId="709CC86E" w14:textId="129B57A2" w:rsidR="008A2169" w:rsidRDefault="008C75D8">
      <w:pPr>
        <w:pStyle w:val="TOC1"/>
        <w:rPr>
          <w:rFonts w:asciiTheme="minorHAnsi" w:eastAsiaTheme="minorEastAsia" w:hAnsiTheme="minorHAnsi" w:cstheme="minorBidi"/>
          <w:caps w:val="0"/>
          <w:noProof/>
          <w:szCs w:val="22"/>
          <w:lang w:eastAsia="en-GB"/>
        </w:rPr>
      </w:pPr>
      <w:hyperlink w:anchor="_Toc48220936" w:history="1">
        <w:r w:rsidR="008A2169" w:rsidRPr="0047552E">
          <w:rPr>
            <w:rStyle w:val="Hyperlink"/>
            <w:rFonts w:cs="Arial"/>
            <w:noProof/>
          </w:rPr>
          <w:t>10.</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quality</w:t>
        </w:r>
        <w:r w:rsidR="008A2169">
          <w:rPr>
            <w:noProof/>
            <w:webHidden/>
          </w:rPr>
          <w:tab/>
        </w:r>
        <w:r w:rsidR="008A2169">
          <w:rPr>
            <w:noProof/>
            <w:webHidden/>
          </w:rPr>
          <w:fldChar w:fldCharType="begin"/>
        </w:r>
        <w:r w:rsidR="008A2169">
          <w:rPr>
            <w:noProof/>
            <w:webHidden/>
          </w:rPr>
          <w:instrText xml:space="preserve"> PAGEREF _Toc48220936 \h </w:instrText>
        </w:r>
        <w:r w:rsidR="008A2169">
          <w:rPr>
            <w:noProof/>
            <w:webHidden/>
          </w:rPr>
        </w:r>
        <w:r w:rsidR="008A2169">
          <w:rPr>
            <w:noProof/>
            <w:webHidden/>
          </w:rPr>
          <w:fldChar w:fldCharType="separate"/>
        </w:r>
        <w:r w:rsidR="008A2169">
          <w:rPr>
            <w:noProof/>
            <w:webHidden/>
          </w:rPr>
          <w:t>22</w:t>
        </w:r>
        <w:r w:rsidR="008A2169">
          <w:rPr>
            <w:noProof/>
            <w:webHidden/>
          </w:rPr>
          <w:fldChar w:fldCharType="end"/>
        </w:r>
      </w:hyperlink>
    </w:p>
    <w:p w14:paraId="49C2176D" w14:textId="11A43D1D" w:rsidR="008A2169" w:rsidRDefault="008C75D8">
      <w:pPr>
        <w:pStyle w:val="TOC1"/>
        <w:rPr>
          <w:rFonts w:asciiTheme="minorHAnsi" w:eastAsiaTheme="minorEastAsia" w:hAnsiTheme="minorHAnsi" w:cstheme="minorBidi"/>
          <w:caps w:val="0"/>
          <w:noProof/>
          <w:szCs w:val="22"/>
          <w:lang w:eastAsia="en-GB"/>
        </w:rPr>
      </w:pPr>
      <w:hyperlink w:anchor="_Toc48220937" w:history="1">
        <w:r w:rsidR="008A2169" w:rsidRPr="0047552E">
          <w:rPr>
            <w:rStyle w:val="Hyperlink"/>
            <w:rFonts w:cs="Arial"/>
            <w:noProof/>
          </w:rPr>
          <w:t>11.</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PRICE</w:t>
        </w:r>
        <w:r w:rsidR="008A2169">
          <w:rPr>
            <w:noProof/>
            <w:webHidden/>
          </w:rPr>
          <w:tab/>
        </w:r>
        <w:r w:rsidR="008A2169">
          <w:rPr>
            <w:noProof/>
            <w:webHidden/>
          </w:rPr>
          <w:fldChar w:fldCharType="begin"/>
        </w:r>
        <w:r w:rsidR="008A2169">
          <w:rPr>
            <w:noProof/>
            <w:webHidden/>
          </w:rPr>
          <w:instrText xml:space="preserve"> PAGEREF _Toc48220937 \h </w:instrText>
        </w:r>
        <w:r w:rsidR="008A2169">
          <w:rPr>
            <w:noProof/>
            <w:webHidden/>
          </w:rPr>
        </w:r>
        <w:r w:rsidR="008A2169">
          <w:rPr>
            <w:noProof/>
            <w:webHidden/>
          </w:rPr>
          <w:fldChar w:fldCharType="separate"/>
        </w:r>
        <w:r w:rsidR="008A2169">
          <w:rPr>
            <w:noProof/>
            <w:webHidden/>
          </w:rPr>
          <w:t>22</w:t>
        </w:r>
        <w:r w:rsidR="008A2169">
          <w:rPr>
            <w:noProof/>
            <w:webHidden/>
          </w:rPr>
          <w:fldChar w:fldCharType="end"/>
        </w:r>
      </w:hyperlink>
    </w:p>
    <w:p w14:paraId="360986FE" w14:textId="5FB0F009" w:rsidR="008A2169" w:rsidRDefault="008C75D8">
      <w:pPr>
        <w:pStyle w:val="TOC1"/>
        <w:rPr>
          <w:rFonts w:asciiTheme="minorHAnsi" w:eastAsiaTheme="minorEastAsia" w:hAnsiTheme="minorHAnsi" w:cstheme="minorBidi"/>
          <w:caps w:val="0"/>
          <w:noProof/>
          <w:szCs w:val="22"/>
          <w:lang w:eastAsia="en-GB"/>
        </w:rPr>
      </w:pPr>
      <w:hyperlink w:anchor="_Toc48220938" w:history="1">
        <w:r w:rsidR="008A2169" w:rsidRPr="0047552E">
          <w:rPr>
            <w:rStyle w:val="Hyperlink"/>
            <w:rFonts w:cs="Arial"/>
            <w:noProof/>
          </w:rPr>
          <w:t>12.</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STAFF AND CUSTOMER SERVICE</w:t>
        </w:r>
        <w:r w:rsidR="008A2169">
          <w:rPr>
            <w:noProof/>
            <w:webHidden/>
          </w:rPr>
          <w:tab/>
        </w:r>
        <w:r w:rsidR="008A2169">
          <w:rPr>
            <w:noProof/>
            <w:webHidden/>
          </w:rPr>
          <w:fldChar w:fldCharType="begin"/>
        </w:r>
        <w:r w:rsidR="008A2169">
          <w:rPr>
            <w:noProof/>
            <w:webHidden/>
          </w:rPr>
          <w:instrText xml:space="preserve"> PAGEREF _Toc48220938 \h </w:instrText>
        </w:r>
        <w:r w:rsidR="008A2169">
          <w:rPr>
            <w:noProof/>
            <w:webHidden/>
          </w:rPr>
        </w:r>
        <w:r w:rsidR="008A2169">
          <w:rPr>
            <w:noProof/>
            <w:webHidden/>
          </w:rPr>
          <w:fldChar w:fldCharType="separate"/>
        </w:r>
        <w:r w:rsidR="008A2169">
          <w:rPr>
            <w:noProof/>
            <w:webHidden/>
          </w:rPr>
          <w:t>22</w:t>
        </w:r>
        <w:r w:rsidR="008A2169">
          <w:rPr>
            <w:noProof/>
            <w:webHidden/>
          </w:rPr>
          <w:fldChar w:fldCharType="end"/>
        </w:r>
      </w:hyperlink>
    </w:p>
    <w:p w14:paraId="268C824F" w14:textId="68C3B1A6" w:rsidR="008A2169" w:rsidRDefault="008C75D8">
      <w:pPr>
        <w:pStyle w:val="TOC1"/>
        <w:rPr>
          <w:rFonts w:asciiTheme="minorHAnsi" w:eastAsiaTheme="minorEastAsia" w:hAnsiTheme="minorHAnsi" w:cstheme="minorBidi"/>
          <w:caps w:val="0"/>
          <w:noProof/>
          <w:szCs w:val="22"/>
          <w:lang w:eastAsia="en-GB"/>
        </w:rPr>
      </w:pPr>
      <w:hyperlink w:anchor="_Toc48220939" w:history="1">
        <w:r w:rsidR="008A2169" w:rsidRPr="0047552E">
          <w:rPr>
            <w:rStyle w:val="Hyperlink"/>
            <w:rFonts w:cs="Arial"/>
            <w:noProof/>
          </w:rPr>
          <w:t>13.</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service levels and performance</w:t>
        </w:r>
        <w:r w:rsidR="008A2169">
          <w:rPr>
            <w:noProof/>
            <w:webHidden/>
          </w:rPr>
          <w:tab/>
        </w:r>
        <w:r w:rsidR="008A2169">
          <w:rPr>
            <w:noProof/>
            <w:webHidden/>
          </w:rPr>
          <w:fldChar w:fldCharType="begin"/>
        </w:r>
        <w:r w:rsidR="008A2169">
          <w:rPr>
            <w:noProof/>
            <w:webHidden/>
          </w:rPr>
          <w:instrText xml:space="preserve"> PAGEREF _Toc48220939 \h </w:instrText>
        </w:r>
        <w:r w:rsidR="008A2169">
          <w:rPr>
            <w:noProof/>
            <w:webHidden/>
          </w:rPr>
        </w:r>
        <w:r w:rsidR="008A2169">
          <w:rPr>
            <w:noProof/>
            <w:webHidden/>
          </w:rPr>
          <w:fldChar w:fldCharType="separate"/>
        </w:r>
        <w:r w:rsidR="008A2169">
          <w:rPr>
            <w:noProof/>
            <w:webHidden/>
          </w:rPr>
          <w:t>23</w:t>
        </w:r>
        <w:r w:rsidR="008A2169">
          <w:rPr>
            <w:noProof/>
            <w:webHidden/>
          </w:rPr>
          <w:fldChar w:fldCharType="end"/>
        </w:r>
      </w:hyperlink>
    </w:p>
    <w:p w14:paraId="776FE7D6" w14:textId="4F5EA9AD" w:rsidR="008A2169" w:rsidRDefault="008C75D8">
      <w:pPr>
        <w:pStyle w:val="TOC1"/>
        <w:rPr>
          <w:rFonts w:asciiTheme="minorHAnsi" w:eastAsiaTheme="minorEastAsia" w:hAnsiTheme="minorHAnsi" w:cstheme="minorBidi"/>
          <w:caps w:val="0"/>
          <w:noProof/>
          <w:szCs w:val="22"/>
          <w:lang w:eastAsia="en-GB"/>
        </w:rPr>
      </w:pPr>
      <w:hyperlink w:anchor="_Toc48220940" w:history="1">
        <w:r w:rsidR="008A2169" w:rsidRPr="0047552E">
          <w:rPr>
            <w:rStyle w:val="Hyperlink"/>
            <w:noProof/>
          </w:rPr>
          <w:t>14.</w:t>
        </w:r>
        <w:r w:rsidR="008A2169">
          <w:rPr>
            <w:rFonts w:asciiTheme="minorHAnsi" w:eastAsiaTheme="minorEastAsia" w:hAnsiTheme="minorHAnsi" w:cstheme="minorBidi"/>
            <w:caps w:val="0"/>
            <w:noProof/>
            <w:szCs w:val="22"/>
            <w:lang w:eastAsia="en-GB"/>
          </w:rPr>
          <w:tab/>
        </w:r>
        <w:r w:rsidR="008A2169" w:rsidRPr="0047552E">
          <w:rPr>
            <w:rStyle w:val="Hyperlink"/>
            <w:noProof/>
          </w:rPr>
          <w:t>Security and CONFIDENTIALITY requirements</w:t>
        </w:r>
        <w:r w:rsidR="008A2169">
          <w:rPr>
            <w:noProof/>
            <w:webHidden/>
          </w:rPr>
          <w:tab/>
        </w:r>
        <w:r w:rsidR="008A2169">
          <w:rPr>
            <w:noProof/>
            <w:webHidden/>
          </w:rPr>
          <w:fldChar w:fldCharType="begin"/>
        </w:r>
        <w:r w:rsidR="008A2169">
          <w:rPr>
            <w:noProof/>
            <w:webHidden/>
          </w:rPr>
          <w:instrText xml:space="preserve"> PAGEREF _Toc48220940 \h </w:instrText>
        </w:r>
        <w:r w:rsidR="008A2169">
          <w:rPr>
            <w:noProof/>
            <w:webHidden/>
          </w:rPr>
        </w:r>
        <w:r w:rsidR="008A2169">
          <w:rPr>
            <w:noProof/>
            <w:webHidden/>
          </w:rPr>
          <w:fldChar w:fldCharType="separate"/>
        </w:r>
        <w:r w:rsidR="008A2169">
          <w:rPr>
            <w:noProof/>
            <w:webHidden/>
          </w:rPr>
          <w:t>23</w:t>
        </w:r>
        <w:r w:rsidR="008A2169">
          <w:rPr>
            <w:noProof/>
            <w:webHidden/>
          </w:rPr>
          <w:fldChar w:fldCharType="end"/>
        </w:r>
      </w:hyperlink>
    </w:p>
    <w:p w14:paraId="1B1E0677" w14:textId="4355E9CB" w:rsidR="008A2169" w:rsidRDefault="008C75D8">
      <w:pPr>
        <w:pStyle w:val="TOC1"/>
        <w:rPr>
          <w:rFonts w:asciiTheme="minorHAnsi" w:eastAsiaTheme="minorEastAsia" w:hAnsiTheme="minorHAnsi" w:cstheme="minorBidi"/>
          <w:caps w:val="0"/>
          <w:noProof/>
          <w:szCs w:val="22"/>
          <w:lang w:eastAsia="en-GB"/>
        </w:rPr>
      </w:pPr>
      <w:hyperlink w:anchor="_Toc48220941" w:history="1">
        <w:r w:rsidR="008A2169" w:rsidRPr="0047552E">
          <w:rPr>
            <w:rStyle w:val="Hyperlink"/>
            <w:rFonts w:cs="Arial"/>
            <w:noProof/>
          </w:rPr>
          <w:t>15.</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payment AND INVOICING</w:t>
        </w:r>
        <w:r w:rsidR="008A2169">
          <w:rPr>
            <w:noProof/>
            <w:webHidden/>
          </w:rPr>
          <w:tab/>
        </w:r>
        <w:r w:rsidR="008A2169">
          <w:rPr>
            <w:noProof/>
            <w:webHidden/>
          </w:rPr>
          <w:fldChar w:fldCharType="begin"/>
        </w:r>
        <w:r w:rsidR="008A2169">
          <w:rPr>
            <w:noProof/>
            <w:webHidden/>
          </w:rPr>
          <w:instrText xml:space="preserve"> PAGEREF _Toc48220941 \h </w:instrText>
        </w:r>
        <w:r w:rsidR="008A2169">
          <w:rPr>
            <w:noProof/>
            <w:webHidden/>
          </w:rPr>
        </w:r>
        <w:r w:rsidR="008A2169">
          <w:rPr>
            <w:noProof/>
            <w:webHidden/>
          </w:rPr>
          <w:fldChar w:fldCharType="separate"/>
        </w:r>
        <w:r w:rsidR="008A2169">
          <w:rPr>
            <w:noProof/>
            <w:webHidden/>
          </w:rPr>
          <w:t>23</w:t>
        </w:r>
        <w:r w:rsidR="008A2169">
          <w:rPr>
            <w:noProof/>
            <w:webHidden/>
          </w:rPr>
          <w:fldChar w:fldCharType="end"/>
        </w:r>
      </w:hyperlink>
    </w:p>
    <w:p w14:paraId="69EAB14F" w14:textId="4F816554" w:rsidR="008A2169" w:rsidRDefault="008C75D8">
      <w:pPr>
        <w:pStyle w:val="TOC1"/>
        <w:rPr>
          <w:rFonts w:asciiTheme="minorHAnsi" w:eastAsiaTheme="minorEastAsia" w:hAnsiTheme="minorHAnsi" w:cstheme="minorBidi"/>
          <w:caps w:val="0"/>
          <w:noProof/>
          <w:szCs w:val="22"/>
          <w:lang w:eastAsia="en-GB"/>
        </w:rPr>
      </w:pPr>
      <w:hyperlink w:anchor="_Toc48220942" w:history="1">
        <w:r w:rsidR="008A2169" w:rsidRPr="0047552E">
          <w:rPr>
            <w:rStyle w:val="Hyperlink"/>
            <w:rFonts w:cs="Arial"/>
            <w:noProof/>
          </w:rPr>
          <w:t>16.</w:t>
        </w:r>
        <w:r w:rsidR="008A2169">
          <w:rPr>
            <w:rFonts w:asciiTheme="minorHAnsi" w:eastAsiaTheme="minorEastAsia" w:hAnsiTheme="minorHAnsi" w:cstheme="minorBidi"/>
            <w:caps w:val="0"/>
            <w:noProof/>
            <w:szCs w:val="22"/>
            <w:lang w:eastAsia="en-GB"/>
          </w:rPr>
          <w:tab/>
        </w:r>
        <w:r w:rsidR="008A2169" w:rsidRPr="0047552E">
          <w:rPr>
            <w:rStyle w:val="Hyperlink"/>
            <w:rFonts w:cs="Arial"/>
            <w:noProof/>
          </w:rPr>
          <w:t>CONTRACT MANAGEMENT</w:t>
        </w:r>
        <w:r w:rsidR="008A2169">
          <w:rPr>
            <w:noProof/>
            <w:webHidden/>
          </w:rPr>
          <w:tab/>
        </w:r>
        <w:r w:rsidR="008A2169">
          <w:rPr>
            <w:noProof/>
            <w:webHidden/>
          </w:rPr>
          <w:fldChar w:fldCharType="begin"/>
        </w:r>
        <w:r w:rsidR="008A2169">
          <w:rPr>
            <w:noProof/>
            <w:webHidden/>
          </w:rPr>
          <w:instrText xml:space="preserve"> PAGEREF _Toc48220942 \h </w:instrText>
        </w:r>
        <w:r w:rsidR="008A2169">
          <w:rPr>
            <w:noProof/>
            <w:webHidden/>
          </w:rPr>
        </w:r>
        <w:r w:rsidR="008A2169">
          <w:rPr>
            <w:noProof/>
            <w:webHidden/>
          </w:rPr>
          <w:fldChar w:fldCharType="separate"/>
        </w:r>
        <w:r w:rsidR="008A2169">
          <w:rPr>
            <w:noProof/>
            <w:webHidden/>
          </w:rPr>
          <w:t>23</w:t>
        </w:r>
        <w:r w:rsidR="008A2169">
          <w:rPr>
            <w:noProof/>
            <w:webHidden/>
          </w:rPr>
          <w:fldChar w:fldCharType="end"/>
        </w:r>
      </w:hyperlink>
    </w:p>
    <w:p w14:paraId="6BA118BC" w14:textId="13050E52" w:rsidR="008A2169" w:rsidRDefault="008C75D8">
      <w:pPr>
        <w:pStyle w:val="TOC1"/>
        <w:rPr>
          <w:rFonts w:asciiTheme="minorHAnsi" w:eastAsiaTheme="minorEastAsia" w:hAnsiTheme="minorHAnsi" w:cstheme="minorBidi"/>
          <w:caps w:val="0"/>
          <w:noProof/>
          <w:szCs w:val="22"/>
          <w:lang w:eastAsia="en-GB"/>
        </w:rPr>
      </w:pPr>
      <w:hyperlink w:anchor="_Toc48220943" w:history="1">
        <w:r w:rsidR="008A2169" w:rsidRPr="0047552E">
          <w:rPr>
            <w:rStyle w:val="Hyperlink"/>
            <w:noProof/>
          </w:rPr>
          <w:t>17.</w:t>
        </w:r>
        <w:r w:rsidR="008A2169">
          <w:rPr>
            <w:rFonts w:asciiTheme="minorHAnsi" w:eastAsiaTheme="minorEastAsia" w:hAnsiTheme="minorHAnsi" w:cstheme="minorBidi"/>
            <w:caps w:val="0"/>
            <w:noProof/>
            <w:szCs w:val="22"/>
            <w:lang w:eastAsia="en-GB"/>
          </w:rPr>
          <w:tab/>
        </w:r>
        <w:r w:rsidR="008A2169" w:rsidRPr="0047552E">
          <w:rPr>
            <w:rStyle w:val="Hyperlink"/>
            <w:noProof/>
          </w:rPr>
          <w:t>Location</w:t>
        </w:r>
        <w:r w:rsidR="008A2169">
          <w:rPr>
            <w:noProof/>
            <w:webHidden/>
          </w:rPr>
          <w:tab/>
        </w:r>
        <w:r w:rsidR="008A2169">
          <w:rPr>
            <w:noProof/>
            <w:webHidden/>
          </w:rPr>
          <w:fldChar w:fldCharType="begin"/>
        </w:r>
        <w:r w:rsidR="008A2169">
          <w:rPr>
            <w:noProof/>
            <w:webHidden/>
          </w:rPr>
          <w:instrText xml:space="preserve"> PAGEREF _Toc48220943 \h </w:instrText>
        </w:r>
        <w:r w:rsidR="008A2169">
          <w:rPr>
            <w:noProof/>
            <w:webHidden/>
          </w:rPr>
        </w:r>
        <w:r w:rsidR="008A2169">
          <w:rPr>
            <w:noProof/>
            <w:webHidden/>
          </w:rPr>
          <w:fldChar w:fldCharType="separate"/>
        </w:r>
        <w:r w:rsidR="008A2169">
          <w:rPr>
            <w:noProof/>
            <w:webHidden/>
          </w:rPr>
          <w:t>24</w:t>
        </w:r>
        <w:r w:rsidR="008A2169">
          <w:rPr>
            <w:noProof/>
            <w:webHidden/>
          </w:rPr>
          <w:fldChar w:fldCharType="end"/>
        </w:r>
      </w:hyperlink>
    </w:p>
    <w:p w14:paraId="6C38A69C" w14:textId="4F65F570" w:rsidR="008A2169" w:rsidRDefault="008C75D8" w:rsidP="008A2169">
      <w:pPr>
        <w:pStyle w:val="TOC1"/>
        <w:rPr>
          <w:rFonts w:asciiTheme="minorHAnsi" w:eastAsiaTheme="minorEastAsia" w:hAnsiTheme="minorHAnsi" w:cstheme="minorBidi"/>
          <w:caps w:val="0"/>
          <w:noProof/>
          <w:szCs w:val="22"/>
          <w:lang w:eastAsia="en-GB"/>
        </w:rPr>
      </w:pPr>
      <w:hyperlink w:anchor="_Toc48220944" w:history="1">
        <w:r w:rsidR="008A2169" w:rsidRPr="0047552E">
          <w:rPr>
            <w:rStyle w:val="Hyperlink"/>
            <w:rFonts w:eastAsia="Times New Roman"/>
            <w:b/>
            <w:noProof/>
            <w:lang w:eastAsia="en-US"/>
          </w:rPr>
          <w:t>ANNEX 4 – SUPPLIERS RESPONSE</w:t>
        </w:r>
        <w:r w:rsidR="008A2169">
          <w:rPr>
            <w:noProof/>
            <w:webHidden/>
          </w:rPr>
          <w:tab/>
        </w:r>
        <w:r w:rsidR="008A2169">
          <w:rPr>
            <w:noProof/>
            <w:webHidden/>
          </w:rPr>
          <w:fldChar w:fldCharType="begin"/>
        </w:r>
        <w:r w:rsidR="008A2169">
          <w:rPr>
            <w:noProof/>
            <w:webHidden/>
          </w:rPr>
          <w:instrText xml:space="preserve"> PAGEREF _Toc48220944 \h </w:instrText>
        </w:r>
        <w:r w:rsidR="008A2169">
          <w:rPr>
            <w:noProof/>
            <w:webHidden/>
          </w:rPr>
        </w:r>
        <w:r w:rsidR="008A2169">
          <w:rPr>
            <w:noProof/>
            <w:webHidden/>
          </w:rPr>
          <w:fldChar w:fldCharType="separate"/>
        </w:r>
        <w:r w:rsidR="008A2169">
          <w:rPr>
            <w:noProof/>
            <w:webHidden/>
          </w:rPr>
          <w:t>25</w:t>
        </w:r>
        <w:r w:rsidR="008A2169">
          <w:rPr>
            <w:noProof/>
            <w:webHidden/>
          </w:rPr>
          <w:fldChar w:fldCharType="end"/>
        </w:r>
      </w:hyperlink>
    </w:p>
    <w:p w14:paraId="545C98C5" w14:textId="0F0594ED" w:rsidR="008A2169" w:rsidRDefault="008C75D8">
      <w:pPr>
        <w:pStyle w:val="TOC1"/>
        <w:rPr>
          <w:rFonts w:asciiTheme="minorHAnsi" w:eastAsiaTheme="minorEastAsia" w:hAnsiTheme="minorHAnsi" w:cstheme="minorBidi"/>
          <w:caps w:val="0"/>
          <w:noProof/>
          <w:szCs w:val="22"/>
          <w:lang w:eastAsia="en-GB"/>
        </w:rPr>
      </w:pPr>
      <w:hyperlink w:anchor="_Toc48220946" w:history="1">
        <w:r w:rsidR="008A2169" w:rsidRPr="0047552E">
          <w:rPr>
            <w:rStyle w:val="Hyperlink"/>
            <w:rFonts w:eastAsia="Times New Roman"/>
            <w:b/>
            <w:noProof/>
            <w:lang w:eastAsia="en-US"/>
          </w:rPr>
          <w:t>ANNEX 6 – DATA PROCESSING</w:t>
        </w:r>
        <w:r w:rsidR="008A2169">
          <w:rPr>
            <w:noProof/>
            <w:webHidden/>
          </w:rPr>
          <w:tab/>
        </w:r>
        <w:r w:rsidR="008A2169">
          <w:rPr>
            <w:noProof/>
            <w:webHidden/>
          </w:rPr>
          <w:fldChar w:fldCharType="begin"/>
        </w:r>
        <w:r w:rsidR="008A2169">
          <w:rPr>
            <w:noProof/>
            <w:webHidden/>
          </w:rPr>
          <w:instrText xml:space="preserve"> PAGEREF _Toc48220946 \h </w:instrText>
        </w:r>
        <w:r w:rsidR="008A2169">
          <w:rPr>
            <w:noProof/>
            <w:webHidden/>
          </w:rPr>
        </w:r>
        <w:r w:rsidR="008A2169">
          <w:rPr>
            <w:noProof/>
            <w:webHidden/>
          </w:rPr>
          <w:fldChar w:fldCharType="separate"/>
        </w:r>
        <w:r w:rsidR="008A2169">
          <w:rPr>
            <w:noProof/>
            <w:webHidden/>
          </w:rPr>
          <w:t>30</w:t>
        </w:r>
        <w:r w:rsidR="008A2169">
          <w:rPr>
            <w:noProof/>
            <w:webHidden/>
          </w:rPr>
          <w:fldChar w:fldCharType="end"/>
        </w:r>
      </w:hyperlink>
    </w:p>
    <w:p w14:paraId="7F5D9F32" w14:textId="6CC57BE1" w:rsidR="008A2169" w:rsidRDefault="008C75D8">
      <w:pPr>
        <w:pStyle w:val="TOC1"/>
        <w:rPr>
          <w:rFonts w:asciiTheme="minorHAnsi" w:eastAsiaTheme="minorEastAsia" w:hAnsiTheme="minorHAnsi" w:cstheme="minorBidi"/>
          <w:caps w:val="0"/>
          <w:noProof/>
          <w:szCs w:val="22"/>
          <w:lang w:eastAsia="en-GB"/>
        </w:rPr>
      </w:pPr>
      <w:hyperlink w:anchor="_Toc48220947" w:history="1">
        <w:r w:rsidR="008A2169" w:rsidRPr="0047552E">
          <w:rPr>
            <w:rStyle w:val="Hyperlink"/>
            <w:rFonts w:eastAsia="Times New Roman"/>
            <w:b/>
            <w:noProof/>
            <w:lang w:eastAsia="en-US"/>
          </w:rPr>
          <w:t>ANNEX 7 – CHANGE CONTROL FORMS</w:t>
        </w:r>
        <w:r w:rsidR="008A2169">
          <w:rPr>
            <w:noProof/>
            <w:webHidden/>
          </w:rPr>
          <w:tab/>
        </w:r>
        <w:r w:rsidR="008A2169">
          <w:rPr>
            <w:noProof/>
            <w:webHidden/>
          </w:rPr>
          <w:fldChar w:fldCharType="begin"/>
        </w:r>
        <w:r w:rsidR="008A2169">
          <w:rPr>
            <w:noProof/>
            <w:webHidden/>
          </w:rPr>
          <w:instrText xml:space="preserve"> PAGEREF _Toc48220947 \h </w:instrText>
        </w:r>
        <w:r w:rsidR="008A2169">
          <w:rPr>
            <w:noProof/>
            <w:webHidden/>
          </w:rPr>
        </w:r>
        <w:r w:rsidR="008A2169">
          <w:rPr>
            <w:noProof/>
            <w:webHidden/>
          </w:rPr>
          <w:fldChar w:fldCharType="separate"/>
        </w:r>
        <w:r w:rsidR="008A2169">
          <w:rPr>
            <w:noProof/>
            <w:webHidden/>
          </w:rPr>
          <w:t>40</w:t>
        </w:r>
        <w:r w:rsidR="008A2169">
          <w:rPr>
            <w:noProof/>
            <w:webHidden/>
          </w:rPr>
          <w:fldChar w:fldCharType="end"/>
        </w:r>
      </w:hyperlink>
    </w:p>
    <w:p w14:paraId="75898883" w14:textId="0CD09F46"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8220902"/>
      <w:r w:rsidRPr="003537BB">
        <w:rPr>
          <w:rFonts w:eastAsia="Times New Roman"/>
          <w:b/>
          <w:szCs w:val="22"/>
          <w:lang w:eastAsia="en-US"/>
        </w:rPr>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8220903"/>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8220904"/>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E33C8F" w:rsidRPr="00C33580">
        <w:rPr>
          <w:b w:val="0"/>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8220905"/>
      <w:r w:rsidRPr="006E4A65">
        <w:rPr>
          <w:rFonts w:cs="Arial"/>
          <w:szCs w:val="22"/>
          <w:u w:val="none"/>
        </w:rPr>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8220906"/>
      <w:r w:rsidRPr="006E4A65">
        <w:rPr>
          <w:rFonts w:cs="Arial"/>
          <w:szCs w:val="22"/>
          <w:u w:val="none"/>
        </w:rPr>
        <w:t>Term</w:t>
      </w:r>
      <w:bookmarkEnd w:id="9"/>
    </w:p>
    <w:p w14:paraId="4C3D479A" w14:textId="1F0B021A" w:rsidR="006E4A65" w:rsidRPr="00C33580" w:rsidRDefault="006E4A65" w:rsidP="00C3358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take effect on the Start Date and shall expire on the Expiry Date, unless it is otherwise terminated in accordance with the terms and conditions of the Agreement.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48220907"/>
      <w:r w:rsidRPr="006E4A65">
        <w:rPr>
          <w:rFonts w:cs="Arial"/>
          <w:szCs w:val="22"/>
          <w:u w:val="none"/>
        </w:rPr>
        <w:t>Charges, Payment and Recovery of Sums Due</w:t>
      </w:r>
      <w:bookmarkEnd w:id="10"/>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1" w:name="_Toc48220908"/>
      <w:r w:rsidRPr="006E4A65">
        <w:rPr>
          <w:rFonts w:cs="Arial"/>
          <w:szCs w:val="22"/>
          <w:u w:val="none"/>
        </w:rPr>
        <w:t>Premises and equipment</w:t>
      </w:r>
      <w:bookmarkEnd w:id="11"/>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6" w:name="_Ref377050486"/>
      <w:bookmarkStart w:id="17" w:name="_Toc48220909"/>
      <w:r w:rsidRPr="006E4A65">
        <w:rPr>
          <w:rFonts w:cs="Arial"/>
          <w:szCs w:val="22"/>
          <w:u w:val="none"/>
        </w:rPr>
        <w:t>Staff and Key Personnel</w:t>
      </w:r>
      <w:bookmarkEnd w:id="16"/>
      <w:bookmarkEnd w:id="17"/>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0" w:name="_Toc48220910"/>
      <w:r w:rsidRPr="006E4A65">
        <w:rPr>
          <w:rFonts w:cs="Arial"/>
          <w:szCs w:val="22"/>
          <w:u w:val="none"/>
        </w:rPr>
        <w:t>Assignment and sub-contracting</w:t>
      </w:r>
      <w:bookmarkEnd w:id="20"/>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1" w:name="_Ref377050494"/>
      <w:bookmarkStart w:id="22" w:name="_Toc48220911"/>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5" w:name="_Toc48220912"/>
      <w:bookmarkStart w:id="26" w:name="_Ref243716101"/>
      <w:r w:rsidRPr="006E4A65">
        <w:rPr>
          <w:rFonts w:cs="Arial"/>
          <w:szCs w:val="22"/>
          <w:u w:val="none"/>
        </w:rPr>
        <w:t>Governance and Records</w:t>
      </w:r>
      <w:bookmarkEnd w:id="25"/>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1" w:name="_Ref377050387"/>
      <w:bookmarkStart w:id="32" w:name="_Toc48220913"/>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8" w:name="_Ref261004389"/>
      <w:bookmarkStart w:id="39" w:name="_Toc48220914"/>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0" w:name="_Ref377050406"/>
      <w:bookmarkStart w:id="41" w:name="_Toc48220915"/>
      <w:bookmarkStart w:id="42" w:name="_Ref260838253"/>
      <w:r w:rsidRPr="006E4A65">
        <w:rPr>
          <w:rFonts w:cs="Arial"/>
          <w:szCs w:val="22"/>
          <w:u w:val="none"/>
        </w:rPr>
        <w:t>Protection of Personal Data and Security of Data</w:t>
      </w:r>
      <w:bookmarkEnd w:id="40"/>
      <w:bookmarkEnd w:id="41"/>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2"/>
      <w:bookmarkEnd w:id="43"/>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5" w:name="_Ref377050536"/>
      <w:bookmarkStart w:id="46" w:name="_Toc48220916"/>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1" w:name="_Ref360044784"/>
      <w:bookmarkStart w:id="52" w:name="_Toc48220917"/>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3" w:name="_Ref359655944"/>
      <w:bookmarkStart w:id="54" w:name="_Toc48220918"/>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59"/>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3" w:name="_Ref377050416"/>
      <w:bookmarkStart w:id="64" w:name="_Toc48220919"/>
      <w:r w:rsidRPr="006E4A65">
        <w:rPr>
          <w:rFonts w:cs="Arial"/>
          <w:szCs w:val="22"/>
          <w:u w:val="none"/>
        </w:rPr>
        <w:t>Compliance</w:t>
      </w:r>
      <w:bookmarkEnd w:id="63"/>
      <w:bookmarkEnd w:id="64"/>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8" w:name="_Toc48220920"/>
      <w:r w:rsidRPr="006E4A65">
        <w:rPr>
          <w:rFonts w:cs="Arial"/>
          <w:szCs w:val="22"/>
          <w:u w:val="none"/>
        </w:rPr>
        <w:t>Prevention of Fraud and Corruption</w:t>
      </w:r>
      <w:bookmarkEnd w:id="68"/>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822092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8" w:name="_Toc48220922"/>
      <w:r w:rsidRPr="006E4A65">
        <w:rPr>
          <w:rFonts w:cs="Arial"/>
          <w:szCs w:val="22"/>
          <w:u w:val="none"/>
        </w:rPr>
        <w:t>General</w:t>
      </w:r>
      <w:bookmarkEnd w:id="98"/>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8220923"/>
      <w:r w:rsidRPr="006E4A65">
        <w:rPr>
          <w:rFonts w:cs="Arial"/>
          <w:szCs w:val="22"/>
          <w:u w:val="none"/>
        </w:rPr>
        <w:t>Notices</w:t>
      </w:r>
      <w:bookmarkEnd w:id="100"/>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4" w:name="_Toc48220924"/>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48220925"/>
      <w:r w:rsidRPr="001167A3">
        <w:rPr>
          <w:rFonts w:eastAsia="Times New Roman"/>
          <w:b/>
          <w:szCs w:val="22"/>
          <w:lang w:eastAsia="en-US"/>
        </w:rPr>
        <w:t>ANNEX 2 – PRICE SCHEDULE</w:t>
      </w:r>
      <w:bookmarkEnd w:id="105"/>
    </w:p>
    <w:p w14:paraId="113B0E0B" w14:textId="77777777" w:rsidR="00C33580" w:rsidRDefault="00C33580">
      <w:pPr>
        <w:rPr>
          <w:rFonts w:cs="Arial"/>
          <w:b/>
          <w:szCs w:val="22"/>
        </w:rPr>
      </w:pPr>
    </w:p>
    <w:p w14:paraId="26F16BFB" w14:textId="5854835C" w:rsidR="00C33580" w:rsidRPr="006068CB" w:rsidRDefault="00C33580">
      <w:pPr>
        <w:rPr>
          <w:rFonts w:cs="Arial"/>
          <w:szCs w:val="22"/>
        </w:rPr>
      </w:pPr>
      <w:r w:rsidRPr="006068CB">
        <w:rPr>
          <w:rFonts w:cs="Arial"/>
          <w:szCs w:val="22"/>
        </w:rPr>
        <w:t xml:space="preserve">For the avoidance of doubt, the total Contract value will not exceed £15,000.00 </w:t>
      </w:r>
      <w:r w:rsidRPr="006068CB">
        <w:rPr>
          <w:rFonts w:cs="Arial"/>
          <w:b/>
          <w:szCs w:val="22"/>
        </w:rPr>
        <w:t>inclusive of all expenses and VAT</w:t>
      </w:r>
      <w:r w:rsidRPr="006068CB">
        <w:rPr>
          <w:rFonts w:cs="Arial"/>
          <w:szCs w:val="22"/>
        </w:rPr>
        <w:t xml:space="preserve">. </w:t>
      </w:r>
    </w:p>
    <w:p w14:paraId="08D6F9D2" w14:textId="77777777" w:rsidR="00C33580" w:rsidRDefault="00C33580">
      <w:pPr>
        <w:rPr>
          <w:rFonts w:cs="Arial"/>
          <w:b/>
          <w:szCs w:val="22"/>
        </w:rPr>
      </w:pPr>
    </w:p>
    <w:p w14:paraId="07AFED0D" w14:textId="11224EC0" w:rsidR="00A649DF" w:rsidRPr="00913679" w:rsidRDefault="00EF2366">
      <w:pPr>
        <w:rPr>
          <w:rFonts w:eastAsia="Times New Roman" w:cs="Arial"/>
          <w:b/>
          <w:szCs w:val="22"/>
          <w:lang w:eastAsia="en-US"/>
        </w:rPr>
      </w:pPr>
      <w:r>
        <w:rPr>
          <w:rFonts w:eastAsia="Times New Roman" w:cs="Arial"/>
          <w:lang w:eastAsia="en-GB"/>
        </w:rPr>
        <w:t>REDACTED</w:t>
      </w:r>
      <w:r w:rsidRPr="00913679">
        <w:rPr>
          <w:rFonts w:cs="Arial"/>
          <w:b/>
          <w:szCs w:val="22"/>
        </w:rPr>
        <w:t xml:space="preserve"> </w:t>
      </w:r>
      <w:bookmarkStart w:id="106" w:name="_GoBack"/>
      <w:bookmarkEnd w:id="106"/>
      <w:r w:rsidR="00A649DF"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8220926"/>
      <w:r w:rsidRPr="001167A3">
        <w:rPr>
          <w:rFonts w:eastAsia="Times New Roman"/>
          <w:b/>
          <w:szCs w:val="22"/>
          <w:lang w:eastAsia="en-US"/>
        </w:rPr>
        <w:t>ANNEX 3 – STATEMENT OF REQUIREMENT</w:t>
      </w:r>
      <w:r w:rsidR="00E33C8F">
        <w:rPr>
          <w:rFonts w:eastAsia="Times New Roman"/>
          <w:b/>
          <w:szCs w:val="22"/>
          <w:lang w:eastAsia="en-US"/>
        </w:rPr>
        <w:t>S</w:t>
      </w:r>
      <w:bookmarkEnd w:id="107"/>
    </w:p>
    <w:p w14:paraId="72DD6C8A" w14:textId="77777777" w:rsidR="006068CB" w:rsidRDefault="006068CB" w:rsidP="006068CB">
      <w:pPr>
        <w:pStyle w:val="bodystrongcentred"/>
      </w:pPr>
      <w:r>
        <w:t>CONTENTS</w:t>
      </w:r>
    </w:p>
    <w:p w14:paraId="3399D7E7" w14:textId="77777777" w:rsidR="006068CB" w:rsidRDefault="006068CB" w:rsidP="006068CB"/>
    <w:p w14:paraId="2FFC96CE" w14:textId="77777777" w:rsidR="006068CB" w:rsidRDefault="006068CB" w:rsidP="006068CB">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48034181" w:history="1">
        <w:r w:rsidRPr="00DA4D45">
          <w:rPr>
            <w:rStyle w:val="Hyperlink"/>
            <w:noProof/>
          </w:rPr>
          <w:t>1.</w:t>
        </w:r>
        <w:r>
          <w:rPr>
            <w:rFonts w:asciiTheme="minorHAnsi" w:eastAsiaTheme="minorEastAsia" w:hAnsiTheme="minorHAnsi" w:cstheme="minorBidi"/>
            <w:caps w:val="0"/>
            <w:noProof/>
            <w:szCs w:val="22"/>
            <w:lang w:eastAsia="en-GB"/>
          </w:rPr>
          <w:tab/>
        </w:r>
        <w:r w:rsidRPr="00DA4D45">
          <w:rPr>
            <w:rStyle w:val="Hyperlink"/>
            <w:noProof/>
          </w:rPr>
          <w:t>PURPOSE</w:t>
        </w:r>
        <w:r>
          <w:rPr>
            <w:noProof/>
            <w:webHidden/>
          </w:rPr>
          <w:tab/>
        </w:r>
        <w:r>
          <w:rPr>
            <w:noProof/>
            <w:webHidden/>
          </w:rPr>
          <w:fldChar w:fldCharType="begin"/>
        </w:r>
        <w:r>
          <w:rPr>
            <w:noProof/>
            <w:webHidden/>
          </w:rPr>
          <w:instrText xml:space="preserve"> PAGEREF _Toc48034181 \h </w:instrText>
        </w:r>
        <w:r>
          <w:rPr>
            <w:noProof/>
            <w:webHidden/>
          </w:rPr>
        </w:r>
        <w:r>
          <w:rPr>
            <w:noProof/>
            <w:webHidden/>
          </w:rPr>
          <w:fldChar w:fldCharType="separate"/>
        </w:r>
        <w:r>
          <w:rPr>
            <w:noProof/>
            <w:webHidden/>
          </w:rPr>
          <w:t>2</w:t>
        </w:r>
        <w:r>
          <w:rPr>
            <w:noProof/>
            <w:webHidden/>
          </w:rPr>
          <w:fldChar w:fldCharType="end"/>
        </w:r>
      </w:hyperlink>
    </w:p>
    <w:p w14:paraId="0832272B" w14:textId="77777777" w:rsidR="006068CB" w:rsidRDefault="008C75D8" w:rsidP="006068CB">
      <w:pPr>
        <w:pStyle w:val="TOC1"/>
        <w:rPr>
          <w:rFonts w:asciiTheme="minorHAnsi" w:eastAsiaTheme="minorEastAsia" w:hAnsiTheme="minorHAnsi" w:cstheme="minorBidi"/>
          <w:caps w:val="0"/>
          <w:noProof/>
          <w:szCs w:val="22"/>
          <w:lang w:eastAsia="en-GB"/>
        </w:rPr>
      </w:pPr>
      <w:hyperlink w:anchor="_Toc48034182" w:history="1">
        <w:r w:rsidR="006068CB" w:rsidRPr="00DA4D45">
          <w:rPr>
            <w:rStyle w:val="Hyperlink"/>
            <w:noProof/>
          </w:rPr>
          <w:t>2.</w:t>
        </w:r>
        <w:r w:rsidR="006068CB">
          <w:rPr>
            <w:rFonts w:asciiTheme="minorHAnsi" w:eastAsiaTheme="minorEastAsia" w:hAnsiTheme="minorHAnsi" w:cstheme="minorBidi"/>
            <w:caps w:val="0"/>
            <w:noProof/>
            <w:szCs w:val="22"/>
            <w:lang w:eastAsia="en-GB"/>
          </w:rPr>
          <w:tab/>
        </w:r>
        <w:r w:rsidR="006068CB" w:rsidRPr="00DA4D45">
          <w:rPr>
            <w:rStyle w:val="Hyperlink"/>
            <w:noProof/>
          </w:rPr>
          <w:t>BACKGROUND TO THE CONTRACTING CUSTOMER</w:t>
        </w:r>
        <w:r w:rsidR="006068CB">
          <w:rPr>
            <w:noProof/>
            <w:webHidden/>
          </w:rPr>
          <w:tab/>
        </w:r>
        <w:r w:rsidR="006068CB">
          <w:rPr>
            <w:noProof/>
            <w:webHidden/>
          </w:rPr>
          <w:fldChar w:fldCharType="begin"/>
        </w:r>
        <w:r w:rsidR="006068CB">
          <w:rPr>
            <w:noProof/>
            <w:webHidden/>
          </w:rPr>
          <w:instrText xml:space="preserve"> PAGEREF _Toc48034182 \h </w:instrText>
        </w:r>
        <w:r w:rsidR="006068CB">
          <w:rPr>
            <w:noProof/>
            <w:webHidden/>
          </w:rPr>
        </w:r>
        <w:r w:rsidR="006068CB">
          <w:rPr>
            <w:noProof/>
            <w:webHidden/>
          </w:rPr>
          <w:fldChar w:fldCharType="separate"/>
        </w:r>
        <w:r w:rsidR="006068CB">
          <w:rPr>
            <w:noProof/>
            <w:webHidden/>
          </w:rPr>
          <w:t>2</w:t>
        </w:r>
        <w:r w:rsidR="006068CB">
          <w:rPr>
            <w:noProof/>
            <w:webHidden/>
          </w:rPr>
          <w:fldChar w:fldCharType="end"/>
        </w:r>
      </w:hyperlink>
    </w:p>
    <w:p w14:paraId="0715574B" w14:textId="77777777" w:rsidR="006068CB" w:rsidRDefault="008C75D8" w:rsidP="006068CB">
      <w:pPr>
        <w:pStyle w:val="TOC1"/>
        <w:rPr>
          <w:rFonts w:asciiTheme="minorHAnsi" w:eastAsiaTheme="minorEastAsia" w:hAnsiTheme="minorHAnsi" w:cstheme="minorBidi"/>
          <w:caps w:val="0"/>
          <w:noProof/>
          <w:szCs w:val="22"/>
          <w:lang w:eastAsia="en-GB"/>
        </w:rPr>
      </w:pPr>
      <w:hyperlink w:anchor="_Toc48034183" w:history="1">
        <w:r w:rsidR="006068CB" w:rsidRPr="00DA4D45">
          <w:rPr>
            <w:rStyle w:val="Hyperlink"/>
            <w:noProof/>
          </w:rPr>
          <w:t>3.</w:t>
        </w:r>
        <w:r w:rsidR="006068CB">
          <w:rPr>
            <w:rFonts w:asciiTheme="minorHAnsi" w:eastAsiaTheme="minorEastAsia" w:hAnsiTheme="minorHAnsi" w:cstheme="minorBidi"/>
            <w:caps w:val="0"/>
            <w:noProof/>
            <w:szCs w:val="22"/>
            <w:lang w:eastAsia="en-GB"/>
          </w:rPr>
          <w:tab/>
        </w:r>
        <w:r w:rsidR="006068CB" w:rsidRPr="00DA4D45">
          <w:rPr>
            <w:rStyle w:val="Hyperlink"/>
            <w:noProof/>
          </w:rPr>
          <w:t>Background to requirement/OVERVIEW of requirement</w:t>
        </w:r>
        <w:r w:rsidR="006068CB">
          <w:rPr>
            <w:noProof/>
            <w:webHidden/>
          </w:rPr>
          <w:tab/>
        </w:r>
        <w:r w:rsidR="006068CB">
          <w:rPr>
            <w:noProof/>
            <w:webHidden/>
          </w:rPr>
          <w:fldChar w:fldCharType="begin"/>
        </w:r>
        <w:r w:rsidR="006068CB">
          <w:rPr>
            <w:noProof/>
            <w:webHidden/>
          </w:rPr>
          <w:instrText xml:space="preserve"> PAGEREF _Toc48034183 \h </w:instrText>
        </w:r>
        <w:r w:rsidR="006068CB">
          <w:rPr>
            <w:noProof/>
            <w:webHidden/>
          </w:rPr>
        </w:r>
        <w:r w:rsidR="006068CB">
          <w:rPr>
            <w:noProof/>
            <w:webHidden/>
          </w:rPr>
          <w:fldChar w:fldCharType="separate"/>
        </w:r>
        <w:r w:rsidR="006068CB">
          <w:rPr>
            <w:noProof/>
            <w:webHidden/>
          </w:rPr>
          <w:t>2</w:t>
        </w:r>
        <w:r w:rsidR="006068CB">
          <w:rPr>
            <w:noProof/>
            <w:webHidden/>
          </w:rPr>
          <w:fldChar w:fldCharType="end"/>
        </w:r>
      </w:hyperlink>
    </w:p>
    <w:p w14:paraId="58C29456" w14:textId="77777777" w:rsidR="006068CB" w:rsidRDefault="008C75D8" w:rsidP="006068CB">
      <w:pPr>
        <w:pStyle w:val="TOC1"/>
        <w:rPr>
          <w:rFonts w:asciiTheme="minorHAnsi" w:eastAsiaTheme="minorEastAsia" w:hAnsiTheme="minorHAnsi" w:cstheme="minorBidi"/>
          <w:caps w:val="0"/>
          <w:noProof/>
          <w:szCs w:val="22"/>
          <w:lang w:eastAsia="en-GB"/>
        </w:rPr>
      </w:pPr>
      <w:hyperlink w:anchor="_Toc48034184" w:history="1">
        <w:r w:rsidR="006068CB" w:rsidRPr="00DA4D45">
          <w:rPr>
            <w:rStyle w:val="Hyperlink"/>
            <w:noProof/>
          </w:rPr>
          <w:t>4.</w:t>
        </w:r>
        <w:r w:rsidR="006068CB">
          <w:rPr>
            <w:rFonts w:asciiTheme="minorHAnsi" w:eastAsiaTheme="minorEastAsia" w:hAnsiTheme="minorHAnsi" w:cstheme="minorBidi"/>
            <w:caps w:val="0"/>
            <w:noProof/>
            <w:szCs w:val="22"/>
            <w:lang w:eastAsia="en-GB"/>
          </w:rPr>
          <w:tab/>
        </w:r>
        <w:r w:rsidR="006068CB" w:rsidRPr="00DA4D45">
          <w:rPr>
            <w:rStyle w:val="Hyperlink"/>
            <w:noProof/>
          </w:rPr>
          <w:t>definitions</w:t>
        </w:r>
        <w:r w:rsidR="006068CB">
          <w:rPr>
            <w:noProof/>
            <w:webHidden/>
          </w:rPr>
          <w:tab/>
        </w:r>
        <w:r w:rsidR="006068CB">
          <w:rPr>
            <w:noProof/>
            <w:webHidden/>
          </w:rPr>
          <w:fldChar w:fldCharType="begin"/>
        </w:r>
        <w:r w:rsidR="006068CB">
          <w:rPr>
            <w:noProof/>
            <w:webHidden/>
          </w:rPr>
          <w:instrText xml:space="preserve"> PAGEREF _Toc48034184 \h </w:instrText>
        </w:r>
        <w:r w:rsidR="006068CB">
          <w:rPr>
            <w:noProof/>
            <w:webHidden/>
          </w:rPr>
        </w:r>
        <w:r w:rsidR="006068CB">
          <w:rPr>
            <w:noProof/>
            <w:webHidden/>
          </w:rPr>
          <w:fldChar w:fldCharType="separate"/>
        </w:r>
        <w:r w:rsidR="006068CB">
          <w:rPr>
            <w:noProof/>
            <w:webHidden/>
          </w:rPr>
          <w:t>3</w:t>
        </w:r>
        <w:r w:rsidR="006068CB">
          <w:rPr>
            <w:noProof/>
            <w:webHidden/>
          </w:rPr>
          <w:fldChar w:fldCharType="end"/>
        </w:r>
      </w:hyperlink>
    </w:p>
    <w:p w14:paraId="3BC19B02" w14:textId="77777777" w:rsidR="006068CB" w:rsidRDefault="008C75D8" w:rsidP="006068CB">
      <w:pPr>
        <w:pStyle w:val="TOC1"/>
        <w:rPr>
          <w:rFonts w:asciiTheme="minorHAnsi" w:eastAsiaTheme="minorEastAsia" w:hAnsiTheme="minorHAnsi" w:cstheme="minorBidi"/>
          <w:caps w:val="0"/>
          <w:noProof/>
          <w:szCs w:val="22"/>
          <w:lang w:eastAsia="en-GB"/>
        </w:rPr>
      </w:pPr>
      <w:hyperlink w:anchor="_Toc48034185" w:history="1">
        <w:r w:rsidR="006068CB" w:rsidRPr="00DA4D45">
          <w:rPr>
            <w:rStyle w:val="Hyperlink"/>
            <w:noProof/>
          </w:rPr>
          <w:t>5.</w:t>
        </w:r>
        <w:r w:rsidR="006068CB">
          <w:rPr>
            <w:rFonts w:asciiTheme="minorHAnsi" w:eastAsiaTheme="minorEastAsia" w:hAnsiTheme="minorHAnsi" w:cstheme="minorBidi"/>
            <w:caps w:val="0"/>
            <w:noProof/>
            <w:szCs w:val="22"/>
            <w:lang w:eastAsia="en-GB"/>
          </w:rPr>
          <w:tab/>
        </w:r>
        <w:r w:rsidR="006068CB" w:rsidRPr="00DA4D45">
          <w:rPr>
            <w:rStyle w:val="Hyperlink"/>
            <w:noProof/>
          </w:rPr>
          <w:t>scope of requirement</w:t>
        </w:r>
        <w:r w:rsidR="006068CB">
          <w:rPr>
            <w:noProof/>
            <w:webHidden/>
          </w:rPr>
          <w:tab/>
        </w:r>
        <w:r w:rsidR="006068CB">
          <w:rPr>
            <w:noProof/>
            <w:webHidden/>
          </w:rPr>
          <w:fldChar w:fldCharType="begin"/>
        </w:r>
        <w:r w:rsidR="006068CB">
          <w:rPr>
            <w:noProof/>
            <w:webHidden/>
          </w:rPr>
          <w:instrText xml:space="preserve"> PAGEREF _Toc48034185 \h </w:instrText>
        </w:r>
        <w:r w:rsidR="006068CB">
          <w:rPr>
            <w:noProof/>
            <w:webHidden/>
          </w:rPr>
        </w:r>
        <w:r w:rsidR="006068CB">
          <w:rPr>
            <w:noProof/>
            <w:webHidden/>
          </w:rPr>
          <w:fldChar w:fldCharType="separate"/>
        </w:r>
        <w:r w:rsidR="006068CB">
          <w:rPr>
            <w:noProof/>
            <w:webHidden/>
          </w:rPr>
          <w:t>3</w:t>
        </w:r>
        <w:r w:rsidR="006068CB">
          <w:rPr>
            <w:noProof/>
            <w:webHidden/>
          </w:rPr>
          <w:fldChar w:fldCharType="end"/>
        </w:r>
      </w:hyperlink>
    </w:p>
    <w:p w14:paraId="0D64678F" w14:textId="77777777" w:rsidR="006068CB" w:rsidRDefault="008C75D8" w:rsidP="006068CB">
      <w:pPr>
        <w:pStyle w:val="TOC1"/>
        <w:rPr>
          <w:rFonts w:asciiTheme="minorHAnsi" w:eastAsiaTheme="minorEastAsia" w:hAnsiTheme="minorHAnsi" w:cstheme="minorBidi"/>
          <w:caps w:val="0"/>
          <w:noProof/>
          <w:szCs w:val="22"/>
          <w:lang w:eastAsia="en-GB"/>
        </w:rPr>
      </w:pPr>
      <w:hyperlink w:anchor="_Toc48034186" w:history="1">
        <w:r w:rsidR="006068CB" w:rsidRPr="00DA4D45">
          <w:rPr>
            <w:rStyle w:val="Hyperlink"/>
            <w:noProof/>
          </w:rPr>
          <w:t>6.</w:t>
        </w:r>
        <w:r w:rsidR="006068CB">
          <w:rPr>
            <w:rFonts w:asciiTheme="minorHAnsi" w:eastAsiaTheme="minorEastAsia" w:hAnsiTheme="minorHAnsi" w:cstheme="minorBidi"/>
            <w:caps w:val="0"/>
            <w:noProof/>
            <w:szCs w:val="22"/>
            <w:lang w:eastAsia="en-GB"/>
          </w:rPr>
          <w:tab/>
        </w:r>
        <w:r w:rsidR="006068CB" w:rsidRPr="00DA4D45">
          <w:rPr>
            <w:rStyle w:val="Hyperlink"/>
            <w:noProof/>
          </w:rPr>
          <w:t>The requirement</w:t>
        </w:r>
        <w:r w:rsidR="006068CB">
          <w:rPr>
            <w:noProof/>
            <w:webHidden/>
          </w:rPr>
          <w:tab/>
        </w:r>
        <w:r w:rsidR="006068CB">
          <w:rPr>
            <w:noProof/>
            <w:webHidden/>
          </w:rPr>
          <w:fldChar w:fldCharType="begin"/>
        </w:r>
        <w:r w:rsidR="006068CB">
          <w:rPr>
            <w:noProof/>
            <w:webHidden/>
          </w:rPr>
          <w:instrText xml:space="preserve"> PAGEREF _Toc48034186 \h </w:instrText>
        </w:r>
        <w:r w:rsidR="006068CB">
          <w:rPr>
            <w:noProof/>
            <w:webHidden/>
          </w:rPr>
        </w:r>
        <w:r w:rsidR="006068CB">
          <w:rPr>
            <w:noProof/>
            <w:webHidden/>
          </w:rPr>
          <w:fldChar w:fldCharType="separate"/>
        </w:r>
        <w:r w:rsidR="006068CB">
          <w:rPr>
            <w:noProof/>
            <w:webHidden/>
          </w:rPr>
          <w:t>4</w:t>
        </w:r>
        <w:r w:rsidR="006068CB">
          <w:rPr>
            <w:noProof/>
            <w:webHidden/>
          </w:rPr>
          <w:fldChar w:fldCharType="end"/>
        </w:r>
      </w:hyperlink>
    </w:p>
    <w:p w14:paraId="5FE58588" w14:textId="77777777" w:rsidR="006068CB" w:rsidRDefault="008C75D8" w:rsidP="006068CB">
      <w:pPr>
        <w:pStyle w:val="TOC1"/>
        <w:rPr>
          <w:rFonts w:asciiTheme="minorHAnsi" w:eastAsiaTheme="minorEastAsia" w:hAnsiTheme="minorHAnsi" w:cstheme="minorBidi"/>
          <w:caps w:val="0"/>
          <w:noProof/>
          <w:szCs w:val="22"/>
          <w:lang w:eastAsia="en-GB"/>
        </w:rPr>
      </w:pPr>
      <w:hyperlink w:anchor="_Toc48034187" w:history="1">
        <w:r w:rsidR="006068CB" w:rsidRPr="00DA4D45">
          <w:rPr>
            <w:rStyle w:val="Hyperlink"/>
            <w:noProof/>
          </w:rPr>
          <w:t>7.</w:t>
        </w:r>
        <w:r w:rsidR="006068CB">
          <w:rPr>
            <w:rFonts w:asciiTheme="minorHAnsi" w:eastAsiaTheme="minorEastAsia" w:hAnsiTheme="minorHAnsi" w:cstheme="minorBidi"/>
            <w:caps w:val="0"/>
            <w:noProof/>
            <w:szCs w:val="22"/>
            <w:lang w:eastAsia="en-GB"/>
          </w:rPr>
          <w:tab/>
        </w:r>
        <w:r w:rsidR="006068CB" w:rsidRPr="00DA4D45">
          <w:rPr>
            <w:rStyle w:val="Hyperlink"/>
            <w:noProof/>
          </w:rPr>
          <w:t>key milestones and Deliverables</w:t>
        </w:r>
        <w:r w:rsidR="006068CB">
          <w:rPr>
            <w:noProof/>
            <w:webHidden/>
          </w:rPr>
          <w:tab/>
        </w:r>
        <w:r w:rsidR="006068CB">
          <w:rPr>
            <w:noProof/>
            <w:webHidden/>
          </w:rPr>
          <w:fldChar w:fldCharType="begin"/>
        </w:r>
        <w:r w:rsidR="006068CB">
          <w:rPr>
            <w:noProof/>
            <w:webHidden/>
          </w:rPr>
          <w:instrText xml:space="preserve"> PAGEREF _Toc48034187 \h </w:instrText>
        </w:r>
        <w:r w:rsidR="006068CB">
          <w:rPr>
            <w:noProof/>
            <w:webHidden/>
          </w:rPr>
        </w:r>
        <w:r w:rsidR="006068CB">
          <w:rPr>
            <w:noProof/>
            <w:webHidden/>
          </w:rPr>
          <w:fldChar w:fldCharType="separate"/>
        </w:r>
        <w:r w:rsidR="006068CB">
          <w:rPr>
            <w:noProof/>
            <w:webHidden/>
          </w:rPr>
          <w:t>4</w:t>
        </w:r>
        <w:r w:rsidR="006068CB">
          <w:rPr>
            <w:noProof/>
            <w:webHidden/>
          </w:rPr>
          <w:fldChar w:fldCharType="end"/>
        </w:r>
      </w:hyperlink>
    </w:p>
    <w:p w14:paraId="03408F2C" w14:textId="77777777" w:rsidR="006068CB" w:rsidRDefault="008C75D8" w:rsidP="006068CB">
      <w:pPr>
        <w:pStyle w:val="TOC1"/>
        <w:rPr>
          <w:rFonts w:asciiTheme="minorHAnsi" w:eastAsiaTheme="minorEastAsia" w:hAnsiTheme="minorHAnsi" w:cstheme="minorBidi"/>
          <w:caps w:val="0"/>
          <w:noProof/>
          <w:szCs w:val="22"/>
          <w:lang w:eastAsia="en-GB"/>
        </w:rPr>
      </w:pPr>
      <w:hyperlink w:anchor="_Toc48034188" w:history="1">
        <w:r w:rsidR="006068CB" w:rsidRPr="00DA4D45">
          <w:rPr>
            <w:rStyle w:val="Hyperlink"/>
            <w:rFonts w:cs="Arial"/>
            <w:noProof/>
          </w:rPr>
          <w:t>8.</w:t>
        </w:r>
        <w:r w:rsidR="006068CB">
          <w:rPr>
            <w:rFonts w:asciiTheme="minorHAnsi" w:eastAsiaTheme="minorEastAsia" w:hAnsiTheme="minorHAnsi" w:cstheme="minorBidi"/>
            <w:caps w:val="0"/>
            <w:noProof/>
            <w:szCs w:val="22"/>
            <w:lang w:eastAsia="en-GB"/>
          </w:rPr>
          <w:tab/>
        </w:r>
        <w:r w:rsidR="006068CB" w:rsidRPr="00DA4D45">
          <w:rPr>
            <w:rStyle w:val="Hyperlink"/>
            <w:rFonts w:cs="Arial"/>
            <w:noProof/>
          </w:rPr>
          <w:t>MANAGEMENT INFORMATION/reporting</w:t>
        </w:r>
        <w:r w:rsidR="006068CB">
          <w:rPr>
            <w:noProof/>
            <w:webHidden/>
          </w:rPr>
          <w:tab/>
        </w:r>
        <w:r w:rsidR="006068CB">
          <w:rPr>
            <w:noProof/>
            <w:webHidden/>
          </w:rPr>
          <w:fldChar w:fldCharType="begin"/>
        </w:r>
        <w:r w:rsidR="006068CB">
          <w:rPr>
            <w:noProof/>
            <w:webHidden/>
          </w:rPr>
          <w:instrText xml:space="preserve"> PAGEREF _Toc48034188 \h </w:instrText>
        </w:r>
        <w:r w:rsidR="006068CB">
          <w:rPr>
            <w:noProof/>
            <w:webHidden/>
          </w:rPr>
        </w:r>
        <w:r w:rsidR="006068CB">
          <w:rPr>
            <w:noProof/>
            <w:webHidden/>
          </w:rPr>
          <w:fldChar w:fldCharType="separate"/>
        </w:r>
        <w:r w:rsidR="006068CB">
          <w:rPr>
            <w:noProof/>
            <w:webHidden/>
          </w:rPr>
          <w:t>5</w:t>
        </w:r>
        <w:r w:rsidR="006068CB">
          <w:rPr>
            <w:noProof/>
            <w:webHidden/>
          </w:rPr>
          <w:fldChar w:fldCharType="end"/>
        </w:r>
      </w:hyperlink>
    </w:p>
    <w:p w14:paraId="5EC13983" w14:textId="77777777" w:rsidR="006068CB" w:rsidRDefault="008C75D8" w:rsidP="006068CB">
      <w:pPr>
        <w:pStyle w:val="TOC1"/>
        <w:rPr>
          <w:rFonts w:asciiTheme="minorHAnsi" w:eastAsiaTheme="minorEastAsia" w:hAnsiTheme="minorHAnsi" w:cstheme="minorBidi"/>
          <w:caps w:val="0"/>
          <w:noProof/>
          <w:szCs w:val="22"/>
          <w:lang w:eastAsia="en-GB"/>
        </w:rPr>
      </w:pPr>
      <w:hyperlink w:anchor="_Toc48034189" w:history="1">
        <w:r w:rsidR="006068CB" w:rsidRPr="00DA4D45">
          <w:rPr>
            <w:rStyle w:val="Hyperlink"/>
            <w:rFonts w:cs="Arial"/>
            <w:noProof/>
          </w:rPr>
          <w:t>9.</w:t>
        </w:r>
        <w:r w:rsidR="006068CB">
          <w:rPr>
            <w:rFonts w:asciiTheme="minorHAnsi" w:eastAsiaTheme="minorEastAsia" w:hAnsiTheme="minorHAnsi" w:cstheme="minorBidi"/>
            <w:caps w:val="0"/>
            <w:noProof/>
            <w:szCs w:val="22"/>
            <w:lang w:eastAsia="en-GB"/>
          </w:rPr>
          <w:tab/>
        </w:r>
        <w:r w:rsidR="006068CB" w:rsidRPr="00DA4D45">
          <w:rPr>
            <w:rStyle w:val="Hyperlink"/>
            <w:rFonts w:cs="Arial"/>
            <w:noProof/>
          </w:rPr>
          <w:t>continuous improvement</w:t>
        </w:r>
        <w:r w:rsidR="006068CB">
          <w:rPr>
            <w:noProof/>
            <w:webHidden/>
          </w:rPr>
          <w:tab/>
        </w:r>
        <w:r w:rsidR="006068CB">
          <w:rPr>
            <w:noProof/>
            <w:webHidden/>
          </w:rPr>
          <w:fldChar w:fldCharType="begin"/>
        </w:r>
        <w:r w:rsidR="006068CB">
          <w:rPr>
            <w:noProof/>
            <w:webHidden/>
          </w:rPr>
          <w:instrText xml:space="preserve"> PAGEREF _Toc48034189 \h </w:instrText>
        </w:r>
        <w:r w:rsidR="006068CB">
          <w:rPr>
            <w:noProof/>
            <w:webHidden/>
          </w:rPr>
        </w:r>
        <w:r w:rsidR="006068CB">
          <w:rPr>
            <w:noProof/>
            <w:webHidden/>
          </w:rPr>
          <w:fldChar w:fldCharType="separate"/>
        </w:r>
        <w:r w:rsidR="006068CB">
          <w:rPr>
            <w:noProof/>
            <w:webHidden/>
          </w:rPr>
          <w:t>5</w:t>
        </w:r>
        <w:r w:rsidR="006068CB">
          <w:rPr>
            <w:noProof/>
            <w:webHidden/>
          </w:rPr>
          <w:fldChar w:fldCharType="end"/>
        </w:r>
      </w:hyperlink>
    </w:p>
    <w:p w14:paraId="35C84F14" w14:textId="77777777" w:rsidR="006068CB" w:rsidRDefault="008C75D8" w:rsidP="006068CB">
      <w:pPr>
        <w:pStyle w:val="TOC1"/>
        <w:rPr>
          <w:rFonts w:asciiTheme="minorHAnsi" w:eastAsiaTheme="minorEastAsia" w:hAnsiTheme="minorHAnsi" w:cstheme="minorBidi"/>
          <w:caps w:val="0"/>
          <w:noProof/>
          <w:szCs w:val="22"/>
          <w:lang w:eastAsia="en-GB"/>
        </w:rPr>
      </w:pPr>
      <w:hyperlink w:anchor="_Toc48034190" w:history="1">
        <w:r w:rsidR="006068CB" w:rsidRPr="00DA4D45">
          <w:rPr>
            <w:rStyle w:val="Hyperlink"/>
            <w:rFonts w:cs="Arial"/>
            <w:noProof/>
          </w:rPr>
          <w:t>10.</w:t>
        </w:r>
        <w:r w:rsidR="006068CB">
          <w:rPr>
            <w:rFonts w:asciiTheme="minorHAnsi" w:eastAsiaTheme="minorEastAsia" w:hAnsiTheme="minorHAnsi" w:cstheme="minorBidi"/>
            <w:caps w:val="0"/>
            <w:noProof/>
            <w:szCs w:val="22"/>
            <w:lang w:eastAsia="en-GB"/>
          </w:rPr>
          <w:tab/>
        </w:r>
        <w:r w:rsidR="006068CB" w:rsidRPr="00DA4D45">
          <w:rPr>
            <w:rStyle w:val="Hyperlink"/>
            <w:rFonts w:cs="Arial"/>
            <w:noProof/>
          </w:rPr>
          <w:t>quality</w:t>
        </w:r>
        <w:r w:rsidR="006068CB">
          <w:rPr>
            <w:noProof/>
            <w:webHidden/>
          </w:rPr>
          <w:tab/>
        </w:r>
        <w:r w:rsidR="006068CB">
          <w:rPr>
            <w:noProof/>
            <w:webHidden/>
          </w:rPr>
          <w:fldChar w:fldCharType="begin"/>
        </w:r>
        <w:r w:rsidR="006068CB">
          <w:rPr>
            <w:noProof/>
            <w:webHidden/>
          </w:rPr>
          <w:instrText xml:space="preserve"> PAGEREF _Toc48034190 \h </w:instrText>
        </w:r>
        <w:r w:rsidR="006068CB">
          <w:rPr>
            <w:noProof/>
            <w:webHidden/>
          </w:rPr>
        </w:r>
        <w:r w:rsidR="006068CB">
          <w:rPr>
            <w:noProof/>
            <w:webHidden/>
          </w:rPr>
          <w:fldChar w:fldCharType="separate"/>
        </w:r>
        <w:r w:rsidR="006068CB">
          <w:rPr>
            <w:noProof/>
            <w:webHidden/>
          </w:rPr>
          <w:t>5</w:t>
        </w:r>
        <w:r w:rsidR="006068CB">
          <w:rPr>
            <w:noProof/>
            <w:webHidden/>
          </w:rPr>
          <w:fldChar w:fldCharType="end"/>
        </w:r>
      </w:hyperlink>
    </w:p>
    <w:p w14:paraId="608E7FBD" w14:textId="77777777" w:rsidR="006068CB" w:rsidRDefault="008C75D8" w:rsidP="006068CB">
      <w:pPr>
        <w:pStyle w:val="TOC1"/>
        <w:rPr>
          <w:rFonts w:asciiTheme="minorHAnsi" w:eastAsiaTheme="minorEastAsia" w:hAnsiTheme="minorHAnsi" w:cstheme="minorBidi"/>
          <w:caps w:val="0"/>
          <w:noProof/>
          <w:szCs w:val="22"/>
          <w:lang w:eastAsia="en-GB"/>
        </w:rPr>
      </w:pPr>
      <w:hyperlink w:anchor="_Toc48034191" w:history="1">
        <w:r w:rsidR="006068CB" w:rsidRPr="00DA4D45">
          <w:rPr>
            <w:rStyle w:val="Hyperlink"/>
            <w:rFonts w:cs="Arial"/>
            <w:noProof/>
          </w:rPr>
          <w:t>11.</w:t>
        </w:r>
        <w:r w:rsidR="006068CB">
          <w:rPr>
            <w:rFonts w:asciiTheme="minorHAnsi" w:eastAsiaTheme="minorEastAsia" w:hAnsiTheme="minorHAnsi" w:cstheme="minorBidi"/>
            <w:caps w:val="0"/>
            <w:noProof/>
            <w:szCs w:val="22"/>
            <w:lang w:eastAsia="en-GB"/>
          </w:rPr>
          <w:tab/>
        </w:r>
        <w:r w:rsidR="006068CB" w:rsidRPr="00DA4D45">
          <w:rPr>
            <w:rStyle w:val="Hyperlink"/>
            <w:rFonts w:cs="Arial"/>
            <w:noProof/>
          </w:rPr>
          <w:t>PRICE</w:t>
        </w:r>
        <w:r w:rsidR="006068CB">
          <w:rPr>
            <w:noProof/>
            <w:webHidden/>
          </w:rPr>
          <w:tab/>
        </w:r>
        <w:r w:rsidR="006068CB">
          <w:rPr>
            <w:noProof/>
            <w:webHidden/>
          </w:rPr>
          <w:fldChar w:fldCharType="begin"/>
        </w:r>
        <w:r w:rsidR="006068CB">
          <w:rPr>
            <w:noProof/>
            <w:webHidden/>
          </w:rPr>
          <w:instrText xml:space="preserve"> PAGEREF _Toc48034191 \h </w:instrText>
        </w:r>
        <w:r w:rsidR="006068CB">
          <w:rPr>
            <w:noProof/>
            <w:webHidden/>
          </w:rPr>
        </w:r>
        <w:r w:rsidR="006068CB">
          <w:rPr>
            <w:noProof/>
            <w:webHidden/>
          </w:rPr>
          <w:fldChar w:fldCharType="separate"/>
        </w:r>
        <w:r w:rsidR="006068CB">
          <w:rPr>
            <w:noProof/>
            <w:webHidden/>
          </w:rPr>
          <w:t>5</w:t>
        </w:r>
        <w:r w:rsidR="006068CB">
          <w:rPr>
            <w:noProof/>
            <w:webHidden/>
          </w:rPr>
          <w:fldChar w:fldCharType="end"/>
        </w:r>
      </w:hyperlink>
    </w:p>
    <w:p w14:paraId="55C76ED1" w14:textId="77777777" w:rsidR="006068CB" w:rsidRDefault="008C75D8" w:rsidP="006068CB">
      <w:pPr>
        <w:pStyle w:val="TOC1"/>
        <w:rPr>
          <w:rFonts w:asciiTheme="minorHAnsi" w:eastAsiaTheme="minorEastAsia" w:hAnsiTheme="minorHAnsi" w:cstheme="minorBidi"/>
          <w:caps w:val="0"/>
          <w:noProof/>
          <w:szCs w:val="22"/>
          <w:lang w:eastAsia="en-GB"/>
        </w:rPr>
      </w:pPr>
      <w:hyperlink w:anchor="_Toc48034192" w:history="1">
        <w:r w:rsidR="006068CB" w:rsidRPr="00DA4D45">
          <w:rPr>
            <w:rStyle w:val="Hyperlink"/>
            <w:rFonts w:cs="Arial"/>
            <w:noProof/>
          </w:rPr>
          <w:t>12.</w:t>
        </w:r>
        <w:r w:rsidR="006068CB">
          <w:rPr>
            <w:rFonts w:asciiTheme="minorHAnsi" w:eastAsiaTheme="minorEastAsia" w:hAnsiTheme="minorHAnsi" w:cstheme="minorBidi"/>
            <w:caps w:val="0"/>
            <w:noProof/>
            <w:szCs w:val="22"/>
            <w:lang w:eastAsia="en-GB"/>
          </w:rPr>
          <w:tab/>
        </w:r>
        <w:r w:rsidR="006068CB" w:rsidRPr="00DA4D45">
          <w:rPr>
            <w:rStyle w:val="Hyperlink"/>
            <w:rFonts w:cs="Arial"/>
            <w:noProof/>
          </w:rPr>
          <w:t>STAFF AND CUSTOMER SERVICE</w:t>
        </w:r>
        <w:r w:rsidR="006068CB">
          <w:rPr>
            <w:noProof/>
            <w:webHidden/>
          </w:rPr>
          <w:tab/>
        </w:r>
        <w:r w:rsidR="006068CB">
          <w:rPr>
            <w:noProof/>
            <w:webHidden/>
          </w:rPr>
          <w:fldChar w:fldCharType="begin"/>
        </w:r>
        <w:r w:rsidR="006068CB">
          <w:rPr>
            <w:noProof/>
            <w:webHidden/>
          </w:rPr>
          <w:instrText xml:space="preserve"> PAGEREF _Toc48034192 \h </w:instrText>
        </w:r>
        <w:r w:rsidR="006068CB">
          <w:rPr>
            <w:noProof/>
            <w:webHidden/>
          </w:rPr>
        </w:r>
        <w:r w:rsidR="006068CB">
          <w:rPr>
            <w:noProof/>
            <w:webHidden/>
          </w:rPr>
          <w:fldChar w:fldCharType="separate"/>
        </w:r>
        <w:r w:rsidR="006068CB">
          <w:rPr>
            <w:noProof/>
            <w:webHidden/>
          </w:rPr>
          <w:t>6</w:t>
        </w:r>
        <w:r w:rsidR="006068CB">
          <w:rPr>
            <w:noProof/>
            <w:webHidden/>
          </w:rPr>
          <w:fldChar w:fldCharType="end"/>
        </w:r>
      </w:hyperlink>
    </w:p>
    <w:p w14:paraId="5EF33D1D" w14:textId="77777777" w:rsidR="006068CB" w:rsidRDefault="008C75D8" w:rsidP="006068CB">
      <w:pPr>
        <w:pStyle w:val="TOC1"/>
        <w:rPr>
          <w:rFonts w:asciiTheme="minorHAnsi" w:eastAsiaTheme="minorEastAsia" w:hAnsiTheme="minorHAnsi" w:cstheme="minorBidi"/>
          <w:caps w:val="0"/>
          <w:noProof/>
          <w:szCs w:val="22"/>
          <w:lang w:eastAsia="en-GB"/>
        </w:rPr>
      </w:pPr>
      <w:hyperlink w:anchor="_Toc48034193" w:history="1">
        <w:r w:rsidR="006068CB" w:rsidRPr="00DA4D45">
          <w:rPr>
            <w:rStyle w:val="Hyperlink"/>
            <w:rFonts w:cs="Arial"/>
            <w:noProof/>
          </w:rPr>
          <w:t>13.</w:t>
        </w:r>
        <w:r w:rsidR="006068CB">
          <w:rPr>
            <w:rFonts w:asciiTheme="minorHAnsi" w:eastAsiaTheme="minorEastAsia" w:hAnsiTheme="minorHAnsi" w:cstheme="minorBidi"/>
            <w:caps w:val="0"/>
            <w:noProof/>
            <w:szCs w:val="22"/>
            <w:lang w:eastAsia="en-GB"/>
          </w:rPr>
          <w:tab/>
        </w:r>
        <w:r w:rsidR="006068CB" w:rsidRPr="00DA4D45">
          <w:rPr>
            <w:rStyle w:val="Hyperlink"/>
            <w:rFonts w:cs="Arial"/>
            <w:noProof/>
          </w:rPr>
          <w:t>service levels and performance</w:t>
        </w:r>
        <w:r w:rsidR="006068CB">
          <w:rPr>
            <w:noProof/>
            <w:webHidden/>
          </w:rPr>
          <w:tab/>
        </w:r>
        <w:r w:rsidR="006068CB">
          <w:rPr>
            <w:noProof/>
            <w:webHidden/>
          </w:rPr>
          <w:fldChar w:fldCharType="begin"/>
        </w:r>
        <w:r w:rsidR="006068CB">
          <w:rPr>
            <w:noProof/>
            <w:webHidden/>
          </w:rPr>
          <w:instrText xml:space="preserve"> PAGEREF _Toc48034193 \h </w:instrText>
        </w:r>
        <w:r w:rsidR="006068CB">
          <w:rPr>
            <w:noProof/>
            <w:webHidden/>
          </w:rPr>
        </w:r>
        <w:r w:rsidR="006068CB">
          <w:rPr>
            <w:noProof/>
            <w:webHidden/>
          </w:rPr>
          <w:fldChar w:fldCharType="separate"/>
        </w:r>
        <w:r w:rsidR="006068CB">
          <w:rPr>
            <w:noProof/>
            <w:webHidden/>
          </w:rPr>
          <w:t>6</w:t>
        </w:r>
        <w:r w:rsidR="006068CB">
          <w:rPr>
            <w:noProof/>
            <w:webHidden/>
          </w:rPr>
          <w:fldChar w:fldCharType="end"/>
        </w:r>
      </w:hyperlink>
    </w:p>
    <w:p w14:paraId="347C5EAC" w14:textId="77777777" w:rsidR="006068CB" w:rsidRDefault="008C75D8" w:rsidP="006068CB">
      <w:pPr>
        <w:pStyle w:val="TOC1"/>
        <w:rPr>
          <w:rFonts w:asciiTheme="minorHAnsi" w:eastAsiaTheme="minorEastAsia" w:hAnsiTheme="minorHAnsi" w:cstheme="minorBidi"/>
          <w:caps w:val="0"/>
          <w:noProof/>
          <w:szCs w:val="22"/>
          <w:lang w:eastAsia="en-GB"/>
        </w:rPr>
      </w:pPr>
      <w:hyperlink w:anchor="_Toc48034194" w:history="1">
        <w:r w:rsidR="006068CB" w:rsidRPr="00DA4D45">
          <w:rPr>
            <w:rStyle w:val="Hyperlink"/>
            <w:noProof/>
          </w:rPr>
          <w:t>14.</w:t>
        </w:r>
        <w:r w:rsidR="006068CB">
          <w:rPr>
            <w:rFonts w:asciiTheme="minorHAnsi" w:eastAsiaTheme="minorEastAsia" w:hAnsiTheme="minorHAnsi" w:cstheme="minorBidi"/>
            <w:caps w:val="0"/>
            <w:noProof/>
            <w:szCs w:val="22"/>
            <w:lang w:eastAsia="en-GB"/>
          </w:rPr>
          <w:tab/>
        </w:r>
        <w:r w:rsidR="006068CB" w:rsidRPr="00DA4D45">
          <w:rPr>
            <w:rStyle w:val="Hyperlink"/>
            <w:noProof/>
          </w:rPr>
          <w:t>Security and CONFIDENTIALITY requirements</w:t>
        </w:r>
        <w:r w:rsidR="006068CB">
          <w:rPr>
            <w:noProof/>
            <w:webHidden/>
          </w:rPr>
          <w:tab/>
        </w:r>
        <w:r w:rsidR="006068CB">
          <w:rPr>
            <w:noProof/>
            <w:webHidden/>
          </w:rPr>
          <w:fldChar w:fldCharType="begin"/>
        </w:r>
        <w:r w:rsidR="006068CB">
          <w:rPr>
            <w:noProof/>
            <w:webHidden/>
          </w:rPr>
          <w:instrText xml:space="preserve"> PAGEREF _Toc48034194 \h </w:instrText>
        </w:r>
        <w:r w:rsidR="006068CB">
          <w:rPr>
            <w:noProof/>
            <w:webHidden/>
          </w:rPr>
        </w:r>
        <w:r w:rsidR="006068CB">
          <w:rPr>
            <w:noProof/>
            <w:webHidden/>
          </w:rPr>
          <w:fldChar w:fldCharType="separate"/>
        </w:r>
        <w:r w:rsidR="006068CB">
          <w:rPr>
            <w:noProof/>
            <w:webHidden/>
          </w:rPr>
          <w:t>6</w:t>
        </w:r>
        <w:r w:rsidR="006068CB">
          <w:rPr>
            <w:noProof/>
            <w:webHidden/>
          </w:rPr>
          <w:fldChar w:fldCharType="end"/>
        </w:r>
      </w:hyperlink>
    </w:p>
    <w:p w14:paraId="2248BDDC" w14:textId="77777777" w:rsidR="006068CB" w:rsidRDefault="008C75D8" w:rsidP="006068CB">
      <w:pPr>
        <w:pStyle w:val="TOC1"/>
        <w:rPr>
          <w:rFonts w:asciiTheme="minorHAnsi" w:eastAsiaTheme="minorEastAsia" w:hAnsiTheme="minorHAnsi" w:cstheme="minorBidi"/>
          <w:caps w:val="0"/>
          <w:noProof/>
          <w:szCs w:val="22"/>
          <w:lang w:eastAsia="en-GB"/>
        </w:rPr>
      </w:pPr>
      <w:hyperlink w:anchor="_Toc48034195" w:history="1">
        <w:r w:rsidR="006068CB" w:rsidRPr="00DA4D45">
          <w:rPr>
            <w:rStyle w:val="Hyperlink"/>
            <w:rFonts w:cs="Arial"/>
            <w:noProof/>
          </w:rPr>
          <w:t>15.</w:t>
        </w:r>
        <w:r w:rsidR="006068CB">
          <w:rPr>
            <w:rFonts w:asciiTheme="minorHAnsi" w:eastAsiaTheme="minorEastAsia" w:hAnsiTheme="minorHAnsi" w:cstheme="minorBidi"/>
            <w:caps w:val="0"/>
            <w:noProof/>
            <w:szCs w:val="22"/>
            <w:lang w:eastAsia="en-GB"/>
          </w:rPr>
          <w:tab/>
        </w:r>
        <w:r w:rsidR="006068CB" w:rsidRPr="00DA4D45">
          <w:rPr>
            <w:rStyle w:val="Hyperlink"/>
            <w:rFonts w:cs="Arial"/>
            <w:noProof/>
          </w:rPr>
          <w:t>payment AND INVOICING</w:t>
        </w:r>
        <w:r w:rsidR="006068CB">
          <w:rPr>
            <w:noProof/>
            <w:webHidden/>
          </w:rPr>
          <w:tab/>
        </w:r>
        <w:r w:rsidR="006068CB">
          <w:rPr>
            <w:noProof/>
            <w:webHidden/>
          </w:rPr>
          <w:fldChar w:fldCharType="begin"/>
        </w:r>
        <w:r w:rsidR="006068CB">
          <w:rPr>
            <w:noProof/>
            <w:webHidden/>
          </w:rPr>
          <w:instrText xml:space="preserve"> PAGEREF _Toc48034195 \h </w:instrText>
        </w:r>
        <w:r w:rsidR="006068CB">
          <w:rPr>
            <w:noProof/>
            <w:webHidden/>
          </w:rPr>
        </w:r>
        <w:r w:rsidR="006068CB">
          <w:rPr>
            <w:noProof/>
            <w:webHidden/>
          </w:rPr>
          <w:fldChar w:fldCharType="separate"/>
        </w:r>
        <w:r w:rsidR="006068CB">
          <w:rPr>
            <w:noProof/>
            <w:webHidden/>
          </w:rPr>
          <w:t>7</w:t>
        </w:r>
        <w:r w:rsidR="006068CB">
          <w:rPr>
            <w:noProof/>
            <w:webHidden/>
          </w:rPr>
          <w:fldChar w:fldCharType="end"/>
        </w:r>
      </w:hyperlink>
    </w:p>
    <w:p w14:paraId="5BA85E70" w14:textId="77777777" w:rsidR="006068CB" w:rsidRDefault="008C75D8" w:rsidP="006068CB">
      <w:pPr>
        <w:pStyle w:val="TOC1"/>
        <w:rPr>
          <w:rFonts w:asciiTheme="minorHAnsi" w:eastAsiaTheme="minorEastAsia" w:hAnsiTheme="minorHAnsi" w:cstheme="minorBidi"/>
          <w:caps w:val="0"/>
          <w:noProof/>
          <w:szCs w:val="22"/>
          <w:lang w:eastAsia="en-GB"/>
        </w:rPr>
      </w:pPr>
      <w:hyperlink w:anchor="_Toc48034196" w:history="1">
        <w:r w:rsidR="006068CB" w:rsidRPr="00DA4D45">
          <w:rPr>
            <w:rStyle w:val="Hyperlink"/>
            <w:rFonts w:cs="Arial"/>
            <w:noProof/>
          </w:rPr>
          <w:t>16.</w:t>
        </w:r>
        <w:r w:rsidR="006068CB">
          <w:rPr>
            <w:rFonts w:asciiTheme="minorHAnsi" w:eastAsiaTheme="minorEastAsia" w:hAnsiTheme="minorHAnsi" w:cstheme="minorBidi"/>
            <w:caps w:val="0"/>
            <w:noProof/>
            <w:szCs w:val="22"/>
            <w:lang w:eastAsia="en-GB"/>
          </w:rPr>
          <w:tab/>
        </w:r>
        <w:r w:rsidR="006068CB" w:rsidRPr="00DA4D45">
          <w:rPr>
            <w:rStyle w:val="Hyperlink"/>
            <w:rFonts w:cs="Arial"/>
            <w:noProof/>
          </w:rPr>
          <w:t>CONTRACT MANAGEMENT</w:t>
        </w:r>
        <w:r w:rsidR="006068CB">
          <w:rPr>
            <w:noProof/>
            <w:webHidden/>
          </w:rPr>
          <w:tab/>
        </w:r>
        <w:r w:rsidR="006068CB">
          <w:rPr>
            <w:noProof/>
            <w:webHidden/>
          </w:rPr>
          <w:fldChar w:fldCharType="begin"/>
        </w:r>
        <w:r w:rsidR="006068CB">
          <w:rPr>
            <w:noProof/>
            <w:webHidden/>
          </w:rPr>
          <w:instrText xml:space="preserve"> PAGEREF _Toc48034196 \h </w:instrText>
        </w:r>
        <w:r w:rsidR="006068CB">
          <w:rPr>
            <w:noProof/>
            <w:webHidden/>
          </w:rPr>
        </w:r>
        <w:r w:rsidR="006068CB">
          <w:rPr>
            <w:noProof/>
            <w:webHidden/>
          </w:rPr>
          <w:fldChar w:fldCharType="separate"/>
        </w:r>
        <w:r w:rsidR="006068CB">
          <w:rPr>
            <w:noProof/>
            <w:webHidden/>
          </w:rPr>
          <w:t>7</w:t>
        </w:r>
        <w:r w:rsidR="006068CB">
          <w:rPr>
            <w:noProof/>
            <w:webHidden/>
          </w:rPr>
          <w:fldChar w:fldCharType="end"/>
        </w:r>
      </w:hyperlink>
    </w:p>
    <w:p w14:paraId="653BCD65" w14:textId="77777777" w:rsidR="006068CB" w:rsidRDefault="008C75D8" w:rsidP="006068CB">
      <w:pPr>
        <w:pStyle w:val="TOC1"/>
        <w:rPr>
          <w:rFonts w:asciiTheme="minorHAnsi" w:eastAsiaTheme="minorEastAsia" w:hAnsiTheme="minorHAnsi" w:cstheme="minorBidi"/>
          <w:caps w:val="0"/>
          <w:noProof/>
          <w:szCs w:val="22"/>
          <w:lang w:eastAsia="en-GB"/>
        </w:rPr>
      </w:pPr>
      <w:hyperlink w:anchor="_Toc48034197" w:history="1">
        <w:r w:rsidR="006068CB" w:rsidRPr="00DA4D45">
          <w:rPr>
            <w:rStyle w:val="Hyperlink"/>
            <w:noProof/>
          </w:rPr>
          <w:t>17.</w:t>
        </w:r>
        <w:r w:rsidR="006068CB">
          <w:rPr>
            <w:rFonts w:asciiTheme="minorHAnsi" w:eastAsiaTheme="minorEastAsia" w:hAnsiTheme="minorHAnsi" w:cstheme="minorBidi"/>
            <w:caps w:val="0"/>
            <w:noProof/>
            <w:szCs w:val="22"/>
            <w:lang w:eastAsia="en-GB"/>
          </w:rPr>
          <w:tab/>
        </w:r>
        <w:r w:rsidR="006068CB" w:rsidRPr="00DA4D45">
          <w:rPr>
            <w:rStyle w:val="Hyperlink"/>
            <w:noProof/>
          </w:rPr>
          <w:t>Location</w:t>
        </w:r>
        <w:r w:rsidR="006068CB">
          <w:rPr>
            <w:noProof/>
            <w:webHidden/>
          </w:rPr>
          <w:tab/>
        </w:r>
        <w:r w:rsidR="006068CB">
          <w:rPr>
            <w:noProof/>
            <w:webHidden/>
          </w:rPr>
          <w:fldChar w:fldCharType="begin"/>
        </w:r>
        <w:r w:rsidR="006068CB">
          <w:rPr>
            <w:noProof/>
            <w:webHidden/>
          </w:rPr>
          <w:instrText xml:space="preserve"> PAGEREF _Toc48034197 \h </w:instrText>
        </w:r>
        <w:r w:rsidR="006068CB">
          <w:rPr>
            <w:noProof/>
            <w:webHidden/>
          </w:rPr>
        </w:r>
        <w:r w:rsidR="006068CB">
          <w:rPr>
            <w:noProof/>
            <w:webHidden/>
          </w:rPr>
          <w:fldChar w:fldCharType="separate"/>
        </w:r>
        <w:r w:rsidR="006068CB">
          <w:rPr>
            <w:noProof/>
            <w:webHidden/>
          </w:rPr>
          <w:t>7</w:t>
        </w:r>
        <w:r w:rsidR="006068CB">
          <w:rPr>
            <w:noProof/>
            <w:webHidden/>
          </w:rPr>
          <w:fldChar w:fldCharType="end"/>
        </w:r>
      </w:hyperlink>
    </w:p>
    <w:p w14:paraId="42438C4F" w14:textId="77777777" w:rsidR="006068CB" w:rsidRPr="00D37BAC" w:rsidRDefault="006068CB" w:rsidP="006068CB">
      <w:pPr>
        <w:spacing w:after="120"/>
        <w:jc w:val="center"/>
        <w:rPr>
          <w:b/>
        </w:rPr>
      </w:pPr>
      <w:r w:rsidRPr="00FA5229">
        <w:rPr>
          <w:rFonts w:cs="Arial"/>
          <w:caps/>
        </w:rPr>
        <w:fldChar w:fldCharType="end"/>
      </w:r>
    </w:p>
    <w:p w14:paraId="346A8CC4" w14:textId="77777777" w:rsidR="006068CB" w:rsidRPr="001530F5" w:rsidRDefault="006068CB" w:rsidP="006068CB">
      <w:pPr>
        <w:pStyle w:val="Heading1"/>
        <w:numPr>
          <w:ilvl w:val="0"/>
          <w:numId w:val="0"/>
        </w:numPr>
        <w:overflowPunct w:val="0"/>
        <w:autoSpaceDE w:val="0"/>
        <w:autoSpaceDN w:val="0"/>
        <w:spacing w:after="120"/>
        <w:ind w:left="720"/>
        <w:textAlignment w:val="baseline"/>
        <w:rPr>
          <w:szCs w:val="22"/>
        </w:rPr>
      </w:pPr>
      <w:bookmarkStart w:id="108" w:name="_Toc297554772"/>
      <w:r>
        <w:rPr>
          <w:caps w:val="0"/>
          <w:szCs w:val="22"/>
        </w:rPr>
        <w:br w:type="page"/>
      </w:r>
    </w:p>
    <w:p w14:paraId="76A6FB6A" w14:textId="77777777" w:rsidR="006068CB" w:rsidRPr="001A45DF" w:rsidRDefault="006068CB" w:rsidP="006068CB">
      <w:pPr>
        <w:pStyle w:val="Heading1"/>
        <w:numPr>
          <w:ilvl w:val="0"/>
          <w:numId w:val="43"/>
        </w:numPr>
        <w:tabs>
          <w:tab w:val="clear" w:pos="720"/>
        </w:tabs>
        <w:overflowPunct w:val="0"/>
        <w:autoSpaceDE w:val="0"/>
        <w:autoSpaceDN w:val="0"/>
        <w:spacing w:after="120"/>
        <w:textAlignment w:val="baseline"/>
        <w:rPr>
          <w:sz w:val="32"/>
          <w:szCs w:val="32"/>
        </w:rPr>
      </w:pPr>
      <w:bookmarkStart w:id="109" w:name="_Toc368573027"/>
      <w:bookmarkStart w:id="110" w:name="_Toc48034181"/>
      <w:bookmarkStart w:id="111" w:name="_Toc48220927"/>
      <w:r w:rsidRPr="001A45DF">
        <w:rPr>
          <w:caps w:val="0"/>
          <w:sz w:val="32"/>
          <w:szCs w:val="32"/>
        </w:rPr>
        <w:t>PURPOSE</w:t>
      </w:r>
      <w:bookmarkEnd w:id="108"/>
      <w:bookmarkEnd w:id="109"/>
      <w:bookmarkEnd w:id="110"/>
      <w:bookmarkEnd w:id="111"/>
    </w:p>
    <w:p w14:paraId="7F0804E5" w14:textId="77777777" w:rsidR="006068CB" w:rsidRPr="007919E2" w:rsidRDefault="006068CB" w:rsidP="006068CB">
      <w:pPr>
        <w:pStyle w:val="Heading2"/>
        <w:tabs>
          <w:tab w:val="clear" w:pos="720"/>
          <w:tab w:val="num" w:pos="709"/>
        </w:tabs>
        <w:overflowPunct w:val="0"/>
        <w:autoSpaceDE w:val="0"/>
        <w:autoSpaceDN w:val="0"/>
        <w:spacing w:after="120"/>
        <w:ind w:left="709" w:hanging="709"/>
        <w:textAlignment w:val="baseline"/>
        <w:rPr>
          <w:sz w:val="24"/>
          <w:szCs w:val="24"/>
        </w:rPr>
      </w:pPr>
      <w:bookmarkStart w:id="112" w:name="_Toc296415791"/>
      <w:r w:rsidRPr="007919E2">
        <w:rPr>
          <w:sz w:val="24"/>
          <w:szCs w:val="24"/>
        </w:rPr>
        <w:t xml:space="preserve">This procurement of reference class forecasts on rail projects is critical for helping the National Infrastructure Commission understand the true costs of future rail projects in the Midlands and North. </w:t>
      </w:r>
    </w:p>
    <w:p w14:paraId="71B0BAE7" w14:textId="77777777" w:rsidR="006068CB" w:rsidRPr="007919E2" w:rsidRDefault="006068CB" w:rsidP="006068CB">
      <w:pPr>
        <w:pStyle w:val="Heading2"/>
        <w:tabs>
          <w:tab w:val="clear" w:pos="720"/>
          <w:tab w:val="num" w:pos="709"/>
        </w:tabs>
        <w:overflowPunct w:val="0"/>
        <w:autoSpaceDE w:val="0"/>
        <w:autoSpaceDN w:val="0"/>
        <w:spacing w:after="120"/>
        <w:ind w:left="709" w:hanging="709"/>
        <w:textAlignment w:val="baseline"/>
        <w:rPr>
          <w:sz w:val="24"/>
          <w:szCs w:val="24"/>
        </w:rPr>
      </w:pPr>
      <w:r w:rsidRPr="007919E2">
        <w:rPr>
          <w:sz w:val="24"/>
          <w:szCs w:val="24"/>
        </w:rPr>
        <w:t>It is critical for the National Infrastructure Commission to understand the cost and schedule overruns of previous rail projects, to ensure that any assessment of costs is well-evidenced, transparent, and independent.</w:t>
      </w:r>
    </w:p>
    <w:p w14:paraId="23FF178C" w14:textId="77777777" w:rsidR="006068CB" w:rsidRDefault="006068CB" w:rsidP="006068CB">
      <w:pPr>
        <w:pStyle w:val="Heading1"/>
        <w:tabs>
          <w:tab w:val="clear" w:pos="720"/>
        </w:tabs>
        <w:overflowPunct w:val="0"/>
        <w:autoSpaceDE w:val="0"/>
        <w:autoSpaceDN w:val="0"/>
        <w:spacing w:after="120"/>
        <w:textAlignment w:val="baseline"/>
        <w:rPr>
          <w:sz w:val="32"/>
          <w:szCs w:val="32"/>
        </w:rPr>
      </w:pPr>
      <w:bookmarkStart w:id="113" w:name="_Toc368573028"/>
      <w:bookmarkStart w:id="114" w:name="_Toc48034182"/>
      <w:bookmarkStart w:id="115" w:name="_Toc48220928"/>
      <w:bookmarkStart w:id="116" w:name="_Toc297554773"/>
      <w:bookmarkStart w:id="117" w:name="_Toc296415805"/>
      <w:bookmarkStart w:id="118" w:name="_Toc296415793"/>
      <w:bookmarkEnd w:id="112"/>
      <w:r w:rsidRPr="001A45DF">
        <w:rPr>
          <w:sz w:val="32"/>
          <w:szCs w:val="32"/>
        </w:rPr>
        <w:t xml:space="preserve">BACKGROUND TO THE CONTRACTING </w:t>
      </w:r>
      <w:bookmarkEnd w:id="113"/>
      <w:r>
        <w:rPr>
          <w:sz w:val="32"/>
          <w:szCs w:val="32"/>
        </w:rPr>
        <w:t>CUSTOMER</w:t>
      </w:r>
      <w:bookmarkEnd w:id="114"/>
      <w:bookmarkEnd w:id="115"/>
    </w:p>
    <w:p w14:paraId="0C37116E" w14:textId="77777777" w:rsidR="006068CB" w:rsidRPr="00BD2024" w:rsidRDefault="006068CB" w:rsidP="006068CB">
      <w:pPr>
        <w:pStyle w:val="Heading2"/>
        <w:rPr>
          <w:sz w:val="24"/>
          <w:szCs w:val="22"/>
        </w:rPr>
      </w:pPr>
      <w:r w:rsidRPr="00BD2024">
        <w:rPr>
          <w:sz w:val="24"/>
          <w:szCs w:val="22"/>
        </w:rPr>
        <w:t>The National Infrastructure Commission (“NIC”) is an independent body (an Executive Agency of HM Treasury) which provides the government with impartial, expert advice on major long-term infrastructure challenges.</w:t>
      </w:r>
    </w:p>
    <w:p w14:paraId="37A46BF3" w14:textId="77777777" w:rsidR="006068CB" w:rsidRPr="00BD2024" w:rsidRDefault="006068CB" w:rsidP="006068CB">
      <w:pPr>
        <w:pStyle w:val="Heading2"/>
        <w:rPr>
          <w:sz w:val="24"/>
          <w:szCs w:val="22"/>
        </w:rPr>
      </w:pPr>
      <w:r w:rsidRPr="00BD2024">
        <w:rPr>
          <w:sz w:val="24"/>
          <w:szCs w:val="22"/>
        </w:rPr>
        <w:t>The NIC was set up in an interim basis on 5 October 2015 and formally became an Executive Agency of HM Treasury on 24 January 2017. The NIC’s objectives are to support sustainable economic growth across all regions of the UK, improve competitiveness and improve quality of life. The Commission’s remit covers six infrastructure sectors (transport, energy, water and wastewater, digital communication, solid waste and flood risk management), also considering their interdependencies and wider cross-cutting issues.</w:t>
      </w:r>
    </w:p>
    <w:p w14:paraId="39CE0B97" w14:textId="77777777" w:rsidR="006068CB" w:rsidRPr="00BD2024" w:rsidRDefault="006068CB" w:rsidP="006068CB">
      <w:pPr>
        <w:pStyle w:val="Heading2"/>
        <w:rPr>
          <w:sz w:val="24"/>
          <w:szCs w:val="22"/>
        </w:rPr>
      </w:pPr>
      <w:r w:rsidRPr="00BD2024">
        <w:rPr>
          <w:sz w:val="24"/>
          <w:szCs w:val="22"/>
        </w:rPr>
        <w:t>The Commission makes recommendations to government through a National Infrastructure Assessment, covering the UK’s long-term infrastructure needs across a thirty year horizon and to be published once every five years, and studies on specific issues commissioned by government. The first National Infrastructure Assessment was published in July 2018.</w:t>
      </w:r>
    </w:p>
    <w:p w14:paraId="309F702E" w14:textId="77777777" w:rsidR="006068CB" w:rsidRDefault="006068CB" w:rsidP="006068CB">
      <w:pPr>
        <w:pStyle w:val="Heading1"/>
        <w:tabs>
          <w:tab w:val="clear" w:pos="720"/>
        </w:tabs>
        <w:overflowPunct w:val="0"/>
        <w:autoSpaceDE w:val="0"/>
        <w:autoSpaceDN w:val="0"/>
        <w:spacing w:after="120"/>
        <w:textAlignment w:val="baseline"/>
        <w:rPr>
          <w:sz w:val="32"/>
          <w:szCs w:val="32"/>
        </w:rPr>
      </w:pPr>
      <w:bookmarkStart w:id="119" w:name="_Toc368573029"/>
      <w:bookmarkStart w:id="120" w:name="_Toc48034183"/>
      <w:bookmarkStart w:id="121" w:name="_Toc48220929"/>
      <w:r w:rsidRPr="001A45DF">
        <w:rPr>
          <w:sz w:val="32"/>
          <w:szCs w:val="32"/>
        </w:rPr>
        <w:t>Background to requirement/OVERVIEW</w:t>
      </w:r>
      <w:bookmarkEnd w:id="116"/>
      <w:r w:rsidRPr="001A45DF">
        <w:rPr>
          <w:sz w:val="32"/>
          <w:szCs w:val="32"/>
        </w:rPr>
        <w:t xml:space="preserve"> of requirement</w:t>
      </w:r>
      <w:bookmarkEnd w:id="119"/>
      <w:bookmarkEnd w:id="120"/>
      <w:bookmarkEnd w:id="121"/>
    </w:p>
    <w:p w14:paraId="6F9F63C2" w14:textId="77777777" w:rsidR="006068CB" w:rsidRPr="00FA3093" w:rsidRDefault="006068CB" w:rsidP="006068CB">
      <w:pPr>
        <w:pStyle w:val="Heading2"/>
        <w:rPr>
          <w:sz w:val="24"/>
          <w:szCs w:val="22"/>
        </w:rPr>
      </w:pPr>
      <w:r w:rsidRPr="00FA3093">
        <w:rPr>
          <w:sz w:val="24"/>
          <w:szCs w:val="22"/>
        </w:rPr>
        <w:t>Earlier this year, the National Infrastructure Commission was asked by the government to undertake an assessment of the rail needs in the Midlands and North of the UK. This includes considering the sequencing of, integration of and investment in major UK rail schemes, including High-Speed 2 Phase 2b, Northern Powerhouse Rail, Midlands Rail Engine, and electrification of key rail routes.</w:t>
      </w:r>
    </w:p>
    <w:p w14:paraId="50C2FB84" w14:textId="77777777" w:rsidR="006068CB" w:rsidRPr="00FA3093" w:rsidRDefault="006068CB" w:rsidP="006068CB">
      <w:pPr>
        <w:pStyle w:val="Heading2"/>
        <w:rPr>
          <w:sz w:val="24"/>
          <w:szCs w:val="22"/>
        </w:rPr>
      </w:pPr>
      <w:r w:rsidRPr="00FA3093">
        <w:rPr>
          <w:sz w:val="24"/>
          <w:szCs w:val="22"/>
        </w:rPr>
        <w:t>As part of this assessment, the Commission needs to develop a clear, independent picture of the costs of these schemes. Rail projects have a vast history of cost overruns, and developing an understanding of the true costs, accounting for optimism bias, is critical.</w:t>
      </w:r>
    </w:p>
    <w:p w14:paraId="6337E279" w14:textId="77777777" w:rsidR="006068CB" w:rsidRPr="00FA3093" w:rsidRDefault="006068CB" w:rsidP="006068CB">
      <w:pPr>
        <w:pStyle w:val="Heading2"/>
        <w:rPr>
          <w:sz w:val="24"/>
          <w:szCs w:val="22"/>
        </w:rPr>
      </w:pPr>
      <w:r w:rsidRPr="00FA3093">
        <w:rPr>
          <w:sz w:val="24"/>
          <w:szCs w:val="22"/>
        </w:rPr>
        <w:t>In order to understand and establish the appropriate level of optimism bias to apply to cost estimates, the Commission is asking the supplier to use data on previous rail schemes to develop reference class forecasts for rail project costs and construction schedules.</w:t>
      </w:r>
    </w:p>
    <w:p w14:paraId="71F82EE5" w14:textId="77777777" w:rsidR="006068CB" w:rsidRPr="001A45DF" w:rsidRDefault="006068CB" w:rsidP="006068CB">
      <w:pPr>
        <w:pStyle w:val="Heading1"/>
        <w:tabs>
          <w:tab w:val="clear" w:pos="720"/>
        </w:tabs>
        <w:overflowPunct w:val="0"/>
        <w:autoSpaceDE w:val="0"/>
        <w:autoSpaceDN w:val="0"/>
        <w:spacing w:after="120"/>
        <w:textAlignment w:val="baseline"/>
        <w:rPr>
          <w:sz w:val="32"/>
          <w:szCs w:val="32"/>
        </w:rPr>
      </w:pPr>
      <w:bookmarkStart w:id="122" w:name="_Toc48034184"/>
      <w:bookmarkStart w:id="123" w:name="_Toc48220930"/>
      <w:bookmarkStart w:id="124" w:name="_Toc297554774"/>
      <w:bookmarkStart w:id="125" w:name="_Toc368573030"/>
      <w:bookmarkEnd w:id="117"/>
      <w:r w:rsidRPr="001A45DF">
        <w:rPr>
          <w:sz w:val="32"/>
          <w:szCs w:val="32"/>
        </w:rPr>
        <w:t>definitions</w:t>
      </w:r>
      <w:bookmarkEnd w:id="122"/>
      <w:bookmarkEnd w:id="123"/>
      <w:r w:rsidRPr="001A45DF">
        <w:rPr>
          <w:sz w:val="32"/>
          <w:szCs w:val="32"/>
        </w:rPr>
        <w:t xml:space="preserve"> </w:t>
      </w:r>
    </w:p>
    <w:tbl>
      <w:tblPr>
        <w:tblStyle w:val="TableGrid"/>
        <w:tblW w:w="0" w:type="auto"/>
        <w:tblInd w:w="720" w:type="dxa"/>
        <w:tblLook w:val="04A0" w:firstRow="1" w:lastRow="0" w:firstColumn="1" w:lastColumn="0" w:noHBand="0" w:noVBand="1"/>
      </w:tblPr>
      <w:tblGrid>
        <w:gridCol w:w="1827"/>
        <w:gridCol w:w="6472"/>
      </w:tblGrid>
      <w:tr w:rsidR="006068CB" w14:paraId="3910DC62" w14:textId="77777777" w:rsidTr="008F125D">
        <w:tc>
          <w:tcPr>
            <w:tcW w:w="1827" w:type="dxa"/>
            <w:shd w:val="clear" w:color="auto" w:fill="C6D9F1" w:themeFill="text2" w:themeFillTint="33"/>
          </w:tcPr>
          <w:p w14:paraId="592BF975" w14:textId="77777777" w:rsidR="006068CB" w:rsidRPr="001A45DF" w:rsidRDefault="006068CB" w:rsidP="008F125D">
            <w:pPr>
              <w:pStyle w:val="Heading2"/>
              <w:numPr>
                <w:ilvl w:val="0"/>
                <w:numId w:val="0"/>
              </w:numPr>
              <w:spacing w:after="120"/>
              <w:ind w:left="18" w:hanging="18"/>
              <w:jc w:val="left"/>
              <w:outlineLvl w:val="1"/>
              <w:rPr>
                <w:b/>
                <w:sz w:val="24"/>
                <w:szCs w:val="24"/>
                <w:highlight w:val="yellow"/>
              </w:rPr>
            </w:pPr>
            <w:r w:rsidRPr="001A45DF">
              <w:rPr>
                <w:b/>
                <w:sz w:val="24"/>
                <w:szCs w:val="24"/>
              </w:rPr>
              <w:t>Expression or Acronym</w:t>
            </w:r>
          </w:p>
        </w:tc>
        <w:tc>
          <w:tcPr>
            <w:tcW w:w="6472" w:type="dxa"/>
            <w:shd w:val="clear" w:color="auto" w:fill="C6D9F1" w:themeFill="text2" w:themeFillTint="33"/>
          </w:tcPr>
          <w:p w14:paraId="070DD77F" w14:textId="77777777" w:rsidR="006068CB" w:rsidRPr="001A45DF" w:rsidRDefault="006068CB" w:rsidP="008F125D">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6068CB" w14:paraId="58873447" w14:textId="77777777" w:rsidTr="008F125D">
        <w:tc>
          <w:tcPr>
            <w:tcW w:w="1827" w:type="dxa"/>
          </w:tcPr>
          <w:p w14:paraId="56E36CBF" w14:textId="77777777" w:rsidR="006068CB" w:rsidRPr="001A45DF" w:rsidRDefault="006068CB" w:rsidP="008F125D">
            <w:pPr>
              <w:pStyle w:val="Heading2"/>
              <w:numPr>
                <w:ilvl w:val="0"/>
                <w:numId w:val="0"/>
              </w:numPr>
              <w:spacing w:after="120"/>
              <w:outlineLvl w:val="1"/>
              <w:rPr>
                <w:sz w:val="24"/>
                <w:szCs w:val="24"/>
                <w:highlight w:val="yellow"/>
              </w:rPr>
            </w:pPr>
            <w:r w:rsidRPr="00344220">
              <w:rPr>
                <w:sz w:val="24"/>
              </w:rPr>
              <w:t>NIC</w:t>
            </w:r>
            <w:r>
              <w:rPr>
                <w:sz w:val="24"/>
              </w:rPr>
              <w:t>, Commission, Customer</w:t>
            </w:r>
          </w:p>
        </w:tc>
        <w:tc>
          <w:tcPr>
            <w:tcW w:w="6472" w:type="dxa"/>
          </w:tcPr>
          <w:p w14:paraId="6DCFD0B9" w14:textId="77777777" w:rsidR="006068CB" w:rsidRPr="001A45DF" w:rsidRDefault="006068CB" w:rsidP="008F125D">
            <w:pPr>
              <w:pStyle w:val="Heading2"/>
              <w:numPr>
                <w:ilvl w:val="0"/>
                <w:numId w:val="0"/>
              </w:numPr>
              <w:spacing w:after="120"/>
              <w:outlineLvl w:val="1"/>
              <w:rPr>
                <w:sz w:val="24"/>
                <w:szCs w:val="24"/>
                <w:highlight w:val="yellow"/>
              </w:rPr>
            </w:pPr>
            <w:r>
              <w:rPr>
                <w:sz w:val="24"/>
                <w:szCs w:val="24"/>
              </w:rPr>
              <w:t>The National Infrastructure Commission</w:t>
            </w:r>
          </w:p>
        </w:tc>
      </w:tr>
      <w:tr w:rsidR="006068CB" w14:paraId="7BECC35C" w14:textId="77777777" w:rsidTr="008F125D">
        <w:tc>
          <w:tcPr>
            <w:tcW w:w="1827" w:type="dxa"/>
          </w:tcPr>
          <w:p w14:paraId="55ED775C" w14:textId="77777777" w:rsidR="006068CB" w:rsidRPr="001A45DF" w:rsidRDefault="006068CB" w:rsidP="008F125D">
            <w:pPr>
              <w:pStyle w:val="Heading2"/>
              <w:numPr>
                <w:ilvl w:val="0"/>
                <w:numId w:val="0"/>
              </w:numPr>
              <w:spacing w:after="120"/>
              <w:ind w:left="720" w:hanging="720"/>
              <w:outlineLvl w:val="1"/>
              <w:rPr>
                <w:sz w:val="24"/>
                <w:szCs w:val="24"/>
                <w:highlight w:val="yellow"/>
              </w:rPr>
            </w:pPr>
            <w:r w:rsidRPr="007E5084">
              <w:rPr>
                <w:sz w:val="24"/>
                <w:szCs w:val="24"/>
              </w:rPr>
              <w:t>Supplier</w:t>
            </w:r>
          </w:p>
        </w:tc>
        <w:tc>
          <w:tcPr>
            <w:tcW w:w="6472" w:type="dxa"/>
          </w:tcPr>
          <w:p w14:paraId="1208F006" w14:textId="77777777" w:rsidR="006068CB" w:rsidRPr="001A45DF" w:rsidRDefault="006068CB" w:rsidP="008F125D">
            <w:pPr>
              <w:pStyle w:val="Heading2"/>
              <w:numPr>
                <w:ilvl w:val="0"/>
                <w:numId w:val="0"/>
              </w:numPr>
              <w:spacing w:after="120"/>
              <w:outlineLvl w:val="1"/>
              <w:rPr>
                <w:sz w:val="24"/>
                <w:szCs w:val="24"/>
                <w:highlight w:val="yellow"/>
              </w:rPr>
            </w:pPr>
            <w:r w:rsidRPr="00344220">
              <w:rPr>
                <w:sz w:val="24"/>
              </w:rPr>
              <w:t>The supplier who is awarded the contract to deliver the</w:t>
            </w:r>
            <w:r>
              <w:rPr>
                <w:sz w:val="24"/>
              </w:rPr>
              <w:t xml:space="preserve"> </w:t>
            </w:r>
            <w:r w:rsidRPr="00344220">
              <w:rPr>
                <w:sz w:val="24"/>
              </w:rPr>
              <w:t>services set out in this specification.</w:t>
            </w:r>
          </w:p>
        </w:tc>
      </w:tr>
      <w:tr w:rsidR="006068CB" w14:paraId="3FCBDA97" w14:textId="77777777" w:rsidTr="008F125D">
        <w:tc>
          <w:tcPr>
            <w:tcW w:w="1827" w:type="dxa"/>
          </w:tcPr>
          <w:p w14:paraId="450F8E91" w14:textId="77777777" w:rsidR="006068CB" w:rsidRPr="001A45DF" w:rsidRDefault="006068CB" w:rsidP="008F125D">
            <w:pPr>
              <w:pStyle w:val="Heading2"/>
              <w:numPr>
                <w:ilvl w:val="0"/>
                <w:numId w:val="0"/>
              </w:numPr>
              <w:spacing w:after="120"/>
              <w:outlineLvl w:val="1"/>
              <w:rPr>
                <w:sz w:val="24"/>
                <w:szCs w:val="24"/>
                <w:highlight w:val="yellow"/>
              </w:rPr>
            </w:pPr>
            <w:r w:rsidRPr="007E5084">
              <w:rPr>
                <w:sz w:val="24"/>
                <w:szCs w:val="24"/>
              </w:rPr>
              <w:t>Assessment, Study, Analysis</w:t>
            </w:r>
          </w:p>
        </w:tc>
        <w:tc>
          <w:tcPr>
            <w:tcW w:w="6472" w:type="dxa"/>
          </w:tcPr>
          <w:p w14:paraId="00DD2B1E" w14:textId="77777777" w:rsidR="006068CB" w:rsidRPr="001A45DF" w:rsidRDefault="006068CB" w:rsidP="008F125D">
            <w:pPr>
              <w:pStyle w:val="Heading2"/>
              <w:numPr>
                <w:ilvl w:val="0"/>
                <w:numId w:val="0"/>
              </w:numPr>
              <w:spacing w:after="120"/>
              <w:outlineLvl w:val="1"/>
              <w:rPr>
                <w:sz w:val="24"/>
                <w:szCs w:val="24"/>
                <w:highlight w:val="yellow"/>
              </w:rPr>
            </w:pPr>
            <w:r>
              <w:rPr>
                <w:sz w:val="24"/>
                <w:szCs w:val="24"/>
              </w:rPr>
              <w:t>The National Infrastructure Commission’s Rail Needs Assessment in the Midlands and North</w:t>
            </w:r>
          </w:p>
        </w:tc>
      </w:tr>
    </w:tbl>
    <w:p w14:paraId="0A8DB1A5" w14:textId="77777777" w:rsidR="006068CB" w:rsidRPr="001A45DF" w:rsidRDefault="006068CB" w:rsidP="006068CB">
      <w:pPr>
        <w:pStyle w:val="Heading1"/>
        <w:tabs>
          <w:tab w:val="clear" w:pos="720"/>
        </w:tabs>
        <w:overflowPunct w:val="0"/>
        <w:autoSpaceDE w:val="0"/>
        <w:autoSpaceDN w:val="0"/>
        <w:spacing w:before="240" w:after="120"/>
        <w:textAlignment w:val="baseline"/>
        <w:rPr>
          <w:sz w:val="32"/>
          <w:szCs w:val="32"/>
        </w:rPr>
      </w:pPr>
      <w:bookmarkStart w:id="126" w:name="_Toc48034185"/>
      <w:bookmarkStart w:id="127" w:name="_Toc48220931"/>
      <w:r w:rsidRPr="001A45DF">
        <w:rPr>
          <w:sz w:val="32"/>
          <w:szCs w:val="32"/>
        </w:rPr>
        <w:t>scope of requirement</w:t>
      </w:r>
      <w:bookmarkEnd w:id="124"/>
      <w:bookmarkEnd w:id="125"/>
      <w:bookmarkEnd w:id="126"/>
      <w:bookmarkEnd w:id="127"/>
      <w:r w:rsidRPr="001A45DF">
        <w:rPr>
          <w:sz w:val="32"/>
          <w:szCs w:val="32"/>
        </w:rPr>
        <w:t xml:space="preserve"> </w:t>
      </w:r>
    </w:p>
    <w:bookmarkEnd w:id="118"/>
    <w:p w14:paraId="78E4BD43" w14:textId="77777777" w:rsidR="006068CB" w:rsidRPr="00F63033" w:rsidRDefault="006068CB" w:rsidP="006068CB">
      <w:pPr>
        <w:pStyle w:val="Heading2"/>
        <w:tabs>
          <w:tab w:val="clear" w:pos="720"/>
          <w:tab w:val="num" w:pos="862"/>
        </w:tabs>
        <w:overflowPunct w:val="0"/>
        <w:autoSpaceDE w:val="0"/>
        <w:autoSpaceDN w:val="0"/>
        <w:spacing w:after="120"/>
        <w:ind w:left="709" w:hanging="709"/>
        <w:textAlignment w:val="baseline"/>
        <w:rPr>
          <w:sz w:val="24"/>
          <w:szCs w:val="24"/>
        </w:rPr>
      </w:pPr>
      <w:r w:rsidRPr="00F63033">
        <w:rPr>
          <w:sz w:val="24"/>
          <w:szCs w:val="24"/>
        </w:rPr>
        <w:t>The Commission requires between 3 – 10 reference class forecasts that are suitable for future intercity rail projects in the UK. Specifically:</w:t>
      </w:r>
    </w:p>
    <w:p w14:paraId="7A3DA7A0" w14:textId="77777777" w:rsidR="006068CB" w:rsidRPr="00F63033" w:rsidRDefault="006068CB" w:rsidP="006068CB">
      <w:pPr>
        <w:pStyle w:val="Heading3"/>
        <w:spacing w:after="120"/>
        <w:rPr>
          <w:sz w:val="24"/>
          <w:szCs w:val="24"/>
        </w:rPr>
      </w:pPr>
      <w:r w:rsidRPr="00F63033">
        <w:rPr>
          <w:sz w:val="24"/>
          <w:szCs w:val="24"/>
        </w:rPr>
        <w:t>The reference classes should cover costs (all costs up to the point of operation), and schedule only;</w:t>
      </w:r>
    </w:p>
    <w:p w14:paraId="2A54A1BB" w14:textId="77777777" w:rsidR="006068CB" w:rsidRDefault="006068CB" w:rsidP="006068CB">
      <w:pPr>
        <w:pStyle w:val="Heading3"/>
        <w:spacing w:after="120"/>
        <w:rPr>
          <w:sz w:val="24"/>
          <w:szCs w:val="24"/>
        </w:rPr>
      </w:pPr>
      <w:r w:rsidRPr="00F63033">
        <w:rPr>
          <w:sz w:val="24"/>
          <w:szCs w:val="24"/>
        </w:rPr>
        <w:t>They should also be suitable for intercity rail projects, and not light rail or metro services</w:t>
      </w:r>
    </w:p>
    <w:p w14:paraId="0BCD5F79" w14:textId="77777777" w:rsidR="006068CB" w:rsidRPr="00C248E4" w:rsidRDefault="006068CB" w:rsidP="006068CB">
      <w:pPr>
        <w:pStyle w:val="Heading2"/>
        <w:rPr>
          <w:sz w:val="24"/>
          <w:szCs w:val="24"/>
        </w:rPr>
      </w:pPr>
      <w:r w:rsidRPr="00C248E4">
        <w:rPr>
          <w:sz w:val="24"/>
          <w:szCs w:val="24"/>
        </w:rPr>
        <w:t>To achieve a large enough sample size, it may be necessary to include projects in the reference class analysis from outside of the UK. However, the majority of the data used to create the reference classes should be from either:</w:t>
      </w:r>
    </w:p>
    <w:p w14:paraId="60D464F2" w14:textId="77777777" w:rsidR="006068CB" w:rsidRPr="00C248E4" w:rsidRDefault="006068CB" w:rsidP="006068CB">
      <w:pPr>
        <w:pStyle w:val="Heading3"/>
        <w:numPr>
          <w:ilvl w:val="0"/>
          <w:numId w:val="44"/>
        </w:numPr>
        <w:rPr>
          <w:sz w:val="24"/>
          <w:szCs w:val="24"/>
        </w:rPr>
      </w:pPr>
      <w:r w:rsidRPr="00C248E4">
        <w:rPr>
          <w:sz w:val="24"/>
          <w:szCs w:val="24"/>
        </w:rPr>
        <w:t>UK rail, or light rail projects</w:t>
      </w:r>
    </w:p>
    <w:p w14:paraId="4F317666" w14:textId="77777777" w:rsidR="006068CB" w:rsidRPr="00C248E4" w:rsidRDefault="006068CB" w:rsidP="006068CB">
      <w:pPr>
        <w:pStyle w:val="Heading3"/>
        <w:numPr>
          <w:ilvl w:val="0"/>
          <w:numId w:val="44"/>
        </w:numPr>
        <w:rPr>
          <w:sz w:val="24"/>
          <w:szCs w:val="24"/>
        </w:rPr>
      </w:pPr>
      <w:r w:rsidRPr="00C248E4">
        <w:rPr>
          <w:sz w:val="24"/>
          <w:szCs w:val="24"/>
        </w:rPr>
        <w:t>International high speed or intercity rail projects</w:t>
      </w:r>
    </w:p>
    <w:p w14:paraId="379802C5" w14:textId="77777777" w:rsidR="006068CB" w:rsidRDefault="006068CB" w:rsidP="006068CB">
      <w:pPr>
        <w:pStyle w:val="Heading3"/>
        <w:numPr>
          <w:ilvl w:val="0"/>
          <w:numId w:val="0"/>
        </w:numPr>
      </w:pPr>
      <w:r>
        <w:t xml:space="preserve">5.3. </w:t>
      </w:r>
      <w:r w:rsidRPr="00EE333E">
        <w:rPr>
          <w:sz w:val="24"/>
          <w:szCs w:val="24"/>
        </w:rPr>
        <w:t>The dataset used should include a range of rail projects, including:</w:t>
      </w:r>
    </w:p>
    <w:p w14:paraId="5DAEFFA1" w14:textId="77777777" w:rsidR="006068CB" w:rsidRPr="000B05D5" w:rsidRDefault="006068CB" w:rsidP="006068CB">
      <w:pPr>
        <w:pStyle w:val="Heading3"/>
        <w:numPr>
          <w:ilvl w:val="0"/>
          <w:numId w:val="45"/>
        </w:numPr>
        <w:rPr>
          <w:sz w:val="24"/>
          <w:szCs w:val="24"/>
        </w:rPr>
      </w:pPr>
      <w:r w:rsidRPr="000B05D5">
        <w:rPr>
          <w:sz w:val="24"/>
          <w:szCs w:val="24"/>
        </w:rPr>
        <w:t>Station upgrades (including recently completed upgrades, such as London Bridge)</w:t>
      </w:r>
    </w:p>
    <w:p w14:paraId="1D91A8F2" w14:textId="77777777" w:rsidR="006068CB" w:rsidRPr="000B05D5" w:rsidRDefault="006068CB" w:rsidP="006068CB">
      <w:pPr>
        <w:pStyle w:val="Heading3"/>
        <w:numPr>
          <w:ilvl w:val="0"/>
          <w:numId w:val="45"/>
        </w:numPr>
        <w:rPr>
          <w:sz w:val="24"/>
          <w:szCs w:val="24"/>
        </w:rPr>
      </w:pPr>
      <w:r w:rsidRPr="000B05D5">
        <w:rPr>
          <w:sz w:val="24"/>
          <w:szCs w:val="24"/>
        </w:rPr>
        <w:t>Railway electrification</w:t>
      </w:r>
    </w:p>
    <w:p w14:paraId="780AFD24" w14:textId="77777777" w:rsidR="006068CB" w:rsidRPr="000B05D5" w:rsidRDefault="006068CB" w:rsidP="006068CB">
      <w:pPr>
        <w:pStyle w:val="Heading3"/>
        <w:numPr>
          <w:ilvl w:val="0"/>
          <w:numId w:val="45"/>
        </w:numPr>
        <w:rPr>
          <w:sz w:val="24"/>
          <w:szCs w:val="24"/>
        </w:rPr>
      </w:pPr>
      <w:r w:rsidRPr="000B05D5">
        <w:rPr>
          <w:sz w:val="24"/>
          <w:szCs w:val="24"/>
        </w:rPr>
        <w:t>Track enhancements and upgrades</w:t>
      </w:r>
    </w:p>
    <w:p w14:paraId="589E34E1" w14:textId="77777777" w:rsidR="006068CB" w:rsidRPr="000B05D5" w:rsidRDefault="006068CB" w:rsidP="006068CB">
      <w:pPr>
        <w:pStyle w:val="Heading3"/>
        <w:numPr>
          <w:ilvl w:val="0"/>
          <w:numId w:val="45"/>
        </w:numPr>
        <w:rPr>
          <w:sz w:val="24"/>
          <w:szCs w:val="24"/>
        </w:rPr>
      </w:pPr>
      <w:r w:rsidRPr="000B05D5">
        <w:rPr>
          <w:sz w:val="24"/>
          <w:szCs w:val="24"/>
        </w:rPr>
        <w:t>New lines and stations</w:t>
      </w:r>
    </w:p>
    <w:p w14:paraId="485F7DAB" w14:textId="77777777" w:rsidR="006068CB" w:rsidRPr="001A45DF" w:rsidRDefault="006068CB" w:rsidP="006068CB">
      <w:pPr>
        <w:pStyle w:val="Heading1"/>
        <w:spacing w:after="120"/>
        <w:rPr>
          <w:sz w:val="32"/>
          <w:szCs w:val="32"/>
        </w:rPr>
      </w:pPr>
      <w:bookmarkStart w:id="128" w:name="_Toc368573031"/>
      <w:bookmarkStart w:id="129" w:name="_Toc48034186"/>
      <w:bookmarkStart w:id="130" w:name="_Toc48220932"/>
      <w:r w:rsidRPr="001A45DF">
        <w:rPr>
          <w:sz w:val="32"/>
          <w:szCs w:val="32"/>
        </w:rPr>
        <w:t>The requirement</w:t>
      </w:r>
      <w:bookmarkEnd w:id="128"/>
      <w:bookmarkEnd w:id="129"/>
      <w:bookmarkEnd w:id="130"/>
    </w:p>
    <w:p w14:paraId="1264F279" w14:textId="77777777" w:rsidR="006068CB" w:rsidRDefault="006068CB" w:rsidP="006068CB">
      <w:pPr>
        <w:pStyle w:val="Heading2"/>
        <w:rPr>
          <w:sz w:val="24"/>
          <w:szCs w:val="24"/>
        </w:rPr>
      </w:pPr>
      <w:r>
        <w:rPr>
          <w:sz w:val="24"/>
          <w:szCs w:val="24"/>
        </w:rPr>
        <w:t>The supplier should produce between 3 and 10 reference class forecasts that are suitable for use in future rail projects in the UK. These should be:</w:t>
      </w:r>
    </w:p>
    <w:p w14:paraId="45B6CE45" w14:textId="77777777" w:rsidR="006068CB" w:rsidRPr="00303D40" w:rsidRDefault="006068CB" w:rsidP="006068CB">
      <w:pPr>
        <w:pStyle w:val="Heading3"/>
        <w:rPr>
          <w:sz w:val="24"/>
          <w:szCs w:val="22"/>
        </w:rPr>
      </w:pPr>
      <w:r w:rsidRPr="00303D40">
        <w:rPr>
          <w:sz w:val="24"/>
          <w:szCs w:val="22"/>
        </w:rPr>
        <w:t>Based on data of cost and schedule overruns from previous rail projects in the UK and internationally</w:t>
      </w:r>
    </w:p>
    <w:p w14:paraId="1113FD65" w14:textId="77777777" w:rsidR="006068CB" w:rsidRPr="00303D40" w:rsidRDefault="006068CB" w:rsidP="006068CB">
      <w:pPr>
        <w:pStyle w:val="Heading3"/>
        <w:rPr>
          <w:sz w:val="24"/>
          <w:szCs w:val="22"/>
        </w:rPr>
      </w:pPr>
      <w:r w:rsidRPr="00303D40">
        <w:rPr>
          <w:sz w:val="24"/>
          <w:szCs w:val="22"/>
        </w:rPr>
        <w:t>Based on data from at least 20 or more schemes</w:t>
      </w:r>
    </w:p>
    <w:p w14:paraId="46ECB461" w14:textId="77777777" w:rsidR="006068CB" w:rsidRPr="00303D40" w:rsidRDefault="006068CB" w:rsidP="006068CB">
      <w:pPr>
        <w:pStyle w:val="Heading3"/>
        <w:rPr>
          <w:sz w:val="24"/>
          <w:szCs w:val="22"/>
        </w:rPr>
      </w:pPr>
      <w:r w:rsidRPr="00303D40">
        <w:rPr>
          <w:sz w:val="24"/>
          <w:szCs w:val="22"/>
        </w:rPr>
        <w:t>Disaggregated into different categories – so that there are a number of reference classes in total (eg. Per project stage, project type etc). This exact disaggregation will depend on sample sizes and will be agreed with the customer.</w:t>
      </w:r>
    </w:p>
    <w:p w14:paraId="01D0B8EC" w14:textId="77777777" w:rsidR="006068CB" w:rsidRPr="00303D40" w:rsidRDefault="006068CB" w:rsidP="006068CB">
      <w:pPr>
        <w:pStyle w:val="Heading2"/>
        <w:rPr>
          <w:rFonts w:cs="Arial"/>
          <w:sz w:val="24"/>
          <w:szCs w:val="24"/>
        </w:rPr>
      </w:pPr>
      <w:r w:rsidRPr="00303D40">
        <w:rPr>
          <w:rFonts w:cs="Arial"/>
          <w:sz w:val="24"/>
          <w:szCs w:val="24"/>
        </w:rPr>
        <w:t>The outputs the supplier will provide are:</w:t>
      </w:r>
    </w:p>
    <w:p w14:paraId="3F52D461" w14:textId="77777777" w:rsidR="006068CB" w:rsidRPr="00303D40" w:rsidRDefault="006068CB" w:rsidP="006068CB">
      <w:pPr>
        <w:pStyle w:val="Heading3"/>
        <w:rPr>
          <w:rFonts w:cs="Arial"/>
          <w:sz w:val="24"/>
          <w:szCs w:val="24"/>
        </w:rPr>
      </w:pPr>
      <w:r w:rsidRPr="00303D40">
        <w:rPr>
          <w:rFonts w:cs="Arial"/>
          <w:sz w:val="24"/>
          <w:szCs w:val="24"/>
        </w:rPr>
        <w:t>An excel spreadsheet, setting out the reference class forecasts in a table and in a cumulative distribution graph</w:t>
      </w:r>
    </w:p>
    <w:p w14:paraId="67AA723E" w14:textId="77777777" w:rsidR="006068CB" w:rsidRPr="00303D40" w:rsidRDefault="006068CB" w:rsidP="006068CB">
      <w:pPr>
        <w:pStyle w:val="Heading3"/>
        <w:rPr>
          <w:rFonts w:cs="Arial"/>
          <w:sz w:val="24"/>
          <w:szCs w:val="24"/>
        </w:rPr>
      </w:pPr>
      <w:r w:rsidRPr="00303D40">
        <w:rPr>
          <w:rFonts w:cs="Arial"/>
          <w:sz w:val="24"/>
          <w:szCs w:val="24"/>
        </w:rPr>
        <w:t xml:space="preserve">A PowerPoint or word document explaining the approach taken, and explaining the results. This will be published alongside the spreadsheet on the NIC’s website. </w:t>
      </w:r>
    </w:p>
    <w:p w14:paraId="10ED9FAD" w14:textId="77777777" w:rsidR="006068CB" w:rsidRPr="001A45DF" w:rsidRDefault="006068CB" w:rsidP="006068CB">
      <w:pPr>
        <w:pStyle w:val="Heading1"/>
        <w:spacing w:after="120"/>
        <w:rPr>
          <w:sz w:val="32"/>
          <w:szCs w:val="32"/>
        </w:rPr>
      </w:pPr>
      <w:bookmarkStart w:id="131" w:name="_Toc368573032"/>
      <w:bookmarkStart w:id="132" w:name="_Toc48034187"/>
      <w:bookmarkStart w:id="133" w:name="_Toc48220933"/>
      <w:r w:rsidRPr="001A45DF">
        <w:rPr>
          <w:sz w:val="32"/>
          <w:szCs w:val="32"/>
        </w:rPr>
        <w:t>key milestones</w:t>
      </w:r>
      <w:bookmarkEnd w:id="131"/>
      <w:r w:rsidRPr="001A45DF">
        <w:rPr>
          <w:sz w:val="32"/>
          <w:szCs w:val="32"/>
        </w:rPr>
        <w:t xml:space="preserve"> and Deliverables</w:t>
      </w:r>
      <w:bookmarkEnd w:id="132"/>
      <w:bookmarkEnd w:id="133"/>
    </w:p>
    <w:p w14:paraId="07135996" w14:textId="77777777" w:rsidR="006068CB" w:rsidRPr="001A45DF" w:rsidRDefault="006068CB" w:rsidP="006068CB">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 milestones/deliverables shall apply:</w:t>
      </w:r>
    </w:p>
    <w:tbl>
      <w:tblPr>
        <w:tblStyle w:val="TableGrid"/>
        <w:tblW w:w="5000" w:type="pct"/>
        <w:tblLook w:val="04A0" w:firstRow="1" w:lastRow="0" w:firstColumn="1" w:lastColumn="0" w:noHBand="0" w:noVBand="1"/>
      </w:tblPr>
      <w:tblGrid>
        <w:gridCol w:w="2671"/>
        <w:gridCol w:w="3947"/>
        <w:gridCol w:w="2401"/>
      </w:tblGrid>
      <w:tr w:rsidR="006068CB" w:rsidRPr="001A45DF" w14:paraId="32516CA4" w14:textId="77777777" w:rsidTr="008F125D">
        <w:tc>
          <w:tcPr>
            <w:tcW w:w="898" w:type="pct"/>
            <w:shd w:val="clear" w:color="auto" w:fill="C6D9F1" w:themeFill="text2" w:themeFillTint="33"/>
            <w:vAlign w:val="center"/>
          </w:tcPr>
          <w:p w14:paraId="0C6089A4" w14:textId="77777777" w:rsidR="006068CB" w:rsidRPr="00075375" w:rsidRDefault="006068CB" w:rsidP="008F125D">
            <w:pPr>
              <w:pStyle w:val="Heading3"/>
              <w:numPr>
                <w:ilvl w:val="0"/>
                <w:numId w:val="0"/>
              </w:numPr>
              <w:spacing w:after="120"/>
              <w:jc w:val="center"/>
              <w:outlineLvl w:val="2"/>
              <w:rPr>
                <w:b/>
                <w:sz w:val="24"/>
                <w:szCs w:val="24"/>
              </w:rPr>
            </w:pPr>
            <w:r w:rsidRPr="00075375">
              <w:rPr>
                <w:b/>
                <w:sz w:val="24"/>
                <w:szCs w:val="24"/>
              </w:rPr>
              <w:t>Milestone/Deliverable</w:t>
            </w:r>
          </w:p>
        </w:tc>
        <w:tc>
          <w:tcPr>
            <w:tcW w:w="2480" w:type="pct"/>
            <w:shd w:val="clear" w:color="auto" w:fill="C6D9F1" w:themeFill="text2" w:themeFillTint="33"/>
            <w:vAlign w:val="center"/>
          </w:tcPr>
          <w:p w14:paraId="6E8D0A41" w14:textId="77777777" w:rsidR="006068CB" w:rsidRPr="00075375" w:rsidRDefault="006068CB" w:rsidP="008F125D">
            <w:pPr>
              <w:pStyle w:val="Heading3"/>
              <w:numPr>
                <w:ilvl w:val="0"/>
                <w:numId w:val="0"/>
              </w:numPr>
              <w:spacing w:after="120"/>
              <w:jc w:val="center"/>
              <w:outlineLvl w:val="2"/>
              <w:rPr>
                <w:b/>
                <w:sz w:val="24"/>
                <w:szCs w:val="24"/>
              </w:rPr>
            </w:pPr>
            <w:r w:rsidRPr="00075375">
              <w:rPr>
                <w:b/>
                <w:sz w:val="24"/>
                <w:szCs w:val="24"/>
              </w:rPr>
              <w:t>Description</w:t>
            </w:r>
          </w:p>
        </w:tc>
        <w:tc>
          <w:tcPr>
            <w:tcW w:w="1622" w:type="pct"/>
            <w:shd w:val="clear" w:color="auto" w:fill="C6D9F1" w:themeFill="text2" w:themeFillTint="33"/>
            <w:vAlign w:val="center"/>
          </w:tcPr>
          <w:p w14:paraId="33CF49DD" w14:textId="77777777" w:rsidR="006068CB" w:rsidRPr="00075375" w:rsidRDefault="006068CB" w:rsidP="008F125D">
            <w:pPr>
              <w:pStyle w:val="Heading3"/>
              <w:numPr>
                <w:ilvl w:val="0"/>
                <w:numId w:val="0"/>
              </w:numPr>
              <w:spacing w:after="120"/>
              <w:jc w:val="center"/>
              <w:outlineLvl w:val="2"/>
              <w:rPr>
                <w:b/>
                <w:sz w:val="24"/>
                <w:szCs w:val="24"/>
              </w:rPr>
            </w:pPr>
            <w:r w:rsidRPr="00075375">
              <w:rPr>
                <w:b/>
                <w:sz w:val="24"/>
                <w:szCs w:val="24"/>
              </w:rPr>
              <w:t>Timeframe or  Delivery Date</w:t>
            </w:r>
          </w:p>
        </w:tc>
      </w:tr>
      <w:tr w:rsidR="006068CB" w:rsidRPr="001A45DF" w14:paraId="7FFD2083" w14:textId="77777777" w:rsidTr="008F125D">
        <w:tc>
          <w:tcPr>
            <w:tcW w:w="898" w:type="pct"/>
            <w:vAlign w:val="center"/>
          </w:tcPr>
          <w:p w14:paraId="78C1A2BF" w14:textId="77777777" w:rsidR="006068CB" w:rsidRPr="00075375" w:rsidRDefault="006068CB" w:rsidP="008F125D">
            <w:pPr>
              <w:pStyle w:val="Heading3"/>
              <w:numPr>
                <w:ilvl w:val="0"/>
                <w:numId w:val="0"/>
              </w:numPr>
              <w:spacing w:after="120"/>
              <w:jc w:val="center"/>
              <w:outlineLvl w:val="2"/>
              <w:rPr>
                <w:sz w:val="24"/>
                <w:szCs w:val="24"/>
              </w:rPr>
            </w:pPr>
            <w:r w:rsidRPr="00075375">
              <w:rPr>
                <w:sz w:val="24"/>
                <w:szCs w:val="24"/>
              </w:rPr>
              <w:t>1</w:t>
            </w:r>
          </w:p>
        </w:tc>
        <w:tc>
          <w:tcPr>
            <w:tcW w:w="2480" w:type="pct"/>
            <w:vAlign w:val="center"/>
          </w:tcPr>
          <w:p w14:paraId="378D6B0E" w14:textId="77777777" w:rsidR="006068CB" w:rsidRPr="00075375" w:rsidRDefault="006068CB" w:rsidP="008F125D">
            <w:pPr>
              <w:pStyle w:val="Heading3"/>
              <w:numPr>
                <w:ilvl w:val="0"/>
                <w:numId w:val="0"/>
              </w:numPr>
              <w:spacing w:after="120"/>
              <w:jc w:val="left"/>
              <w:outlineLvl w:val="2"/>
              <w:rPr>
                <w:sz w:val="24"/>
                <w:szCs w:val="24"/>
              </w:rPr>
            </w:pPr>
            <w:r w:rsidRPr="00075375">
              <w:rPr>
                <w:sz w:val="24"/>
                <w:szCs w:val="24"/>
              </w:rPr>
              <w:t>Collect any additional data on recently completed schemes</w:t>
            </w:r>
          </w:p>
        </w:tc>
        <w:tc>
          <w:tcPr>
            <w:tcW w:w="1622" w:type="pct"/>
            <w:vAlign w:val="center"/>
          </w:tcPr>
          <w:p w14:paraId="4750C0B1" w14:textId="77777777" w:rsidR="006068CB" w:rsidRPr="00075375" w:rsidRDefault="006068CB" w:rsidP="008F125D">
            <w:pPr>
              <w:pStyle w:val="Heading3"/>
              <w:numPr>
                <w:ilvl w:val="0"/>
                <w:numId w:val="0"/>
              </w:numPr>
              <w:spacing w:after="120"/>
              <w:jc w:val="center"/>
              <w:outlineLvl w:val="2"/>
              <w:rPr>
                <w:sz w:val="24"/>
                <w:szCs w:val="24"/>
              </w:rPr>
            </w:pPr>
            <w:r w:rsidRPr="00075375">
              <w:rPr>
                <w:sz w:val="24"/>
                <w:szCs w:val="24"/>
              </w:rPr>
              <w:t xml:space="preserve">Within week 2 of Contract Award </w:t>
            </w:r>
          </w:p>
        </w:tc>
      </w:tr>
      <w:tr w:rsidR="006068CB" w:rsidRPr="001A45DF" w14:paraId="7BD4A6D2" w14:textId="77777777" w:rsidTr="008F125D">
        <w:tc>
          <w:tcPr>
            <w:tcW w:w="898" w:type="pct"/>
            <w:vAlign w:val="center"/>
          </w:tcPr>
          <w:p w14:paraId="2CD5361B" w14:textId="77777777" w:rsidR="006068CB" w:rsidRPr="00075375" w:rsidRDefault="006068CB" w:rsidP="008F125D">
            <w:pPr>
              <w:pStyle w:val="Heading3"/>
              <w:numPr>
                <w:ilvl w:val="0"/>
                <w:numId w:val="0"/>
              </w:numPr>
              <w:spacing w:after="120"/>
              <w:jc w:val="center"/>
              <w:outlineLvl w:val="2"/>
              <w:rPr>
                <w:sz w:val="24"/>
                <w:szCs w:val="24"/>
              </w:rPr>
            </w:pPr>
            <w:r w:rsidRPr="00075375">
              <w:rPr>
                <w:sz w:val="24"/>
                <w:szCs w:val="24"/>
              </w:rPr>
              <w:t>2</w:t>
            </w:r>
          </w:p>
        </w:tc>
        <w:tc>
          <w:tcPr>
            <w:tcW w:w="2480" w:type="pct"/>
            <w:vAlign w:val="center"/>
          </w:tcPr>
          <w:p w14:paraId="0A896EAC" w14:textId="77777777" w:rsidR="006068CB" w:rsidRPr="00075375" w:rsidRDefault="006068CB" w:rsidP="008F125D">
            <w:pPr>
              <w:pStyle w:val="Heading3"/>
              <w:numPr>
                <w:ilvl w:val="0"/>
                <w:numId w:val="0"/>
              </w:numPr>
              <w:spacing w:after="120"/>
              <w:jc w:val="left"/>
              <w:outlineLvl w:val="2"/>
              <w:rPr>
                <w:sz w:val="24"/>
                <w:szCs w:val="24"/>
              </w:rPr>
            </w:pPr>
            <w:r w:rsidRPr="00075375">
              <w:rPr>
                <w:sz w:val="24"/>
                <w:szCs w:val="24"/>
              </w:rPr>
              <w:t>Agree categories that reference class forecasts will be disaggregated by</w:t>
            </w:r>
          </w:p>
        </w:tc>
        <w:tc>
          <w:tcPr>
            <w:tcW w:w="1622" w:type="pct"/>
            <w:vAlign w:val="center"/>
          </w:tcPr>
          <w:p w14:paraId="55676D30" w14:textId="77777777" w:rsidR="006068CB" w:rsidRPr="00075375" w:rsidRDefault="006068CB" w:rsidP="008F125D">
            <w:pPr>
              <w:pStyle w:val="Heading3"/>
              <w:numPr>
                <w:ilvl w:val="0"/>
                <w:numId w:val="0"/>
              </w:numPr>
              <w:spacing w:after="120"/>
              <w:jc w:val="center"/>
              <w:outlineLvl w:val="2"/>
              <w:rPr>
                <w:sz w:val="24"/>
                <w:szCs w:val="24"/>
              </w:rPr>
            </w:pPr>
            <w:r w:rsidRPr="00075375">
              <w:rPr>
                <w:sz w:val="24"/>
                <w:szCs w:val="24"/>
              </w:rPr>
              <w:t xml:space="preserve">Within week 2 of Contract Award </w:t>
            </w:r>
          </w:p>
        </w:tc>
      </w:tr>
      <w:tr w:rsidR="006068CB" w:rsidRPr="001A45DF" w14:paraId="7CC39835" w14:textId="77777777" w:rsidTr="008F125D">
        <w:tc>
          <w:tcPr>
            <w:tcW w:w="898" w:type="pct"/>
            <w:vAlign w:val="center"/>
          </w:tcPr>
          <w:p w14:paraId="2810C512" w14:textId="77777777" w:rsidR="006068CB" w:rsidRPr="00075375" w:rsidRDefault="006068CB" w:rsidP="008F125D">
            <w:pPr>
              <w:pStyle w:val="Heading3"/>
              <w:numPr>
                <w:ilvl w:val="0"/>
                <w:numId w:val="0"/>
              </w:numPr>
              <w:spacing w:after="120"/>
              <w:jc w:val="center"/>
              <w:outlineLvl w:val="2"/>
              <w:rPr>
                <w:sz w:val="24"/>
                <w:szCs w:val="24"/>
              </w:rPr>
            </w:pPr>
            <w:r w:rsidRPr="00075375">
              <w:rPr>
                <w:sz w:val="24"/>
                <w:szCs w:val="24"/>
              </w:rPr>
              <w:t>3</w:t>
            </w:r>
          </w:p>
        </w:tc>
        <w:tc>
          <w:tcPr>
            <w:tcW w:w="2480" w:type="pct"/>
            <w:vAlign w:val="center"/>
          </w:tcPr>
          <w:p w14:paraId="266503E8" w14:textId="77777777" w:rsidR="006068CB" w:rsidRPr="00075375" w:rsidRDefault="006068CB" w:rsidP="008F125D">
            <w:pPr>
              <w:pStyle w:val="Heading3"/>
              <w:numPr>
                <w:ilvl w:val="0"/>
                <w:numId w:val="0"/>
              </w:numPr>
              <w:spacing w:after="120"/>
              <w:jc w:val="left"/>
              <w:outlineLvl w:val="2"/>
              <w:rPr>
                <w:sz w:val="24"/>
                <w:szCs w:val="24"/>
              </w:rPr>
            </w:pPr>
            <w:r w:rsidRPr="00075375">
              <w:rPr>
                <w:sz w:val="24"/>
                <w:szCs w:val="24"/>
              </w:rPr>
              <w:t>Provide initial reference class forecasts to customer</w:t>
            </w:r>
          </w:p>
        </w:tc>
        <w:tc>
          <w:tcPr>
            <w:tcW w:w="1622" w:type="pct"/>
            <w:vAlign w:val="center"/>
          </w:tcPr>
          <w:p w14:paraId="0C538FE2" w14:textId="77777777" w:rsidR="006068CB" w:rsidRPr="00075375" w:rsidRDefault="006068CB" w:rsidP="008F125D">
            <w:pPr>
              <w:pStyle w:val="Heading3"/>
              <w:numPr>
                <w:ilvl w:val="0"/>
                <w:numId w:val="0"/>
              </w:numPr>
              <w:spacing w:after="120"/>
              <w:jc w:val="center"/>
              <w:outlineLvl w:val="2"/>
              <w:rPr>
                <w:sz w:val="24"/>
                <w:szCs w:val="24"/>
              </w:rPr>
            </w:pPr>
            <w:r w:rsidRPr="00075375">
              <w:rPr>
                <w:sz w:val="24"/>
                <w:szCs w:val="24"/>
              </w:rPr>
              <w:t xml:space="preserve">Within week 4 of Contract Award </w:t>
            </w:r>
          </w:p>
        </w:tc>
      </w:tr>
      <w:tr w:rsidR="006068CB" w:rsidRPr="001A45DF" w14:paraId="2B6A6213" w14:textId="77777777" w:rsidTr="008F125D">
        <w:tc>
          <w:tcPr>
            <w:tcW w:w="898" w:type="pct"/>
            <w:vAlign w:val="center"/>
          </w:tcPr>
          <w:p w14:paraId="76B3118D" w14:textId="77777777" w:rsidR="006068CB" w:rsidRPr="00075375" w:rsidRDefault="006068CB" w:rsidP="008F125D">
            <w:pPr>
              <w:pStyle w:val="Heading3"/>
              <w:numPr>
                <w:ilvl w:val="0"/>
                <w:numId w:val="0"/>
              </w:numPr>
              <w:spacing w:after="120"/>
              <w:jc w:val="center"/>
              <w:outlineLvl w:val="2"/>
              <w:rPr>
                <w:sz w:val="24"/>
                <w:szCs w:val="24"/>
              </w:rPr>
            </w:pPr>
            <w:r w:rsidRPr="00075375">
              <w:rPr>
                <w:sz w:val="24"/>
                <w:szCs w:val="24"/>
              </w:rPr>
              <w:t>4</w:t>
            </w:r>
          </w:p>
        </w:tc>
        <w:tc>
          <w:tcPr>
            <w:tcW w:w="2480" w:type="pct"/>
            <w:vAlign w:val="center"/>
          </w:tcPr>
          <w:p w14:paraId="4EB5486E" w14:textId="77777777" w:rsidR="006068CB" w:rsidRPr="00075375" w:rsidRDefault="006068CB" w:rsidP="008F125D">
            <w:pPr>
              <w:pStyle w:val="Heading3"/>
              <w:numPr>
                <w:ilvl w:val="0"/>
                <w:numId w:val="0"/>
              </w:numPr>
              <w:spacing w:after="120"/>
              <w:jc w:val="left"/>
              <w:outlineLvl w:val="2"/>
              <w:rPr>
                <w:sz w:val="24"/>
                <w:szCs w:val="24"/>
              </w:rPr>
            </w:pPr>
            <w:r w:rsidRPr="00075375">
              <w:rPr>
                <w:sz w:val="24"/>
                <w:szCs w:val="24"/>
              </w:rPr>
              <w:t>Quality assurance of reference class analysis</w:t>
            </w:r>
          </w:p>
        </w:tc>
        <w:tc>
          <w:tcPr>
            <w:tcW w:w="1622" w:type="pct"/>
            <w:vAlign w:val="center"/>
          </w:tcPr>
          <w:p w14:paraId="1BA887B1" w14:textId="77777777" w:rsidR="006068CB" w:rsidRPr="00075375" w:rsidRDefault="006068CB" w:rsidP="008F125D">
            <w:pPr>
              <w:pStyle w:val="Heading3"/>
              <w:numPr>
                <w:ilvl w:val="0"/>
                <w:numId w:val="0"/>
              </w:numPr>
              <w:spacing w:after="120"/>
              <w:jc w:val="center"/>
              <w:outlineLvl w:val="2"/>
              <w:rPr>
                <w:sz w:val="24"/>
                <w:szCs w:val="24"/>
              </w:rPr>
            </w:pPr>
            <w:r w:rsidRPr="00075375">
              <w:rPr>
                <w:sz w:val="24"/>
                <w:szCs w:val="24"/>
              </w:rPr>
              <w:t xml:space="preserve">Within week 5 of Contract Award </w:t>
            </w:r>
          </w:p>
        </w:tc>
      </w:tr>
      <w:tr w:rsidR="006068CB" w:rsidRPr="001A45DF" w14:paraId="17CB7772" w14:textId="77777777" w:rsidTr="008F125D">
        <w:tc>
          <w:tcPr>
            <w:tcW w:w="898" w:type="pct"/>
            <w:vAlign w:val="center"/>
          </w:tcPr>
          <w:p w14:paraId="2B414566" w14:textId="77777777" w:rsidR="006068CB" w:rsidRPr="00075375" w:rsidRDefault="006068CB" w:rsidP="008F125D">
            <w:pPr>
              <w:pStyle w:val="Heading3"/>
              <w:numPr>
                <w:ilvl w:val="0"/>
                <w:numId w:val="0"/>
              </w:numPr>
              <w:spacing w:after="120"/>
              <w:jc w:val="center"/>
              <w:outlineLvl w:val="2"/>
              <w:rPr>
                <w:sz w:val="24"/>
                <w:szCs w:val="24"/>
              </w:rPr>
            </w:pPr>
            <w:r w:rsidRPr="00075375">
              <w:rPr>
                <w:sz w:val="24"/>
                <w:szCs w:val="24"/>
              </w:rPr>
              <w:t>5</w:t>
            </w:r>
          </w:p>
        </w:tc>
        <w:tc>
          <w:tcPr>
            <w:tcW w:w="2480" w:type="pct"/>
            <w:vAlign w:val="center"/>
          </w:tcPr>
          <w:p w14:paraId="02103360" w14:textId="77777777" w:rsidR="006068CB" w:rsidRPr="00075375" w:rsidRDefault="006068CB" w:rsidP="008F125D">
            <w:pPr>
              <w:pStyle w:val="Heading3"/>
              <w:numPr>
                <w:ilvl w:val="0"/>
                <w:numId w:val="0"/>
              </w:numPr>
              <w:spacing w:after="120"/>
              <w:jc w:val="left"/>
              <w:outlineLvl w:val="2"/>
              <w:rPr>
                <w:sz w:val="24"/>
                <w:szCs w:val="24"/>
              </w:rPr>
            </w:pPr>
            <w:r w:rsidRPr="00075375">
              <w:rPr>
                <w:sz w:val="24"/>
                <w:szCs w:val="24"/>
              </w:rPr>
              <w:t>Provide final forecasts and accompanying documentation</w:t>
            </w:r>
          </w:p>
        </w:tc>
        <w:tc>
          <w:tcPr>
            <w:tcW w:w="1622" w:type="pct"/>
            <w:vAlign w:val="center"/>
          </w:tcPr>
          <w:p w14:paraId="428F8AC5" w14:textId="77777777" w:rsidR="006068CB" w:rsidRPr="00075375" w:rsidRDefault="006068CB" w:rsidP="008F125D">
            <w:pPr>
              <w:pStyle w:val="Heading3"/>
              <w:numPr>
                <w:ilvl w:val="0"/>
                <w:numId w:val="0"/>
              </w:numPr>
              <w:spacing w:after="120"/>
              <w:jc w:val="center"/>
              <w:outlineLvl w:val="2"/>
              <w:rPr>
                <w:sz w:val="24"/>
                <w:szCs w:val="24"/>
              </w:rPr>
            </w:pPr>
            <w:r w:rsidRPr="00075375">
              <w:rPr>
                <w:sz w:val="24"/>
                <w:szCs w:val="24"/>
              </w:rPr>
              <w:t xml:space="preserve">Within week 5 of Contract Award </w:t>
            </w:r>
          </w:p>
        </w:tc>
      </w:tr>
    </w:tbl>
    <w:p w14:paraId="73B20CA7" w14:textId="77777777" w:rsidR="006068CB" w:rsidRDefault="006068CB" w:rsidP="006068CB">
      <w:pPr>
        <w:pStyle w:val="Heading1"/>
        <w:numPr>
          <w:ilvl w:val="0"/>
          <w:numId w:val="0"/>
        </w:numPr>
        <w:overflowPunct w:val="0"/>
        <w:autoSpaceDE w:val="0"/>
        <w:autoSpaceDN w:val="0"/>
        <w:spacing w:after="120"/>
        <w:textAlignment w:val="baseline"/>
        <w:rPr>
          <w:rFonts w:cs="Arial"/>
          <w:szCs w:val="22"/>
        </w:rPr>
      </w:pPr>
      <w:bookmarkStart w:id="134" w:name="_Toc302637211"/>
    </w:p>
    <w:p w14:paraId="109C645F" w14:textId="77777777" w:rsidR="006068CB" w:rsidRDefault="006068CB" w:rsidP="006068C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5" w:name="_Toc368573033"/>
      <w:bookmarkStart w:id="136" w:name="_Toc48034188"/>
      <w:bookmarkStart w:id="137" w:name="_Toc48220934"/>
      <w:r w:rsidRPr="001A45DF">
        <w:rPr>
          <w:rFonts w:cs="Arial"/>
          <w:sz w:val="32"/>
          <w:szCs w:val="32"/>
        </w:rPr>
        <w:t>MANAGEMENT INFORMATION/reporting</w:t>
      </w:r>
      <w:bookmarkEnd w:id="135"/>
      <w:bookmarkEnd w:id="136"/>
      <w:bookmarkEnd w:id="137"/>
    </w:p>
    <w:p w14:paraId="5AC3542C" w14:textId="77777777" w:rsidR="006068CB" w:rsidRPr="00443D61" w:rsidRDefault="006068CB" w:rsidP="006068CB">
      <w:pPr>
        <w:pStyle w:val="Heading2"/>
        <w:rPr>
          <w:sz w:val="24"/>
          <w:szCs w:val="24"/>
        </w:rPr>
      </w:pPr>
      <w:r w:rsidRPr="00792E8A">
        <w:rPr>
          <w:sz w:val="24"/>
          <w:szCs w:val="24"/>
        </w:rPr>
        <w:t>As set out in Section 7 (Key Milestones). This includes a requirement that the Supplier update the Customer on project progress on at least a weekly basis via a meeting or phone call, including to flag any issues or early findings.</w:t>
      </w:r>
    </w:p>
    <w:p w14:paraId="1280F6A7" w14:textId="77777777" w:rsidR="006068CB" w:rsidRDefault="006068CB" w:rsidP="006068C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8" w:name="_Toc368573035"/>
      <w:bookmarkStart w:id="139" w:name="_Toc48034189"/>
      <w:bookmarkStart w:id="140" w:name="_Toc48220935"/>
      <w:r w:rsidRPr="001A45DF">
        <w:rPr>
          <w:rFonts w:cs="Arial"/>
          <w:sz w:val="32"/>
          <w:szCs w:val="32"/>
        </w:rPr>
        <w:t>continuous improvement</w:t>
      </w:r>
      <w:bookmarkEnd w:id="138"/>
      <w:bookmarkEnd w:id="139"/>
      <w:bookmarkEnd w:id="140"/>
    </w:p>
    <w:p w14:paraId="78830FE6" w14:textId="77777777" w:rsidR="006068CB" w:rsidRDefault="006068CB" w:rsidP="006068CB">
      <w:pPr>
        <w:pStyle w:val="Heading2"/>
        <w:spacing w:after="120"/>
        <w:ind w:left="709" w:hanging="709"/>
        <w:rPr>
          <w:sz w:val="24"/>
          <w:szCs w:val="24"/>
        </w:rPr>
      </w:pPr>
      <w:r w:rsidRPr="001A45DF">
        <w:rPr>
          <w:sz w:val="24"/>
          <w:szCs w:val="24"/>
        </w:rPr>
        <w:t>The Supplier will be expected to continually improve the way in which the required Services are to be delivered throughout the Contract duration.</w:t>
      </w:r>
    </w:p>
    <w:p w14:paraId="5705E357" w14:textId="77777777" w:rsidR="006068CB" w:rsidRPr="007E5084" w:rsidRDefault="006068CB" w:rsidP="006068CB">
      <w:pPr>
        <w:pStyle w:val="Heading2"/>
        <w:spacing w:after="120"/>
        <w:ind w:left="709" w:hanging="709"/>
        <w:rPr>
          <w:sz w:val="24"/>
          <w:szCs w:val="24"/>
        </w:rPr>
      </w:pPr>
      <w:r w:rsidRPr="007E5084">
        <w:rPr>
          <w:sz w:val="24"/>
          <w:szCs w:val="24"/>
        </w:rPr>
        <w:t>Changes to the way in which the Services are to be delivered must be brought to the Customer’s attention and agreed prior to any changes being implemented</w:t>
      </w:r>
      <w:r>
        <w:rPr>
          <w:sz w:val="24"/>
          <w:szCs w:val="24"/>
        </w:rPr>
        <w:t>.</w:t>
      </w:r>
    </w:p>
    <w:p w14:paraId="17EF52F4" w14:textId="77777777" w:rsidR="006068CB" w:rsidRDefault="006068CB" w:rsidP="006068C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1" w:name="_Toc368573036"/>
      <w:bookmarkStart w:id="142" w:name="_Toc48034190"/>
      <w:bookmarkStart w:id="143" w:name="_Toc48220936"/>
      <w:r w:rsidRPr="001A45DF">
        <w:rPr>
          <w:rFonts w:cs="Arial"/>
          <w:sz w:val="32"/>
          <w:szCs w:val="32"/>
        </w:rPr>
        <w:t>quality</w:t>
      </w:r>
      <w:bookmarkEnd w:id="141"/>
      <w:bookmarkEnd w:id="142"/>
      <w:bookmarkEnd w:id="143"/>
    </w:p>
    <w:p w14:paraId="534E2605" w14:textId="77777777" w:rsidR="006068CB" w:rsidRPr="003D0EAD" w:rsidRDefault="006068CB" w:rsidP="006068CB">
      <w:pPr>
        <w:pStyle w:val="Heading2"/>
        <w:rPr>
          <w:sz w:val="24"/>
        </w:rPr>
      </w:pPr>
      <w:r w:rsidRPr="003D0EAD">
        <w:rPr>
          <w:sz w:val="24"/>
          <w:szCs w:val="24"/>
        </w:rPr>
        <w:t>Responsibility - Responsibility for the quality of outputs sits with the supplier, whether outputs are produced directly by the supplier or whether – if the contract allows – work has been subcontracted to a third party. To reflect this responsibility, any report published will be published in the supplier’s name on behalf of the Commission, which provides transparency and accountability.</w:t>
      </w:r>
      <w:r>
        <w:rPr>
          <w:sz w:val="24"/>
          <w:szCs w:val="24"/>
        </w:rPr>
        <w:t xml:space="preserve"> The Customer plans to publish the ‘Final Report’ on the Commission’s website. </w:t>
      </w:r>
    </w:p>
    <w:p w14:paraId="78155D50" w14:textId="77777777" w:rsidR="006068CB" w:rsidRPr="003D0EAD" w:rsidRDefault="006068CB" w:rsidP="006068CB">
      <w:pPr>
        <w:pStyle w:val="Heading2"/>
        <w:rPr>
          <w:sz w:val="24"/>
        </w:rPr>
      </w:pPr>
      <w:r w:rsidRPr="003D0EAD">
        <w:rPr>
          <w:sz w:val="24"/>
          <w:szCs w:val="24"/>
        </w:rPr>
        <w:t>Transparency - Methodology and assumptions used should be communicated clearly and be open to interrogation rather than in a ‘black-box’. Analysis should be documented, and documentation made available to the Commission.</w:t>
      </w:r>
    </w:p>
    <w:p w14:paraId="66A9BB8C" w14:textId="77777777" w:rsidR="006068CB" w:rsidRPr="00206141" w:rsidRDefault="006068CB" w:rsidP="006068CB">
      <w:pPr>
        <w:pStyle w:val="Heading2"/>
        <w:rPr>
          <w:sz w:val="24"/>
        </w:rPr>
      </w:pPr>
      <w:r w:rsidRPr="003D0EAD">
        <w:rPr>
          <w:sz w:val="24"/>
          <w:szCs w:val="24"/>
        </w:rPr>
        <w:t>Assumptions &amp; Sources - Assumptions logs should be provided, listing for each assumption, for example: what the assumption is, its effective date, source, level of certainty, materiality, and the sensitivity of output to changes in the assumption. All facts, figures and evidence used must be correctly sourced, appraised and referenced and subject to internal peer review.</w:t>
      </w:r>
    </w:p>
    <w:p w14:paraId="188CE2DF" w14:textId="77777777" w:rsidR="006068CB" w:rsidRPr="00206141" w:rsidRDefault="006068CB" w:rsidP="006068CB">
      <w:pPr>
        <w:pStyle w:val="Heading2"/>
        <w:rPr>
          <w:sz w:val="24"/>
        </w:rPr>
      </w:pPr>
      <w:r w:rsidRPr="00206141">
        <w:rPr>
          <w:sz w:val="24"/>
          <w:szCs w:val="24"/>
        </w:rPr>
        <w:t>Evidence of quality assurance - The supplier should provide details of how their analysis will be quality assured in a quality assurance plan agreed with the Commission at the project’s inception meeting.</w:t>
      </w:r>
    </w:p>
    <w:p w14:paraId="6FE845E6" w14:textId="77777777" w:rsidR="006068CB" w:rsidRDefault="006068CB" w:rsidP="006068C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4" w:name="_Toc368573037"/>
      <w:bookmarkStart w:id="145" w:name="_Toc48034191"/>
      <w:bookmarkStart w:id="146" w:name="_Toc48220937"/>
      <w:r w:rsidRPr="001A45DF">
        <w:rPr>
          <w:rFonts w:cs="Arial"/>
          <w:sz w:val="32"/>
          <w:szCs w:val="32"/>
        </w:rPr>
        <w:t>PRICE</w:t>
      </w:r>
      <w:bookmarkEnd w:id="144"/>
      <w:bookmarkEnd w:id="145"/>
      <w:bookmarkEnd w:id="146"/>
    </w:p>
    <w:p w14:paraId="3CCE6DEF" w14:textId="77777777" w:rsidR="006068CB" w:rsidRPr="009A0782" w:rsidRDefault="006068CB" w:rsidP="006068CB">
      <w:pPr>
        <w:pStyle w:val="Heading2"/>
        <w:rPr>
          <w:sz w:val="24"/>
        </w:rPr>
      </w:pPr>
      <w:r>
        <w:rPr>
          <w:sz w:val="24"/>
          <w:szCs w:val="24"/>
        </w:rPr>
        <w:t>The maximum budget for the full requirement is</w:t>
      </w:r>
      <w:r w:rsidRPr="009A0782">
        <w:rPr>
          <w:sz w:val="24"/>
          <w:szCs w:val="24"/>
        </w:rPr>
        <w:t xml:space="preserve"> £</w:t>
      </w:r>
      <w:r>
        <w:rPr>
          <w:sz w:val="24"/>
          <w:szCs w:val="24"/>
        </w:rPr>
        <w:t>1</w:t>
      </w:r>
      <w:r w:rsidRPr="009A0782">
        <w:rPr>
          <w:sz w:val="24"/>
          <w:szCs w:val="24"/>
        </w:rPr>
        <w:t xml:space="preserve">5,000.00 (excl. </w:t>
      </w:r>
      <w:r>
        <w:rPr>
          <w:sz w:val="24"/>
          <w:szCs w:val="24"/>
        </w:rPr>
        <w:t>VAT)</w:t>
      </w:r>
      <w:r w:rsidRPr="009A0782">
        <w:rPr>
          <w:sz w:val="24"/>
          <w:szCs w:val="24"/>
        </w:rPr>
        <w:t xml:space="preserve"> </w:t>
      </w:r>
    </w:p>
    <w:p w14:paraId="565C3A85" w14:textId="77777777" w:rsidR="006068CB" w:rsidRPr="009A0782" w:rsidRDefault="006068CB" w:rsidP="006068CB">
      <w:pPr>
        <w:pStyle w:val="Heading2"/>
        <w:rPr>
          <w:sz w:val="24"/>
        </w:rPr>
      </w:pPr>
      <w:r w:rsidRPr="009A0782">
        <w:rPr>
          <w:sz w:val="24"/>
          <w:szCs w:val="24"/>
        </w:rPr>
        <w:t xml:space="preserve">Prices </w:t>
      </w:r>
      <w:r>
        <w:rPr>
          <w:sz w:val="24"/>
          <w:szCs w:val="24"/>
        </w:rPr>
        <w:t>must</w:t>
      </w:r>
      <w:r w:rsidRPr="009A0782">
        <w:rPr>
          <w:sz w:val="24"/>
          <w:szCs w:val="24"/>
        </w:rPr>
        <w:t xml:space="preserve"> be inclusive of all expenses and exclusive of VAT.</w:t>
      </w:r>
    </w:p>
    <w:p w14:paraId="2B3DF236" w14:textId="77777777" w:rsidR="006068CB" w:rsidRPr="001A45DF" w:rsidRDefault="006068CB" w:rsidP="006068CB">
      <w:pPr>
        <w:pStyle w:val="Heading1"/>
        <w:numPr>
          <w:ilvl w:val="0"/>
          <w:numId w:val="0"/>
        </w:numPr>
        <w:overflowPunct w:val="0"/>
        <w:autoSpaceDE w:val="0"/>
        <w:autoSpaceDN w:val="0"/>
        <w:spacing w:after="120"/>
        <w:textAlignment w:val="baseline"/>
        <w:rPr>
          <w:rFonts w:cs="Arial"/>
          <w:sz w:val="32"/>
          <w:szCs w:val="32"/>
        </w:rPr>
      </w:pPr>
    </w:p>
    <w:p w14:paraId="0281B8B2" w14:textId="77777777" w:rsidR="006068CB" w:rsidRDefault="006068CB" w:rsidP="006068C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7" w:name="_Toc368573038"/>
      <w:bookmarkStart w:id="148" w:name="_Toc48034192"/>
      <w:bookmarkStart w:id="149" w:name="_Toc48220938"/>
      <w:r w:rsidRPr="001A45DF">
        <w:rPr>
          <w:rFonts w:cs="Arial"/>
          <w:sz w:val="32"/>
          <w:szCs w:val="32"/>
        </w:rPr>
        <w:t>STAFF AND CUSTOMER SERVICE</w:t>
      </w:r>
      <w:bookmarkEnd w:id="147"/>
      <w:bookmarkEnd w:id="148"/>
      <w:bookmarkEnd w:id="149"/>
    </w:p>
    <w:p w14:paraId="4597252F" w14:textId="77777777" w:rsidR="006068CB" w:rsidRPr="001A45DF" w:rsidRDefault="006068CB" w:rsidP="006068CB">
      <w:pPr>
        <w:pStyle w:val="Heading2"/>
        <w:tabs>
          <w:tab w:val="clear" w:pos="720"/>
          <w:tab w:val="num" w:pos="709"/>
        </w:tabs>
        <w:spacing w:after="120"/>
        <w:ind w:left="709" w:hanging="709"/>
        <w:rPr>
          <w:sz w:val="24"/>
          <w:szCs w:val="24"/>
        </w:rPr>
      </w:pPr>
      <w:r w:rsidRPr="001A45DF">
        <w:rPr>
          <w:sz w:val="24"/>
          <w:szCs w:val="24"/>
        </w:rPr>
        <w:t>The Supplier shall provide a sufficient level of resource throughout the duration of the Contract in order to consistently deliver a quality service.</w:t>
      </w:r>
    </w:p>
    <w:p w14:paraId="527A4F79" w14:textId="77777777" w:rsidR="006068CB" w:rsidRPr="001A45DF" w:rsidRDefault="006068CB" w:rsidP="006068CB">
      <w:pPr>
        <w:pStyle w:val="Heading2"/>
        <w:tabs>
          <w:tab w:val="clear" w:pos="720"/>
          <w:tab w:val="num" w:pos="709"/>
        </w:tabs>
        <w:spacing w:after="120"/>
        <w:ind w:left="709" w:hanging="709"/>
        <w:rPr>
          <w:sz w:val="24"/>
          <w:szCs w:val="24"/>
        </w:rPr>
      </w:pPr>
      <w:r w:rsidRPr="001A45DF">
        <w:rPr>
          <w:sz w:val="24"/>
          <w:szCs w:val="24"/>
        </w:rPr>
        <w:t xml:space="preserve">The Supplier’s staff assigned to the Contract shall have the relevant qualifications and experience to deliver the Contract to the required standard. </w:t>
      </w:r>
    </w:p>
    <w:p w14:paraId="3947A5CE" w14:textId="77777777" w:rsidR="006068CB" w:rsidRDefault="006068CB" w:rsidP="006068CB">
      <w:pPr>
        <w:pStyle w:val="Heading2"/>
        <w:spacing w:after="120"/>
        <w:ind w:left="709" w:hanging="709"/>
        <w:rPr>
          <w:sz w:val="24"/>
          <w:szCs w:val="24"/>
        </w:rPr>
      </w:pPr>
      <w:r w:rsidRPr="001A45DF">
        <w:rPr>
          <w:sz w:val="24"/>
          <w:szCs w:val="24"/>
        </w:rPr>
        <w:t xml:space="preserve">The Supplier shall ensure that staff understand the </w:t>
      </w:r>
      <w:r>
        <w:rPr>
          <w:sz w:val="24"/>
          <w:szCs w:val="24"/>
        </w:rPr>
        <w:t>Customer</w:t>
      </w:r>
      <w:r w:rsidRPr="001A45DF">
        <w:rPr>
          <w:sz w:val="24"/>
          <w:szCs w:val="24"/>
        </w:rPr>
        <w:t xml:space="preserve">’s vision and objectives and will provide excellent customer service to the </w:t>
      </w:r>
      <w:r>
        <w:rPr>
          <w:sz w:val="24"/>
          <w:szCs w:val="24"/>
        </w:rPr>
        <w:t>Customer</w:t>
      </w:r>
      <w:r w:rsidRPr="001A45DF">
        <w:rPr>
          <w:sz w:val="24"/>
          <w:szCs w:val="24"/>
        </w:rPr>
        <w:t xml:space="preserve"> throughout the duration of the Contract.  </w:t>
      </w:r>
    </w:p>
    <w:p w14:paraId="0CB0A94E" w14:textId="77777777" w:rsidR="006068CB" w:rsidRPr="00206141" w:rsidRDefault="006068CB" w:rsidP="006068CB">
      <w:pPr>
        <w:pStyle w:val="Heading2"/>
        <w:spacing w:after="120"/>
        <w:ind w:left="709" w:hanging="709"/>
        <w:rPr>
          <w:sz w:val="24"/>
          <w:szCs w:val="24"/>
        </w:rPr>
      </w:pPr>
      <w:r w:rsidRPr="00206141">
        <w:rPr>
          <w:sz w:val="24"/>
          <w:szCs w:val="24"/>
        </w:rPr>
        <w:t>The Supplier should not replace staff members in the team which was assembled and presented in the bidding process without informing and getting consent from the Customer.</w:t>
      </w:r>
    </w:p>
    <w:p w14:paraId="705BC42A" w14:textId="77777777" w:rsidR="006068CB" w:rsidRPr="001A45DF" w:rsidRDefault="006068CB" w:rsidP="006068C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50" w:name="_Toc368573039"/>
      <w:bookmarkStart w:id="151" w:name="_Toc48034193"/>
      <w:bookmarkStart w:id="152" w:name="_Toc48220939"/>
      <w:r w:rsidRPr="001A45DF">
        <w:rPr>
          <w:rFonts w:cs="Arial"/>
          <w:sz w:val="32"/>
          <w:szCs w:val="32"/>
        </w:rPr>
        <w:t>service levels and performance</w:t>
      </w:r>
      <w:bookmarkEnd w:id="150"/>
      <w:bookmarkEnd w:id="151"/>
      <w:bookmarkEnd w:id="152"/>
    </w:p>
    <w:p w14:paraId="0B816D42" w14:textId="77777777" w:rsidR="006068CB" w:rsidRPr="001A45DF" w:rsidRDefault="006068CB" w:rsidP="006068CB">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The Authority will measure the quality of the Supplier’s delivery by:</w:t>
      </w:r>
    </w:p>
    <w:p w14:paraId="7F4922F6" w14:textId="77777777" w:rsidR="006068CB" w:rsidRPr="001A45DF" w:rsidRDefault="006068CB" w:rsidP="006068CB">
      <w:pPr>
        <w:pStyle w:val="Heading3"/>
        <w:numPr>
          <w:ilvl w:val="0"/>
          <w:numId w:val="0"/>
        </w:numPr>
        <w:spacing w:after="120"/>
        <w:rPr>
          <w:sz w:val="24"/>
          <w:szCs w:val="24"/>
        </w:rPr>
      </w:pPr>
    </w:p>
    <w:tbl>
      <w:tblPr>
        <w:tblStyle w:val="TableGrid"/>
        <w:tblW w:w="0" w:type="auto"/>
        <w:tblInd w:w="720" w:type="dxa"/>
        <w:tblLook w:val="04A0" w:firstRow="1" w:lastRow="0" w:firstColumn="1" w:lastColumn="0" w:noHBand="0" w:noVBand="1"/>
      </w:tblPr>
      <w:tblGrid>
        <w:gridCol w:w="1124"/>
        <w:gridCol w:w="1791"/>
        <w:gridCol w:w="3754"/>
        <w:gridCol w:w="1630"/>
      </w:tblGrid>
      <w:tr w:rsidR="006068CB" w14:paraId="753C95A3" w14:textId="77777777" w:rsidTr="008F125D">
        <w:tc>
          <w:tcPr>
            <w:tcW w:w="1124" w:type="dxa"/>
            <w:shd w:val="clear" w:color="auto" w:fill="DBE5F1" w:themeFill="accent1" w:themeFillTint="33"/>
          </w:tcPr>
          <w:p w14:paraId="33CF3B18" w14:textId="77777777" w:rsidR="006068CB" w:rsidRPr="001A45DF" w:rsidRDefault="006068CB" w:rsidP="008F125D">
            <w:pPr>
              <w:pStyle w:val="Heading2"/>
              <w:numPr>
                <w:ilvl w:val="0"/>
                <w:numId w:val="0"/>
              </w:numPr>
              <w:jc w:val="center"/>
              <w:outlineLvl w:val="1"/>
              <w:rPr>
                <w:sz w:val="24"/>
                <w:szCs w:val="24"/>
              </w:rPr>
            </w:pPr>
            <w:r w:rsidRPr="001A45DF">
              <w:rPr>
                <w:sz w:val="24"/>
                <w:szCs w:val="24"/>
              </w:rPr>
              <w:t>KPI/SLA</w:t>
            </w:r>
          </w:p>
        </w:tc>
        <w:tc>
          <w:tcPr>
            <w:tcW w:w="1791" w:type="dxa"/>
            <w:shd w:val="clear" w:color="auto" w:fill="DBE5F1" w:themeFill="accent1" w:themeFillTint="33"/>
          </w:tcPr>
          <w:p w14:paraId="301AC7C9" w14:textId="77777777" w:rsidR="006068CB" w:rsidRPr="001A45DF" w:rsidRDefault="006068CB" w:rsidP="008F125D">
            <w:pPr>
              <w:pStyle w:val="Heading2"/>
              <w:numPr>
                <w:ilvl w:val="0"/>
                <w:numId w:val="0"/>
              </w:numPr>
              <w:jc w:val="center"/>
              <w:outlineLvl w:val="1"/>
              <w:rPr>
                <w:sz w:val="24"/>
                <w:szCs w:val="24"/>
              </w:rPr>
            </w:pPr>
            <w:r w:rsidRPr="001A45DF">
              <w:rPr>
                <w:sz w:val="24"/>
                <w:szCs w:val="24"/>
              </w:rPr>
              <w:t>Service Area</w:t>
            </w:r>
          </w:p>
        </w:tc>
        <w:tc>
          <w:tcPr>
            <w:tcW w:w="3754" w:type="dxa"/>
            <w:shd w:val="clear" w:color="auto" w:fill="DBE5F1" w:themeFill="accent1" w:themeFillTint="33"/>
          </w:tcPr>
          <w:p w14:paraId="0E6F291D" w14:textId="77777777" w:rsidR="006068CB" w:rsidRPr="001A45DF" w:rsidRDefault="006068CB" w:rsidP="008F125D">
            <w:pPr>
              <w:pStyle w:val="Heading2"/>
              <w:numPr>
                <w:ilvl w:val="0"/>
                <w:numId w:val="0"/>
              </w:numPr>
              <w:jc w:val="center"/>
              <w:outlineLvl w:val="1"/>
              <w:rPr>
                <w:sz w:val="24"/>
                <w:szCs w:val="24"/>
              </w:rPr>
            </w:pPr>
            <w:r w:rsidRPr="001A45DF">
              <w:rPr>
                <w:sz w:val="24"/>
                <w:szCs w:val="24"/>
              </w:rPr>
              <w:t>KPI/SLA description</w:t>
            </w:r>
          </w:p>
        </w:tc>
        <w:tc>
          <w:tcPr>
            <w:tcW w:w="1630" w:type="dxa"/>
            <w:shd w:val="clear" w:color="auto" w:fill="DBE5F1" w:themeFill="accent1" w:themeFillTint="33"/>
          </w:tcPr>
          <w:p w14:paraId="5988EEC3" w14:textId="77777777" w:rsidR="006068CB" w:rsidRPr="001A45DF" w:rsidRDefault="006068CB" w:rsidP="008F125D">
            <w:pPr>
              <w:pStyle w:val="Heading2"/>
              <w:numPr>
                <w:ilvl w:val="0"/>
                <w:numId w:val="0"/>
              </w:numPr>
              <w:jc w:val="center"/>
              <w:outlineLvl w:val="1"/>
              <w:rPr>
                <w:sz w:val="24"/>
                <w:szCs w:val="24"/>
              </w:rPr>
            </w:pPr>
            <w:r w:rsidRPr="001A45DF">
              <w:rPr>
                <w:sz w:val="24"/>
                <w:szCs w:val="24"/>
              </w:rPr>
              <w:t>Target</w:t>
            </w:r>
          </w:p>
        </w:tc>
      </w:tr>
      <w:tr w:rsidR="006068CB" w14:paraId="5F778CEC" w14:textId="77777777" w:rsidTr="008F125D">
        <w:tc>
          <w:tcPr>
            <w:tcW w:w="1124" w:type="dxa"/>
          </w:tcPr>
          <w:p w14:paraId="30459683" w14:textId="77777777" w:rsidR="006068CB" w:rsidRPr="001A45DF" w:rsidRDefault="006068CB" w:rsidP="008F125D">
            <w:pPr>
              <w:pStyle w:val="Heading2"/>
              <w:numPr>
                <w:ilvl w:val="0"/>
                <w:numId w:val="0"/>
              </w:numPr>
              <w:jc w:val="center"/>
              <w:outlineLvl w:val="1"/>
              <w:rPr>
                <w:sz w:val="24"/>
                <w:szCs w:val="24"/>
              </w:rPr>
            </w:pPr>
            <w:r>
              <w:rPr>
                <w:sz w:val="24"/>
                <w:szCs w:val="24"/>
              </w:rPr>
              <w:t>1</w:t>
            </w:r>
          </w:p>
        </w:tc>
        <w:tc>
          <w:tcPr>
            <w:tcW w:w="1791" w:type="dxa"/>
          </w:tcPr>
          <w:p w14:paraId="78ABE2A6" w14:textId="77777777" w:rsidR="006068CB" w:rsidRPr="001A45DF" w:rsidRDefault="006068CB" w:rsidP="008F125D">
            <w:pPr>
              <w:pStyle w:val="Heading2"/>
              <w:numPr>
                <w:ilvl w:val="0"/>
                <w:numId w:val="0"/>
              </w:numPr>
              <w:jc w:val="left"/>
              <w:outlineLvl w:val="1"/>
              <w:rPr>
                <w:sz w:val="24"/>
                <w:szCs w:val="24"/>
              </w:rPr>
            </w:pPr>
            <w:r>
              <w:rPr>
                <w:sz w:val="24"/>
                <w:szCs w:val="24"/>
              </w:rPr>
              <w:t xml:space="preserve">Weekly </w:t>
            </w:r>
            <w:r w:rsidRPr="00831BD6">
              <w:rPr>
                <w:sz w:val="24"/>
                <w:szCs w:val="24"/>
              </w:rPr>
              <w:t xml:space="preserve">project updates </w:t>
            </w:r>
          </w:p>
        </w:tc>
        <w:tc>
          <w:tcPr>
            <w:tcW w:w="3754" w:type="dxa"/>
          </w:tcPr>
          <w:p w14:paraId="7522E9F2" w14:textId="77777777" w:rsidR="006068CB" w:rsidRPr="001A45DF" w:rsidRDefault="006068CB" w:rsidP="008F125D">
            <w:pPr>
              <w:pStyle w:val="Heading2"/>
              <w:numPr>
                <w:ilvl w:val="0"/>
                <w:numId w:val="0"/>
              </w:numPr>
              <w:jc w:val="left"/>
              <w:outlineLvl w:val="1"/>
              <w:rPr>
                <w:sz w:val="24"/>
                <w:szCs w:val="24"/>
              </w:rPr>
            </w:pPr>
            <w:r>
              <w:rPr>
                <w:sz w:val="24"/>
                <w:szCs w:val="24"/>
              </w:rPr>
              <w:t>T</w:t>
            </w:r>
            <w:r w:rsidRPr="00915D88">
              <w:rPr>
                <w:sz w:val="24"/>
                <w:szCs w:val="24"/>
              </w:rPr>
              <w:t xml:space="preserve">he </w:t>
            </w:r>
            <w:r>
              <w:rPr>
                <w:sz w:val="24"/>
                <w:szCs w:val="24"/>
              </w:rPr>
              <w:t xml:space="preserve">Supplier </w:t>
            </w:r>
            <w:r w:rsidRPr="00915D88">
              <w:rPr>
                <w:sz w:val="24"/>
                <w:szCs w:val="24"/>
              </w:rPr>
              <w:t>will be expected to update the Customer on project progress on at least a weekly basis via a meeting or phone call, including to flag any issues or early findings.</w:t>
            </w:r>
          </w:p>
        </w:tc>
        <w:tc>
          <w:tcPr>
            <w:tcW w:w="1630" w:type="dxa"/>
          </w:tcPr>
          <w:p w14:paraId="5775DBA1" w14:textId="77777777" w:rsidR="006068CB" w:rsidRPr="001A45DF" w:rsidRDefault="006068CB" w:rsidP="008F125D">
            <w:pPr>
              <w:pStyle w:val="Heading2"/>
              <w:numPr>
                <w:ilvl w:val="0"/>
                <w:numId w:val="0"/>
              </w:numPr>
              <w:outlineLvl w:val="1"/>
              <w:rPr>
                <w:sz w:val="24"/>
                <w:szCs w:val="24"/>
              </w:rPr>
            </w:pPr>
            <w:r>
              <w:rPr>
                <w:sz w:val="24"/>
                <w:szCs w:val="24"/>
              </w:rPr>
              <w:t xml:space="preserve">100% </w:t>
            </w:r>
          </w:p>
        </w:tc>
      </w:tr>
      <w:tr w:rsidR="006068CB" w14:paraId="46245348" w14:textId="77777777" w:rsidTr="008F125D">
        <w:tc>
          <w:tcPr>
            <w:tcW w:w="1124" w:type="dxa"/>
          </w:tcPr>
          <w:p w14:paraId="086626FC" w14:textId="77777777" w:rsidR="006068CB" w:rsidRPr="001A45DF" w:rsidRDefault="006068CB" w:rsidP="008F125D">
            <w:pPr>
              <w:pStyle w:val="Heading2"/>
              <w:numPr>
                <w:ilvl w:val="0"/>
                <w:numId w:val="0"/>
              </w:numPr>
              <w:jc w:val="center"/>
              <w:outlineLvl w:val="1"/>
              <w:rPr>
                <w:sz w:val="24"/>
                <w:szCs w:val="24"/>
              </w:rPr>
            </w:pPr>
            <w:r w:rsidRPr="001A45DF">
              <w:rPr>
                <w:sz w:val="24"/>
                <w:szCs w:val="24"/>
              </w:rPr>
              <w:t>2</w:t>
            </w:r>
          </w:p>
        </w:tc>
        <w:tc>
          <w:tcPr>
            <w:tcW w:w="1791" w:type="dxa"/>
          </w:tcPr>
          <w:p w14:paraId="51F23E94" w14:textId="77777777" w:rsidR="006068CB" w:rsidRPr="001A45DF" w:rsidRDefault="006068CB" w:rsidP="008F125D">
            <w:pPr>
              <w:pStyle w:val="Heading2"/>
              <w:numPr>
                <w:ilvl w:val="0"/>
                <w:numId w:val="0"/>
              </w:numPr>
              <w:outlineLvl w:val="1"/>
              <w:rPr>
                <w:sz w:val="24"/>
                <w:szCs w:val="24"/>
              </w:rPr>
            </w:pPr>
            <w:r>
              <w:rPr>
                <w:sz w:val="24"/>
                <w:szCs w:val="24"/>
              </w:rPr>
              <w:t>Reports and documentation</w:t>
            </w:r>
          </w:p>
        </w:tc>
        <w:tc>
          <w:tcPr>
            <w:tcW w:w="3754" w:type="dxa"/>
          </w:tcPr>
          <w:p w14:paraId="555793F9" w14:textId="77777777" w:rsidR="006068CB" w:rsidRPr="001A45DF" w:rsidRDefault="006068CB" w:rsidP="008F125D">
            <w:pPr>
              <w:pStyle w:val="Heading2"/>
              <w:numPr>
                <w:ilvl w:val="0"/>
                <w:numId w:val="0"/>
              </w:numPr>
              <w:outlineLvl w:val="1"/>
              <w:rPr>
                <w:sz w:val="24"/>
                <w:szCs w:val="24"/>
              </w:rPr>
            </w:pPr>
            <w:r>
              <w:rPr>
                <w:sz w:val="24"/>
                <w:szCs w:val="24"/>
              </w:rPr>
              <w:t xml:space="preserve">Reports and documentation should cover scope and requirements set out in sections 5 and 6, and provide evidence that the Quality requirements in section 10 have been met. </w:t>
            </w:r>
          </w:p>
        </w:tc>
        <w:tc>
          <w:tcPr>
            <w:tcW w:w="1630" w:type="dxa"/>
          </w:tcPr>
          <w:p w14:paraId="1BD499FE" w14:textId="77777777" w:rsidR="006068CB" w:rsidRPr="001A45DF" w:rsidRDefault="006068CB" w:rsidP="008F125D">
            <w:pPr>
              <w:pStyle w:val="Heading2"/>
              <w:numPr>
                <w:ilvl w:val="0"/>
                <w:numId w:val="0"/>
              </w:numPr>
              <w:outlineLvl w:val="1"/>
              <w:rPr>
                <w:sz w:val="24"/>
                <w:szCs w:val="24"/>
              </w:rPr>
            </w:pPr>
            <w:r>
              <w:rPr>
                <w:sz w:val="24"/>
                <w:szCs w:val="24"/>
              </w:rPr>
              <w:t>100%</w:t>
            </w:r>
          </w:p>
        </w:tc>
      </w:tr>
    </w:tbl>
    <w:p w14:paraId="7A9BB8DC" w14:textId="77777777" w:rsidR="006068CB" w:rsidRDefault="006068CB" w:rsidP="006068CB">
      <w:pPr>
        <w:pStyle w:val="Heading2"/>
        <w:numPr>
          <w:ilvl w:val="0"/>
          <w:numId w:val="0"/>
        </w:numPr>
        <w:ind w:left="720"/>
      </w:pPr>
    </w:p>
    <w:p w14:paraId="430FC99B" w14:textId="77777777" w:rsidR="006068CB" w:rsidRDefault="006068CB" w:rsidP="006068CB">
      <w:pPr>
        <w:pStyle w:val="Heading1"/>
        <w:spacing w:after="120"/>
        <w:rPr>
          <w:sz w:val="32"/>
          <w:szCs w:val="32"/>
        </w:rPr>
      </w:pPr>
      <w:bookmarkStart w:id="153" w:name="_Toc368573040"/>
      <w:bookmarkStart w:id="154" w:name="_Toc48034194"/>
      <w:bookmarkStart w:id="155" w:name="_Toc48220940"/>
      <w:r w:rsidRPr="001A45DF">
        <w:rPr>
          <w:sz w:val="32"/>
          <w:szCs w:val="32"/>
        </w:rPr>
        <w:t>Security and CONFIDENTIALITY requirements</w:t>
      </w:r>
      <w:bookmarkEnd w:id="153"/>
      <w:bookmarkEnd w:id="154"/>
      <w:bookmarkEnd w:id="155"/>
    </w:p>
    <w:p w14:paraId="4FB6188C" w14:textId="77777777" w:rsidR="006068CB" w:rsidRPr="00FA3093" w:rsidRDefault="006068CB" w:rsidP="006068CB">
      <w:pPr>
        <w:pStyle w:val="Heading2"/>
        <w:rPr>
          <w:rFonts w:cs="Arial"/>
          <w:color w:val="000000"/>
          <w:sz w:val="24"/>
          <w:szCs w:val="24"/>
          <w:shd w:val="clear" w:color="auto" w:fill="FFFFFF"/>
        </w:rPr>
      </w:pPr>
      <w:r w:rsidRPr="00FA3093">
        <w:rPr>
          <w:rFonts w:cs="Arial"/>
          <w:color w:val="000000"/>
          <w:sz w:val="24"/>
          <w:szCs w:val="24"/>
          <w:shd w:val="clear" w:color="auto" w:fill="FFFFFF"/>
        </w:rPr>
        <w:t>Due care must be taken by the supplier to protect the confidentiality of all analysis and outputs (including in development and draft phases) relating to this requirement, to avoid pre-empting the customer’s placement of the final report or any of its contents into the public domain.</w:t>
      </w:r>
    </w:p>
    <w:p w14:paraId="17D89984" w14:textId="77777777" w:rsidR="006068CB" w:rsidRDefault="006068CB" w:rsidP="006068C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56" w:name="_Toc48034195"/>
      <w:bookmarkStart w:id="157" w:name="_Toc48220941"/>
      <w:bookmarkStart w:id="158" w:name="_Toc368573042"/>
      <w:r w:rsidRPr="001A45DF">
        <w:rPr>
          <w:rFonts w:cs="Arial"/>
          <w:sz w:val="32"/>
          <w:szCs w:val="32"/>
        </w:rPr>
        <w:t>payment AND INVOICING</w:t>
      </w:r>
      <w:bookmarkEnd w:id="156"/>
      <w:bookmarkEnd w:id="157"/>
      <w:r w:rsidRPr="001A45DF">
        <w:rPr>
          <w:rFonts w:cs="Arial"/>
          <w:sz w:val="32"/>
          <w:szCs w:val="32"/>
        </w:rPr>
        <w:t xml:space="preserve"> </w:t>
      </w:r>
    </w:p>
    <w:p w14:paraId="6B860A95" w14:textId="77777777" w:rsidR="006068CB" w:rsidRPr="001A45DF" w:rsidRDefault="006068CB" w:rsidP="006068CB">
      <w:pPr>
        <w:pStyle w:val="Heading2"/>
        <w:rPr>
          <w:sz w:val="24"/>
          <w:szCs w:val="24"/>
        </w:rPr>
      </w:pPr>
      <w:r w:rsidRPr="001A45DF">
        <w:rPr>
          <w:rFonts w:cs="Arial"/>
          <w:color w:val="000000"/>
          <w:sz w:val="24"/>
          <w:szCs w:val="24"/>
          <w:shd w:val="clear" w:color="auto" w:fill="FFFFFF"/>
        </w:rPr>
        <w:t xml:space="preserve">Payment can only be made following satisfactory delivery of pre-agreed certified products and deliverables. </w:t>
      </w:r>
    </w:p>
    <w:p w14:paraId="1050E7B9" w14:textId="77777777" w:rsidR="006068CB" w:rsidRPr="001A45DF" w:rsidRDefault="006068CB" w:rsidP="006068CB">
      <w:pPr>
        <w:pStyle w:val="Heading2"/>
        <w:rPr>
          <w:sz w:val="24"/>
          <w:szCs w:val="24"/>
        </w:rPr>
      </w:pPr>
      <w:r w:rsidRPr="001A45DF">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0AD665C6" w14:textId="77777777" w:rsidR="006068CB" w:rsidRPr="00206141" w:rsidRDefault="006068CB" w:rsidP="006068CB">
      <w:pPr>
        <w:pStyle w:val="Heading2"/>
        <w:rPr>
          <w:sz w:val="24"/>
          <w:szCs w:val="24"/>
        </w:rPr>
      </w:pPr>
      <w:r w:rsidRPr="001A45DF">
        <w:rPr>
          <w:rFonts w:cs="Arial"/>
          <w:color w:val="000000"/>
          <w:sz w:val="24"/>
          <w:szCs w:val="24"/>
          <w:shd w:val="clear" w:color="auto" w:fill="FFFFFF"/>
        </w:rPr>
        <w:t xml:space="preserve">Invoices should be submitted to: </w:t>
      </w:r>
      <w:hyperlink r:id="rId17" w:history="1">
        <w:r>
          <w:rPr>
            <w:rStyle w:val="Hyperlink"/>
            <w:sz w:val="24"/>
            <w:szCs w:val="24"/>
            <w:lang w:eastAsia="en-GB"/>
          </w:rPr>
          <w:t>invoicequeries@hmtreasury.gov.uk</w:t>
        </w:r>
      </w:hyperlink>
      <w:r>
        <w:rPr>
          <w:rFonts w:cs="Arial"/>
          <w:color w:val="000000"/>
          <w:sz w:val="24"/>
          <w:szCs w:val="24"/>
          <w:shd w:val="clear" w:color="auto" w:fill="FFFFFF"/>
        </w:rPr>
        <w:t xml:space="preserve">. </w:t>
      </w:r>
    </w:p>
    <w:p w14:paraId="5E0B0DEE" w14:textId="77777777" w:rsidR="006068CB" w:rsidRPr="001A45DF" w:rsidRDefault="006068CB" w:rsidP="006068CB">
      <w:pPr>
        <w:pStyle w:val="Heading2"/>
        <w:rPr>
          <w:sz w:val="24"/>
          <w:szCs w:val="24"/>
        </w:rPr>
      </w:pPr>
      <w:r w:rsidRPr="003D0EAD">
        <w:rPr>
          <w:rFonts w:cs="Arial"/>
          <w:color w:val="000000"/>
          <w:sz w:val="24"/>
          <w:szCs w:val="24"/>
          <w:shd w:val="clear" w:color="auto" w:fill="FFFFFF"/>
        </w:rPr>
        <w:t>Invoices must include the contract reference number stated clearly. The contract reference number will be provided by the Customer once the Supplier is appointed</w:t>
      </w:r>
    </w:p>
    <w:p w14:paraId="69225BB8" w14:textId="77777777" w:rsidR="006068CB" w:rsidRDefault="006068CB" w:rsidP="006068C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59" w:name="_Toc48034196"/>
      <w:bookmarkStart w:id="160" w:name="_Toc48220942"/>
      <w:bookmarkEnd w:id="158"/>
      <w:r w:rsidRPr="001A45DF">
        <w:rPr>
          <w:rFonts w:cs="Arial"/>
          <w:sz w:val="32"/>
          <w:szCs w:val="32"/>
        </w:rPr>
        <w:t>CONTRACT MANAGEMENT</w:t>
      </w:r>
      <w:bookmarkEnd w:id="159"/>
      <w:bookmarkEnd w:id="160"/>
      <w:r w:rsidRPr="001A45DF">
        <w:rPr>
          <w:rFonts w:cs="Arial"/>
          <w:sz w:val="32"/>
          <w:szCs w:val="32"/>
        </w:rPr>
        <w:t xml:space="preserve"> </w:t>
      </w:r>
    </w:p>
    <w:p w14:paraId="66259023" w14:textId="77777777" w:rsidR="006068CB" w:rsidRPr="009106C8" w:rsidRDefault="006068CB" w:rsidP="006068CB">
      <w:pPr>
        <w:pStyle w:val="Heading2"/>
        <w:rPr>
          <w:rFonts w:cs="Arial"/>
          <w:sz w:val="24"/>
          <w:szCs w:val="24"/>
        </w:rPr>
      </w:pPr>
      <w:r>
        <w:rPr>
          <w:sz w:val="24"/>
          <w:szCs w:val="24"/>
        </w:rPr>
        <w:t xml:space="preserve">The Contract will be managed in accordance with sections 7, 8 and 10. </w:t>
      </w:r>
    </w:p>
    <w:p w14:paraId="4A1776F1" w14:textId="77777777" w:rsidR="006068CB" w:rsidRPr="009106C8" w:rsidRDefault="006068CB" w:rsidP="006068CB">
      <w:pPr>
        <w:pStyle w:val="Heading2"/>
        <w:spacing w:after="120"/>
        <w:ind w:left="709" w:hanging="709"/>
        <w:rPr>
          <w:sz w:val="24"/>
          <w:szCs w:val="24"/>
        </w:rPr>
      </w:pPr>
      <w:r w:rsidRPr="009106C8">
        <w:rPr>
          <w:sz w:val="24"/>
          <w:szCs w:val="24"/>
        </w:rPr>
        <w:t>Attendance at Contract Review meetings shall be at the Supplier’s own expense.</w:t>
      </w:r>
    </w:p>
    <w:p w14:paraId="013AC86E" w14:textId="77777777" w:rsidR="006068CB" w:rsidRPr="009106C8" w:rsidRDefault="006068CB" w:rsidP="006068CB">
      <w:pPr>
        <w:pStyle w:val="Heading1"/>
        <w:spacing w:after="120"/>
        <w:rPr>
          <w:sz w:val="32"/>
          <w:szCs w:val="32"/>
        </w:rPr>
      </w:pPr>
      <w:bookmarkStart w:id="161" w:name="_Toc368573043"/>
      <w:bookmarkStart w:id="162" w:name="_Toc48034197"/>
      <w:bookmarkStart w:id="163" w:name="_Toc48220943"/>
      <w:bookmarkEnd w:id="134"/>
      <w:r w:rsidRPr="009106C8">
        <w:rPr>
          <w:sz w:val="32"/>
          <w:szCs w:val="32"/>
        </w:rPr>
        <w:t>Location</w:t>
      </w:r>
      <w:bookmarkEnd w:id="161"/>
      <w:bookmarkEnd w:id="162"/>
      <w:bookmarkEnd w:id="163"/>
      <w:r w:rsidRPr="009106C8">
        <w:rPr>
          <w:sz w:val="32"/>
          <w:szCs w:val="32"/>
        </w:rPr>
        <w:t xml:space="preserve"> </w:t>
      </w:r>
    </w:p>
    <w:p w14:paraId="4727E560" w14:textId="77777777" w:rsidR="006068CB" w:rsidRPr="00472D07" w:rsidRDefault="006068CB" w:rsidP="006068CB">
      <w:pPr>
        <w:pStyle w:val="Heading2"/>
        <w:tabs>
          <w:tab w:val="clear" w:pos="720"/>
          <w:tab w:val="num" w:pos="709"/>
        </w:tabs>
        <w:spacing w:after="120"/>
        <w:ind w:left="709" w:hanging="709"/>
        <w:rPr>
          <w:sz w:val="24"/>
          <w:szCs w:val="24"/>
        </w:rPr>
      </w:pPr>
      <w:r w:rsidRPr="00472D07">
        <w:rPr>
          <w:sz w:val="24"/>
          <w:szCs w:val="24"/>
        </w:rPr>
        <w:t xml:space="preserve">The location of the Services will be carried out at </w:t>
      </w:r>
      <w:r w:rsidRPr="003D0EAD">
        <w:rPr>
          <w:sz w:val="24"/>
          <w:szCs w:val="24"/>
        </w:rPr>
        <w:t>the Offices of the Supplier. Should government policy on management of Covid-19 related health and safety permit</w:t>
      </w:r>
      <w:r>
        <w:rPr>
          <w:sz w:val="24"/>
          <w:szCs w:val="24"/>
        </w:rPr>
        <w:t>,</w:t>
      </w:r>
      <w:r w:rsidRPr="003D0EAD">
        <w:rPr>
          <w:sz w:val="24"/>
          <w:szCs w:val="24"/>
        </w:rPr>
        <w:t xml:space="preserve"> some meetings with the NIC may take place </w:t>
      </w:r>
      <w:r w:rsidRPr="00472D07">
        <w:rPr>
          <w:sz w:val="24"/>
          <w:szCs w:val="24"/>
        </w:rPr>
        <w:t xml:space="preserve">at the NIC’s offices in </w:t>
      </w:r>
      <w:r>
        <w:rPr>
          <w:sz w:val="24"/>
          <w:szCs w:val="24"/>
        </w:rPr>
        <w:t>F</w:t>
      </w:r>
      <w:r w:rsidRPr="00472D07">
        <w:rPr>
          <w:sz w:val="24"/>
          <w:szCs w:val="24"/>
        </w:rPr>
        <w:t>inlaison House 15-17 Furnival street, London EC4A 1AB, or at other locations in central London.</w:t>
      </w:r>
    </w:p>
    <w:p w14:paraId="60975D4E" w14:textId="77777777" w:rsidR="006068CB" w:rsidRPr="00FD080D" w:rsidRDefault="006068CB" w:rsidP="006068CB">
      <w:pPr>
        <w:pStyle w:val="Heading2"/>
        <w:numPr>
          <w:ilvl w:val="0"/>
          <w:numId w:val="0"/>
        </w:numPr>
        <w:spacing w:after="120"/>
        <w:ind w:left="709"/>
        <w:rPr>
          <w:highlight w:val="yellow"/>
        </w:rPr>
      </w:pPr>
    </w:p>
    <w:p w14:paraId="29E35EF1" w14:textId="77777777" w:rsidR="006068CB" w:rsidRPr="002F4D97" w:rsidRDefault="006068CB" w:rsidP="006068CB">
      <w:pPr>
        <w:pStyle w:val="Heading1"/>
        <w:numPr>
          <w:ilvl w:val="0"/>
          <w:numId w:val="0"/>
        </w:numPr>
        <w:spacing w:after="120"/>
        <w:ind w:left="720"/>
      </w:pPr>
    </w:p>
    <w:p w14:paraId="12BE02B8" w14:textId="77777777" w:rsidR="006068CB" w:rsidRPr="002F4D97" w:rsidRDefault="006068CB" w:rsidP="006068CB">
      <w:pPr>
        <w:pStyle w:val="Heading2"/>
        <w:numPr>
          <w:ilvl w:val="0"/>
          <w:numId w:val="0"/>
        </w:numPr>
        <w:spacing w:after="120"/>
      </w:pPr>
    </w:p>
    <w:p w14:paraId="1E7B050B" w14:textId="77777777" w:rsidR="006068CB" w:rsidRDefault="006068CB" w:rsidP="006068CB">
      <w:pPr>
        <w:pStyle w:val="Heading1"/>
        <w:numPr>
          <w:ilvl w:val="0"/>
          <w:numId w:val="0"/>
        </w:numPr>
        <w:ind w:left="720" w:hanging="720"/>
      </w:pPr>
    </w:p>
    <w:p w14:paraId="707D3350" w14:textId="77777777" w:rsidR="006068CB" w:rsidRPr="00A74FE3" w:rsidRDefault="006068CB" w:rsidP="006068CB">
      <w:pPr>
        <w:tabs>
          <w:tab w:val="left" w:pos="1392"/>
        </w:tabs>
        <w:rPr>
          <w:rFonts w:eastAsia="STZhongsong"/>
          <w:szCs w:val="20"/>
        </w:rPr>
      </w:pP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64" w:name="_Toc48220944"/>
      <w:r w:rsidRPr="001167A3">
        <w:rPr>
          <w:rFonts w:eastAsia="Times New Roman"/>
          <w:b/>
          <w:szCs w:val="22"/>
          <w:lang w:eastAsia="en-US"/>
        </w:rPr>
        <w:t>ANNEX 4 – SUPPLIERS RESPONSE</w:t>
      </w:r>
      <w:bookmarkEnd w:id="164"/>
    </w:p>
    <w:p w14:paraId="4D5AF130" w14:textId="2E4538F2" w:rsidR="005F10EE" w:rsidRDefault="00D25599" w:rsidP="005F10EE">
      <w:pPr>
        <w:widowControl w:val="0"/>
        <w:tabs>
          <w:tab w:val="num" w:pos="540"/>
        </w:tabs>
        <w:spacing w:after="100" w:afterAutospacing="1"/>
        <w:ind w:left="851" w:hanging="851"/>
        <w:jc w:val="center"/>
        <w:outlineLvl w:val="0"/>
        <w:rPr>
          <w:rFonts w:eastAsia="Times New Roman"/>
          <w:b/>
          <w:szCs w:val="22"/>
          <w:lang w:eastAsia="en-US"/>
        </w:rPr>
      </w:pPr>
      <w:bookmarkStart w:id="165" w:name="_Toc48220945"/>
      <w:r w:rsidRPr="00336839">
        <w:rPr>
          <w:rFonts w:eastAsia="Times New Roman"/>
          <w:szCs w:val="22"/>
          <w:lang w:eastAsia="en-US"/>
        </w:rPr>
        <w:t xml:space="preserve">Supplier’s </w:t>
      </w:r>
      <w:r w:rsidR="008A2169">
        <w:rPr>
          <w:rFonts w:eastAsia="Times New Roman"/>
          <w:szCs w:val="22"/>
          <w:lang w:eastAsia="en-US"/>
        </w:rPr>
        <w:t>Proposal</w:t>
      </w:r>
      <w:r w:rsidRPr="00336839">
        <w:rPr>
          <w:rFonts w:eastAsia="Times New Roman"/>
          <w:szCs w:val="22"/>
          <w:lang w:eastAsia="en-US"/>
        </w:rPr>
        <w:t xml:space="preserve"> of  </w:t>
      </w:r>
      <w:r w:rsidR="006068CB">
        <w:rPr>
          <w:rFonts w:eastAsia="Times New Roman"/>
          <w:szCs w:val="22"/>
          <w:lang w:eastAsia="en-US"/>
        </w:rPr>
        <w:t>15</w:t>
      </w:r>
      <w:r w:rsidR="006068CB" w:rsidRPr="006068CB">
        <w:rPr>
          <w:rFonts w:eastAsia="Times New Roman"/>
          <w:szCs w:val="22"/>
          <w:vertAlign w:val="superscript"/>
          <w:lang w:eastAsia="en-US"/>
        </w:rPr>
        <w:t>th</w:t>
      </w:r>
      <w:r w:rsidR="006068CB">
        <w:rPr>
          <w:rFonts w:eastAsia="Times New Roman"/>
          <w:szCs w:val="22"/>
          <w:lang w:eastAsia="en-US"/>
        </w:rPr>
        <w:t xml:space="preserve"> May 2020</w:t>
      </w:r>
      <w:bookmarkEnd w:id="165"/>
    </w:p>
    <w:p w14:paraId="6ED51013" w14:textId="515A8565" w:rsidR="006068CB" w:rsidRDefault="00EF2366" w:rsidP="00174DC0">
      <w:pPr>
        <w:pStyle w:val="ScheduleLevel1"/>
        <w:numPr>
          <w:ilvl w:val="0"/>
          <w:numId w:val="0"/>
        </w:numPr>
        <w:spacing w:after="120"/>
        <w:jc w:val="center"/>
        <w:rPr>
          <w:rFonts w:cs="Arial"/>
          <w:b/>
          <w:szCs w:val="22"/>
          <w:highlight w:val="yellow"/>
        </w:rPr>
      </w:pPr>
      <w:r>
        <w:rPr>
          <w:rFonts w:cs="Arial"/>
          <w:lang w:eastAsia="en-GB"/>
        </w:rPr>
        <w:t>REDACTED</w:t>
      </w:r>
      <w:r>
        <w:rPr>
          <w:noProof/>
          <w:lang w:eastAsia="en-GB"/>
        </w:rPr>
        <w:t xml:space="preserve"> </w:t>
      </w:r>
    </w:p>
    <w:p w14:paraId="409A3B49" w14:textId="4111BEC5" w:rsidR="006068CB" w:rsidRDefault="006068CB" w:rsidP="00174DC0">
      <w:pPr>
        <w:pStyle w:val="ScheduleLevel1"/>
        <w:numPr>
          <w:ilvl w:val="0"/>
          <w:numId w:val="0"/>
        </w:numPr>
        <w:spacing w:after="120"/>
        <w:jc w:val="center"/>
        <w:rPr>
          <w:rFonts w:cs="Arial"/>
          <w:b/>
          <w:szCs w:val="22"/>
          <w:highlight w:val="yellow"/>
        </w:rPr>
      </w:pPr>
    </w:p>
    <w:p w14:paraId="60D063E8" w14:textId="0102E8A2" w:rsidR="006068CB" w:rsidRDefault="006068CB" w:rsidP="00174DC0">
      <w:pPr>
        <w:pStyle w:val="ScheduleLevel1"/>
        <w:numPr>
          <w:ilvl w:val="0"/>
          <w:numId w:val="0"/>
        </w:numPr>
        <w:spacing w:after="120"/>
        <w:jc w:val="center"/>
        <w:rPr>
          <w:rFonts w:cs="Arial"/>
          <w:b/>
          <w:szCs w:val="22"/>
          <w:highlight w:val="yellow"/>
        </w:rPr>
      </w:pPr>
    </w:p>
    <w:p w14:paraId="67A34360" w14:textId="09A72B6D" w:rsidR="006068CB" w:rsidRDefault="006068CB">
      <w:pPr>
        <w:rPr>
          <w:rFonts w:eastAsia="Times New Roman" w:cs="Arial"/>
          <w:b/>
          <w:szCs w:val="22"/>
          <w:highlight w:val="yellow"/>
          <w:lang w:eastAsia="en-US"/>
        </w:rPr>
      </w:pPr>
    </w:p>
    <w:p w14:paraId="0DBD62D1" w14:textId="77777777" w:rsidR="006068CB" w:rsidRDefault="006068CB" w:rsidP="00174DC0">
      <w:pPr>
        <w:pStyle w:val="ScheduleLevel1"/>
        <w:numPr>
          <w:ilvl w:val="0"/>
          <w:numId w:val="0"/>
        </w:numPr>
        <w:spacing w:after="120"/>
        <w:jc w:val="center"/>
        <w:rPr>
          <w:rFonts w:cs="Arial"/>
          <w:b/>
          <w:szCs w:val="22"/>
          <w:highlight w:val="yellow"/>
        </w:rPr>
      </w:pPr>
    </w:p>
    <w:p w14:paraId="11283A69" w14:textId="17A85FDB" w:rsidR="006068CB" w:rsidRDefault="006068CB" w:rsidP="00174DC0">
      <w:pPr>
        <w:pStyle w:val="ScheduleLevel1"/>
        <w:numPr>
          <w:ilvl w:val="0"/>
          <w:numId w:val="0"/>
        </w:numPr>
        <w:spacing w:after="120"/>
        <w:jc w:val="center"/>
        <w:rPr>
          <w:rFonts w:cs="Arial"/>
          <w:b/>
          <w:szCs w:val="22"/>
          <w:highlight w:val="yellow"/>
        </w:rPr>
      </w:pPr>
    </w:p>
    <w:p w14:paraId="0B39D693" w14:textId="4A6AC7AC" w:rsidR="00BE0BE4" w:rsidRDefault="00BE0BE4" w:rsidP="00174DC0">
      <w:pPr>
        <w:pStyle w:val="ScheduleLevel1"/>
        <w:numPr>
          <w:ilvl w:val="0"/>
          <w:numId w:val="0"/>
        </w:numPr>
        <w:spacing w:after="120"/>
        <w:jc w:val="center"/>
        <w:rPr>
          <w:rFonts w:cs="Arial"/>
          <w:b/>
          <w:szCs w:val="22"/>
          <w:highlight w:val="yellow"/>
        </w:rPr>
      </w:pPr>
    </w:p>
    <w:p w14:paraId="7D7AE746" w14:textId="6C1D0FA8" w:rsidR="00BE0BE4" w:rsidRPr="00336839" w:rsidRDefault="00BE0BE4" w:rsidP="00174DC0">
      <w:pPr>
        <w:pStyle w:val="ScheduleLevel1"/>
        <w:numPr>
          <w:ilvl w:val="0"/>
          <w:numId w:val="0"/>
        </w:numPr>
        <w:spacing w:after="120"/>
        <w:jc w:val="center"/>
        <w:rPr>
          <w:rFonts w:cs="Arial"/>
          <w:b/>
          <w:szCs w:val="22"/>
          <w:highlight w:val="yellow"/>
        </w:rPr>
      </w:pPr>
    </w:p>
    <w:p w14:paraId="3427523D" w14:textId="35E1E44A" w:rsidR="00BE0BE4" w:rsidRDefault="00BE0BE4">
      <w:pPr>
        <w:rPr>
          <w:rFonts w:eastAsia="Times New Roman"/>
          <w:b/>
          <w:szCs w:val="22"/>
          <w:lang w:eastAsia="en-US"/>
        </w:rPr>
      </w:pPr>
      <w:bookmarkStart w:id="166" w:name="_Toc437243999"/>
      <w:r>
        <w:rPr>
          <w:rFonts w:eastAsia="Times New Roman"/>
          <w:b/>
          <w:szCs w:val="22"/>
          <w:lang w:eastAsia="en-US"/>
        </w:rPr>
        <w:br w:type="page"/>
      </w:r>
    </w:p>
    <w:p w14:paraId="35FFB177" w14:textId="77777777" w:rsidR="00BE0BE4" w:rsidRDefault="00BE0BE4" w:rsidP="006068CB">
      <w:pPr>
        <w:jc w:val="center"/>
        <w:rPr>
          <w:rFonts w:eastAsia="Times New Roman"/>
          <w:b/>
          <w:szCs w:val="22"/>
          <w:lang w:eastAsia="en-US"/>
        </w:rPr>
      </w:pPr>
    </w:p>
    <w:p w14:paraId="7DF1E624" w14:textId="197EE64F" w:rsidR="00174DC0" w:rsidRDefault="00174DC0" w:rsidP="006068CB">
      <w:pPr>
        <w:jc w:val="center"/>
        <w:rPr>
          <w:rFonts w:eastAsia="Times New Roman"/>
          <w:b/>
          <w:szCs w:val="22"/>
          <w:lang w:eastAsia="en-US"/>
        </w:rPr>
      </w:pPr>
      <w:r w:rsidRPr="00506046">
        <w:rPr>
          <w:rFonts w:eastAsia="Times New Roman"/>
          <w:b/>
          <w:szCs w:val="22"/>
          <w:lang w:eastAsia="en-US"/>
        </w:rPr>
        <w:t>ANNEX 5 – CLARIFICATIONS</w:t>
      </w:r>
      <w:bookmarkEnd w:id="166"/>
    </w:p>
    <w:p w14:paraId="34562909" w14:textId="51ED8C78" w:rsidR="00BE0BE4" w:rsidRDefault="00BE0BE4" w:rsidP="006068CB">
      <w:pPr>
        <w:jc w:val="center"/>
        <w:rPr>
          <w:rFonts w:eastAsia="Times New Roman"/>
          <w:b/>
          <w:szCs w:val="22"/>
          <w:lang w:eastAsia="en-US"/>
        </w:rPr>
      </w:pPr>
    </w:p>
    <w:p w14:paraId="2132A8BE" w14:textId="79C5017B" w:rsidR="00BE0BE4" w:rsidRPr="00506046" w:rsidRDefault="00BE0BE4" w:rsidP="006068CB">
      <w:pPr>
        <w:jc w:val="center"/>
        <w:rPr>
          <w:rFonts w:eastAsia="Times New Roman"/>
          <w:b/>
          <w:szCs w:val="22"/>
          <w:lang w:eastAsia="en-US"/>
        </w:rPr>
      </w:pPr>
      <w:r>
        <w:rPr>
          <w:rFonts w:eastAsia="Times New Roman"/>
          <w:b/>
          <w:szCs w:val="22"/>
          <w:lang w:eastAsia="en-US"/>
        </w:rPr>
        <w:t xml:space="preserve">Not Applicable </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5B8CA022" w:rsidR="004B1AF8"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67" w:name="_Toc439318929"/>
      <w:bookmarkStart w:id="168" w:name="_Toc48220946"/>
      <w:r w:rsidRPr="000F5FE2">
        <w:rPr>
          <w:rFonts w:eastAsia="Times New Roman"/>
          <w:b/>
          <w:szCs w:val="22"/>
          <w:lang w:eastAsia="en-US"/>
        </w:rPr>
        <w:t xml:space="preserve">ANNEX 6 – </w:t>
      </w:r>
      <w:bookmarkEnd w:id="167"/>
      <w:bookmarkEnd w:id="168"/>
      <w:r w:rsidR="0022274A">
        <w:rPr>
          <w:rFonts w:eastAsia="Times New Roman"/>
          <w:b/>
          <w:szCs w:val="22"/>
          <w:lang w:eastAsia="en-US"/>
        </w:rPr>
        <w:t>ADDITIONAL TERMS</w:t>
      </w:r>
    </w:p>
    <w:p w14:paraId="3CE82F1D" w14:textId="796B0847" w:rsidR="0022274A" w:rsidRPr="000F5FE2" w:rsidRDefault="0022274A" w:rsidP="004B1AF8">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NOT USED</w:t>
      </w:r>
    </w:p>
    <w:p w14:paraId="240C77D1" w14:textId="77777777" w:rsidR="00865B8F" w:rsidRDefault="00865B8F" w:rsidP="00865B8F">
      <w:pPr>
        <w:rPr>
          <w:rFonts w:cs="Arial"/>
        </w:rPr>
      </w:pP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69" w:name="_Toc440457130"/>
      <w:bookmarkStart w:id="170" w:name="_Toc48220947"/>
      <w:r w:rsidRPr="00D66848">
        <w:rPr>
          <w:rFonts w:eastAsia="Times New Roman"/>
          <w:b/>
          <w:szCs w:val="22"/>
          <w:lang w:eastAsia="en-US"/>
        </w:rPr>
        <w:t>ANNEX 7 – CHANGE CONTROL FORMS</w:t>
      </w:r>
      <w:bookmarkEnd w:id="169"/>
      <w:bookmarkEnd w:id="170"/>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C33580" w:rsidRDefault="00C3358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C33580" w:rsidRDefault="00C33580"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C33580" w:rsidRDefault="00C3358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C33580" w:rsidRDefault="00C33580"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C33580" w:rsidRDefault="00C3358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C33580" w:rsidRDefault="00C33580"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C33580" w:rsidRDefault="00C3358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C33580" w:rsidRDefault="00C33580"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C33580" w:rsidRDefault="00C3358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C33580" w:rsidRDefault="00C33580"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C33580" w:rsidRDefault="00C3358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C33580" w:rsidRDefault="00C33580"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C33580" w:rsidRDefault="00C3358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C33580" w:rsidRDefault="00C33580"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C33580" w:rsidRDefault="00C3358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C33580" w:rsidRDefault="00C33580"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C33580" w:rsidRDefault="00C3358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C33580" w:rsidRDefault="00C33580"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D167" w14:textId="77777777" w:rsidR="00C33580" w:rsidRDefault="00C33580">
      <w:pPr>
        <w:spacing w:line="20" w:lineRule="exact"/>
      </w:pPr>
    </w:p>
  </w:endnote>
  <w:endnote w:type="continuationSeparator" w:id="0">
    <w:p w14:paraId="0DA0E19E" w14:textId="77777777" w:rsidR="00C33580" w:rsidRDefault="00C33580">
      <w:pPr>
        <w:spacing w:line="20" w:lineRule="exact"/>
      </w:pPr>
      <w:r>
        <w:t xml:space="preserve"> </w:t>
      </w:r>
    </w:p>
  </w:endnote>
  <w:endnote w:type="continuationNotice" w:id="1">
    <w:p w14:paraId="397CC4BC" w14:textId="77777777" w:rsidR="00C33580" w:rsidRDefault="00C3358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C33580" w:rsidRDefault="00C33580"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C33580" w:rsidRDefault="00C33580"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C33580" w:rsidRDefault="00C33580"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C33580" w:rsidRPr="00C34E12" w:rsidRDefault="00C33580"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C33580" w:rsidRDefault="00C33580"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C33580" w:rsidRPr="00A65391" w:rsidRDefault="00C33580"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C33580" w:rsidRPr="00CE50FE" w:rsidRDefault="00C33580" w:rsidP="00F70073">
        <w:pPr>
          <w:pStyle w:val="Footer"/>
          <w:pBdr>
            <w:top w:val="single" w:sz="4" w:space="1" w:color="auto"/>
          </w:pBdr>
          <w:jc w:val="center"/>
          <w:rPr>
            <w:sz w:val="20"/>
            <w:szCs w:val="20"/>
          </w:rPr>
        </w:pPr>
        <w:r w:rsidRPr="00CE50FE">
          <w:rPr>
            <w:sz w:val="20"/>
            <w:szCs w:val="20"/>
          </w:rPr>
          <w:t>OFFICIAL</w:t>
        </w:r>
      </w:p>
      <w:p w14:paraId="6369C02F" w14:textId="77777777" w:rsidR="00C33580" w:rsidRPr="00CE50FE" w:rsidRDefault="00C33580"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59D982FD" w14:textId="66B56BBB" w:rsidR="00C33580" w:rsidRPr="00CE50FE" w:rsidRDefault="00C33580"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488CE41C" w:rsidR="00C33580" w:rsidRPr="00CE50FE" w:rsidRDefault="00C33580" w:rsidP="00F70073">
        <w:pPr>
          <w:pStyle w:val="Footer"/>
          <w:pBdr>
            <w:top w:val="single" w:sz="4" w:space="1" w:color="auto"/>
          </w:pBdr>
          <w:jc w:val="right"/>
          <w:rPr>
            <w:sz w:val="20"/>
            <w:szCs w:val="20"/>
          </w:rPr>
        </w:pPr>
        <w:r>
          <w:rPr>
            <w:sz w:val="20"/>
            <w:szCs w:val="20"/>
          </w:rPr>
          <w:t>V1.0 13</w:t>
        </w:r>
        <w:r w:rsidRPr="00C33580">
          <w:rPr>
            <w:sz w:val="20"/>
            <w:szCs w:val="20"/>
            <w:vertAlign w:val="superscript"/>
          </w:rPr>
          <w:t>th</w:t>
        </w:r>
        <w:r>
          <w:rPr>
            <w:sz w:val="20"/>
            <w:szCs w:val="20"/>
          </w:rPr>
          <w:t xml:space="preserve"> August 2020</w:t>
        </w:r>
      </w:p>
      <w:p w14:paraId="3085C604" w14:textId="59F5044C" w:rsidR="00C33580" w:rsidRDefault="00C33580"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8C75D8">
          <w:rPr>
            <w:noProof/>
            <w:sz w:val="20"/>
            <w:szCs w:val="20"/>
          </w:rPr>
          <w:t>16</w:t>
        </w:r>
        <w:r w:rsidRPr="00CE50FE">
          <w:rPr>
            <w:noProof/>
            <w:sz w:val="20"/>
            <w:szCs w:val="20"/>
          </w:rPr>
          <w:fldChar w:fldCharType="end"/>
        </w:r>
      </w:p>
    </w:sdtContent>
  </w:sdt>
  <w:p w14:paraId="170A480B" w14:textId="77777777" w:rsidR="00C33580" w:rsidRPr="00360755" w:rsidRDefault="00C33580"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5348" w14:textId="77777777" w:rsidR="00C33580" w:rsidRDefault="00C33580">
      <w:r>
        <w:separator/>
      </w:r>
    </w:p>
  </w:footnote>
  <w:footnote w:type="continuationSeparator" w:id="0">
    <w:p w14:paraId="29CDF82A" w14:textId="77777777" w:rsidR="00C33580" w:rsidRDefault="00C33580">
      <w:r>
        <w:continuationSeparator/>
      </w:r>
    </w:p>
  </w:footnote>
  <w:footnote w:type="continuationNotice" w:id="1">
    <w:p w14:paraId="3158D084" w14:textId="77777777" w:rsidR="00C33580" w:rsidRDefault="00C335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C33580" w:rsidRDefault="00C33580"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C33580" w:rsidRDefault="00C33580" w:rsidP="00F3190B">
    <w:pPr>
      <w:pStyle w:val="Header"/>
      <w:jc w:val="center"/>
      <w:rPr>
        <w:b/>
      </w:rPr>
    </w:pPr>
  </w:p>
  <w:p w14:paraId="64559850" w14:textId="77777777" w:rsidR="00C33580" w:rsidRDefault="00C33580"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C33580" w:rsidRDefault="00C33580"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C33580" w:rsidRDefault="00C33580"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41FED4DA" w14:textId="62DC63B5" w:rsidR="00C33580" w:rsidRDefault="00C33580" w:rsidP="00F70073">
    <w:pPr>
      <w:pStyle w:val="Header"/>
      <w:pBdr>
        <w:bottom w:val="single" w:sz="4" w:space="1" w:color="auto"/>
      </w:pBdr>
      <w:jc w:val="center"/>
      <w:rPr>
        <w:rFonts w:cs="Arial"/>
        <w:sz w:val="20"/>
        <w:szCs w:val="20"/>
      </w:rPr>
    </w:pPr>
    <w:r>
      <w:rPr>
        <w:rFonts w:cs="Arial"/>
        <w:sz w:val="20"/>
        <w:szCs w:val="20"/>
      </w:rPr>
      <w:t>Provision of Rail Class Forecasting</w:t>
    </w:r>
  </w:p>
  <w:p w14:paraId="3BEA0114" w14:textId="364919E0" w:rsidR="00C33580" w:rsidRDefault="00C33580" w:rsidP="00F70073">
    <w:pPr>
      <w:pStyle w:val="Header"/>
      <w:pBdr>
        <w:bottom w:val="single" w:sz="4" w:space="1" w:color="auto"/>
      </w:pBdr>
      <w:jc w:val="center"/>
    </w:pPr>
    <w:r>
      <w:rPr>
        <w:rFonts w:cs="Arial"/>
        <w:sz w:val="20"/>
        <w:szCs w:val="20"/>
      </w:rPr>
      <w:t>Contract Reference: CCZZ20A65</w:t>
    </w:r>
  </w:p>
  <w:p w14:paraId="68388EBA" w14:textId="77777777" w:rsidR="00C33580" w:rsidRDefault="00C33580"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2CE3BB4"/>
    <w:multiLevelType w:val="hybridMultilevel"/>
    <w:tmpl w:val="CB424CAC"/>
    <w:lvl w:ilvl="0" w:tplc="B128D3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000585"/>
    <w:multiLevelType w:val="hybridMultilevel"/>
    <w:tmpl w:val="BEF8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8"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5"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3F71CA4"/>
    <w:multiLevelType w:val="multilevel"/>
    <w:tmpl w:val="1332CCD4"/>
    <w:numStyleLink w:val="111111"/>
  </w:abstractNum>
  <w:abstractNum w:abstractNumId="28"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2"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4"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6"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8"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3"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5"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6"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7"/>
  </w:num>
  <w:num w:numId="2">
    <w:abstractNumId w:val="32"/>
  </w:num>
  <w:num w:numId="3">
    <w:abstractNumId w:val="19"/>
  </w:num>
  <w:num w:numId="4">
    <w:abstractNumId w:val="20"/>
  </w:num>
  <w:num w:numId="5">
    <w:abstractNumId w:val="6"/>
  </w:num>
  <w:num w:numId="6">
    <w:abstractNumId w:val="30"/>
  </w:num>
  <w:num w:numId="7">
    <w:abstractNumId w:val="23"/>
  </w:num>
  <w:num w:numId="8">
    <w:abstractNumId w:val="16"/>
  </w:num>
  <w:num w:numId="9">
    <w:abstractNumId w:val="4"/>
  </w:num>
  <w:num w:numId="10">
    <w:abstractNumId w:val="3"/>
  </w:num>
  <w:num w:numId="11">
    <w:abstractNumId w:val="2"/>
  </w:num>
  <w:num w:numId="12">
    <w:abstractNumId w:val="1"/>
  </w:num>
  <w:num w:numId="13">
    <w:abstractNumId w:val="0"/>
  </w:num>
  <w:num w:numId="14">
    <w:abstractNumId w:val="44"/>
  </w:num>
  <w:num w:numId="15">
    <w:abstractNumId w:val="11"/>
  </w:num>
  <w:num w:numId="16">
    <w:abstractNumId w:val="39"/>
  </w:num>
  <w:num w:numId="17">
    <w:abstractNumId w:val="10"/>
  </w:num>
  <w:num w:numId="18">
    <w:abstractNumId w:val="25"/>
  </w:num>
  <w:num w:numId="19">
    <w:abstractNumId w:val="22"/>
  </w:num>
  <w:num w:numId="20">
    <w:abstractNumId w:val="35"/>
  </w:num>
  <w:num w:numId="21">
    <w:abstractNumId w:val="15"/>
  </w:num>
  <w:num w:numId="22">
    <w:abstractNumId w:val="42"/>
  </w:num>
  <w:num w:numId="23">
    <w:abstractNumId w:val="17"/>
  </w:num>
  <w:num w:numId="24">
    <w:abstractNumId w:val="34"/>
  </w:num>
  <w:num w:numId="25">
    <w:abstractNumId w:val="24"/>
  </w:num>
  <w:num w:numId="26">
    <w:abstractNumId w:val="27"/>
  </w:num>
  <w:num w:numId="27">
    <w:abstractNumId w:val="41"/>
  </w:num>
  <w:num w:numId="28">
    <w:abstractNumId w:val="46"/>
  </w:num>
  <w:num w:numId="29">
    <w:abstractNumId w:val="21"/>
  </w:num>
  <w:num w:numId="30">
    <w:abstractNumId w:val="28"/>
  </w:num>
  <w:num w:numId="31">
    <w:abstractNumId w:val="37"/>
  </w:num>
  <w:num w:numId="32">
    <w:abstractNumId w:val="36"/>
  </w:num>
  <w:num w:numId="33">
    <w:abstractNumId w:val="45"/>
  </w:num>
  <w:num w:numId="34">
    <w:abstractNumId w:val="18"/>
  </w:num>
  <w:num w:numId="35">
    <w:abstractNumId w:val="33"/>
  </w:num>
  <w:num w:numId="36">
    <w:abstractNumId w:val="26"/>
  </w:num>
  <w:num w:numId="37">
    <w:abstractNumId w:val="9"/>
  </w:num>
  <w:num w:numId="38">
    <w:abstractNumId w:val="29"/>
  </w:num>
  <w:num w:numId="39">
    <w:abstractNumId w:val="38"/>
  </w:num>
  <w:num w:numId="40">
    <w:abstractNumId w:val="14"/>
  </w:num>
  <w:num w:numId="41">
    <w:abstractNumId w:val="40"/>
  </w:num>
  <w:num w:numId="42">
    <w:abstractNumId w:val="43"/>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4E1A"/>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74A"/>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8CB"/>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2169"/>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C75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0BE4"/>
    <w:rsid w:val="00BE1049"/>
    <w:rsid w:val="00BE17A9"/>
    <w:rsid w:val="00BE585E"/>
    <w:rsid w:val="00BE6C9B"/>
    <w:rsid w:val="00BE7C8B"/>
    <w:rsid w:val="00BF0F34"/>
    <w:rsid w:val="00BF163E"/>
    <w:rsid w:val="00BF19C4"/>
    <w:rsid w:val="00BF3BAD"/>
    <w:rsid w:val="00BF3CBD"/>
    <w:rsid w:val="00BF423A"/>
    <w:rsid w:val="00BF661F"/>
    <w:rsid w:val="00BF7780"/>
    <w:rsid w:val="00BF7D80"/>
    <w:rsid w:val="00C02A15"/>
    <w:rsid w:val="00C02C4F"/>
    <w:rsid w:val="00C05E79"/>
    <w:rsid w:val="00C1237D"/>
    <w:rsid w:val="00C169A4"/>
    <w:rsid w:val="00C1747F"/>
    <w:rsid w:val="00C25BEE"/>
    <w:rsid w:val="00C26F1C"/>
    <w:rsid w:val="00C33580"/>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3C38"/>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2366"/>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92BA191"/>
  <w15:docId w15:val="{FB74D983-A364-44A3-8018-6FA5A89B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12923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invoicequeries@hmtreasury.gov.uk" TargetMode="Externa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CA1F39AE-5ADA-4581-8876-4CB5A90C1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29</Pages>
  <Words>8133</Words>
  <Characters>47246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55269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Jonathan Lloyd</cp:lastModifiedBy>
  <cp:revision>2</cp:revision>
  <cp:lastPrinted>2012-12-10T12:26:00Z</cp:lastPrinted>
  <dcterms:created xsi:type="dcterms:W3CDTF">2021-01-13T17:26:00Z</dcterms:created>
  <dcterms:modified xsi:type="dcterms:W3CDTF">2021-01-13T17:26:00Z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