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C24E3" w:rsidRDefault="00F56660">
      <w:pPr>
        <w:pStyle w:val="Heading2"/>
        <w:keepNext w:val="0"/>
        <w:spacing w:before="240"/>
        <w:ind w:left="0" w:firstLine="0"/>
        <w:jc w:val="center"/>
        <w:rPr>
          <w:sz w:val="22"/>
          <w:szCs w:val="22"/>
        </w:rPr>
      </w:pPr>
      <w:bookmarkStart w:id="0" w:name="_gjdgxs" w:colFirst="0" w:colLast="0"/>
      <w:bookmarkEnd w:id="0"/>
      <w:r>
        <w:rPr>
          <w:sz w:val="22"/>
          <w:szCs w:val="22"/>
        </w:rPr>
        <w:t>APPENDIX A</w:t>
      </w:r>
    </w:p>
    <w:p w:rsidR="004C24E3" w:rsidRDefault="004C24E3">
      <w:pPr>
        <w:jc w:val="center"/>
        <w:rPr>
          <w:sz w:val="22"/>
          <w:szCs w:val="22"/>
        </w:rPr>
      </w:pPr>
    </w:p>
    <w:p w:rsidR="004C24E3" w:rsidRDefault="00F56660">
      <w:pPr>
        <w:jc w:val="center"/>
        <w:rPr>
          <w:sz w:val="22"/>
          <w:szCs w:val="22"/>
        </w:rPr>
      </w:pPr>
      <w:r>
        <w:rPr>
          <w:b/>
          <w:sz w:val="22"/>
          <w:szCs w:val="22"/>
        </w:rPr>
        <w:t>SERVICE SPECIFICATIONS</w:t>
      </w:r>
    </w:p>
    <w:p w:rsidR="004C24E3" w:rsidRDefault="004C24E3">
      <w:pPr>
        <w:rPr>
          <w:rFonts w:ascii="Calibri" w:eastAsia="Calibri" w:hAnsi="Calibri" w:cs="Calibri"/>
          <w:sz w:val="22"/>
          <w:szCs w:val="22"/>
        </w:rPr>
      </w:pPr>
    </w:p>
    <w:tbl>
      <w:tblPr>
        <w:tblStyle w:val="a"/>
        <w:tblW w:w="9108" w:type="dxa"/>
        <w:tblInd w:w="-2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073"/>
        <w:gridCol w:w="6035"/>
      </w:tblGrid>
      <w:tr w:rsidR="004C24E3">
        <w:trPr>
          <w:trHeight w:val="340"/>
        </w:trPr>
        <w:tc>
          <w:tcPr>
            <w:tcW w:w="3073" w:type="dxa"/>
            <w:shd w:val="clear" w:color="auto" w:fill="FFFFFF"/>
            <w:vAlign w:val="center"/>
          </w:tcPr>
          <w:p w:rsidR="004C24E3" w:rsidRDefault="00F56660">
            <w:pPr>
              <w:contextualSpacing w:val="0"/>
              <w:rPr>
                <w:rFonts w:ascii="Arial" w:eastAsia="Arial" w:hAnsi="Arial" w:cs="Arial"/>
              </w:rPr>
            </w:pPr>
            <w:r>
              <w:rPr>
                <w:rFonts w:ascii="Arial" w:eastAsia="Arial" w:hAnsi="Arial" w:cs="Arial"/>
              </w:rPr>
              <w:t xml:space="preserve">Service Specification No. </w:t>
            </w:r>
          </w:p>
        </w:tc>
        <w:tc>
          <w:tcPr>
            <w:tcW w:w="6035" w:type="dxa"/>
            <w:vAlign w:val="center"/>
          </w:tcPr>
          <w:p w:rsidR="004C24E3" w:rsidRDefault="00F56660">
            <w:pPr>
              <w:contextualSpacing w:val="0"/>
            </w:pPr>
            <w:r>
              <w:rPr>
                <w:b/>
              </w:rPr>
              <w:t>001</w:t>
            </w:r>
          </w:p>
        </w:tc>
      </w:tr>
      <w:tr w:rsidR="004C24E3">
        <w:trPr>
          <w:trHeight w:val="340"/>
        </w:trPr>
        <w:tc>
          <w:tcPr>
            <w:tcW w:w="3073" w:type="dxa"/>
            <w:shd w:val="clear" w:color="auto" w:fill="FFFFFF"/>
            <w:vAlign w:val="center"/>
          </w:tcPr>
          <w:p w:rsidR="004C24E3" w:rsidRDefault="00F56660">
            <w:pPr>
              <w:contextualSpacing w:val="0"/>
              <w:rPr>
                <w:rFonts w:ascii="Arial" w:eastAsia="Arial" w:hAnsi="Arial" w:cs="Arial"/>
              </w:rPr>
            </w:pPr>
            <w:r>
              <w:rPr>
                <w:rFonts w:ascii="Arial" w:eastAsia="Arial" w:hAnsi="Arial" w:cs="Arial"/>
              </w:rPr>
              <w:t>Service</w:t>
            </w:r>
          </w:p>
        </w:tc>
        <w:tc>
          <w:tcPr>
            <w:tcW w:w="6035" w:type="dxa"/>
            <w:vAlign w:val="center"/>
          </w:tcPr>
          <w:p w:rsidR="004C24E3" w:rsidRDefault="00F56660">
            <w:pPr>
              <w:contextualSpacing w:val="0"/>
              <w:rPr>
                <w:color w:val="FF0000"/>
              </w:rPr>
            </w:pPr>
            <w:r>
              <w:rPr>
                <w:b/>
              </w:rPr>
              <w:t>Mental Health and Emotional Wellbeing Provision (Getting Help) for Children and Young People in Cambridgeshire and Peterborough</w:t>
            </w:r>
          </w:p>
        </w:tc>
      </w:tr>
      <w:tr w:rsidR="004C24E3">
        <w:trPr>
          <w:trHeight w:val="340"/>
        </w:trPr>
        <w:tc>
          <w:tcPr>
            <w:tcW w:w="3073" w:type="dxa"/>
            <w:shd w:val="clear" w:color="auto" w:fill="FFFFFF"/>
            <w:vAlign w:val="center"/>
          </w:tcPr>
          <w:p w:rsidR="004C24E3" w:rsidRDefault="00F56660">
            <w:pPr>
              <w:contextualSpacing w:val="0"/>
              <w:rPr>
                <w:rFonts w:ascii="Arial" w:eastAsia="Arial" w:hAnsi="Arial" w:cs="Arial"/>
              </w:rPr>
            </w:pPr>
            <w:r>
              <w:rPr>
                <w:rFonts w:ascii="Arial" w:eastAsia="Arial" w:hAnsi="Arial" w:cs="Arial"/>
              </w:rPr>
              <w:t>Authority Lead</w:t>
            </w:r>
          </w:p>
        </w:tc>
        <w:tc>
          <w:tcPr>
            <w:tcW w:w="6035" w:type="dxa"/>
            <w:vAlign w:val="center"/>
          </w:tcPr>
          <w:p w:rsidR="004C24E3" w:rsidRDefault="004C24E3">
            <w:pPr>
              <w:contextualSpacing w:val="0"/>
            </w:pPr>
          </w:p>
        </w:tc>
      </w:tr>
      <w:tr w:rsidR="004C24E3">
        <w:trPr>
          <w:trHeight w:val="340"/>
        </w:trPr>
        <w:tc>
          <w:tcPr>
            <w:tcW w:w="3073" w:type="dxa"/>
            <w:shd w:val="clear" w:color="auto" w:fill="FFFFFF"/>
            <w:vAlign w:val="center"/>
          </w:tcPr>
          <w:p w:rsidR="004C24E3" w:rsidRDefault="00F56660">
            <w:pPr>
              <w:contextualSpacing w:val="0"/>
              <w:rPr>
                <w:rFonts w:ascii="Arial" w:eastAsia="Arial" w:hAnsi="Arial" w:cs="Arial"/>
              </w:rPr>
            </w:pPr>
            <w:r>
              <w:rPr>
                <w:rFonts w:ascii="Arial" w:eastAsia="Arial" w:hAnsi="Arial" w:cs="Arial"/>
              </w:rPr>
              <w:t>Provider Lead</w:t>
            </w:r>
          </w:p>
        </w:tc>
        <w:tc>
          <w:tcPr>
            <w:tcW w:w="6035" w:type="dxa"/>
            <w:vAlign w:val="center"/>
          </w:tcPr>
          <w:p w:rsidR="004C24E3" w:rsidRDefault="004C24E3">
            <w:pPr>
              <w:contextualSpacing w:val="0"/>
            </w:pPr>
          </w:p>
        </w:tc>
      </w:tr>
      <w:tr w:rsidR="004C24E3">
        <w:trPr>
          <w:trHeight w:val="340"/>
        </w:trPr>
        <w:tc>
          <w:tcPr>
            <w:tcW w:w="3073" w:type="dxa"/>
            <w:shd w:val="clear" w:color="auto" w:fill="FFFFFF"/>
            <w:vAlign w:val="center"/>
          </w:tcPr>
          <w:p w:rsidR="004C24E3" w:rsidRDefault="00F56660">
            <w:pPr>
              <w:contextualSpacing w:val="0"/>
              <w:rPr>
                <w:rFonts w:ascii="Arial" w:eastAsia="Arial" w:hAnsi="Arial" w:cs="Arial"/>
              </w:rPr>
            </w:pPr>
            <w:r>
              <w:rPr>
                <w:rFonts w:ascii="Arial" w:eastAsia="Arial" w:hAnsi="Arial" w:cs="Arial"/>
              </w:rPr>
              <w:t>Period</w:t>
            </w:r>
          </w:p>
        </w:tc>
        <w:tc>
          <w:tcPr>
            <w:tcW w:w="6035" w:type="dxa"/>
            <w:vAlign w:val="center"/>
          </w:tcPr>
          <w:p w:rsidR="004C24E3" w:rsidRDefault="00F56660">
            <w:pPr>
              <w:contextualSpacing w:val="0"/>
            </w:pPr>
            <w:r>
              <w:rPr>
                <w:b/>
              </w:rPr>
              <w:t xml:space="preserve"> 1st January 2018 - 31st December 2020 (with optional extension period of  up to a maximum of 2 years)</w:t>
            </w:r>
          </w:p>
        </w:tc>
      </w:tr>
      <w:tr w:rsidR="004C24E3">
        <w:trPr>
          <w:trHeight w:val="340"/>
        </w:trPr>
        <w:tc>
          <w:tcPr>
            <w:tcW w:w="3073" w:type="dxa"/>
            <w:shd w:val="clear" w:color="auto" w:fill="FFFFFF"/>
            <w:vAlign w:val="center"/>
          </w:tcPr>
          <w:p w:rsidR="004C24E3" w:rsidRDefault="00F56660">
            <w:pPr>
              <w:contextualSpacing w:val="0"/>
              <w:rPr>
                <w:rFonts w:ascii="Arial" w:eastAsia="Arial" w:hAnsi="Arial" w:cs="Arial"/>
              </w:rPr>
            </w:pPr>
            <w:r>
              <w:rPr>
                <w:rFonts w:ascii="Arial" w:eastAsia="Arial" w:hAnsi="Arial" w:cs="Arial"/>
              </w:rPr>
              <w:t>Date of Review</w:t>
            </w:r>
          </w:p>
        </w:tc>
        <w:tc>
          <w:tcPr>
            <w:tcW w:w="6035" w:type="dxa"/>
            <w:vAlign w:val="center"/>
          </w:tcPr>
          <w:p w:rsidR="004C24E3" w:rsidRDefault="004C24E3">
            <w:pPr>
              <w:contextualSpacing w:val="0"/>
              <w:rPr>
                <w:rFonts w:ascii="Arial" w:eastAsia="Arial" w:hAnsi="Arial" w:cs="Arial"/>
              </w:rPr>
            </w:pPr>
          </w:p>
        </w:tc>
      </w:tr>
    </w:tbl>
    <w:p w:rsidR="004C24E3" w:rsidRDefault="004C24E3">
      <w:pPr>
        <w:jc w:val="left"/>
        <w:rPr>
          <w:rFonts w:ascii="Calibri" w:eastAsia="Calibri" w:hAnsi="Calibri" w:cs="Calibri"/>
          <w:b/>
          <w:color w:val="FF0000"/>
          <w:sz w:val="22"/>
          <w:szCs w:val="22"/>
        </w:rPr>
      </w:pPr>
    </w:p>
    <w:p w:rsidR="004C24E3" w:rsidRDefault="004C24E3">
      <w:pPr>
        <w:jc w:val="center"/>
        <w:rPr>
          <w:rFonts w:ascii="Calibri" w:eastAsia="Calibri" w:hAnsi="Calibri" w:cs="Calibri"/>
          <w:b/>
          <w:color w:val="FF0000"/>
          <w:sz w:val="22"/>
          <w:szCs w:val="22"/>
        </w:rPr>
      </w:pPr>
    </w:p>
    <w:tbl>
      <w:tblPr>
        <w:tblStyle w:val="ad"/>
        <w:tblW w:w="9464" w:type="dxa"/>
        <w:tblInd w:w="-23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9464"/>
      </w:tblGrid>
      <w:tr w:rsidR="004C24E3" w:rsidTr="004C24E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64" w:type="dxa"/>
            <w:shd w:val="clear" w:color="auto" w:fill="CCCCCC"/>
          </w:tcPr>
          <w:p w:rsidR="004C24E3" w:rsidRDefault="004C24E3">
            <w:pPr>
              <w:contextualSpacing w:val="0"/>
            </w:pPr>
          </w:p>
          <w:p w:rsidR="004C24E3" w:rsidRDefault="00F56660">
            <w:pPr>
              <w:contextualSpacing w:val="0"/>
              <w:rPr>
                <w:b/>
                <w:color w:val="FF0000"/>
              </w:rPr>
            </w:pPr>
            <w:r>
              <w:rPr>
                <w:b/>
                <w:color w:val="FF0000"/>
              </w:rPr>
              <w:t>1.  Background</w:t>
            </w:r>
          </w:p>
          <w:p w:rsidR="004C24E3" w:rsidRDefault="004C24E3">
            <w:pPr>
              <w:contextualSpacing w:val="0"/>
            </w:pPr>
          </w:p>
        </w:tc>
      </w:tr>
      <w:tr w:rsidR="004C24E3">
        <w:tc>
          <w:tcPr>
            <w:cnfStyle w:val="000010000000" w:firstRow="0" w:lastRow="0" w:firstColumn="0" w:lastColumn="0" w:oddVBand="1" w:evenVBand="0" w:oddHBand="0" w:evenHBand="0" w:firstRowFirstColumn="0" w:firstRowLastColumn="0" w:lastRowFirstColumn="0" w:lastRowLastColumn="0"/>
            <w:tcW w:w="9464" w:type="dxa"/>
          </w:tcPr>
          <w:p w:rsidR="004C24E3" w:rsidRDefault="004C24E3">
            <w:pPr>
              <w:contextualSpacing w:val="0"/>
            </w:pPr>
          </w:p>
          <w:p w:rsidR="004C24E3" w:rsidRDefault="00F56660">
            <w:pPr>
              <w:contextualSpacing w:val="0"/>
              <w:rPr>
                <w:color w:val="00B050"/>
              </w:rPr>
            </w:pPr>
            <w:r>
              <w:rPr>
                <w:color w:val="00B050"/>
              </w:rPr>
              <w:t>1.0 About this specification</w:t>
            </w:r>
          </w:p>
          <w:p w:rsidR="004C24E3" w:rsidRDefault="004C24E3">
            <w:pPr>
              <w:contextualSpacing w:val="0"/>
              <w:rPr>
                <w:color w:val="00B050"/>
              </w:rPr>
            </w:pPr>
          </w:p>
          <w:p w:rsidR="004C24E3" w:rsidRDefault="00F56660">
            <w:pPr>
              <w:contextualSpacing w:val="0"/>
            </w:pPr>
            <w:r>
              <w:t xml:space="preserve">The service is commissioned by the Joint Commissioning Unit (JCU) which comprises of Cambridgeshire County Council (CCC), Peterborough City Council (PCC) and Cambridgeshire and Peterborough Clinical Commissioning Group (C&amp;P CCG). </w:t>
            </w:r>
          </w:p>
          <w:p w:rsidR="004C24E3" w:rsidRDefault="004C24E3">
            <w:pPr>
              <w:contextualSpacing w:val="0"/>
            </w:pPr>
          </w:p>
          <w:p w:rsidR="004C24E3" w:rsidRDefault="00F56660">
            <w:pPr>
              <w:contextualSpacing w:val="0"/>
            </w:pPr>
            <w:r>
              <w:t xml:space="preserve">A contract will be awarded on behalf of the JCU by PCC to a single or lead organisation responsible for delivery of the entire specification (irrespective of partnership or sub-contracting arrangements). Therefore, lead/sub-contracting or consortium arrangements should ensure their supply chain reflects this. The contract will be overseen by the JCU after award.  </w:t>
            </w:r>
          </w:p>
          <w:p w:rsidR="004C24E3" w:rsidRDefault="004C24E3">
            <w:pPr>
              <w:contextualSpacing w:val="0"/>
            </w:pPr>
          </w:p>
          <w:p w:rsidR="004C24E3" w:rsidRDefault="00F56660">
            <w:pPr>
              <w:contextualSpacing w:val="0"/>
            </w:pPr>
            <w:r>
              <w:t xml:space="preserve">The JCU is developing a system-wide re-design of child and adolescent mental health services based on the Thrive approach.  This service must align and demonstrate the Thrive principles. The service will enable earlier identification of those with a mental health need, and improved access to appropriate evidence based support.    </w:t>
            </w:r>
          </w:p>
          <w:p w:rsidR="004C24E3" w:rsidRDefault="004C24E3">
            <w:pPr>
              <w:contextualSpacing w:val="0"/>
            </w:pPr>
          </w:p>
          <w:p w:rsidR="004C24E3" w:rsidRDefault="00F56660">
            <w:pPr>
              <w:numPr>
                <w:ilvl w:val="1"/>
                <w:numId w:val="18"/>
              </w:numPr>
              <w:ind w:hanging="360"/>
              <w:rPr>
                <w:color w:val="00B050"/>
              </w:rPr>
            </w:pPr>
            <w:r>
              <w:rPr>
                <w:color w:val="00B050"/>
              </w:rPr>
              <w:t>About Cambridgeshire and Peterborough</w:t>
            </w:r>
          </w:p>
          <w:p w:rsidR="004C24E3" w:rsidRDefault="004C24E3">
            <w:pPr>
              <w:contextualSpacing w:val="0"/>
            </w:pPr>
          </w:p>
          <w:p w:rsidR="004C24E3" w:rsidRDefault="00F56660">
            <w:pPr>
              <w:contextualSpacing w:val="0"/>
            </w:pPr>
            <w:r>
              <w:t>Please refer to the embedded documents which provide detailed information on the key areas including:-</w:t>
            </w:r>
          </w:p>
          <w:p w:rsidR="004C24E3" w:rsidRDefault="004C24E3">
            <w:pPr>
              <w:contextualSpacing w:val="0"/>
            </w:pPr>
          </w:p>
          <w:p w:rsidR="004C24E3" w:rsidRDefault="00F56660">
            <w:pPr>
              <w:numPr>
                <w:ilvl w:val="0"/>
                <w:numId w:val="19"/>
              </w:numPr>
              <w:ind w:hanging="360"/>
            </w:pPr>
            <w:r>
              <w:t xml:space="preserve">Summary of local population demographics, mental health need and current service activity. </w:t>
            </w:r>
          </w:p>
          <w:p w:rsidR="004C24E3" w:rsidRDefault="00F56660">
            <w:pPr>
              <w:numPr>
                <w:ilvl w:val="0"/>
                <w:numId w:val="19"/>
              </w:numPr>
              <w:ind w:hanging="360"/>
            </w:pPr>
            <w:r>
              <w:t>Health, social and economic issues in Cambridgeshire and Peterborough.</w:t>
            </w:r>
          </w:p>
          <w:p w:rsidR="004C24E3" w:rsidRDefault="004C24E3">
            <w:pPr>
              <w:contextualSpacing w:val="0"/>
            </w:pPr>
          </w:p>
          <w:p w:rsidR="004C24E3" w:rsidRDefault="00F56660">
            <w:pPr>
              <w:contextualSpacing w:val="0"/>
            </w:pPr>
            <w:r>
              <w:t>Further information can be found in the Cambridgeshire and Peterborough Joint Strategic Needs Assessments (JSNAs):</w:t>
            </w:r>
          </w:p>
          <w:p w:rsidR="004C24E3" w:rsidRDefault="00F56660">
            <w:pPr>
              <w:numPr>
                <w:ilvl w:val="0"/>
                <w:numId w:val="10"/>
              </w:numPr>
              <w:ind w:hanging="360"/>
            </w:pPr>
            <w:r>
              <w:t xml:space="preserve">Cambridgeshire - </w:t>
            </w:r>
            <w:hyperlink r:id="rId7">
              <w:r>
                <w:rPr>
                  <w:color w:val="1155CC"/>
                  <w:u w:val="single"/>
                </w:rPr>
                <w:t>http://cambridgeshireinsight.org.uk/jsna</w:t>
              </w:r>
            </w:hyperlink>
            <w:r>
              <w:t xml:space="preserve"> </w:t>
            </w:r>
          </w:p>
          <w:p w:rsidR="004C24E3" w:rsidRDefault="00F56660">
            <w:pPr>
              <w:numPr>
                <w:ilvl w:val="0"/>
                <w:numId w:val="10"/>
              </w:numPr>
              <w:ind w:hanging="360"/>
            </w:pPr>
            <w:r>
              <w:lastRenderedPageBreak/>
              <w:t xml:space="preserve">Peterborough - </w:t>
            </w:r>
            <w:hyperlink r:id="rId8">
              <w:r>
                <w:rPr>
                  <w:color w:val="1155CC"/>
                  <w:u w:val="single"/>
                </w:rPr>
                <w:t>https://www.peterborough.gov.uk/healthcare/public-health/JSNA/</w:t>
              </w:r>
            </w:hyperlink>
            <w:r>
              <w:t xml:space="preserve"> </w:t>
            </w:r>
          </w:p>
          <w:p w:rsidR="004C24E3" w:rsidRDefault="004C24E3">
            <w:pPr>
              <w:contextualSpacing w:val="0"/>
            </w:pPr>
          </w:p>
          <w:p w:rsidR="004C24E3" w:rsidRDefault="00F56660">
            <w:pPr>
              <w:spacing w:line="259" w:lineRule="auto"/>
              <w:contextualSpacing w:val="0"/>
            </w:pPr>
            <w:r>
              <w:rPr>
                <w:color w:val="00B050"/>
              </w:rPr>
              <w:t>1.2 National context</w:t>
            </w:r>
          </w:p>
          <w:p w:rsidR="004C24E3" w:rsidRDefault="004C24E3">
            <w:pPr>
              <w:spacing w:line="259" w:lineRule="auto"/>
              <w:contextualSpacing w:val="0"/>
            </w:pPr>
          </w:p>
          <w:p w:rsidR="004C24E3" w:rsidRDefault="00F56660">
            <w:pPr>
              <w:spacing w:line="259" w:lineRule="auto"/>
              <w:contextualSpacing w:val="0"/>
            </w:pPr>
            <w:r>
              <w:t>The key national strategies and policies which inform this specification, and our approach to improving the mental health of children and young people in Cambridgeshire and Peterborough, are:</w:t>
            </w:r>
          </w:p>
          <w:p w:rsidR="004C24E3" w:rsidRDefault="004C24E3">
            <w:pPr>
              <w:spacing w:line="259" w:lineRule="auto"/>
              <w:contextualSpacing w:val="0"/>
            </w:pPr>
          </w:p>
          <w:p w:rsidR="004C24E3" w:rsidRDefault="00F56660">
            <w:pPr>
              <w:numPr>
                <w:ilvl w:val="0"/>
                <w:numId w:val="13"/>
              </w:numPr>
              <w:spacing w:line="259" w:lineRule="auto"/>
              <w:ind w:hanging="360"/>
            </w:pPr>
            <w:r>
              <w:t>The Five Year Forward View for Mental Health; this makes the case for transforming mental health care in England. By 2020/21 there will be greater access to NHS funded community services to meet the needs of at least 35% of those with diagnosable mental health conditions (increasing from an estimated 25%)</w:t>
            </w:r>
          </w:p>
          <w:p w:rsidR="004C24E3" w:rsidRDefault="004C24E3">
            <w:pPr>
              <w:spacing w:line="259" w:lineRule="auto"/>
              <w:ind w:left="720"/>
              <w:contextualSpacing w:val="0"/>
            </w:pPr>
          </w:p>
          <w:p w:rsidR="004C24E3" w:rsidRDefault="00F56660">
            <w:pPr>
              <w:numPr>
                <w:ilvl w:val="0"/>
                <w:numId w:val="13"/>
              </w:numPr>
              <w:spacing w:line="259" w:lineRule="auto"/>
              <w:ind w:hanging="360"/>
            </w:pPr>
            <w:r>
              <w:t>Future in Mind (2015) and its proposals to transform the design and delivery of a local offer of services for children and young people with mental health needs</w:t>
            </w:r>
          </w:p>
          <w:p w:rsidR="004C24E3" w:rsidRDefault="004C24E3">
            <w:pPr>
              <w:ind w:left="720"/>
              <w:contextualSpacing w:val="0"/>
            </w:pPr>
          </w:p>
          <w:p w:rsidR="004C24E3" w:rsidRDefault="00F56660">
            <w:pPr>
              <w:numPr>
                <w:ilvl w:val="0"/>
                <w:numId w:val="13"/>
              </w:numPr>
              <w:spacing w:line="259" w:lineRule="auto"/>
              <w:ind w:hanging="360"/>
            </w:pPr>
            <w:r>
              <w:t xml:space="preserve">No Health Without Mental Health Strategy (2011) </w:t>
            </w:r>
          </w:p>
          <w:p w:rsidR="004C24E3" w:rsidRDefault="004C24E3">
            <w:pPr>
              <w:ind w:left="720"/>
              <w:contextualSpacing w:val="0"/>
            </w:pPr>
          </w:p>
          <w:p w:rsidR="004C24E3" w:rsidRDefault="00F56660">
            <w:pPr>
              <w:numPr>
                <w:ilvl w:val="0"/>
                <w:numId w:val="13"/>
              </w:numPr>
              <w:spacing w:line="259" w:lineRule="auto"/>
              <w:ind w:hanging="360"/>
            </w:pPr>
            <w:r>
              <w:t>The National CAMH Review (2008)</w:t>
            </w:r>
          </w:p>
          <w:p w:rsidR="004C24E3" w:rsidRDefault="004C24E3">
            <w:pPr>
              <w:spacing w:line="259" w:lineRule="auto"/>
              <w:ind w:left="720"/>
              <w:contextualSpacing w:val="0"/>
            </w:pPr>
          </w:p>
          <w:p w:rsidR="004C24E3" w:rsidRDefault="00F56660">
            <w:pPr>
              <w:numPr>
                <w:ilvl w:val="0"/>
                <w:numId w:val="13"/>
              </w:numPr>
              <w:spacing w:line="259" w:lineRule="auto"/>
              <w:ind w:hanging="360"/>
            </w:pPr>
            <w:r>
              <w:t>Public Health Outcomes Framework and the associated national focus on the prevention of, and recovery from, ill health.</w:t>
            </w:r>
          </w:p>
          <w:p w:rsidR="004C24E3" w:rsidRDefault="004C24E3">
            <w:pPr>
              <w:spacing w:line="259" w:lineRule="auto"/>
              <w:contextualSpacing w:val="0"/>
            </w:pPr>
          </w:p>
          <w:p w:rsidR="004C24E3" w:rsidRDefault="004C24E3">
            <w:pPr>
              <w:spacing w:line="259" w:lineRule="auto"/>
              <w:contextualSpacing w:val="0"/>
            </w:pPr>
          </w:p>
          <w:p w:rsidR="004C24E3" w:rsidRDefault="00F56660">
            <w:pPr>
              <w:spacing w:line="259" w:lineRule="auto"/>
              <w:contextualSpacing w:val="0"/>
              <w:rPr>
                <w:color w:val="00B050"/>
              </w:rPr>
            </w:pPr>
            <w:r>
              <w:rPr>
                <w:color w:val="00B050"/>
              </w:rPr>
              <w:t>1.3 Local Context</w:t>
            </w:r>
          </w:p>
          <w:p w:rsidR="004C24E3" w:rsidRDefault="004C24E3">
            <w:pPr>
              <w:spacing w:line="259" w:lineRule="auto"/>
              <w:contextualSpacing w:val="0"/>
              <w:rPr>
                <w:color w:val="00B050"/>
              </w:rPr>
            </w:pPr>
          </w:p>
          <w:p w:rsidR="004C24E3" w:rsidRDefault="00F56660">
            <w:pPr>
              <w:spacing w:line="259" w:lineRule="auto"/>
              <w:contextualSpacing w:val="0"/>
              <w:rPr>
                <w:color w:val="00B050"/>
              </w:rPr>
            </w:pPr>
            <w:r>
              <w:rPr>
                <w:color w:val="00B050"/>
              </w:rPr>
              <w:t>1.3.1 Sustainability and Transformation Plan (STP)</w:t>
            </w:r>
          </w:p>
          <w:p w:rsidR="004C24E3" w:rsidRDefault="004C24E3">
            <w:pPr>
              <w:spacing w:line="259" w:lineRule="auto"/>
              <w:contextualSpacing w:val="0"/>
            </w:pPr>
          </w:p>
          <w:p w:rsidR="004C24E3" w:rsidRDefault="00F56660">
            <w:pPr>
              <w:spacing w:line="259" w:lineRule="auto"/>
              <w:contextualSpacing w:val="0"/>
              <w:rPr>
                <w:highlight w:val="white"/>
              </w:rPr>
            </w:pPr>
            <w:r>
              <w:t>Every health and care system in England is producing a Sustainability and Transformation Plan (STP) that looks systemwide to deliver the 5 Year Forward View vision of better health, better patient care and improved NHS efficiency. Locally, the STP will be achieved through integrated provision of child health services, including Child and Adolescent Mental Health Services (CAMHS), emotional health and wellbeing services, children’s community health services, and local authority provision for those aged 0-19 (which may include children’s centres). The STP identifies how we are developing a new model for emotional health and wellbeing services based on the THRIVE framework. This will reduce the demand we see later on in life for mental health, specialist health, and social care services.</w:t>
            </w:r>
            <w:r>
              <w:br/>
            </w:r>
          </w:p>
          <w:p w:rsidR="004C24E3" w:rsidRDefault="00FD655A">
            <w:pPr>
              <w:spacing w:line="331" w:lineRule="auto"/>
              <w:contextualSpacing w:val="0"/>
              <w:rPr>
                <w:color w:val="0000FF"/>
                <w:highlight w:val="white"/>
                <w:u w:val="single"/>
              </w:rPr>
            </w:pPr>
            <w:hyperlink r:id="rId9">
              <w:r w:rsidR="00F56660">
                <w:rPr>
                  <w:color w:val="0000FF"/>
                  <w:highlight w:val="white"/>
                  <w:u w:val="single"/>
                </w:rPr>
                <w:t>http://www.fitforfuture.org.uk/2016/11/23/1050/</w:t>
              </w:r>
            </w:hyperlink>
          </w:p>
          <w:p w:rsidR="004C24E3" w:rsidRDefault="004C24E3">
            <w:pPr>
              <w:spacing w:line="259" w:lineRule="auto"/>
              <w:contextualSpacing w:val="0"/>
            </w:pPr>
          </w:p>
          <w:p w:rsidR="004C24E3" w:rsidRDefault="00F56660">
            <w:pPr>
              <w:spacing w:line="259" w:lineRule="auto"/>
              <w:contextualSpacing w:val="0"/>
            </w:pPr>
            <w:r>
              <w:rPr>
                <w:color w:val="00B050"/>
              </w:rPr>
              <w:t>1.3.2.Local Transformation Plan (LTP) (Specification Appendix 7)</w:t>
            </w:r>
          </w:p>
          <w:p w:rsidR="004C24E3" w:rsidRDefault="004C24E3">
            <w:pPr>
              <w:spacing w:line="259" w:lineRule="auto"/>
              <w:contextualSpacing w:val="0"/>
            </w:pPr>
          </w:p>
          <w:p w:rsidR="00E07EAE" w:rsidRDefault="00F56660">
            <w:pPr>
              <w:spacing w:line="259" w:lineRule="auto"/>
              <w:contextualSpacing w:val="0"/>
            </w:pPr>
            <w:r>
              <w:t xml:space="preserve">Following the publication of Future in Mind 2015, each area was tasked with developing a local transformation plan (LTP); this outlines a range of information about children and young people’s emotional, mental health and wellbeing provision in that area. Cambridgeshire and Peterborough’s LTP detailed a large amount of information including; the local need, views of children, young people, </w:t>
            </w:r>
            <w:r>
              <w:lastRenderedPageBreak/>
              <w:t xml:space="preserve">families and carers; services currently available, vision for the future and areas for investment for the first year (2015/16). An updated local transformation plan has been developed building upon the first and has provided further information on the developments to date and areas for future investment, improvement and the overarching 5 year plan for transformation emotional, mental health and wellbeing services for children and young people. </w:t>
            </w:r>
          </w:p>
          <w:p w:rsidR="00E07EAE" w:rsidRDefault="00E07EAE">
            <w:pPr>
              <w:spacing w:line="259" w:lineRule="auto"/>
              <w:contextualSpacing w:val="0"/>
            </w:pPr>
            <w:bookmarkStart w:id="1" w:name="_GoBack"/>
            <w:bookmarkEnd w:id="1"/>
          </w:p>
          <w:p w:rsidR="00E07EAE" w:rsidRPr="00E07EAE" w:rsidRDefault="00E07EAE" w:rsidP="00E07EAE">
            <w:pPr>
              <w:widowControl/>
              <w:shd w:val="clear" w:color="auto" w:fill="FFFFFF"/>
              <w:rPr>
                <w:rFonts w:eastAsia="Times New Roman"/>
                <w:color w:val="222222"/>
                <w:sz w:val="19"/>
                <w:szCs w:val="19"/>
              </w:rPr>
            </w:pPr>
            <w:hyperlink r:id="rId10" w:tgtFrame="_blank" w:history="1">
              <w:r w:rsidRPr="00E07EAE">
                <w:rPr>
                  <w:rFonts w:eastAsia="Times New Roman"/>
                  <w:color w:val="1155CC"/>
                  <w:u w:val="single"/>
                </w:rPr>
                <w:t>http://www.cambridgeshireandpeterboro</w:t>
              </w:r>
              <w:r w:rsidRPr="00E07EAE">
                <w:rPr>
                  <w:rFonts w:eastAsia="Times New Roman"/>
                  <w:color w:val="1155CC"/>
                  <w:u w:val="single"/>
                </w:rPr>
                <w:t>u</w:t>
              </w:r>
              <w:r w:rsidRPr="00E07EAE">
                <w:rPr>
                  <w:rFonts w:eastAsia="Times New Roman"/>
                  <w:color w:val="1155CC"/>
                  <w:u w:val="single"/>
                </w:rPr>
                <w:t>ghccg.nhs.uk/easysiteweb/getresource.axd?assetid=5578&amp;type=0&amp;servicetype=1</w:t>
              </w:r>
            </w:hyperlink>
          </w:p>
          <w:p w:rsidR="00E07EAE" w:rsidRDefault="00E07EAE">
            <w:pPr>
              <w:spacing w:line="259" w:lineRule="auto"/>
              <w:contextualSpacing w:val="0"/>
            </w:pPr>
          </w:p>
          <w:p w:rsidR="004C24E3" w:rsidRDefault="00FD655A">
            <w:pPr>
              <w:spacing w:line="259" w:lineRule="auto"/>
              <w:contextualSpacing w:val="0"/>
              <w:rPr>
                <w:color w:val="0000FF"/>
                <w:highlight w:val="white"/>
                <w:u w:val="single"/>
              </w:rPr>
            </w:pPr>
            <w:hyperlink r:id="rId11"/>
          </w:p>
          <w:p w:rsidR="004C24E3" w:rsidRDefault="004C24E3">
            <w:pPr>
              <w:spacing w:line="259" w:lineRule="auto"/>
              <w:contextualSpacing w:val="0"/>
            </w:pPr>
          </w:p>
          <w:p w:rsidR="004C24E3" w:rsidRDefault="00F56660">
            <w:pPr>
              <w:spacing w:line="259" w:lineRule="auto"/>
              <w:contextualSpacing w:val="0"/>
            </w:pPr>
            <w:r>
              <w:rPr>
                <w:color w:val="00B050"/>
              </w:rPr>
              <w:t xml:space="preserve">1.3.3 Other local strategies </w:t>
            </w:r>
          </w:p>
          <w:p w:rsidR="004C24E3" w:rsidRDefault="004C24E3">
            <w:pPr>
              <w:spacing w:line="259" w:lineRule="auto"/>
              <w:contextualSpacing w:val="0"/>
            </w:pPr>
          </w:p>
          <w:p w:rsidR="004C24E3" w:rsidRDefault="00F56660">
            <w:pPr>
              <w:spacing w:line="259" w:lineRule="auto"/>
              <w:contextualSpacing w:val="0"/>
            </w:pPr>
            <w:r>
              <w:t xml:space="preserve">Local mental health promotion and prevention work in Cambridgeshire is guided by the </w:t>
            </w:r>
            <w:r>
              <w:rPr>
                <w:b/>
              </w:rPr>
              <w:t>Public Mental Health Strategy (2015-2018</w:t>
            </w:r>
            <w:r w:rsidR="00E07EAE">
              <w:rPr>
                <w:b/>
              </w:rPr>
              <w:t xml:space="preserve">) </w:t>
            </w:r>
            <w:r w:rsidR="00E07EAE">
              <w:t>and</w:t>
            </w:r>
            <w:r>
              <w:t xml:space="preserve"> associated action plan. The multi-agency strategy builds on the evidence of local need and what works in terms of interventions. At present there is not an equivalent for Peterborough. Key areas of focus for children and young people are: </w:t>
            </w:r>
          </w:p>
          <w:p w:rsidR="004C24E3" w:rsidRDefault="004C24E3">
            <w:pPr>
              <w:spacing w:line="259" w:lineRule="auto"/>
              <w:contextualSpacing w:val="0"/>
            </w:pPr>
          </w:p>
          <w:p w:rsidR="004C24E3" w:rsidRDefault="00F56660">
            <w:pPr>
              <w:spacing w:line="259" w:lineRule="auto"/>
              <w:contextualSpacing w:val="0"/>
            </w:pPr>
            <w:r>
              <w:t>1. Identifying and treating maternal mental illness in pregnancy and the first year of life</w:t>
            </w:r>
          </w:p>
          <w:p w:rsidR="004C24E3" w:rsidRDefault="00F56660">
            <w:pPr>
              <w:spacing w:line="259" w:lineRule="auto"/>
              <w:contextualSpacing w:val="0"/>
            </w:pPr>
            <w:r>
              <w:t>2. Parenting programmes</w:t>
            </w:r>
          </w:p>
          <w:p w:rsidR="004C24E3" w:rsidRDefault="00F56660">
            <w:pPr>
              <w:spacing w:line="259" w:lineRule="auto"/>
              <w:contextualSpacing w:val="0"/>
            </w:pPr>
            <w:r>
              <w:t>3. Mental health promotion in early years settings</w:t>
            </w:r>
          </w:p>
          <w:p w:rsidR="004C24E3" w:rsidRDefault="00F56660">
            <w:pPr>
              <w:spacing w:line="259" w:lineRule="auto"/>
              <w:contextualSpacing w:val="0"/>
            </w:pPr>
            <w:r>
              <w:t>4. Anti-bullying interventions in schools</w:t>
            </w:r>
          </w:p>
          <w:p w:rsidR="004C24E3" w:rsidRDefault="00F56660">
            <w:pPr>
              <w:spacing w:line="259" w:lineRule="auto"/>
              <w:contextualSpacing w:val="0"/>
            </w:pPr>
            <w:r>
              <w:t>5. Mental health promotion in schools.</w:t>
            </w:r>
          </w:p>
          <w:p w:rsidR="00E07EAE" w:rsidRDefault="00FD655A">
            <w:pPr>
              <w:spacing w:line="259" w:lineRule="auto"/>
              <w:contextualSpacing w:val="0"/>
            </w:pPr>
            <w:hyperlink r:id="rId12">
              <w:r w:rsidR="00F56660">
                <w:rPr>
                  <w:color w:val="0000FF"/>
                  <w:u w:val="single"/>
                </w:rPr>
                <w:t>http://www.cambridgeshire.gov.uk/info/20004/h</w:t>
              </w:r>
              <w:r w:rsidR="00F56660">
                <w:rPr>
                  <w:color w:val="0000FF"/>
                  <w:u w:val="single"/>
                </w:rPr>
                <w:t>e</w:t>
              </w:r>
              <w:r w:rsidR="00F56660">
                <w:rPr>
                  <w:color w:val="0000FF"/>
                  <w:u w:val="single"/>
                </w:rPr>
                <w:t>alth_and_keeping_well/537/health_improvement/10</w:t>
              </w:r>
            </w:hyperlink>
          </w:p>
          <w:p w:rsidR="004C24E3" w:rsidRDefault="00FD655A">
            <w:pPr>
              <w:spacing w:line="259" w:lineRule="auto"/>
              <w:contextualSpacing w:val="0"/>
            </w:pPr>
            <w:hyperlink r:id="rId13"/>
          </w:p>
          <w:p w:rsidR="004C24E3" w:rsidRDefault="00F56660">
            <w:pPr>
              <w:spacing w:line="259" w:lineRule="auto"/>
              <w:contextualSpacing w:val="0"/>
            </w:pPr>
            <w:r>
              <w:t xml:space="preserve">The </w:t>
            </w:r>
            <w:r>
              <w:rPr>
                <w:b/>
              </w:rPr>
              <w:t>Cambridgeshire Health and Wellbeing Strategy (2015-17)</w:t>
            </w:r>
            <w:r>
              <w:t xml:space="preserve"> seeks to improve the mental health of local communities in specific areas; these include: </w:t>
            </w:r>
          </w:p>
          <w:p w:rsidR="004C24E3" w:rsidRDefault="00F56660">
            <w:pPr>
              <w:spacing w:line="259" w:lineRule="auto"/>
              <w:contextualSpacing w:val="0"/>
            </w:pPr>
            <w:r>
              <w:t xml:space="preserve">1. Strengthening the multi-agency approach to identifying children who have mental health needs, or whose parents are experiencing mental health problems. </w:t>
            </w:r>
          </w:p>
          <w:p w:rsidR="004C24E3" w:rsidRDefault="00F56660">
            <w:pPr>
              <w:spacing w:line="259" w:lineRule="auto"/>
              <w:contextualSpacing w:val="0"/>
            </w:pPr>
            <w:r>
              <w:t xml:space="preserve">2.  Developing integrated services across education, health and social care and the voluntary sector which focus on the needs of the child in the community, including the growing numbers of children with the most complex needs. </w:t>
            </w:r>
          </w:p>
          <w:p w:rsidR="004C24E3" w:rsidRDefault="00F56660">
            <w:pPr>
              <w:spacing w:line="259" w:lineRule="auto"/>
              <w:contextualSpacing w:val="0"/>
            </w:pPr>
            <w:r>
              <w:t xml:space="preserve">3. Implementing early interventions and accessible, appropriate services to support mental health, particularly for people in deprived areas and/or in vulnerable or marginalised groups. </w:t>
            </w:r>
          </w:p>
          <w:p w:rsidR="004C24E3" w:rsidRDefault="004C24E3">
            <w:pPr>
              <w:spacing w:line="259" w:lineRule="auto"/>
              <w:contextualSpacing w:val="0"/>
            </w:pPr>
          </w:p>
          <w:p w:rsidR="004C24E3" w:rsidRDefault="00FD655A">
            <w:pPr>
              <w:spacing w:line="259" w:lineRule="auto"/>
              <w:contextualSpacing w:val="0"/>
            </w:pPr>
            <w:hyperlink r:id="rId14">
              <w:r w:rsidR="00F56660">
                <w:rPr>
                  <w:color w:val="0000FF"/>
                  <w:u w:val="single"/>
                </w:rPr>
                <w:t>http://www.cambridgeshire.gov.uk/info/20004/health</w:t>
              </w:r>
              <w:r w:rsidR="00F56660">
                <w:rPr>
                  <w:color w:val="0000FF"/>
                  <w:u w:val="single"/>
                </w:rPr>
                <w:t>_</w:t>
              </w:r>
              <w:r w:rsidR="00F56660">
                <w:rPr>
                  <w:color w:val="0000FF"/>
                  <w:u w:val="single"/>
                </w:rPr>
                <w:t>and_keeping_well/548/cambridgeshire_health_and_wellbeing_board</w:t>
              </w:r>
            </w:hyperlink>
            <w:hyperlink r:id="rId15"/>
          </w:p>
          <w:p w:rsidR="004C24E3" w:rsidRDefault="00FD655A">
            <w:pPr>
              <w:spacing w:line="259" w:lineRule="auto"/>
              <w:contextualSpacing w:val="0"/>
            </w:pPr>
            <w:hyperlink r:id="rId16"/>
          </w:p>
          <w:p w:rsidR="004C24E3" w:rsidRDefault="00F56660">
            <w:pPr>
              <w:spacing w:line="259" w:lineRule="auto"/>
              <w:contextualSpacing w:val="0"/>
            </w:pPr>
            <w:r>
              <w:t xml:space="preserve">The draft </w:t>
            </w:r>
            <w:r>
              <w:rPr>
                <w:b/>
              </w:rPr>
              <w:t>Peterborough Health and Wellbeing Strategy (2016-19)</w:t>
            </w:r>
            <w:r>
              <w:t xml:space="preserve"> prioritises the development of a child and adolescent mental health pathway that better meets need and manages demand and reduces pressures on specialist services. </w:t>
            </w:r>
            <w:r>
              <w:tab/>
            </w:r>
          </w:p>
          <w:p w:rsidR="004C24E3" w:rsidRDefault="004C24E3">
            <w:pPr>
              <w:spacing w:line="259" w:lineRule="auto"/>
              <w:contextualSpacing w:val="0"/>
            </w:pPr>
          </w:p>
          <w:p w:rsidR="004C24E3" w:rsidRDefault="00FD655A">
            <w:pPr>
              <w:spacing w:line="259" w:lineRule="auto"/>
              <w:contextualSpacing w:val="0"/>
            </w:pPr>
            <w:hyperlink r:id="rId17">
              <w:r w:rsidR="00F56660">
                <w:rPr>
                  <w:color w:val="0000FF"/>
                  <w:u w:val="single"/>
                </w:rPr>
                <w:t>https://www.peterborough.gov.uk/upload/www.peterborough.gov.uk/healthcare/public-health/HealthAndWellbeingStrategy-Draft-July2016.pdf?inline=true</w:t>
              </w:r>
            </w:hyperlink>
            <w:hyperlink r:id="rId18"/>
          </w:p>
          <w:p w:rsidR="004C24E3" w:rsidRDefault="00FD655A">
            <w:pPr>
              <w:spacing w:line="259" w:lineRule="auto"/>
              <w:contextualSpacing w:val="0"/>
            </w:pPr>
            <w:hyperlink r:id="rId19"/>
          </w:p>
          <w:p w:rsidR="004C24E3" w:rsidRDefault="00F56660">
            <w:pPr>
              <w:spacing w:line="259" w:lineRule="auto"/>
              <w:contextualSpacing w:val="0"/>
            </w:pPr>
            <w:r>
              <w:t xml:space="preserve">The joint </w:t>
            </w:r>
            <w:r>
              <w:rPr>
                <w:b/>
              </w:rPr>
              <w:t>Cambridgeshire &amp; Peterborough Suicide Prevention Strategy (2014-2017)</w:t>
            </w:r>
            <w:r>
              <w:t xml:space="preserve"> aims to ensure that there is a co-ordinated and integrated multi-agency approach to the delivery of suicide prevention services that is tailored appropriately to local need and is driven by the involvement and feedback from service users. The strategy has six priority areas, which align with the national strategy:</w:t>
            </w:r>
          </w:p>
          <w:p w:rsidR="004C24E3" w:rsidRDefault="00F56660">
            <w:pPr>
              <w:numPr>
                <w:ilvl w:val="0"/>
                <w:numId w:val="21"/>
              </w:numPr>
              <w:spacing w:line="259" w:lineRule="auto"/>
              <w:ind w:hanging="360"/>
            </w:pPr>
            <w:r>
              <w:t>Reduce the risk of suicide in high risk groups</w:t>
            </w:r>
          </w:p>
          <w:p w:rsidR="004C24E3" w:rsidRDefault="00F56660">
            <w:pPr>
              <w:numPr>
                <w:ilvl w:val="0"/>
                <w:numId w:val="21"/>
              </w:numPr>
              <w:spacing w:line="259" w:lineRule="auto"/>
              <w:ind w:hanging="360"/>
            </w:pPr>
            <w:r>
              <w:t>Tailor approaches to improve mental health in specific groups</w:t>
            </w:r>
          </w:p>
          <w:p w:rsidR="004C24E3" w:rsidRDefault="00F56660">
            <w:pPr>
              <w:numPr>
                <w:ilvl w:val="0"/>
                <w:numId w:val="21"/>
              </w:numPr>
              <w:spacing w:line="259" w:lineRule="auto"/>
              <w:ind w:hanging="360"/>
            </w:pPr>
            <w:r>
              <w:t>Reduce access to the means of suicide</w:t>
            </w:r>
          </w:p>
          <w:p w:rsidR="004C24E3" w:rsidRDefault="00F56660">
            <w:pPr>
              <w:numPr>
                <w:ilvl w:val="0"/>
                <w:numId w:val="21"/>
              </w:numPr>
              <w:spacing w:line="259" w:lineRule="auto"/>
              <w:ind w:hanging="360"/>
            </w:pPr>
            <w:r>
              <w:t>Provide better information and support to those bereaved or affected by suicide</w:t>
            </w:r>
          </w:p>
          <w:p w:rsidR="004C24E3" w:rsidRDefault="00F56660">
            <w:pPr>
              <w:numPr>
                <w:ilvl w:val="0"/>
                <w:numId w:val="21"/>
              </w:numPr>
              <w:spacing w:line="259" w:lineRule="auto"/>
              <w:ind w:hanging="360"/>
            </w:pPr>
            <w:r>
              <w:t>Support the media in delivering sensitive approaches to suicide and suicidal behaviour</w:t>
            </w:r>
          </w:p>
          <w:p w:rsidR="004C24E3" w:rsidRDefault="00F56660">
            <w:pPr>
              <w:numPr>
                <w:ilvl w:val="0"/>
                <w:numId w:val="21"/>
              </w:numPr>
              <w:spacing w:line="259" w:lineRule="auto"/>
              <w:ind w:hanging="360"/>
            </w:pPr>
            <w:r>
              <w:t xml:space="preserve">Support research, data collection and monitoring. </w:t>
            </w:r>
          </w:p>
          <w:p w:rsidR="004C24E3" w:rsidRDefault="004C24E3">
            <w:pPr>
              <w:spacing w:line="259" w:lineRule="auto"/>
              <w:contextualSpacing w:val="0"/>
            </w:pPr>
          </w:p>
          <w:p w:rsidR="004C24E3" w:rsidRDefault="00FD655A">
            <w:pPr>
              <w:spacing w:line="259" w:lineRule="auto"/>
              <w:contextualSpacing w:val="0"/>
            </w:pPr>
            <w:hyperlink r:id="rId20">
              <w:r w:rsidR="00F56660">
                <w:rPr>
                  <w:color w:val="1155CC"/>
                  <w:u w:val="single"/>
                </w:rPr>
                <w:t>http://cambridgeshireinsight.org.uk/health/healthtopics/mh/suicide</w:t>
              </w:r>
            </w:hyperlink>
          </w:p>
          <w:p w:rsidR="004C24E3" w:rsidRDefault="004C24E3">
            <w:pPr>
              <w:spacing w:line="259" w:lineRule="auto"/>
              <w:contextualSpacing w:val="0"/>
            </w:pPr>
          </w:p>
          <w:p w:rsidR="004C24E3" w:rsidRDefault="00F56660">
            <w:pPr>
              <w:spacing w:line="259" w:lineRule="auto"/>
              <w:contextualSpacing w:val="0"/>
            </w:pPr>
            <w:r>
              <w:rPr>
                <w:color w:val="00B050"/>
              </w:rPr>
              <w:t>1.3.4 Young People’s Views</w:t>
            </w:r>
          </w:p>
          <w:p w:rsidR="004C24E3" w:rsidRDefault="004C24E3">
            <w:pPr>
              <w:spacing w:line="259" w:lineRule="auto"/>
              <w:contextualSpacing w:val="0"/>
            </w:pPr>
          </w:p>
          <w:p w:rsidR="004C24E3" w:rsidRDefault="00FD655A">
            <w:pPr>
              <w:spacing w:line="259" w:lineRule="auto"/>
              <w:contextualSpacing w:val="0"/>
              <w:rPr>
                <w:highlight w:val="yellow"/>
              </w:rPr>
            </w:pPr>
            <w:hyperlink r:id="rId21">
              <w:r w:rsidR="00F56660">
                <w:rPr>
                  <w:color w:val="0563C1"/>
                  <w:u w:val="single"/>
                </w:rPr>
                <w:t>Delivering With and Delivering Well</w:t>
              </w:r>
            </w:hyperlink>
            <w:r w:rsidR="00F56660">
              <w:rPr>
                <w:vertAlign w:val="superscript"/>
              </w:rPr>
              <w:footnoteReference w:id="1"/>
            </w:r>
            <w:r w:rsidR="00F56660">
              <w:t xml:space="preserve"> sets out standards created using previous consultations with children, young people and families. The following reports document local consultation exercises with young people and their views on mental health provision:</w:t>
            </w:r>
          </w:p>
          <w:p w:rsidR="004C24E3" w:rsidRDefault="004C24E3">
            <w:pPr>
              <w:spacing w:line="259" w:lineRule="auto"/>
              <w:contextualSpacing w:val="0"/>
              <w:rPr>
                <w:highlight w:val="yellow"/>
              </w:rPr>
            </w:pPr>
          </w:p>
          <w:p w:rsidR="004C24E3" w:rsidRDefault="00F56660">
            <w:pPr>
              <w:spacing w:line="259" w:lineRule="auto"/>
              <w:contextualSpacing w:val="0"/>
            </w:pPr>
            <w:r>
              <w:rPr>
                <w:b/>
              </w:rPr>
              <w:t>Thriving: Improving Young People’s Mental Health (Healthwatch Cambridgeshire)</w:t>
            </w:r>
            <w:r>
              <w:t xml:space="preserve"> highlights the need for better mental health education, the value of counselling, and the need for accessible mental health information. </w:t>
            </w:r>
            <w:hyperlink r:id="rId22">
              <w:r>
                <w:rPr>
                  <w:color w:val="0000FF"/>
                  <w:u w:val="single"/>
                </w:rPr>
                <w:t>http://www.healthwatchcambridgeshire.co.uk/sites/default/files/thriving_report_final.pdf</w:t>
              </w:r>
            </w:hyperlink>
            <w:hyperlink r:id="rId23"/>
          </w:p>
          <w:p w:rsidR="004C24E3" w:rsidRDefault="00FD655A">
            <w:pPr>
              <w:spacing w:line="259" w:lineRule="auto"/>
              <w:contextualSpacing w:val="0"/>
            </w:pPr>
            <w:hyperlink r:id="rId24"/>
          </w:p>
          <w:p w:rsidR="004C24E3" w:rsidRDefault="00FD655A">
            <w:pPr>
              <w:spacing w:line="259" w:lineRule="auto"/>
              <w:contextualSpacing w:val="0"/>
            </w:pPr>
            <w:hyperlink r:id="rId25"/>
          </w:p>
          <w:p w:rsidR="004C24E3" w:rsidRDefault="00F56660">
            <w:pPr>
              <w:spacing w:line="259" w:lineRule="auto"/>
              <w:contextualSpacing w:val="0"/>
            </w:pPr>
            <w:r>
              <w:rPr>
                <w:b/>
              </w:rPr>
              <w:t xml:space="preserve">My Own Mind (Healthwatch Cambridgeshire) </w:t>
            </w:r>
            <w:r>
              <w:t xml:space="preserve">examined young people’s attitudes to stress and anxiety, what helped them cope and what needs to change. Key findings included the need to provide support in a familiar and comfortable setting and the importance of young people having a role when it comes to helping each other. </w:t>
            </w:r>
            <w:hyperlink r:id="rId26">
              <w:r>
                <w:rPr>
                  <w:color w:val="0000FF"/>
                  <w:u w:val="single"/>
                </w:rPr>
                <w:t>http://www.healthwatchcambridgeshire.co.uk/sites/default/files/myownmind_final.pdf</w:t>
              </w:r>
            </w:hyperlink>
            <w:hyperlink r:id="rId27"/>
          </w:p>
          <w:p w:rsidR="004C24E3" w:rsidRDefault="00FD655A">
            <w:pPr>
              <w:spacing w:line="259" w:lineRule="auto"/>
              <w:contextualSpacing w:val="0"/>
            </w:pPr>
            <w:hyperlink r:id="rId28"/>
          </w:p>
          <w:p w:rsidR="004C24E3" w:rsidRDefault="00FD655A">
            <w:pPr>
              <w:spacing w:line="259" w:lineRule="auto"/>
              <w:contextualSpacing w:val="0"/>
            </w:pPr>
            <w:hyperlink r:id="rId29"/>
          </w:p>
          <w:p w:rsidR="004C24E3" w:rsidRDefault="00F56660">
            <w:pPr>
              <w:spacing w:line="259" w:lineRule="auto"/>
              <w:contextualSpacing w:val="0"/>
            </w:pPr>
            <w:r>
              <w:rPr>
                <w:b/>
              </w:rPr>
              <w:t xml:space="preserve">Young People: Emotional and Mental Health Report 2015-2016 (Healthwatch Peterborough) </w:t>
            </w:r>
            <w:r>
              <w:t xml:space="preserve">sought student and staff understanding of mental health and what keeps people mentally well. </w:t>
            </w:r>
          </w:p>
          <w:p w:rsidR="004C24E3" w:rsidRDefault="00FD655A">
            <w:pPr>
              <w:spacing w:line="259" w:lineRule="auto"/>
              <w:contextualSpacing w:val="0"/>
            </w:pPr>
            <w:hyperlink r:id="rId30">
              <w:r w:rsidR="00F56660">
                <w:rPr>
                  <w:color w:val="0000FF"/>
                  <w:u w:val="single"/>
                </w:rPr>
                <w:t>http://www.healthwatchpeterborough.co.uk/news/healthwatch-peterboroughs-young-people-and-mental-health-report</w:t>
              </w:r>
            </w:hyperlink>
            <w:hyperlink r:id="rId31"/>
          </w:p>
          <w:p w:rsidR="004C24E3" w:rsidRDefault="00FD655A">
            <w:pPr>
              <w:spacing w:line="259" w:lineRule="auto"/>
              <w:contextualSpacing w:val="0"/>
            </w:pPr>
            <w:hyperlink r:id="rId32"/>
          </w:p>
          <w:p w:rsidR="004C24E3" w:rsidRDefault="00F56660">
            <w:pPr>
              <w:spacing w:line="259" w:lineRule="auto"/>
              <w:contextualSpacing w:val="0"/>
            </w:pPr>
            <w:r>
              <w:rPr>
                <w:b/>
              </w:rPr>
              <w:t>The Delphi Study</w:t>
            </w:r>
            <w:r>
              <w:rPr>
                <w:b/>
                <w:vertAlign w:val="superscript"/>
              </w:rPr>
              <w:footnoteReference w:id="2"/>
            </w:r>
            <w:r>
              <w:rPr>
                <w:b/>
              </w:rPr>
              <w:t xml:space="preserve"> </w:t>
            </w:r>
            <w:r>
              <w:t xml:space="preserve">aims to define the features of a community based model which promotes and </w:t>
            </w:r>
            <w:r>
              <w:lastRenderedPageBreak/>
              <w:t>protects the emotional wellbeing of children and young people living in the East of England. Findings are outlined in Specification Appendix 2.</w:t>
            </w:r>
          </w:p>
          <w:p w:rsidR="004C24E3" w:rsidRDefault="004C24E3">
            <w:pPr>
              <w:spacing w:line="259" w:lineRule="auto"/>
              <w:contextualSpacing w:val="0"/>
            </w:pPr>
          </w:p>
          <w:p w:rsidR="004C24E3" w:rsidRDefault="00F56660">
            <w:pPr>
              <w:spacing w:line="259" w:lineRule="auto"/>
              <w:contextualSpacing w:val="0"/>
              <w:rPr>
                <w:color w:val="00B050"/>
              </w:rPr>
            </w:pPr>
            <w:r>
              <w:rPr>
                <w:color w:val="00B050"/>
              </w:rPr>
              <w:t>1.3.5 Parent/Carer Views</w:t>
            </w:r>
          </w:p>
          <w:p w:rsidR="004C24E3" w:rsidRDefault="004C24E3">
            <w:pPr>
              <w:spacing w:line="259" w:lineRule="auto"/>
              <w:contextualSpacing w:val="0"/>
              <w:rPr>
                <w:color w:val="00B050"/>
              </w:rPr>
            </w:pPr>
          </w:p>
          <w:p w:rsidR="004C24E3" w:rsidRDefault="00F56660">
            <w:pPr>
              <w:spacing w:line="259" w:lineRule="auto"/>
              <w:contextualSpacing w:val="0"/>
            </w:pPr>
            <w:r>
              <w:t xml:space="preserve">Please see Specification Appendix 3; the Families First Peterborough &amp; Pinpoint Peterborough: Getting Help Report 2017. </w:t>
            </w:r>
          </w:p>
          <w:p w:rsidR="004C24E3" w:rsidRDefault="004C24E3">
            <w:pPr>
              <w:spacing w:line="259" w:lineRule="auto"/>
              <w:contextualSpacing w:val="0"/>
            </w:pPr>
          </w:p>
          <w:p w:rsidR="004C24E3" w:rsidRDefault="00F56660">
            <w:pPr>
              <w:spacing w:line="259" w:lineRule="auto"/>
              <w:contextualSpacing w:val="0"/>
            </w:pPr>
            <w:r>
              <w:rPr>
                <w:color w:val="00B050"/>
              </w:rPr>
              <w:t>1.4 Local Need</w:t>
            </w:r>
          </w:p>
          <w:p w:rsidR="004C24E3" w:rsidRDefault="00F56660">
            <w:pPr>
              <w:spacing w:line="259" w:lineRule="auto"/>
              <w:contextualSpacing w:val="0"/>
            </w:pPr>
            <w:r>
              <w:t>A summary of need is provided in Specification Appendix 1.</w:t>
            </w:r>
            <w:r>
              <w:rPr>
                <w:highlight w:val="cyan"/>
              </w:rPr>
              <w:t xml:space="preserve"> </w:t>
            </w:r>
            <w:r>
              <w:t>In addition, the following Joint Strategic Needs Assessments are key sources of local data which shape the local strategic direction:</w:t>
            </w:r>
          </w:p>
          <w:p w:rsidR="004C24E3" w:rsidRDefault="00F56660">
            <w:pPr>
              <w:contextualSpacing w:val="0"/>
            </w:pPr>
            <w:r>
              <w:t xml:space="preserve"> </w:t>
            </w:r>
          </w:p>
          <w:p w:rsidR="004C24E3" w:rsidRDefault="00F56660">
            <w:pPr>
              <w:numPr>
                <w:ilvl w:val="0"/>
                <w:numId w:val="23"/>
              </w:numPr>
              <w:ind w:hanging="360"/>
            </w:pPr>
            <w:r>
              <w:t>NHS Cambridgeshire/Cambridgeshire County Council (2013) Cambridgeshire Joint Strategic Needs Assessment. The Mental Health of Children and Young People in Cambridgeshire.</w:t>
            </w:r>
          </w:p>
          <w:p w:rsidR="004C24E3" w:rsidRDefault="00FD655A">
            <w:pPr>
              <w:ind w:left="720"/>
              <w:contextualSpacing w:val="0"/>
            </w:pPr>
            <w:hyperlink r:id="rId33">
              <w:r w:rsidR="00F56660">
                <w:rPr>
                  <w:color w:val="0563C1"/>
                  <w:u w:val="single"/>
                </w:rPr>
                <w:t>http://cambridgeshireinsight.org.uk/joint-strategic-needs-assessment/current-jsna-reports</w:t>
              </w:r>
            </w:hyperlink>
            <w:r w:rsidR="00F56660">
              <w:t xml:space="preserve"> </w:t>
            </w:r>
          </w:p>
          <w:p w:rsidR="004C24E3" w:rsidRDefault="00F56660">
            <w:pPr>
              <w:numPr>
                <w:ilvl w:val="0"/>
                <w:numId w:val="23"/>
              </w:numPr>
              <w:ind w:hanging="360"/>
            </w:pPr>
            <w:r>
              <w:t xml:space="preserve">Peterborough City Council (2015) Children &amp; Young People’s Joint Strategic Needs Assessment.  </w:t>
            </w:r>
            <w:hyperlink r:id="rId34">
              <w:r>
                <w:rPr>
                  <w:color w:val="0563C1"/>
                  <w:u w:val="single"/>
                </w:rPr>
                <w:t>https://www.peterborough.gov.uk/upload/www.peterborough.gov.uk/healthcare/public-health/ChildrenAndYoungPeopleJSNA-June2015.pdf?inline=true</w:t>
              </w:r>
            </w:hyperlink>
            <w:r>
              <w:t xml:space="preserve"> </w:t>
            </w:r>
          </w:p>
          <w:p w:rsidR="004C24E3" w:rsidRDefault="004C24E3">
            <w:pPr>
              <w:spacing w:line="259" w:lineRule="auto"/>
              <w:ind w:left="774"/>
              <w:contextualSpacing w:val="0"/>
            </w:pPr>
          </w:p>
          <w:p w:rsidR="004C24E3" w:rsidRDefault="00F56660">
            <w:pPr>
              <w:contextualSpacing w:val="0"/>
            </w:pPr>
            <w:r>
              <w:t>The estimated prevalence of diagnosable mental health conditions amongst the those aged 5-25 is segmented below and includes growth forecasts up to 2021 (effectively year 4 of the contract).</w:t>
            </w:r>
          </w:p>
          <w:p w:rsidR="004C24E3" w:rsidRDefault="004C24E3">
            <w:pPr>
              <w:spacing w:line="259" w:lineRule="auto"/>
              <w:contextualSpacing w:val="0"/>
            </w:pPr>
          </w:p>
          <w:p w:rsidR="004C24E3" w:rsidRDefault="00F56660">
            <w:pPr>
              <w:keepNext/>
              <w:spacing w:after="200"/>
              <w:contextualSpacing w:val="0"/>
              <w:rPr>
                <w:rFonts w:ascii="Arial" w:eastAsia="Arial" w:hAnsi="Arial" w:cs="Arial"/>
                <w:sz w:val="24"/>
                <w:szCs w:val="24"/>
              </w:rPr>
            </w:pPr>
            <w:bookmarkStart w:id="2" w:name="30j0zll" w:colFirst="0" w:colLast="0"/>
            <w:bookmarkEnd w:id="2"/>
            <w:r>
              <w:rPr>
                <w:i/>
                <w:color w:val="44546A"/>
              </w:rPr>
              <w:t>Table 1 Estimated Number of Children and Young People with a Diagnosable Mental Health Problem in Cambridgeshire and Peterborough. Data for 2017, based on mid-2014 population estimates (ONS).</w:t>
            </w:r>
          </w:p>
          <w:p w:rsidR="004C24E3" w:rsidRDefault="004C24E3">
            <w:pPr>
              <w:spacing w:line="259" w:lineRule="auto"/>
              <w:contextualSpacing w:val="0"/>
              <w:rPr>
                <w:rFonts w:ascii="Arial" w:eastAsia="Arial" w:hAnsi="Arial" w:cs="Arial"/>
                <w:sz w:val="24"/>
                <w:szCs w:val="24"/>
              </w:rPr>
            </w:pPr>
          </w:p>
          <w:tbl>
            <w:tblPr>
              <w:tblStyle w:val="a0"/>
              <w:tblW w:w="91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35"/>
              <w:gridCol w:w="1200"/>
              <w:gridCol w:w="1275"/>
              <w:gridCol w:w="1170"/>
              <w:gridCol w:w="1260"/>
              <w:gridCol w:w="1125"/>
              <w:gridCol w:w="1222"/>
            </w:tblGrid>
            <w:tr w:rsidR="004C24E3">
              <w:trPr>
                <w:trHeight w:val="680"/>
              </w:trPr>
              <w:tc>
                <w:tcPr>
                  <w:tcW w:w="1935" w:type="dxa"/>
                  <w:tcMar>
                    <w:top w:w="100" w:type="dxa"/>
                    <w:left w:w="100" w:type="dxa"/>
                    <w:bottom w:w="100" w:type="dxa"/>
                    <w:right w:w="100" w:type="dxa"/>
                  </w:tcMar>
                </w:tcPr>
                <w:p w:rsidR="004C24E3" w:rsidRDefault="004C24E3">
                  <w:pPr>
                    <w:jc w:val="left"/>
                    <w:rPr>
                      <w:rFonts w:ascii="Calibri" w:eastAsia="Calibri" w:hAnsi="Calibri" w:cs="Calibri"/>
                      <w:sz w:val="20"/>
                      <w:szCs w:val="20"/>
                    </w:rPr>
                  </w:pPr>
                </w:p>
              </w:tc>
              <w:tc>
                <w:tcPr>
                  <w:tcW w:w="1200" w:type="dxa"/>
                  <w:tcMar>
                    <w:top w:w="100" w:type="dxa"/>
                    <w:left w:w="100" w:type="dxa"/>
                    <w:bottom w:w="100" w:type="dxa"/>
                    <w:right w:w="100" w:type="dxa"/>
                  </w:tcMar>
                </w:tcPr>
                <w:p w:rsidR="004C24E3" w:rsidRDefault="00F56660">
                  <w:pPr>
                    <w:jc w:val="left"/>
                    <w:rPr>
                      <w:rFonts w:ascii="Calibri" w:eastAsia="Calibri" w:hAnsi="Calibri" w:cs="Calibri"/>
                      <w:b/>
                      <w:sz w:val="22"/>
                      <w:szCs w:val="22"/>
                    </w:rPr>
                  </w:pPr>
                  <w:r>
                    <w:rPr>
                      <w:rFonts w:ascii="Calibri" w:eastAsia="Calibri" w:hAnsi="Calibri" w:cs="Calibri"/>
                      <w:b/>
                      <w:sz w:val="22"/>
                      <w:szCs w:val="22"/>
                    </w:rPr>
                    <w:t>5-10 year olds</w:t>
                  </w:r>
                </w:p>
              </w:tc>
              <w:tc>
                <w:tcPr>
                  <w:tcW w:w="1275" w:type="dxa"/>
                  <w:tcMar>
                    <w:top w:w="100" w:type="dxa"/>
                    <w:left w:w="100" w:type="dxa"/>
                    <w:bottom w:w="100" w:type="dxa"/>
                    <w:right w:w="100" w:type="dxa"/>
                  </w:tcMar>
                </w:tcPr>
                <w:p w:rsidR="004C24E3" w:rsidRDefault="00F56660">
                  <w:pPr>
                    <w:jc w:val="left"/>
                    <w:rPr>
                      <w:rFonts w:ascii="Calibri" w:eastAsia="Calibri" w:hAnsi="Calibri" w:cs="Calibri"/>
                      <w:b/>
                      <w:sz w:val="22"/>
                      <w:szCs w:val="22"/>
                    </w:rPr>
                  </w:pPr>
                  <w:r>
                    <w:rPr>
                      <w:rFonts w:ascii="Calibri" w:eastAsia="Calibri" w:hAnsi="Calibri" w:cs="Calibri"/>
                      <w:b/>
                      <w:sz w:val="22"/>
                      <w:szCs w:val="22"/>
                    </w:rPr>
                    <w:t>% change 2017-2021</w:t>
                  </w:r>
                </w:p>
              </w:tc>
              <w:tc>
                <w:tcPr>
                  <w:tcW w:w="1170" w:type="dxa"/>
                  <w:tcMar>
                    <w:top w:w="100" w:type="dxa"/>
                    <w:left w:w="100" w:type="dxa"/>
                    <w:bottom w:w="100" w:type="dxa"/>
                    <w:right w:w="100" w:type="dxa"/>
                  </w:tcMar>
                </w:tcPr>
                <w:p w:rsidR="004C24E3" w:rsidRDefault="00F56660">
                  <w:pPr>
                    <w:jc w:val="left"/>
                    <w:rPr>
                      <w:rFonts w:ascii="Calibri" w:eastAsia="Calibri" w:hAnsi="Calibri" w:cs="Calibri"/>
                      <w:b/>
                      <w:sz w:val="22"/>
                      <w:szCs w:val="22"/>
                    </w:rPr>
                  </w:pPr>
                  <w:r>
                    <w:rPr>
                      <w:rFonts w:ascii="Calibri" w:eastAsia="Calibri" w:hAnsi="Calibri" w:cs="Calibri"/>
                      <w:b/>
                      <w:sz w:val="22"/>
                      <w:szCs w:val="22"/>
                    </w:rPr>
                    <w:t>11-17 year olds</w:t>
                  </w:r>
                </w:p>
              </w:tc>
              <w:tc>
                <w:tcPr>
                  <w:tcW w:w="1260" w:type="dxa"/>
                  <w:tcMar>
                    <w:top w:w="100" w:type="dxa"/>
                    <w:left w:w="100" w:type="dxa"/>
                    <w:bottom w:w="100" w:type="dxa"/>
                    <w:right w:w="100" w:type="dxa"/>
                  </w:tcMar>
                </w:tcPr>
                <w:p w:rsidR="004C24E3" w:rsidRDefault="00F56660">
                  <w:pPr>
                    <w:jc w:val="left"/>
                    <w:rPr>
                      <w:rFonts w:ascii="Calibri" w:eastAsia="Calibri" w:hAnsi="Calibri" w:cs="Calibri"/>
                      <w:b/>
                      <w:sz w:val="22"/>
                      <w:szCs w:val="22"/>
                    </w:rPr>
                  </w:pPr>
                  <w:r>
                    <w:rPr>
                      <w:rFonts w:ascii="Calibri" w:eastAsia="Calibri" w:hAnsi="Calibri" w:cs="Calibri"/>
                      <w:b/>
                      <w:sz w:val="22"/>
                      <w:szCs w:val="22"/>
                    </w:rPr>
                    <w:t>% change 2017-2021</w:t>
                  </w:r>
                </w:p>
              </w:tc>
              <w:tc>
                <w:tcPr>
                  <w:tcW w:w="1125" w:type="dxa"/>
                  <w:tcMar>
                    <w:top w:w="100" w:type="dxa"/>
                    <w:left w:w="100" w:type="dxa"/>
                    <w:bottom w:w="100" w:type="dxa"/>
                    <w:right w:w="100" w:type="dxa"/>
                  </w:tcMar>
                </w:tcPr>
                <w:p w:rsidR="004C24E3" w:rsidRDefault="00F56660">
                  <w:pPr>
                    <w:jc w:val="left"/>
                    <w:rPr>
                      <w:rFonts w:ascii="Calibri" w:eastAsia="Calibri" w:hAnsi="Calibri" w:cs="Calibri"/>
                      <w:b/>
                      <w:sz w:val="22"/>
                      <w:szCs w:val="22"/>
                    </w:rPr>
                  </w:pPr>
                  <w:r>
                    <w:rPr>
                      <w:rFonts w:ascii="Calibri" w:eastAsia="Calibri" w:hAnsi="Calibri" w:cs="Calibri"/>
                      <w:b/>
                      <w:sz w:val="22"/>
                      <w:szCs w:val="22"/>
                    </w:rPr>
                    <w:t>18-25 year olds</w:t>
                  </w:r>
                </w:p>
              </w:tc>
              <w:tc>
                <w:tcPr>
                  <w:tcW w:w="1222" w:type="dxa"/>
                  <w:tcMar>
                    <w:top w:w="100" w:type="dxa"/>
                    <w:left w:w="100" w:type="dxa"/>
                    <w:bottom w:w="100" w:type="dxa"/>
                    <w:right w:w="100" w:type="dxa"/>
                  </w:tcMar>
                </w:tcPr>
                <w:p w:rsidR="004C24E3" w:rsidRDefault="00F56660">
                  <w:pPr>
                    <w:jc w:val="left"/>
                    <w:rPr>
                      <w:rFonts w:ascii="Calibri" w:eastAsia="Calibri" w:hAnsi="Calibri" w:cs="Calibri"/>
                      <w:b/>
                      <w:sz w:val="22"/>
                      <w:szCs w:val="22"/>
                    </w:rPr>
                  </w:pPr>
                  <w:r>
                    <w:rPr>
                      <w:rFonts w:ascii="Calibri" w:eastAsia="Calibri" w:hAnsi="Calibri" w:cs="Calibri"/>
                      <w:b/>
                      <w:sz w:val="22"/>
                      <w:szCs w:val="22"/>
                    </w:rPr>
                    <w:t>% change 2017-2021</w:t>
                  </w:r>
                </w:p>
              </w:tc>
            </w:tr>
            <w:tr w:rsidR="004C24E3">
              <w:tc>
                <w:tcPr>
                  <w:tcW w:w="1935" w:type="dxa"/>
                  <w:tcMar>
                    <w:top w:w="100" w:type="dxa"/>
                    <w:left w:w="100" w:type="dxa"/>
                    <w:bottom w:w="100" w:type="dxa"/>
                    <w:right w:w="100" w:type="dxa"/>
                  </w:tcMar>
                </w:tcPr>
                <w:p w:rsidR="004C24E3" w:rsidRDefault="00F56660">
                  <w:pPr>
                    <w:jc w:val="left"/>
                    <w:rPr>
                      <w:rFonts w:ascii="Calibri" w:eastAsia="Calibri" w:hAnsi="Calibri" w:cs="Calibri"/>
                      <w:sz w:val="20"/>
                      <w:szCs w:val="20"/>
                    </w:rPr>
                  </w:pPr>
                  <w:r>
                    <w:rPr>
                      <w:rFonts w:ascii="Calibri" w:eastAsia="Calibri" w:hAnsi="Calibri" w:cs="Calibri"/>
                      <w:sz w:val="20"/>
                      <w:szCs w:val="20"/>
                    </w:rPr>
                    <w:t>Cambridge City</w:t>
                  </w:r>
                </w:p>
              </w:tc>
              <w:tc>
                <w:tcPr>
                  <w:tcW w:w="1200" w:type="dxa"/>
                  <w:tcMar>
                    <w:top w:w="100" w:type="dxa"/>
                    <w:left w:w="100" w:type="dxa"/>
                    <w:bottom w:w="100" w:type="dxa"/>
                    <w:right w:w="100" w:type="dxa"/>
                  </w:tcMar>
                </w:tcPr>
                <w:p w:rsidR="004C24E3" w:rsidRDefault="00F56660">
                  <w:pPr>
                    <w:jc w:val="left"/>
                    <w:rPr>
                      <w:rFonts w:ascii="Calibri" w:eastAsia="Calibri" w:hAnsi="Calibri" w:cs="Calibri"/>
                      <w:sz w:val="20"/>
                      <w:szCs w:val="20"/>
                    </w:rPr>
                  </w:pPr>
                  <w:r>
                    <w:rPr>
                      <w:rFonts w:ascii="Calibri" w:eastAsia="Calibri" w:hAnsi="Calibri" w:cs="Calibri"/>
                      <w:sz w:val="20"/>
                      <w:szCs w:val="20"/>
                    </w:rPr>
                    <w:t>640</w:t>
                  </w:r>
                </w:p>
              </w:tc>
              <w:tc>
                <w:tcPr>
                  <w:tcW w:w="1275" w:type="dxa"/>
                  <w:tcMar>
                    <w:top w:w="100" w:type="dxa"/>
                    <w:left w:w="100" w:type="dxa"/>
                    <w:bottom w:w="100" w:type="dxa"/>
                    <w:right w:w="100" w:type="dxa"/>
                  </w:tcMar>
                </w:tcPr>
                <w:p w:rsidR="004C24E3" w:rsidRDefault="00F56660">
                  <w:pPr>
                    <w:jc w:val="left"/>
                    <w:rPr>
                      <w:rFonts w:ascii="Calibri" w:eastAsia="Calibri" w:hAnsi="Calibri" w:cs="Calibri"/>
                      <w:sz w:val="20"/>
                      <w:szCs w:val="20"/>
                    </w:rPr>
                  </w:pPr>
                  <w:r>
                    <w:rPr>
                      <w:rFonts w:ascii="Calibri" w:eastAsia="Calibri" w:hAnsi="Calibri" w:cs="Calibri"/>
                      <w:sz w:val="20"/>
                      <w:szCs w:val="20"/>
                    </w:rPr>
                    <w:t>-1%</w:t>
                  </w:r>
                </w:p>
              </w:tc>
              <w:tc>
                <w:tcPr>
                  <w:tcW w:w="1170" w:type="dxa"/>
                  <w:tcMar>
                    <w:top w:w="100" w:type="dxa"/>
                    <w:left w:w="100" w:type="dxa"/>
                    <w:bottom w:w="100" w:type="dxa"/>
                    <w:right w:w="100" w:type="dxa"/>
                  </w:tcMar>
                </w:tcPr>
                <w:p w:rsidR="004C24E3" w:rsidRDefault="00F56660">
                  <w:pPr>
                    <w:jc w:val="left"/>
                    <w:rPr>
                      <w:rFonts w:ascii="Calibri" w:eastAsia="Calibri" w:hAnsi="Calibri" w:cs="Calibri"/>
                      <w:sz w:val="20"/>
                      <w:szCs w:val="20"/>
                    </w:rPr>
                  </w:pPr>
                  <w:r>
                    <w:rPr>
                      <w:rFonts w:ascii="Calibri" w:eastAsia="Calibri" w:hAnsi="Calibri" w:cs="Calibri"/>
                      <w:sz w:val="20"/>
                      <w:szCs w:val="20"/>
                    </w:rPr>
                    <w:t>942</w:t>
                  </w:r>
                </w:p>
              </w:tc>
              <w:tc>
                <w:tcPr>
                  <w:tcW w:w="1260" w:type="dxa"/>
                  <w:tcMar>
                    <w:top w:w="100" w:type="dxa"/>
                    <w:left w:w="100" w:type="dxa"/>
                    <w:bottom w:w="100" w:type="dxa"/>
                    <w:right w:w="100" w:type="dxa"/>
                  </w:tcMar>
                </w:tcPr>
                <w:p w:rsidR="004C24E3" w:rsidRDefault="00F56660">
                  <w:pPr>
                    <w:jc w:val="left"/>
                    <w:rPr>
                      <w:rFonts w:ascii="Calibri" w:eastAsia="Calibri" w:hAnsi="Calibri" w:cs="Calibri"/>
                      <w:sz w:val="20"/>
                      <w:szCs w:val="20"/>
                    </w:rPr>
                  </w:pPr>
                  <w:r>
                    <w:rPr>
                      <w:rFonts w:ascii="Calibri" w:eastAsia="Calibri" w:hAnsi="Calibri" w:cs="Calibri"/>
                      <w:sz w:val="20"/>
                      <w:szCs w:val="20"/>
                    </w:rPr>
                    <w:t>17%</w:t>
                  </w:r>
                </w:p>
              </w:tc>
              <w:tc>
                <w:tcPr>
                  <w:tcW w:w="1125" w:type="dxa"/>
                  <w:tcMar>
                    <w:top w:w="100" w:type="dxa"/>
                    <w:left w:w="100" w:type="dxa"/>
                    <w:bottom w:w="100" w:type="dxa"/>
                    <w:right w:w="100" w:type="dxa"/>
                  </w:tcMar>
                </w:tcPr>
                <w:p w:rsidR="004C24E3" w:rsidRDefault="00F56660">
                  <w:pPr>
                    <w:jc w:val="left"/>
                    <w:rPr>
                      <w:rFonts w:ascii="Calibri" w:eastAsia="Calibri" w:hAnsi="Calibri" w:cs="Calibri"/>
                      <w:sz w:val="20"/>
                      <w:szCs w:val="20"/>
                    </w:rPr>
                  </w:pPr>
                  <w:r>
                    <w:rPr>
                      <w:rFonts w:ascii="Calibri" w:eastAsia="Calibri" w:hAnsi="Calibri" w:cs="Calibri"/>
                      <w:sz w:val="20"/>
                      <w:szCs w:val="20"/>
                    </w:rPr>
                    <w:t>5361</w:t>
                  </w:r>
                </w:p>
              </w:tc>
              <w:tc>
                <w:tcPr>
                  <w:tcW w:w="1222" w:type="dxa"/>
                  <w:tcMar>
                    <w:top w:w="100" w:type="dxa"/>
                    <w:left w:w="100" w:type="dxa"/>
                    <w:bottom w:w="100" w:type="dxa"/>
                    <w:right w:w="100" w:type="dxa"/>
                  </w:tcMar>
                </w:tcPr>
                <w:p w:rsidR="004C24E3" w:rsidRDefault="00F56660">
                  <w:pPr>
                    <w:jc w:val="left"/>
                    <w:rPr>
                      <w:rFonts w:ascii="Calibri" w:eastAsia="Calibri" w:hAnsi="Calibri" w:cs="Calibri"/>
                      <w:sz w:val="20"/>
                      <w:szCs w:val="20"/>
                    </w:rPr>
                  </w:pPr>
                  <w:r>
                    <w:rPr>
                      <w:rFonts w:ascii="Calibri" w:eastAsia="Calibri" w:hAnsi="Calibri" w:cs="Calibri"/>
                      <w:sz w:val="20"/>
                      <w:szCs w:val="20"/>
                    </w:rPr>
                    <w:t>3%</w:t>
                  </w:r>
                </w:p>
              </w:tc>
            </w:tr>
            <w:tr w:rsidR="004C24E3">
              <w:tc>
                <w:tcPr>
                  <w:tcW w:w="1935" w:type="dxa"/>
                  <w:tcMar>
                    <w:top w:w="100" w:type="dxa"/>
                    <w:left w:w="100" w:type="dxa"/>
                    <w:bottom w:w="100" w:type="dxa"/>
                    <w:right w:w="100" w:type="dxa"/>
                  </w:tcMar>
                </w:tcPr>
                <w:p w:rsidR="004C24E3" w:rsidRDefault="00F56660">
                  <w:pPr>
                    <w:jc w:val="left"/>
                    <w:rPr>
                      <w:rFonts w:ascii="Calibri" w:eastAsia="Calibri" w:hAnsi="Calibri" w:cs="Calibri"/>
                      <w:sz w:val="20"/>
                      <w:szCs w:val="20"/>
                    </w:rPr>
                  </w:pPr>
                  <w:r>
                    <w:rPr>
                      <w:rFonts w:ascii="Calibri" w:eastAsia="Calibri" w:hAnsi="Calibri" w:cs="Calibri"/>
                      <w:sz w:val="20"/>
                      <w:szCs w:val="20"/>
                    </w:rPr>
                    <w:t>East Cambridgeshire</w:t>
                  </w:r>
                </w:p>
              </w:tc>
              <w:tc>
                <w:tcPr>
                  <w:tcW w:w="1200" w:type="dxa"/>
                  <w:tcMar>
                    <w:top w:w="100" w:type="dxa"/>
                    <w:left w:w="100" w:type="dxa"/>
                    <w:bottom w:w="100" w:type="dxa"/>
                    <w:right w:w="100" w:type="dxa"/>
                  </w:tcMar>
                </w:tcPr>
                <w:p w:rsidR="004C24E3" w:rsidRDefault="00F56660">
                  <w:pPr>
                    <w:jc w:val="left"/>
                    <w:rPr>
                      <w:rFonts w:ascii="Calibri" w:eastAsia="Calibri" w:hAnsi="Calibri" w:cs="Calibri"/>
                      <w:sz w:val="20"/>
                      <w:szCs w:val="20"/>
                    </w:rPr>
                  </w:pPr>
                  <w:r>
                    <w:rPr>
                      <w:rFonts w:ascii="Calibri" w:eastAsia="Calibri" w:hAnsi="Calibri" w:cs="Calibri"/>
                      <w:sz w:val="20"/>
                      <w:szCs w:val="20"/>
                    </w:rPr>
                    <w:t>558</w:t>
                  </w:r>
                </w:p>
              </w:tc>
              <w:tc>
                <w:tcPr>
                  <w:tcW w:w="1275" w:type="dxa"/>
                  <w:tcMar>
                    <w:top w:w="100" w:type="dxa"/>
                    <w:left w:w="100" w:type="dxa"/>
                    <w:bottom w:w="100" w:type="dxa"/>
                    <w:right w:w="100" w:type="dxa"/>
                  </w:tcMar>
                </w:tcPr>
                <w:p w:rsidR="004C24E3" w:rsidRDefault="00F56660">
                  <w:pPr>
                    <w:jc w:val="left"/>
                    <w:rPr>
                      <w:rFonts w:ascii="Calibri" w:eastAsia="Calibri" w:hAnsi="Calibri" w:cs="Calibri"/>
                      <w:sz w:val="20"/>
                      <w:szCs w:val="20"/>
                    </w:rPr>
                  </w:pPr>
                  <w:r>
                    <w:rPr>
                      <w:rFonts w:ascii="Calibri" w:eastAsia="Calibri" w:hAnsi="Calibri" w:cs="Calibri"/>
                      <w:sz w:val="20"/>
                      <w:szCs w:val="20"/>
                    </w:rPr>
                    <w:t>1%</w:t>
                  </w:r>
                </w:p>
              </w:tc>
              <w:tc>
                <w:tcPr>
                  <w:tcW w:w="1170" w:type="dxa"/>
                  <w:tcMar>
                    <w:top w:w="100" w:type="dxa"/>
                    <w:left w:w="100" w:type="dxa"/>
                    <w:bottom w:w="100" w:type="dxa"/>
                    <w:right w:w="100" w:type="dxa"/>
                  </w:tcMar>
                </w:tcPr>
                <w:p w:rsidR="004C24E3" w:rsidRDefault="00F56660">
                  <w:pPr>
                    <w:jc w:val="left"/>
                    <w:rPr>
                      <w:rFonts w:ascii="Calibri" w:eastAsia="Calibri" w:hAnsi="Calibri" w:cs="Calibri"/>
                      <w:sz w:val="20"/>
                      <w:szCs w:val="20"/>
                    </w:rPr>
                  </w:pPr>
                  <w:r>
                    <w:rPr>
                      <w:rFonts w:ascii="Calibri" w:eastAsia="Calibri" w:hAnsi="Calibri" w:cs="Calibri"/>
                      <w:sz w:val="20"/>
                      <w:szCs w:val="20"/>
                    </w:rPr>
                    <w:t>822</w:t>
                  </w:r>
                </w:p>
              </w:tc>
              <w:tc>
                <w:tcPr>
                  <w:tcW w:w="1260" w:type="dxa"/>
                  <w:tcMar>
                    <w:top w:w="100" w:type="dxa"/>
                    <w:left w:w="100" w:type="dxa"/>
                    <w:bottom w:w="100" w:type="dxa"/>
                    <w:right w:w="100" w:type="dxa"/>
                  </w:tcMar>
                </w:tcPr>
                <w:p w:rsidR="004C24E3" w:rsidRDefault="00F56660">
                  <w:pPr>
                    <w:jc w:val="left"/>
                    <w:rPr>
                      <w:rFonts w:ascii="Calibri" w:eastAsia="Calibri" w:hAnsi="Calibri" w:cs="Calibri"/>
                      <w:sz w:val="20"/>
                      <w:szCs w:val="20"/>
                    </w:rPr>
                  </w:pPr>
                  <w:r>
                    <w:rPr>
                      <w:rFonts w:ascii="Calibri" w:eastAsia="Calibri" w:hAnsi="Calibri" w:cs="Calibri"/>
                      <w:sz w:val="20"/>
                      <w:szCs w:val="20"/>
                    </w:rPr>
                    <w:t>14%</w:t>
                  </w:r>
                </w:p>
              </w:tc>
              <w:tc>
                <w:tcPr>
                  <w:tcW w:w="1125" w:type="dxa"/>
                  <w:tcMar>
                    <w:top w:w="100" w:type="dxa"/>
                    <w:left w:w="100" w:type="dxa"/>
                    <w:bottom w:w="100" w:type="dxa"/>
                    <w:right w:w="100" w:type="dxa"/>
                  </w:tcMar>
                </w:tcPr>
                <w:p w:rsidR="004C24E3" w:rsidRDefault="00F56660">
                  <w:pPr>
                    <w:jc w:val="left"/>
                    <w:rPr>
                      <w:rFonts w:ascii="Calibri" w:eastAsia="Calibri" w:hAnsi="Calibri" w:cs="Calibri"/>
                      <w:sz w:val="20"/>
                      <w:szCs w:val="20"/>
                    </w:rPr>
                  </w:pPr>
                  <w:r>
                    <w:rPr>
                      <w:rFonts w:ascii="Calibri" w:eastAsia="Calibri" w:hAnsi="Calibri" w:cs="Calibri"/>
                      <w:sz w:val="20"/>
                      <w:szCs w:val="20"/>
                    </w:rPr>
                    <w:t>1192</w:t>
                  </w:r>
                </w:p>
              </w:tc>
              <w:tc>
                <w:tcPr>
                  <w:tcW w:w="1222" w:type="dxa"/>
                  <w:tcMar>
                    <w:top w:w="100" w:type="dxa"/>
                    <w:left w:w="100" w:type="dxa"/>
                    <w:bottom w:w="100" w:type="dxa"/>
                    <w:right w:w="100" w:type="dxa"/>
                  </w:tcMar>
                </w:tcPr>
                <w:p w:rsidR="004C24E3" w:rsidRDefault="00F56660">
                  <w:pPr>
                    <w:jc w:val="left"/>
                    <w:rPr>
                      <w:rFonts w:ascii="Calibri" w:eastAsia="Calibri" w:hAnsi="Calibri" w:cs="Calibri"/>
                      <w:sz w:val="20"/>
                      <w:szCs w:val="20"/>
                    </w:rPr>
                  </w:pPr>
                  <w:r>
                    <w:rPr>
                      <w:rFonts w:ascii="Calibri" w:eastAsia="Calibri" w:hAnsi="Calibri" w:cs="Calibri"/>
                      <w:sz w:val="20"/>
                      <w:szCs w:val="20"/>
                    </w:rPr>
                    <w:t>4%</w:t>
                  </w:r>
                </w:p>
              </w:tc>
            </w:tr>
            <w:tr w:rsidR="004C24E3">
              <w:tc>
                <w:tcPr>
                  <w:tcW w:w="1935" w:type="dxa"/>
                  <w:tcMar>
                    <w:top w:w="100" w:type="dxa"/>
                    <w:left w:w="100" w:type="dxa"/>
                    <w:bottom w:w="100" w:type="dxa"/>
                    <w:right w:w="100" w:type="dxa"/>
                  </w:tcMar>
                </w:tcPr>
                <w:p w:rsidR="004C24E3" w:rsidRDefault="00F56660">
                  <w:pPr>
                    <w:jc w:val="left"/>
                    <w:rPr>
                      <w:rFonts w:ascii="Calibri" w:eastAsia="Calibri" w:hAnsi="Calibri" w:cs="Calibri"/>
                      <w:sz w:val="20"/>
                      <w:szCs w:val="20"/>
                    </w:rPr>
                  </w:pPr>
                  <w:r>
                    <w:rPr>
                      <w:rFonts w:ascii="Calibri" w:eastAsia="Calibri" w:hAnsi="Calibri" w:cs="Calibri"/>
                      <w:sz w:val="20"/>
                      <w:szCs w:val="20"/>
                    </w:rPr>
                    <w:t>Fenland</w:t>
                  </w:r>
                </w:p>
              </w:tc>
              <w:tc>
                <w:tcPr>
                  <w:tcW w:w="1200" w:type="dxa"/>
                  <w:tcMar>
                    <w:top w:w="100" w:type="dxa"/>
                    <w:left w:w="100" w:type="dxa"/>
                    <w:bottom w:w="100" w:type="dxa"/>
                    <w:right w:w="100" w:type="dxa"/>
                  </w:tcMar>
                </w:tcPr>
                <w:p w:rsidR="004C24E3" w:rsidRDefault="00F56660">
                  <w:pPr>
                    <w:jc w:val="left"/>
                    <w:rPr>
                      <w:rFonts w:ascii="Calibri" w:eastAsia="Calibri" w:hAnsi="Calibri" w:cs="Calibri"/>
                      <w:sz w:val="20"/>
                      <w:szCs w:val="20"/>
                    </w:rPr>
                  </w:pPr>
                  <w:r>
                    <w:rPr>
                      <w:rFonts w:ascii="Calibri" w:eastAsia="Calibri" w:hAnsi="Calibri" w:cs="Calibri"/>
                      <w:sz w:val="20"/>
                      <w:szCs w:val="20"/>
                    </w:rPr>
                    <w:t>514</w:t>
                  </w:r>
                </w:p>
              </w:tc>
              <w:tc>
                <w:tcPr>
                  <w:tcW w:w="1275" w:type="dxa"/>
                  <w:tcMar>
                    <w:top w:w="100" w:type="dxa"/>
                    <w:left w:w="100" w:type="dxa"/>
                    <w:bottom w:w="100" w:type="dxa"/>
                    <w:right w:w="100" w:type="dxa"/>
                  </w:tcMar>
                </w:tcPr>
                <w:p w:rsidR="004C24E3" w:rsidRDefault="00F56660">
                  <w:pPr>
                    <w:jc w:val="left"/>
                    <w:rPr>
                      <w:rFonts w:ascii="Calibri" w:eastAsia="Calibri" w:hAnsi="Calibri" w:cs="Calibri"/>
                      <w:sz w:val="20"/>
                      <w:szCs w:val="20"/>
                    </w:rPr>
                  </w:pPr>
                  <w:r>
                    <w:rPr>
                      <w:rFonts w:ascii="Calibri" w:eastAsia="Calibri" w:hAnsi="Calibri" w:cs="Calibri"/>
                      <w:sz w:val="20"/>
                      <w:szCs w:val="20"/>
                    </w:rPr>
                    <w:t>5%</w:t>
                  </w:r>
                </w:p>
              </w:tc>
              <w:tc>
                <w:tcPr>
                  <w:tcW w:w="1170" w:type="dxa"/>
                  <w:tcMar>
                    <w:top w:w="100" w:type="dxa"/>
                    <w:left w:w="100" w:type="dxa"/>
                    <w:bottom w:w="100" w:type="dxa"/>
                    <w:right w:w="100" w:type="dxa"/>
                  </w:tcMar>
                </w:tcPr>
                <w:p w:rsidR="004C24E3" w:rsidRDefault="00F56660">
                  <w:pPr>
                    <w:jc w:val="left"/>
                    <w:rPr>
                      <w:rFonts w:ascii="Calibri" w:eastAsia="Calibri" w:hAnsi="Calibri" w:cs="Calibri"/>
                      <w:sz w:val="20"/>
                      <w:szCs w:val="20"/>
                    </w:rPr>
                  </w:pPr>
                  <w:r>
                    <w:rPr>
                      <w:rFonts w:ascii="Calibri" w:eastAsia="Calibri" w:hAnsi="Calibri" w:cs="Calibri"/>
                      <w:sz w:val="20"/>
                      <w:szCs w:val="20"/>
                    </w:rPr>
                    <w:t>850</w:t>
                  </w:r>
                </w:p>
              </w:tc>
              <w:tc>
                <w:tcPr>
                  <w:tcW w:w="1260" w:type="dxa"/>
                  <w:tcMar>
                    <w:top w:w="100" w:type="dxa"/>
                    <w:left w:w="100" w:type="dxa"/>
                    <w:bottom w:w="100" w:type="dxa"/>
                    <w:right w:w="100" w:type="dxa"/>
                  </w:tcMar>
                </w:tcPr>
                <w:p w:rsidR="004C24E3" w:rsidRDefault="00F56660">
                  <w:pPr>
                    <w:jc w:val="left"/>
                    <w:rPr>
                      <w:rFonts w:ascii="Calibri" w:eastAsia="Calibri" w:hAnsi="Calibri" w:cs="Calibri"/>
                      <w:sz w:val="20"/>
                      <w:szCs w:val="20"/>
                    </w:rPr>
                  </w:pPr>
                  <w:r>
                    <w:rPr>
                      <w:rFonts w:ascii="Calibri" w:eastAsia="Calibri" w:hAnsi="Calibri" w:cs="Calibri"/>
                      <w:sz w:val="20"/>
                      <w:szCs w:val="20"/>
                    </w:rPr>
                    <w:t>5%</w:t>
                  </w:r>
                </w:p>
              </w:tc>
              <w:tc>
                <w:tcPr>
                  <w:tcW w:w="1125" w:type="dxa"/>
                  <w:tcMar>
                    <w:top w:w="100" w:type="dxa"/>
                    <w:left w:w="100" w:type="dxa"/>
                    <w:bottom w:w="100" w:type="dxa"/>
                    <w:right w:w="100" w:type="dxa"/>
                  </w:tcMar>
                </w:tcPr>
                <w:p w:rsidR="004C24E3" w:rsidRDefault="00F56660">
                  <w:pPr>
                    <w:jc w:val="left"/>
                    <w:rPr>
                      <w:rFonts w:ascii="Calibri" w:eastAsia="Calibri" w:hAnsi="Calibri" w:cs="Calibri"/>
                      <w:sz w:val="20"/>
                      <w:szCs w:val="20"/>
                    </w:rPr>
                  </w:pPr>
                  <w:r>
                    <w:rPr>
                      <w:rFonts w:ascii="Calibri" w:eastAsia="Calibri" w:hAnsi="Calibri" w:cs="Calibri"/>
                      <w:sz w:val="20"/>
                      <w:szCs w:val="20"/>
                    </w:rPr>
                    <w:t>2003</w:t>
                  </w:r>
                </w:p>
              </w:tc>
              <w:tc>
                <w:tcPr>
                  <w:tcW w:w="1222" w:type="dxa"/>
                  <w:tcMar>
                    <w:top w:w="100" w:type="dxa"/>
                    <w:left w:w="100" w:type="dxa"/>
                    <w:bottom w:w="100" w:type="dxa"/>
                    <w:right w:w="100" w:type="dxa"/>
                  </w:tcMar>
                </w:tcPr>
                <w:p w:rsidR="004C24E3" w:rsidRDefault="00F56660">
                  <w:pPr>
                    <w:jc w:val="left"/>
                    <w:rPr>
                      <w:rFonts w:ascii="Calibri" w:eastAsia="Calibri" w:hAnsi="Calibri" w:cs="Calibri"/>
                      <w:sz w:val="20"/>
                      <w:szCs w:val="20"/>
                    </w:rPr>
                  </w:pPr>
                  <w:r>
                    <w:rPr>
                      <w:rFonts w:ascii="Calibri" w:eastAsia="Calibri" w:hAnsi="Calibri" w:cs="Calibri"/>
                      <w:sz w:val="20"/>
                      <w:szCs w:val="20"/>
                    </w:rPr>
                    <w:t>7%</w:t>
                  </w:r>
                </w:p>
              </w:tc>
            </w:tr>
            <w:tr w:rsidR="004C24E3">
              <w:tc>
                <w:tcPr>
                  <w:tcW w:w="1935" w:type="dxa"/>
                  <w:tcMar>
                    <w:top w:w="100" w:type="dxa"/>
                    <w:left w:w="100" w:type="dxa"/>
                    <w:bottom w:w="100" w:type="dxa"/>
                    <w:right w:w="100" w:type="dxa"/>
                  </w:tcMar>
                </w:tcPr>
                <w:p w:rsidR="004C24E3" w:rsidRDefault="00F56660">
                  <w:pPr>
                    <w:jc w:val="left"/>
                    <w:rPr>
                      <w:rFonts w:ascii="Calibri" w:eastAsia="Calibri" w:hAnsi="Calibri" w:cs="Calibri"/>
                      <w:sz w:val="20"/>
                      <w:szCs w:val="20"/>
                    </w:rPr>
                  </w:pPr>
                  <w:r>
                    <w:rPr>
                      <w:rFonts w:ascii="Calibri" w:eastAsia="Calibri" w:hAnsi="Calibri" w:cs="Calibri"/>
                      <w:sz w:val="20"/>
                      <w:szCs w:val="20"/>
                    </w:rPr>
                    <w:t xml:space="preserve">Huntingdonshire </w:t>
                  </w:r>
                </w:p>
              </w:tc>
              <w:tc>
                <w:tcPr>
                  <w:tcW w:w="1200" w:type="dxa"/>
                  <w:tcMar>
                    <w:top w:w="100" w:type="dxa"/>
                    <w:left w:w="100" w:type="dxa"/>
                    <w:bottom w:w="100" w:type="dxa"/>
                    <w:right w:w="100" w:type="dxa"/>
                  </w:tcMar>
                </w:tcPr>
                <w:p w:rsidR="004C24E3" w:rsidRDefault="00F56660">
                  <w:pPr>
                    <w:jc w:val="left"/>
                    <w:rPr>
                      <w:rFonts w:ascii="Calibri" w:eastAsia="Calibri" w:hAnsi="Calibri" w:cs="Calibri"/>
                      <w:sz w:val="20"/>
                      <w:szCs w:val="20"/>
                    </w:rPr>
                  </w:pPr>
                  <w:r>
                    <w:rPr>
                      <w:rFonts w:ascii="Calibri" w:eastAsia="Calibri" w:hAnsi="Calibri" w:cs="Calibri"/>
                      <w:sz w:val="20"/>
                      <w:szCs w:val="20"/>
                    </w:rPr>
                    <w:t>995</w:t>
                  </w:r>
                </w:p>
              </w:tc>
              <w:tc>
                <w:tcPr>
                  <w:tcW w:w="1275" w:type="dxa"/>
                  <w:tcMar>
                    <w:top w:w="100" w:type="dxa"/>
                    <w:left w:w="100" w:type="dxa"/>
                    <w:bottom w:w="100" w:type="dxa"/>
                    <w:right w:w="100" w:type="dxa"/>
                  </w:tcMar>
                </w:tcPr>
                <w:p w:rsidR="004C24E3" w:rsidRDefault="00F56660">
                  <w:pPr>
                    <w:jc w:val="left"/>
                    <w:rPr>
                      <w:rFonts w:ascii="Calibri" w:eastAsia="Calibri" w:hAnsi="Calibri" w:cs="Calibri"/>
                      <w:sz w:val="20"/>
                      <w:szCs w:val="20"/>
                    </w:rPr>
                  </w:pPr>
                  <w:r>
                    <w:rPr>
                      <w:rFonts w:ascii="Calibri" w:eastAsia="Calibri" w:hAnsi="Calibri" w:cs="Calibri"/>
                      <w:sz w:val="20"/>
                      <w:szCs w:val="20"/>
                    </w:rPr>
                    <w:t>3%</w:t>
                  </w:r>
                </w:p>
              </w:tc>
              <w:tc>
                <w:tcPr>
                  <w:tcW w:w="1170" w:type="dxa"/>
                  <w:tcMar>
                    <w:top w:w="100" w:type="dxa"/>
                    <w:left w:w="100" w:type="dxa"/>
                    <w:bottom w:w="100" w:type="dxa"/>
                    <w:right w:w="100" w:type="dxa"/>
                  </w:tcMar>
                </w:tcPr>
                <w:p w:rsidR="004C24E3" w:rsidRDefault="00F56660">
                  <w:pPr>
                    <w:jc w:val="left"/>
                    <w:rPr>
                      <w:rFonts w:ascii="Calibri" w:eastAsia="Calibri" w:hAnsi="Calibri" w:cs="Calibri"/>
                      <w:sz w:val="20"/>
                      <w:szCs w:val="20"/>
                    </w:rPr>
                  </w:pPr>
                  <w:r>
                    <w:rPr>
                      <w:rFonts w:ascii="Calibri" w:eastAsia="Calibri" w:hAnsi="Calibri" w:cs="Calibri"/>
                      <w:sz w:val="20"/>
                      <w:szCs w:val="20"/>
                    </w:rPr>
                    <w:t>1621</w:t>
                  </w:r>
                </w:p>
              </w:tc>
              <w:tc>
                <w:tcPr>
                  <w:tcW w:w="1260" w:type="dxa"/>
                  <w:tcMar>
                    <w:top w:w="100" w:type="dxa"/>
                    <w:left w:w="100" w:type="dxa"/>
                    <w:bottom w:w="100" w:type="dxa"/>
                    <w:right w:w="100" w:type="dxa"/>
                  </w:tcMar>
                </w:tcPr>
                <w:p w:rsidR="004C24E3" w:rsidRDefault="00F56660">
                  <w:pPr>
                    <w:jc w:val="left"/>
                    <w:rPr>
                      <w:rFonts w:ascii="Calibri" w:eastAsia="Calibri" w:hAnsi="Calibri" w:cs="Calibri"/>
                      <w:sz w:val="20"/>
                      <w:szCs w:val="20"/>
                    </w:rPr>
                  </w:pPr>
                  <w:r>
                    <w:rPr>
                      <w:rFonts w:ascii="Calibri" w:eastAsia="Calibri" w:hAnsi="Calibri" w:cs="Calibri"/>
                      <w:sz w:val="20"/>
                      <w:szCs w:val="20"/>
                    </w:rPr>
                    <w:t>5%</w:t>
                  </w:r>
                </w:p>
              </w:tc>
              <w:tc>
                <w:tcPr>
                  <w:tcW w:w="1125" w:type="dxa"/>
                  <w:tcMar>
                    <w:top w:w="100" w:type="dxa"/>
                    <w:left w:w="100" w:type="dxa"/>
                    <w:bottom w:w="100" w:type="dxa"/>
                    <w:right w:w="100" w:type="dxa"/>
                  </w:tcMar>
                </w:tcPr>
                <w:p w:rsidR="004C24E3" w:rsidRDefault="00F56660">
                  <w:pPr>
                    <w:jc w:val="left"/>
                    <w:rPr>
                      <w:rFonts w:ascii="Calibri" w:eastAsia="Calibri" w:hAnsi="Calibri" w:cs="Calibri"/>
                      <w:sz w:val="20"/>
                      <w:szCs w:val="20"/>
                    </w:rPr>
                  </w:pPr>
                  <w:r>
                    <w:rPr>
                      <w:rFonts w:ascii="Calibri" w:eastAsia="Calibri" w:hAnsi="Calibri" w:cs="Calibri"/>
                      <w:sz w:val="20"/>
                      <w:szCs w:val="20"/>
                    </w:rPr>
                    <w:t>2641</w:t>
                  </w:r>
                </w:p>
              </w:tc>
              <w:tc>
                <w:tcPr>
                  <w:tcW w:w="1222" w:type="dxa"/>
                  <w:tcMar>
                    <w:top w:w="100" w:type="dxa"/>
                    <w:left w:w="100" w:type="dxa"/>
                    <w:bottom w:w="100" w:type="dxa"/>
                    <w:right w:w="100" w:type="dxa"/>
                  </w:tcMar>
                </w:tcPr>
                <w:p w:rsidR="004C24E3" w:rsidRDefault="00F56660">
                  <w:pPr>
                    <w:jc w:val="left"/>
                    <w:rPr>
                      <w:rFonts w:ascii="Calibri" w:eastAsia="Calibri" w:hAnsi="Calibri" w:cs="Calibri"/>
                      <w:sz w:val="20"/>
                      <w:szCs w:val="20"/>
                    </w:rPr>
                  </w:pPr>
                  <w:r>
                    <w:rPr>
                      <w:rFonts w:ascii="Calibri" w:eastAsia="Calibri" w:hAnsi="Calibri" w:cs="Calibri"/>
                      <w:sz w:val="20"/>
                      <w:szCs w:val="20"/>
                    </w:rPr>
                    <w:t>6%</w:t>
                  </w:r>
                </w:p>
              </w:tc>
            </w:tr>
            <w:tr w:rsidR="004C24E3">
              <w:tc>
                <w:tcPr>
                  <w:tcW w:w="1935" w:type="dxa"/>
                  <w:tcMar>
                    <w:top w:w="100" w:type="dxa"/>
                    <w:left w:w="100" w:type="dxa"/>
                    <w:bottom w:w="100" w:type="dxa"/>
                    <w:right w:w="100" w:type="dxa"/>
                  </w:tcMar>
                </w:tcPr>
                <w:p w:rsidR="004C24E3" w:rsidRDefault="00F56660">
                  <w:pPr>
                    <w:jc w:val="left"/>
                    <w:rPr>
                      <w:rFonts w:ascii="Calibri" w:eastAsia="Calibri" w:hAnsi="Calibri" w:cs="Calibri"/>
                      <w:sz w:val="20"/>
                      <w:szCs w:val="20"/>
                    </w:rPr>
                  </w:pPr>
                  <w:r>
                    <w:rPr>
                      <w:rFonts w:ascii="Calibri" w:eastAsia="Calibri" w:hAnsi="Calibri" w:cs="Calibri"/>
                      <w:sz w:val="20"/>
                      <w:szCs w:val="20"/>
                    </w:rPr>
                    <w:t>South Cambridgeshire</w:t>
                  </w:r>
                </w:p>
              </w:tc>
              <w:tc>
                <w:tcPr>
                  <w:tcW w:w="1200" w:type="dxa"/>
                  <w:tcMar>
                    <w:top w:w="100" w:type="dxa"/>
                    <w:left w:w="100" w:type="dxa"/>
                    <w:bottom w:w="100" w:type="dxa"/>
                    <w:right w:w="100" w:type="dxa"/>
                  </w:tcMar>
                </w:tcPr>
                <w:p w:rsidR="004C24E3" w:rsidRDefault="00F56660">
                  <w:pPr>
                    <w:jc w:val="left"/>
                    <w:rPr>
                      <w:rFonts w:ascii="Calibri" w:eastAsia="Calibri" w:hAnsi="Calibri" w:cs="Calibri"/>
                      <w:sz w:val="20"/>
                      <w:szCs w:val="20"/>
                    </w:rPr>
                  </w:pPr>
                  <w:r>
                    <w:rPr>
                      <w:rFonts w:ascii="Calibri" w:eastAsia="Calibri" w:hAnsi="Calibri" w:cs="Calibri"/>
                      <w:sz w:val="20"/>
                      <w:szCs w:val="20"/>
                    </w:rPr>
                    <w:t>969</w:t>
                  </w:r>
                </w:p>
              </w:tc>
              <w:tc>
                <w:tcPr>
                  <w:tcW w:w="1275" w:type="dxa"/>
                  <w:tcMar>
                    <w:top w:w="100" w:type="dxa"/>
                    <w:left w:w="100" w:type="dxa"/>
                    <w:bottom w:w="100" w:type="dxa"/>
                    <w:right w:w="100" w:type="dxa"/>
                  </w:tcMar>
                </w:tcPr>
                <w:p w:rsidR="004C24E3" w:rsidRDefault="00F56660">
                  <w:pPr>
                    <w:jc w:val="left"/>
                    <w:rPr>
                      <w:rFonts w:ascii="Calibri" w:eastAsia="Calibri" w:hAnsi="Calibri" w:cs="Calibri"/>
                      <w:sz w:val="20"/>
                      <w:szCs w:val="20"/>
                    </w:rPr>
                  </w:pPr>
                  <w:r>
                    <w:rPr>
                      <w:rFonts w:ascii="Calibri" w:eastAsia="Calibri" w:hAnsi="Calibri" w:cs="Calibri"/>
                      <w:sz w:val="20"/>
                      <w:szCs w:val="20"/>
                    </w:rPr>
                    <w:t>1%</w:t>
                  </w:r>
                </w:p>
              </w:tc>
              <w:tc>
                <w:tcPr>
                  <w:tcW w:w="1170" w:type="dxa"/>
                  <w:tcMar>
                    <w:top w:w="100" w:type="dxa"/>
                    <w:left w:w="100" w:type="dxa"/>
                    <w:bottom w:w="100" w:type="dxa"/>
                    <w:right w:w="100" w:type="dxa"/>
                  </w:tcMar>
                </w:tcPr>
                <w:p w:rsidR="004C24E3" w:rsidRDefault="00F56660">
                  <w:pPr>
                    <w:jc w:val="left"/>
                    <w:rPr>
                      <w:rFonts w:ascii="Calibri" w:eastAsia="Calibri" w:hAnsi="Calibri" w:cs="Calibri"/>
                      <w:sz w:val="20"/>
                      <w:szCs w:val="20"/>
                    </w:rPr>
                  </w:pPr>
                  <w:r>
                    <w:rPr>
                      <w:rFonts w:ascii="Calibri" w:eastAsia="Calibri" w:hAnsi="Calibri" w:cs="Calibri"/>
                      <w:sz w:val="20"/>
                      <w:szCs w:val="20"/>
                    </w:rPr>
                    <w:t>1540</w:t>
                  </w:r>
                </w:p>
              </w:tc>
              <w:tc>
                <w:tcPr>
                  <w:tcW w:w="1260" w:type="dxa"/>
                  <w:tcMar>
                    <w:top w:w="100" w:type="dxa"/>
                    <w:left w:w="100" w:type="dxa"/>
                    <w:bottom w:w="100" w:type="dxa"/>
                    <w:right w:w="100" w:type="dxa"/>
                  </w:tcMar>
                </w:tcPr>
                <w:p w:rsidR="004C24E3" w:rsidRDefault="00F56660">
                  <w:pPr>
                    <w:jc w:val="left"/>
                    <w:rPr>
                      <w:rFonts w:ascii="Calibri" w:eastAsia="Calibri" w:hAnsi="Calibri" w:cs="Calibri"/>
                      <w:sz w:val="20"/>
                      <w:szCs w:val="20"/>
                    </w:rPr>
                  </w:pPr>
                  <w:r>
                    <w:rPr>
                      <w:rFonts w:ascii="Calibri" w:eastAsia="Calibri" w:hAnsi="Calibri" w:cs="Calibri"/>
                      <w:sz w:val="20"/>
                      <w:szCs w:val="20"/>
                    </w:rPr>
                    <w:t>10%</w:t>
                  </w:r>
                </w:p>
              </w:tc>
              <w:tc>
                <w:tcPr>
                  <w:tcW w:w="1125" w:type="dxa"/>
                  <w:tcMar>
                    <w:top w:w="100" w:type="dxa"/>
                    <w:left w:w="100" w:type="dxa"/>
                    <w:bottom w:w="100" w:type="dxa"/>
                    <w:right w:w="100" w:type="dxa"/>
                  </w:tcMar>
                </w:tcPr>
                <w:p w:rsidR="004C24E3" w:rsidRDefault="00F56660">
                  <w:pPr>
                    <w:jc w:val="left"/>
                    <w:rPr>
                      <w:rFonts w:ascii="Calibri" w:eastAsia="Calibri" w:hAnsi="Calibri" w:cs="Calibri"/>
                      <w:sz w:val="20"/>
                      <w:szCs w:val="20"/>
                    </w:rPr>
                  </w:pPr>
                  <w:r>
                    <w:rPr>
                      <w:rFonts w:ascii="Calibri" w:eastAsia="Calibri" w:hAnsi="Calibri" w:cs="Calibri"/>
                      <w:sz w:val="20"/>
                      <w:szCs w:val="20"/>
                    </w:rPr>
                    <w:t>2108</w:t>
                  </w:r>
                </w:p>
              </w:tc>
              <w:tc>
                <w:tcPr>
                  <w:tcW w:w="1222" w:type="dxa"/>
                  <w:tcMar>
                    <w:top w:w="100" w:type="dxa"/>
                    <w:left w:w="100" w:type="dxa"/>
                    <w:bottom w:w="100" w:type="dxa"/>
                    <w:right w:w="100" w:type="dxa"/>
                  </w:tcMar>
                </w:tcPr>
                <w:p w:rsidR="004C24E3" w:rsidRDefault="00F56660">
                  <w:pPr>
                    <w:jc w:val="left"/>
                    <w:rPr>
                      <w:rFonts w:ascii="Calibri" w:eastAsia="Calibri" w:hAnsi="Calibri" w:cs="Calibri"/>
                      <w:sz w:val="20"/>
                      <w:szCs w:val="20"/>
                    </w:rPr>
                  </w:pPr>
                  <w:r>
                    <w:rPr>
                      <w:rFonts w:ascii="Calibri" w:eastAsia="Calibri" w:hAnsi="Calibri" w:cs="Calibri"/>
                      <w:sz w:val="20"/>
                      <w:szCs w:val="20"/>
                    </w:rPr>
                    <w:t>3%</w:t>
                  </w:r>
                </w:p>
              </w:tc>
            </w:tr>
            <w:tr w:rsidR="004C24E3">
              <w:tc>
                <w:tcPr>
                  <w:tcW w:w="1935" w:type="dxa"/>
                  <w:tcMar>
                    <w:top w:w="100" w:type="dxa"/>
                    <w:left w:w="100" w:type="dxa"/>
                    <w:bottom w:w="100" w:type="dxa"/>
                    <w:right w:w="100" w:type="dxa"/>
                  </w:tcMar>
                </w:tcPr>
                <w:p w:rsidR="004C24E3" w:rsidRDefault="00F56660">
                  <w:pPr>
                    <w:jc w:val="left"/>
                    <w:rPr>
                      <w:rFonts w:ascii="Calibri" w:eastAsia="Calibri" w:hAnsi="Calibri" w:cs="Calibri"/>
                      <w:b/>
                      <w:sz w:val="20"/>
                      <w:szCs w:val="20"/>
                    </w:rPr>
                  </w:pPr>
                  <w:r>
                    <w:rPr>
                      <w:rFonts w:ascii="Calibri" w:eastAsia="Calibri" w:hAnsi="Calibri" w:cs="Calibri"/>
                      <w:b/>
                      <w:sz w:val="20"/>
                      <w:szCs w:val="20"/>
                    </w:rPr>
                    <w:t>Cambridgeshire</w:t>
                  </w:r>
                </w:p>
              </w:tc>
              <w:tc>
                <w:tcPr>
                  <w:tcW w:w="1200" w:type="dxa"/>
                  <w:tcMar>
                    <w:top w:w="100" w:type="dxa"/>
                    <w:left w:w="100" w:type="dxa"/>
                    <w:bottom w:w="100" w:type="dxa"/>
                    <w:right w:w="100" w:type="dxa"/>
                  </w:tcMar>
                </w:tcPr>
                <w:p w:rsidR="004C24E3" w:rsidRDefault="00F56660">
                  <w:pPr>
                    <w:jc w:val="left"/>
                    <w:rPr>
                      <w:rFonts w:ascii="Calibri" w:eastAsia="Calibri" w:hAnsi="Calibri" w:cs="Calibri"/>
                      <w:b/>
                      <w:sz w:val="20"/>
                      <w:szCs w:val="20"/>
                    </w:rPr>
                  </w:pPr>
                  <w:r>
                    <w:rPr>
                      <w:rFonts w:ascii="Calibri" w:eastAsia="Calibri" w:hAnsi="Calibri" w:cs="Calibri"/>
                      <w:b/>
                      <w:sz w:val="20"/>
                      <w:szCs w:val="20"/>
                    </w:rPr>
                    <w:t>3676</w:t>
                  </w:r>
                </w:p>
              </w:tc>
              <w:tc>
                <w:tcPr>
                  <w:tcW w:w="1275" w:type="dxa"/>
                  <w:tcMar>
                    <w:top w:w="100" w:type="dxa"/>
                    <w:left w:w="100" w:type="dxa"/>
                    <w:bottom w:w="100" w:type="dxa"/>
                    <w:right w:w="100" w:type="dxa"/>
                  </w:tcMar>
                </w:tcPr>
                <w:p w:rsidR="004C24E3" w:rsidRDefault="00F56660">
                  <w:pPr>
                    <w:jc w:val="left"/>
                    <w:rPr>
                      <w:rFonts w:ascii="Calibri" w:eastAsia="Calibri" w:hAnsi="Calibri" w:cs="Calibri"/>
                      <w:b/>
                      <w:sz w:val="20"/>
                      <w:szCs w:val="20"/>
                    </w:rPr>
                  </w:pPr>
                  <w:r>
                    <w:rPr>
                      <w:rFonts w:ascii="Calibri" w:eastAsia="Calibri" w:hAnsi="Calibri" w:cs="Calibri"/>
                      <w:b/>
                      <w:sz w:val="20"/>
                      <w:szCs w:val="20"/>
                    </w:rPr>
                    <w:t>2%</w:t>
                  </w:r>
                </w:p>
              </w:tc>
              <w:tc>
                <w:tcPr>
                  <w:tcW w:w="1170" w:type="dxa"/>
                  <w:tcMar>
                    <w:top w:w="100" w:type="dxa"/>
                    <w:left w:w="100" w:type="dxa"/>
                    <w:bottom w:w="100" w:type="dxa"/>
                    <w:right w:w="100" w:type="dxa"/>
                  </w:tcMar>
                </w:tcPr>
                <w:p w:rsidR="004C24E3" w:rsidRDefault="00F56660">
                  <w:pPr>
                    <w:jc w:val="left"/>
                    <w:rPr>
                      <w:rFonts w:ascii="Calibri" w:eastAsia="Calibri" w:hAnsi="Calibri" w:cs="Calibri"/>
                      <w:b/>
                      <w:sz w:val="20"/>
                      <w:szCs w:val="20"/>
                    </w:rPr>
                  </w:pPr>
                  <w:r>
                    <w:rPr>
                      <w:rFonts w:ascii="Calibri" w:eastAsia="Calibri" w:hAnsi="Calibri" w:cs="Calibri"/>
                      <w:b/>
                      <w:sz w:val="20"/>
                      <w:szCs w:val="20"/>
                    </w:rPr>
                    <w:t>5777</w:t>
                  </w:r>
                </w:p>
              </w:tc>
              <w:tc>
                <w:tcPr>
                  <w:tcW w:w="1260" w:type="dxa"/>
                  <w:tcMar>
                    <w:top w:w="100" w:type="dxa"/>
                    <w:left w:w="100" w:type="dxa"/>
                    <w:bottom w:w="100" w:type="dxa"/>
                    <w:right w:w="100" w:type="dxa"/>
                  </w:tcMar>
                </w:tcPr>
                <w:p w:rsidR="004C24E3" w:rsidRDefault="00F56660">
                  <w:pPr>
                    <w:jc w:val="left"/>
                    <w:rPr>
                      <w:rFonts w:ascii="Calibri" w:eastAsia="Calibri" w:hAnsi="Calibri" w:cs="Calibri"/>
                      <w:b/>
                      <w:sz w:val="20"/>
                      <w:szCs w:val="20"/>
                    </w:rPr>
                  </w:pPr>
                  <w:r>
                    <w:rPr>
                      <w:rFonts w:ascii="Calibri" w:eastAsia="Calibri" w:hAnsi="Calibri" w:cs="Calibri"/>
                      <w:b/>
                      <w:sz w:val="20"/>
                      <w:szCs w:val="20"/>
                    </w:rPr>
                    <w:t>10%</w:t>
                  </w:r>
                </w:p>
              </w:tc>
              <w:tc>
                <w:tcPr>
                  <w:tcW w:w="1125" w:type="dxa"/>
                  <w:tcMar>
                    <w:top w:w="100" w:type="dxa"/>
                    <w:left w:w="100" w:type="dxa"/>
                    <w:bottom w:w="100" w:type="dxa"/>
                    <w:right w:w="100" w:type="dxa"/>
                  </w:tcMar>
                </w:tcPr>
                <w:p w:rsidR="004C24E3" w:rsidRDefault="00F56660">
                  <w:pPr>
                    <w:jc w:val="left"/>
                    <w:rPr>
                      <w:rFonts w:ascii="Calibri" w:eastAsia="Calibri" w:hAnsi="Calibri" w:cs="Calibri"/>
                      <w:b/>
                      <w:sz w:val="20"/>
                      <w:szCs w:val="20"/>
                    </w:rPr>
                  </w:pPr>
                  <w:r>
                    <w:rPr>
                      <w:rFonts w:ascii="Calibri" w:eastAsia="Calibri" w:hAnsi="Calibri" w:cs="Calibri"/>
                      <w:b/>
                      <w:sz w:val="20"/>
                      <w:szCs w:val="20"/>
                    </w:rPr>
                    <w:t>12890</w:t>
                  </w:r>
                </w:p>
              </w:tc>
              <w:tc>
                <w:tcPr>
                  <w:tcW w:w="1222" w:type="dxa"/>
                  <w:tcMar>
                    <w:top w:w="100" w:type="dxa"/>
                    <w:left w:w="100" w:type="dxa"/>
                    <w:bottom w:w="100" w:type="dxa"/>
                    <w:right w:w="100" w:type="dxa"/>
                  </w:tcMar>
                </w:tcPr>
                <w:p w:rsidR="004C24E3" w:rsidRDefault="00F56660">
                  <w:pPr>
                    <w:jc w:val="left"/>
                    <w:rPr>
                      <w:rFonts w:ascii="Calibri" w:eastAsia="Calibri" w:hAnsi="Calibri" w:cs="Calibri"/>
                      <w:b/>
                      <w:sz w:val="20"/>
                      <w:szCs w:val="20"/>
                    </w:rPr>
                  </w:pPr>
                  <w:r>
                    <w:rPr>
                      <w:rFonts w:ascii="Calibri" w:eastAsia="Calibri" w:hAnsi="Calibri" w:cs="Calibri"/>
                      <w:b/>
                      <w:sz w:val="20"/>
                      <w:szCs w:val="20"/>
                    </w:rPr>
                    <w:t>4%</w:t>
                  </w:r>
                </w:p>
              </w:tc>
            </w:tr>
            <w:tr w:rsidR="004C24E3">
              <w:tc>
                <w:tcPr>
                  <w:tcW w:w="1935" w:type="dxa"/>
                  <w:tcMar>
                    <w:top w:w="100" w:type="dxa"/>
                    <w:left w:w="100" w:type="dxa"/>
                    <w:bottom w:w="100" w:type="dxa"/>
                    <w:right w:w="100" w:type="dxa"/>
                  </w:tcMar>
                </w:tcPr>
                <w:p w:rsidR="004C24E3" w:rsidRDefault="00F56660">
                  <w:pPr>
                    <w:jc w:val="left"/>
                    <w:rPr>
                      <w:rFonts w:ascii="Calibri" w:eastAsia="Calibri" w:hAnsi="Calibri" w:cs="Calibri"/>
                      <w:b/>
                      <w:sz w:val="20"/>
                      <w:szCs w:val="20"/>
                    </w:rPr>
                  </w:pPr>
                  <w:r>
                    <w:rPr>
                      <w:rFonts w:ascii="Calibri" w:eastAsia="Calibri" w:hAnsi="Calibri" w:cs="Calibri"/>
                      <w:b/>
                      <w:sz w:val="20"/>
                      <w:szCs w:val="20"/>
                    </w:rPr>
                    <w:t>Peterborough</w:t>
                  </w:r>
                </w:p>
              </w:tc>
              <w:tc>
                <w:tcPr>
                  <w:tcW w:w="1200" w:type="dxa"/>
                  <w:tcMar>
                    <w:top w:w="100" w:type="dxa"/>
                    <w:left w:w="100" w:type="dxa"/>
                    <w:bottom w:w="100" w:type="dxa"/>
                    <w:right w:w="100" w:type="dxa"/>
                  </w:tcMar>
                </w:tcPr>
                <w:p w:rsidR="004C24E3" w:rsidRDefault="00F56660">
                  <w:pPr>
                    <w:jc w:val="left"/>
                    <w:rPr>
                      <w:rFonts w:ascii="Calibri" w:eastAsia="Calibri" w:hAnsi="Calibri" w:cs="Calibri"/>
                      <w:b/>
                      <w:sz w:val="20"/>
                      <w:szCs w:val="20"/>
                    </w:rPr>
                  </w:pPr>
                  <w:r>
                    <w:rPr>
                      <w:rFonts w:ascii="Calibri" w:eastAsia="Calibri" w:hAnsi="Calibri" w:cs="Calibri"/>
                      <w:b/>
                      <w:sz w:val="20"/>
                      <w:szCs w:val="20"/>
                    </w:rPr>
                    <w:t>1331</w:t>
                  </w:r>
                </w:p>
              </w:tc>
              <w:tc>
                <w:tcPr>
                  <w:tcW w:w="1275" w:type="dxa"/>
                  <w:tcMar>
                    <w:top w:w="100" w:type="dxa"/>
                    <w:left w:w="100" w:type="dxa"/>
                    <w:bottom w:w="100" w:type="dxa"/>
                    <w:right w:w="100" w:type="dxa"/>
                  </w:tcMar>
                </w:tcPr>
                <w:p w:rsidR="004C24E3" w:rsidRDefault="00F56660">
                  <w:pPr>
                    <w:jc w:val="left"/>
                    <w:rPr>
                      <w:rFonts w:ascii="Calibri" w:eastAsia="Calibri" w:hAnsi="Calibri" w:cs="Calibri"/>
                      <w:b/>
                      <w:sz w:val="20"/>
                      <w:szCs w:val="20"/>
                    </w:rPr>
                  </w:pPr>
                  <w:r>
                    <w:rPr>
                      <w:rFonts w:ascii="Calibri" w:eastAsia="Calibri" w:hAnsi="Calibri" w:cs="Calibri"/>
                      <w:b/>
                      <w:sz w:val="20"/>
                      <w:szCs w:val="20"/>
                    </w:rPr>
                    <w:t>5%</w:t>
                  </w:r>
                </w:p>
              </w:tc>
              <w:tc>
                <w:tcPr>
                  <w:tcW w:w="1170" w:type="dxa"/>
                  <w:tcMar>
                    <w:top w:w="100" w:type="dxa"/>
                    <w:left w:w="100" w:type="dxa"/>
                    <w:bottom w:w="100" w:type="dxa"/>
                    <w:right w:w="100" w:type="dxa"/>
                  </w:tcMar>
                </w:tcPr>
                <w:p w:rsidR="004C24E3" w:rsidRDefault="00F56660">
                  <w:pPr>
                    <w:jc w:val="left"/>
                    <w:rPr>
                      <w:rFonts w:ascii="Calibri" w:eastAsia="Calibri" w:hAnsi="Calibri" w:cs="Calibri"/>
                      <w:b/>
                      <w:sz w:val="20"/>
                      <w:szCs w:val="20"/>
                    </w:rPr>
                  </w:pPr>
                  <w:r>
                    <w:rPr>
                      <w:rFonts w:ascii="Calibri" w:eastAsia="Calibri" w:hAnsi="Calibri" w:cs="Calibri"/>
                      <w:b/>
                      <w:sz w:val="20"/>
                      <w:szCs w:val="20"/>
                    </w:rPr>
                    <w:t>1864</w:t>
                  </w:r>
                </w:p>
              </w:tc>
              <w:tc>
                <w:tcPr>
                  <w:tcW w:w="1260" w:type="dxa"/>
                  <w:tcMar>
                    <w:top w:w="100" w:type="dxa"/>
                    <w:left w:w="100" w:type="dxa"/>
                    <w:bottom w:w="100" w:type="dxa"/>
                    <w:right w:w="100" w:type="dxa"/>
                  </w:tcMar>
                </w:tcPr>
                <w:p w:rsidR="004C24E3" w:rsidRDefault="00F56660">
                  <w:pPr>
                    <w:jc w:val="left"/>
                    <w:rPr>
                      <w:rFonts w:ascii="Calibri" w:eastAsia="Calibri" w:hAnsi="Calibri" w:cs="Calibri"/>
                      <w:b/>
                      <w:sz w:val="20"/>
                      <w:szCs w:val="20"/>
                    </w:rPr>
                  </w:pPr>
                  <w:r>
                    <w:rPr>
                      <w:rFonts w:ascii="Calibri" w:eastAsia="Calibri" w:hAnsi="Calibri" w:cs="Calibri"/>
                      <w:b/>
                      <w:sz w:val="20"/>
                      <w:szCs w:val="20"/>
                    </w:rPr>
                    <w:t>12%</w:t>
                  </w:r>
                </w:p>
              </w:tc>
              <w:tc>
                <w:tcPr>
                  <w:tcW w:w="1125" w:type="dxa"/>
                  <w:tcMar>
                    <w:top w:w="100" w:type="dxa"/>
                    <w:left w:w="100" w:type="dxa"/>
                    <w:bottom w:w="100" w:type="dxa"/>
                    <w:right w:w="100" w:type="dxa"/>
                  </w:tcMar>
                </w:tcPr>
                <w:p w:rsidR="004C24E3" w:rsidRDefault="00F56660">
                  <w:pPr>
                    <w:jc w:val="left"/>
                    <w:rPr>
                      <w:rFonts w:ascii="Calibri" w:eastAsia="Calibri" w:hAnsi="Calibri" w:cs="Calibri"/>
                      <w:b/>
                      <w:sz w:val="20"/>
                      <w:szCs w:val="20"/>
                    </w:rPr>
                  </w:pPr>
                  <w:r>
                    <w:rPr>
                      <w:rFonts w:ascii="Calibri" w:eastAsia="Calibri" w:hAnsi="Calibri" w:cs="Calibri"/>
                      <w:b/>
                      <w:sz w:val="20"/>
                      <w:szCs w:val="20"/>
                    </w:rPr>
                    <w:t>3471</w:t>
                  </w:r>
                </w:p>
              </w:tc>
              <w:tc>
                <w:tcPr>
                  <w:tcW w:w="1222" w:type="dxa"/>
                  <w:tcMar>
                    <w:top w:w="100" w:type="dxa"/>
                    <w:left w:w="100" w:type="dxa"/>
                    <w:bottom w:w="100" w:type="dxa"/>
                    <w:right w:w="100" w:type="dxa"/>
                  </w:tcMar>
                </w:tcPr>
                <w:p w:rsidR="004C24E3" w:rsidRDefault="00F56660">
                  <w:pPr>
                    <w:jc w:val="left"/>
                    <w:rPr>
                      <w:rFonts w:ascii="Calibri" w:eastAsia="Calibri" w:hAnsi="Calibri" w:cs="Calibri"/>
                      <w:b/>
                      <w:sz w:val="20"/>
                      <w:szCs w:val="20"/>
                    </w:rPr>
                  </w:pPr>
                  <w:r>
                    <w:rPr>
                      <w:rFonts w:ascii="Calibri" w:eastAsia="Calibri" w:hAnsi="Calibri" w:cs="Calibri"/>
                      <w:b/>
                      <w:sz w:val="20"/>
                      <w:szCs w:val="20"/>
                    </w:rPr>
                    <w:t>4%</w:t>
                  </w:r>
                </w:p>
              </w:tc>
            </w:tr>
            <w:tr w:rsidR="004C24E3">
              <w:tc>
                <w:tcPr>
                  <w:tcW w:w="1935" w:type="dxa"/>
                  <w:tcMar>
                    <w:top w:w="100" w:type="dxa"/>
                    <w:left w:w="100" w:type="dxa"/>
                    <w:bottom w:w="100" w:type="dxa"/>
                    <w:right w:w="100" w:type="dxa"/>
                  </w:tcMar>
                </w:tcPr>
                <w:p w:rsidR="004C24E3" w:rsidRDefault="00F56660">
                  <w:pPr>
                    <w:jc w:val="left"/>
                    <w:rPr>
                      <w:rFonts w:ascii="Calibri" w:eastAsia="Calibri" w:hAnsi="Calibri" w:cs="Calibri"/>
                      <w:b/>
                      <w:sz w:val="20"/>
                      <w:szCs w:val="20"/>
                    </w:rPr>
                  </w:pPr>
                  <w:r>
                    <w:rPr>
                      <w:rFonts w:ascii="Calibri" w:eastAsia="Calibri" w:hAnsi="Calibri" w:cs="Calibri"/>
                      <w:b/>
                      <w:sz w:val="20"/>
                      <w:szCs w:val="20"/>
                    </w:rPr>
                    <w:t>Cambridgeshire and Peterborough</w:t>
                  </w:r>
                </w:p>
              </w:tc>
              <w:tc>
                <w:tcPr>
                  <w:tcW w:w="1200" w:type="dxa"/>
                  <w:tcMar>
                    <w:top w:w="100" w:type="dxa"/>
                    <w:left w:w="100" w:type="dxa"/>
                    <w:bottom w:w="100" w:type="dxa"/>
                    <w:right w:w="100" w:type="dxa"/>
                  </w:tcMar>
                </w:tcPr>
                <w:p w:rsidR="004C24E3" w:rsidRDefault="00F56660">
                  <w:pPr>
                    <w:jc w:val="left"/>
                    <w:rPr>
                      <w:rFonts w:ascii="Calibri" w:eastAsia="Calibri" w:hAnsi="Calibri" w:cs="Calibri"/>
                      <w:b/>
                      <w:sz w:val="20"/>
                      <w:szCs w:val="20"/>
                    </w:rPr>
                  </w:pPr>
                  <w:r>
                    <w:rPr>
                      <w:rFonts w:ascii="Calibri" w:eastAsia="Calibri" w:hAnsi="Calibri" w:cs="Calibri"/>
                      <w:b/>
                      <w:sz w:val="20"/>
                      <w:szCs w:val="20"/>
                    </w:rPr>
                    <w:t>5006</w:t>
                  </w:r>
                </w:p>
              </w:tc>
              <w:tc>
                <w:tcPr>
                  <w:tcW w:w="1275" w:type="dxa"/>
                  <w:tcMar>
                    <w:top w:w="100" w:type="dxa"/>
                    <w:left w:w="100" w:type="dxa"/>
                    <w:bottom w:w="100" w:type="dxa"/>
                    <w:right w:w="100" w:type="dxa"/>
                  </w:tcMar>
                </w:tcPr>
                <w:p w:rsidR="004C24E3" w:rsidRDefault="00F56660">
                  <w:pPr>
                    <w:jc w:val="left"/>
                    <w:rPr>
                      <w:rFonts w:ascii="Calibri" w:eastAsia="Calibri" w:hAnsi="Calibri" w:cs="Calibri"/>
                      <w:b/>
                      <w:sz w:val="20"/>
                      <w:szCs w:val="20"/>
                    </w:rPr>
                  </w:pPr>
                  <w:r>
                    <w:rPr>
                      <w:rFonts w:ascii="Calibri" w:eastAsia="Calibri" w:hAnsi="Calibri" w:cs="Calibri"/>
                      <w:b/>
                      <w:sz w:val="20"/>
                      <w:szCs w:val="20"/>
                    </w:rPr>
                    <w:t>3%</w:t>
                  </w:r>
                </w:p>
              </w:tc>
              <w:tc>
                <w:tcPr>
                  <w:tcW w:w="1170" w:type="dxa"/>
                  <w:tcMar>
                    <w:top w:w="100" w:type="dxa"/>
                    <w:left w:w="100" w:type="dxa"/>
                    <w:bottom w:w="100" w:type="dxa"/>
                    <w:right w:w="100" w:type="dxa"/>
                  </w:tcMar>
                </w:tcPr>
                <w:p w:rsidR="004C24E3" w:rsidRDefault="00F56660">
                  <w:pPr>
                    <w:jc w:val="left"/>
                    <w:rPr>
                      <w:rFonts w:ascii="Calibri" w:eastAsia="Calibri" w:hAnsi="Calibri" w:cs="Calibri"/>
                      <w:b/>
                      <w:sz w:val="20"/>
                      <w:szCs w:val="20"/>
                    </w:rPr>
                  </w:pPr>
                  <w:r>
                    <w:rPr>
                      <w:rFonts w:ascii="Calibri" w:eastAsia="Calibri" w:hAnsi="Calibri" w:cs="Calibri"/>
                      <w:b/>
                      <w:sz w:val="20"/>
                      <w:szCs w:val="20"/>
                    </w:rPr>
                    <w:t>7640</w:t>
                  </w:r>
                </w:p>
              </w:tc>
              <w:tc>
                <w:tcPr>
                  <w:tcW w:w="1260" w:type="dxa"/>
                  <w:tcMar>
                    <w:top w:w="100" w:type="dxa"/>
                    <w:left w:w="100" w:type="dxa"/>
                    <w:bottom w:w="100" w:type="dxa"/>
                    <w:right w:w="100" w:type="dxa"/>
                  </w:tcMar>
                </w:tcPr>
                <w:p w:rsidR="004C24E3" w:rsidRDefault="00F56660">
                  <w:pPr>
                    <w:jc w:val="left"/>
                    <w:rPr>
                      <w:rFonts w:ascii="Calibri" w:eastAsia="Calibri" w:hAnsi="Calibri" w:cs="Calibri"/>
                      <w:b/>
                      <w:sz w:val="20"/>
                      <w:szCs w:val="20"/>
                    </w:rPr>
                  </w:pPr>
                  <w:r>
                    <w:rPr>
                      <w:rFonts w:ascii="Calibri" w:eastAsia="Calibri" w:hAnsi="Calibri" w:cs="Calibri"/>
                      <w:b/>
                      <w:sz w:val="20"/>
                      <w:szCs w:val="20"/>
                    </w:rPr>
                    <w:t>10%</w:t>
                  </w:r>
                </w:p>
              </w:tc>
              <w:tc>
                <w:tcPr>
                  <w:tcW w:w="1125" w:type="dxa"/>
                  <w:tcMar>
                    <w:top w:w="100" w:type="dxa"/>
                    <w:left w:w="100" w:type="dxa"/>
                    <w:bottom w:w="100" w:type="dxa"/>
                    <w:right w:w="100" w:type="dxa"/>
                  </w:tcMar>
                </w:tcPr>
                <w:p w:rsidR="004C24E3" w:rsidRDefault="00F56660">
                  <w:pPr>
                    <w:jc w:val="left"/>
                    <w:rPr>
                      <w:rFonts w:ascii="Calibri" w:eastAsia="Calibri" w:hAnsi="Calibri" w:cs="Calibri"/>
                      <w:b/>
                      <w:sz w:val="20"/>
                      <w:szCs w:val="20"/>
                    </w:rPr>
                  </w:pPr>
                  <w:r>
                    <w:rPr>
                      <w:rFonts w:ascii="Calibri" w:eastAsia="Calibri" w:hAnsi="Calibri" w:cs="Calibri"/>
                      <w:b/>
                      <w:sz w:val="20"/>
                      <w:szCs w:val="20"/>
                    </w:rPr>
                    <w:t>16361</w:t>
                  </w:r>
                </w:p>
              </w:tc>
              <w:tc>
                <w:tcPr>
                  <w:tcW w:w="1222" w:type="dxa"/>
                  <w:tcMar>
                    <w:top w:w="100" w:type="dxa"/>
                    <w:left w:w="100" w:type="dxa"/>
                    <w:bottom w:w="100" w:type="dxa"/>
                    <w:right w:w="100" w:type="dxa"/>
                  </w:tcMar>
                </w:tcPr>
                <w:p w:rsidR="004C24E3" w:rsidRDefault="00F56660">
                  <w:pPr>
                    <w:jc w:val="left"/>
                    <w:rPr>
                      <w:rFonts w:ascii="Calibri" w:eastAsia="Calibri" w:hAnsi="Calibri" w:cs="Calibri"/>
                      <w:b/>
                      <w:sz w:val="20"/>
                      <w:szCs w:val="20"/>
                    </w:rPr>
                  </w:pPr>
                  <w:r>
                    <w:rPr>
                      <w:rFonts w:ascii="Calibri" w:eastAsia="Calibri" w:hAnsi="Calibri" w:cs="Calibri"/>
                      <w:b/>
                      <w:sz w:val="20"/>
                      <w:szCs w:val="20"/>
                    </w:rPr>
                    <w:t>4%</w:t>
                  </w:r>
                </w:p>
              </w:tc>
            </w:tr>
          </w:tbl>
          <w:p w:rsidR="004C24E3" w:rsidRDefault="004C24E3">
            <w:pPr>
              <w:spacing w:line="259" w:lineRule="auto"/>
              <w:contextualSpacing w:val="0"/>
              <w:rPr>
                <w:rFonts w:ascii="Arial" w:eastAsia="Arial" w:hAnsi="Arial" w:cs="Arial"/>
                <w:sz w:val="24"/>
                <w:szCs w:val="24"/>
              </w:rPr>
            </w:pPr>
          </w:p>
          <w:p w:rsidR="004C24E3" w:rsidRDefault="00F56660">
            <w:pPr>
              <w:spacing w:line="259" w:lineRule="auto"/>
              <w:contextualSpacing w:val="0"/>
            </w:pPr>
            <w:r>
              <w:t xml:space="preserve">These figures do not account for new developments as a recent update to this data is not currently </w:t>
            </w:r>
            <w:r>
              <w:lastRenderedPageBreak/>
              <w:t>available. However, a number of new developments are planned, as outlined in Appendix 1, the Needs Summary. Provider(s) would be expected to work with partners, including Local Authorities and NHS services, to support the needs of large new developments.</w:t>
            </w:r>
          </w:p>
          <w:p w:rsidR="004C24E3" w:rsidRDefault="004C24E3">
            <w:pPr>
              <w:spacing w:line="259" w:lineRule="auto"/>
              <w:contextualSpacing w:val="0"/>
              <w:rPr>
                <w:rFonts w:ascii="Arial" w:eastAsia="Arial" w:hAnsi="Arial" w:cs="Arial"/>
                <w:sz w:val="24"/>
                <w:szCs w:val="24"/>
              </w:rPr>
            </w:pPr>
          </w:p>
          <w:p w:rsidR="004C24E3" w:rsidRDefault="00F56660">
            <w:pPr>
              <w:spacing w:line="259" w:lineRule="auto"/>
              <w:contextualSpacing w:val="0"/>
            </w:pPr>
            <w:r>
              <w:rPr>
                <w:color w:val="00B050"/>
              </w:rPr>
              <w:t xml:space="preserve">1.5 Direction of Travel for Children and Young People’s (CYP) Mental health and Emotional Wellbeing  System </w:t>
            </w:r>
          </w:p>
          <w:p w:rsidR="004C24E3" w:rsidRDefault="004C24E3">
            <w:pPr>
              <w:spacing w:line="259" w:lineRule="auto"/>
              <w:contextualSpacing w:val="0"/>
            </w:pPr>
          </w:p>
          <w:p w:rsidR="004C24E3" w:rsidRDefault="00F56660">
            <w:pPr>
              <w:spacing w:line="259" w:lineRule="auto"/>
              <w:contextualSpacing w:val="0"/>
            </w:pPr>
            <w:r>
              <w:t>An agreed vision for CYP’s Mental Health and Emotional Wellbeing system is in development. However, the general aspiration and direction of travel is described below.</w:t>
            </w:r>
          </w:p>
          <w:p w:rsidR="004C24E3" w:rsidRDefault="004C24E3">
            <w:pPr>
              <w:spacing w:line="259" w:lineRule="auto"/>
              <w:contextualSpacing w:val="0"/>
            </w:pPr>
          </w:p>
          <w:p w:rsidR="004C24E3" w:rsidRDefault="00F56660">
            <w:pPr>
              <w:spacing w:line="259" w:lineRule="auto"/>
              <w:contextualSpacing w:val="0"/>
            </w:pPr>
            <w:r>
              <w:t xml:space="preserve">By 2020 more CYP will have the resilience and self-help skills and abilities to support and maintain good emotional, mental health and wellbeing. More CYP will know where to go for advice and support and at least 35% of CYP with an emotional, mental health and wellbeing issue will have accessed services; the number of self harm incidents and subsequent admissions to hospital will therefore have reduced significantly and suicide amongst young people will have been eradicated.  </w:t>
            </w:r>
          </w:p>
          <w:p w:rsidR="004C24E3" w:rsidRDefault="004C24E3">
            <w:pPr>
              <w:spacing w:line="259" w:lineRule="auto"/>
              <w:contextualSpacing w:val="0"/>
            </w:pPr>
          </w:p>
          <w:p w:rsidR="004C24E3" w:rsidRDefault="00F56660">
            <w:pPr>
              <w:spacing w:line="259" w:lineRule="auto"/>
              <w:contextualSpacing w:val="0"/>
            </w:pPr>
            <w:r>
              <w:t>Effective working between providers ensures seamless pathways of information, advice, intervention and support. Those who need more specialist support are quickly identified. Advice, support and intervention is readily available in the right place, at the right time, in the right way. Those CYP in crisis can access effective, timely crisis support and remain as close to home as possible.</w:t>
            </w:r>
          </w:p>
          <w:p w:rsidR="004C24E3" w:rsidRDefault="004C24E3">
            <w:pPr>
              <w:spacing w:line="259" w:lineRule="auto"/>
              <w:contextualSpacing w:val="0"/>
            </w:pPr>
          </w:p>
          <w:p w:rsidR="004C24E3" w:rsidRDefault="00F56660">
            <w:pPr>
              <w:spacing w:line="259" w:lineRule="auto"/>
              <w:contextualSpacing w:val="0"/>
            </w:pPr>
            <w:r>
              <w:t xml:space="preserve">CYP are fully involved in their care and support and are central to any decisions made and support provided to them. Interventions are evidence based and sustainably improve the outcomes and achieve the goals of the child or young person. </w:t>
            </w:r>
          </w:p>
          <w:p w:rsidR="004C24E3" w:rsidRDefault="004C24E3">
            <w:pPr>
              <w:spacing w:line="259" w:lineRule="auto"/>
              <w:contextualSpacing w:val="0"/>
            </w:pPr>
          </w:p>
          <w:p w:rsidR="004C24E3" w:rsidRDefault="004C24E3">
            <w:pPr>
              <w:contextualSpacing w:val="0"/>
            </w:pPr>
          </w:p>
        </w:tc>
      </w:tr>
      <w:tr w:rsidR="004C24E3" w:rsidTr="004C24E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64" w:type="dxa"/>
            <w:shd w:val="clear" w:color="auto" w:fill="B7B7B7"/>
          </w:tcPr>
          <w:p w:rsidR="004C24E3" w:rsidRDefault="004C24E3">
            <w:pPr>
              <w:contextualSpacing w:val="0"/>
              <w:rPr>
                <w:b/>
                <w:color w:val="FF0000"/>
              </w:rPr>
            </w:pPr>
          </w:p>
          <w:p w:rsidR="004C24E3" w:rsidRDefault="00F56660">
            <w:pPr>
              <w:contextualSpacing w:val="0"/>
              <w:rPr>
                <w:b/>
                <w:color w:val="FF0000"/>
              </w:rPr>
            </w:pPr>
            <w:r>
              <w:rPr>
                <w:b/>
                <w:color w:val="FF0000"/>
              </w:rPr>
              <w:t>2.0 Service Vision</w:t>
            </w:r>
          </w:p>
          <w:p w:rsidR="004C24E3" w:rsidRDefault="004C24E3">
            <w:pPr>
              <w:contextualSpacing w:val="0"/>
            </w:pPr>
          </w:p>
        </w:tc>
      </w:tr>
      <w:tr w:rsidR="004C24E3">
        <w:tc>
          <w:tcPr>
            <w:cnfStyle w:val="000010000000" w:firstRow="0" w:lastRow="0" w:firstColumn="0" w:lastColumn="0" w:oddVBand="1" w:evenVBand="0" w:oddHBand="0" w:evenHBand="0" w:firstRowFirstColumn="0" w:firstRowLastColumn="0" w:lastRowFirstColumn="0" w:lastRowLastColumn="0"/>
            <w:tcW w:w="9464" w:type="dxa"/>
          </w:tcPr>
          <w:p w:rsidR="004C24E3" w:rsidRDefault="004C24E3">
            <w:pPr>
              <w:contextualSpacing w:val="0"/>
            </w:pPr>
          </w:p>
          <w:p w:rsidR="004C24E3" w:rsidRDefault="00F56660">
            <w:pPr>
              <w:spacing w:line="259" w:lineRule="auto"/>
              <w:contextualSpacing w:val="0"/>
            </w:pPr>
            <w:r>
              <w:rPr>
                <w:color w:val="00B050"/>
              </w:rPr>
              <w:t>2.1 Service Vision</w:t>
            </w:r>
          </w:p>
          <w:p w:rsidR="004C24E3" w:rsidRDefault="004C24E3">
            <w:pPr>
              <w:spacing w:line="259" w:lineRule="auto"/>
              <w:contextualSpacing w:val="0"/>
            </w:pPr>
          </w:p>
          <w:p w:rsidR="004C24E3" w:rsidRDefault="00F56660">
            <w:pPr>
              <w:spacing w:line="259" w:lineRule="auto"/>
              <w:contextualSpacing w:val="0"/>
            </w:pPr>
            <w:r>
              <w:t xml:space="preserve">This service will work towards the aspirations set out above and the system wide vision developed by the Joint Commissioning Unit and Emotional Health and Wellbeing Board. It will be part of the range of services that will be available to support the mental health and emotional wellbeing needs of local children and young people. It will be essential in providing effective evidence based interventions to those who need them. The full details regarding what will be provided, by whom and where is an evolving picture and will change as the needs of the population grow and the other elements of the Thrive framework are embedded. Therefore this service will need to be part of the development of local services, engage in the transformation work and develop effective networks with providers of other services. </w:t>
            </w:r>
          </w:p>
          <w:p w:rsidR="004C24E3" w:rsidRDefault="004C24E3">
            <w:pPr>
              <w:spacing w:line="259" w:lineRule="auto"/>
              <w:contextualSpacing w:val="0"/>
            </w:pPr>
          </w:p>
          <w:p w:rsidR="004C24E3" w:rsidRDefault="00F56660">
            <w:pPr>
              <w:spacing w:line="259" w:lineRule="auto"/>
              <w:contextualSpacing w:val="0"/>
            </w:pPr>
            <w:r>
              <w:t xml:space="preserve">The service will be rigorously outcomes focused and so deliver a substantive impact in the mental health and emotional wellbeing of local children and young people. It will deliver significant improvements in individuals’ mental health and emotional wellbeing. Service users will gain skills to </w:t>
            </w:r>
            <w:r>
              <w:lastRenderedPageBreak/>
              <w:t xml:space="preserve">manage emotions and cope with adversity, carrying this resilience through to adulthood. They will become more confident, more able to self care and seek help if they need it. Children, young people will understand how to promote and sustain mental well being and so will the families and professionals who support them. Those in need will be identified early to prevent more serious problems developing. </w:t>
            </w:r>
          </w:p>
          <w:p w:rsidR="004C24E3" w:rsidRDefault="004C24E3">
            <w:pPr>
              <w:spacing w:line="259" w:lineRule="auto"/>
              <w:contextualSpacing w:val="0"/>
            </w:pPr>
          </w:p>
          <w:p w:rsidR="004C24E3" w:rsidRDefault="00F56660">
            <w:pPr>
              <w:spacing w:line="259" w:lineRule="auto"/>
              <w:contextualSpacing w:val="0"/>
            </w:pPr>
            <w:r>
              <w:t xml:space="preserve">This service  will address gaps in current provision and standardise a service offer across both local authorities but, most importantly, it will significantly increase the number of children and young people with mental health/emotional wellbeing issues receiving treatment and support. </w:t>
            </w:r>
          </w:p>
          <w:p w:rsidR="004C24E3" w:rsidRDefault="004C24E3">
            <w:pPr>
              <w:spacing w:line="259" w:lineRule="auto"/>
              <w:contextualSpacing w:val="0"/>
            </w:pPr>
          </w:p>
          <w:p w:rsidR="004C24E3" w:rsidRDefault="00F56660">
            <w:pPr>
              <w:spacing w:line="259" w:lineRule="auto"/>
              <w:contextualSpacing w:val="0"/>
            </w:pPr>
            <w:r>
              <w:t>The service will mainly be providing services within the Getting Help grouping of Thrive and will operate in line with Thrive principles. Thus, the bulk of its activity will be delivery of a range of brief evidence-based talking therapies to children and young people across Cambridgeshire and Peterborough with mild-moderate mental health conditions or significant emotional wellbeing problems. It will also contribute to the ‘Getting Advice’ and ‘Thriving’ aspects of Thrive through provision of information and signposting and training of wider professionals in mental health literacy.</w:t>
            </w:r>
          </w:p>
          <w:p w:rsidR="004C24E3" w:rsidRDefault="004C24E3">
            <w:pPr>
              <w:spacing w:line="259" w:lineRule="auto"/>
              <w:contextualSpacing w:val="0"/>
            </w:pPr>
          </w:p>
          <w:p w:rsidR="004C24E3" w:rsidRDefault="00F56660">
            <w:pPr>
              <w:spacing w:line="259" w:lineRule="auto"/>
              <w:contextualSpacing w:val="0"/>
            </w:pPr>
            <w:r>
              <w:t xml:space="preserve">Effective pathways and interfaces with key services will be established and the service will need to be fully integrated within the transforming CAMHS and Child Health landscape. </w:t>
            </w:r>
          </w:p>
          <w:p w:rsidR="004C24E3" w:rsidRDefault="004C24E3">
            <w:pPr>
              <w:spacing w:line="259" w:lineRule="auto"/>
              <w:contextualSpacing w:val="0"/>
            </w:pPr>
          </w:p>
          <w:p w:rsidR="004C24E3" w:rsidRDefault="00F56660">
            <w:pPr>
              <w:spacing w:line="259" w:lineRule="auto"/>
              <w:contextualSpacing w:val="0"/>
            </w:pPr>
            <w:r>
              <w:t>Over the life of the contract, the service will significantly increase the number of children and young people with mental health issues receiving treatment and support. In doing so, it will contribute to a reduction in inappropriate demand for specialist child and adolescent mental health services (CAMHs), ensuring young people get the most appropriate service for their needs in a timely manner.</w:t>
            </w:r>
          </w:p>
          <w:p w:rsidR="004C24E3" w:rsidRDefault="004C24E3">
            <w:pPr>
              <w:contextualSpacing w:val="0"/>
            </w:pPr>
          </w:p>
          <w:p w:rsidR="004C24E3" w:rsidRDefault="004C24E3">
            <w:pPr>
              <w:contextualSpacing w:val="0"/>
            </w:pPr>
          </w:p>
        </w:tc>
      </w:tr>
      <w:tr w:rsidR="004C24E3" w:rsidTr="004C24E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64" w:type="dxa"/>
            <w:shd w:val="clear" w:color="auto" w:fill="CCCCCC"/>
          </w:tcPr>
          <w:p w:rsidR="004C24E3" w:rsidRDefault="004C24E3">
            <w:pPr>
              <w:contextualSpacing w:val="0"/>
            </w:pPr>
          </w:p>
          <w:p w:rsidR="004C24E3" w:rsidRDefault="004C24E3">
            <w:pPr>
              <w:contextualSpacing w:val="0"/>
            </w:pPr>
          </w:p>
          <w:p w:rsidR="004C24E3" w:rsidRDefault="00F56660">
            <w:pPr>
              <w:contextualSpacing w:val="0"/>
              <w:rPr>
                <w:b/>
                <w:color w:val="FF0000"/>
              </w:rPr>
            </w:pPr>
            <w:r>
              <w:rPr>
                <w:b/>
                <w:color w:val="FF0000"/>
              </w:rPr>
              <w:t>3.0 Service Outcomes</w:t>
            </w:r>
          </w:p>
          <w:p w:rsidR="004C24E3" w:rsidRDefault="004C24E3">
            <w:pPr>
              <w:contextualSpacing w:val="0"/>
            </w:pPr>
          </w:p>
        </w:tc>
      </w:tr>
      <w:tr w:rsidR="004C24E3">
        <w:tc>
          <w:tcPr>
            <w:cnfStyle w:val="000010000000" w:firstRow="0" w:lastRow="0" w:firstColumn="0" w:lastColumn="0" w:oddVBand="1" w:evenVBand="0" w:oddHBand="0" w:evenHBand="0" w:firstRowFirstColumn="0" w:firstRowLastColumn="0" w:lastRowFirstColumn="0" w:lastRowLastColumn="0"/>
            <w:tcW w:w="9464" w:type="dxa"/>
          </w:tcPr>
          <w:p w:rsidR="004C24E3" w:rsidRDefault="004C24E3">
            <w:pPr>
              <w:contextualSpacing w:val="0"/>
            </w:pPr>
          </w:p>
          <w:p w:rsidR="004C24E3" w:rsidRDefault="00F56660">
            <w:pPr>
              <w:ind w:left="720" w:hanging="720"/>
              <w:contextualSpacing w:val="0"/>
            </w:pPr>
            <w:r>
              <w:rPr>
                <w:color w:val="339966"/>
              </w:rPr>
              <w:t>3.1 Key service outcomes</w:t>
            </w:r>
          </w:p>
          <w:p w:rsidR="004C24E3" w:rsidRDefault="004C24E3">
            <w:pPr>
              <w:ind w:left="720" w:hanging="720"/>
              <w:contextualSpacing w:val="0"/>
            </w:pPr>
          </w:p>
          <w:p w:rsidR="004C24E3" w:rsidRDefault="00F56660">
            <w:pPr>
              <w:ind w:left="720" w:hanging="720"/>
              <w:contextualSpacing w:val="0"/>
            </w:pPr>
            <w:r>
              <w:t>The service will seek to achieve the following key outcomes:-</w:t>
            </w:r>
          </w:p>
          <w:p w:rsidR="004C24E3" w:rsidRDefault="004C24E3">
            <w:pPr>
              <w:contextualSpacing w:val="0"/>
            </w:pPr>
          </w:p>
          <w:tbl>
            <w:tblPr>
              <w:tblStyle w:val="a1"/>
              <w:tblW w:w="902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9021"/>
            </w:tblGrid>
            <w:tr w:rsidR="004C24E3" w:rsidTr="004C24E3">
              <w:tc>
                <w:tcPr>
                  <w:tcW w:w="9021" w:type="dxa"/>
                  <w:tcBorders>
                    <w:top w:val="single" w:sz="6" w:space="0" w:color="000000"/>
                    <w:left w:val="single" w:sz="24" w:space="0" w:color="000000"/>
                    <w:bottom w:val="single" w:sz="6" w:space="0" w:color="000000"/>
                    <w:right w:val="single" w:sz="24" w:space="0" w:color="000000"/>
                  </w:tcBorders>
                </w:tcPr>
                <w:p w:rsidR="004C24E3" w:rsidRDefault="00F56660">
                  <w:pPr>
                    <w:contextualSpacing w:val="0"/>
                  </w:pPr>
                  <w:r>
                    <w:rPr>
                      <w:b/>
                    </w:rPr>
                    <w:t xml:space="preserve">Children and young people report improved mental health and emotional wellbeing and greater ability to self manage  emotions and cope with adversity </w:t>
                  </w:r>
                </w:p>
              </w:tc>
            </w:tr>
            <w:tr w:rsidR="004C24E3" w:rsidTr="004C24E3">
              <w:tc>
                <w:tcPr>
                  <w:tcW w:w="9021" w:type="dxa"/>
                  <w:tcBorders>
                    <w:top w:val="single" w:sz="6" w:space="0" w:color="000000"/>
                    <w:left w:val="single" w:sz="24" w:space="0" w:color="000000"/>
                    <w:bottom w:val="single" w:sz="6" w:space="0" w:color="000000"/>
                    <w:right w:val="single" w:sz="24" w:space="0" w:color="000000"/>
                  </w:tcBorders>
                </w:tcPr>
                <w:p w:rsidR="004C24E3" w:rsidRDefault="00F56660">
                  <w:pPr>
                    <w:contextualSpacing w:val="0"/>
                  </w:pPr>
                  <w:r>
                    <w:rPr>
                      <w:b/>
                    </w:rPr>
                    <w:t>More children and young people access evidence based therapies to improve their mental health</w:t>
                  </w:r>
                </w:p>
              </w:tc>
            </w:tr>
            <w:tr w:rsidR="004C24E3" w:rsidTr="004C24E3">
              <w:tc>
                <w:tcPr>
                  <w:tcW w:w="9021" w:type="dxa"/>
                  <w:tcBorders>
                    <w:top w:val="single" w:sz="6" w:space="0" w:color="000000"/>
                    <w:left w:val="single" w:sz="24" w:space="0" w:color="000000"/>
                    <w:bottom w:val="single" w:sz="6" w:space="0" w:color="000000"/>
                    <w:right w:val="single" w:sz="24" w:space="0" w:color="000000"/>
                  </w:tcBorders>
                </w:tcPr>
                <w:p w:rsidR="004C24E3" w:rsidRDefault="00F56660">
                  <w:pPr>
                    <w:contextualSpacing w:val="0"/>
                    <w:rPr>
                      <w:b/>
                    </w:rPr>
                  </w:pPr>
                  <w:r>
                    <w:rPr>
                      <w:b/>
                    </w:rPr>
                    <w:t>More children and young people with mental health/emotional wellbeing issues receive the right level of intervention at the right time</w:t>
                  </w:r>
                </w:p>
              </w:tc>
            </w:tr>
            <w:tr w:rsidR="004C24E3" w:rsidTr="004C24E3">
              <w:tc>
                <w:tcPr>
                  <w:tcW w:w="9021" w:type="dxa"/>
                  <w:tcBorders>
                    <w:top w:val="single" w:sz="6" w:space="0" w:color="000000"/>
                    <w:left w:val="single" w:sz="24" w:space="0" w:color="000000"/>
                    <w:bottom w:val="single" w:sz="6" w:space="0" w:color="000000"/>
                    <w:right w:val="single" w:sz="24" w:space="0" w:color="000000"/>
                  </w:tcBorders>
                </w:tcPr>
                <w:p w:rsidR="004C24E3" w:rsidRDefault="00F56660">
                  <w:pPr>
                    <w:contextualSpacing w:val="0"/>
                    <w:rPr>
                      <w:b/>
                    </w:rPr>
                  </w:pPr>
                  <w:r>
                    <w:rPr>
                      <w:b/>
                    </w:rPr>
                    <w:t>More children, young people, families and professionals know how to promote and sustain good mental health and emotional wellbeing</w:t>
                  </w:r>
                </w:p>
              </w:tc>
            </w:tr>
          </w:tbl>
          <w:p w:rsidR="004C24E3" w:rsidRDefault="004C24E3">
            <w:pPr>
              <w:contextualSpacing w:val="0"/>
            </w:pPr>
          </w:p>
          <w:p w:rsidR="004C24E3" w:rsidRDefault="004C24E3">
            <w:pPr>
              <w:contextualSpacing w:val="0"/>
            </w:pPr>
          </w:p>
          <w:p w:rsidR="004C24E3" w:rsidRDefault="00F56660">
            <w:pPr>
              <w:ind w:left="720" w:hanging="720"/>
              <w:contextualSpacing w:val="0"/>
            </w:pPr>
            <w:r>
              <w:rPr>
                <w:color w:val="339966"/>
              </w:rPr>
              <w:t>3.2 Contribution to other outcomes</w:t>
            </w:r>
          </w:p>
          <w:p w:rsidR="004C24E3" w:rsidRDefault="004C24E3">
            <w:pPr>
              <w:ind w:left="720" w:hanging="720"/>
              <w:contextualSpacing w:val="0"/>
            </w:pPr>
          </w:p>
          <w:p w:rsidR="004C24E3" w:rsidRDefault="00F56660">
            <w:pPr>
              <w:contextualSpacing w:val="0"/>
            </w:pPr>
            <w:r>
              <w:t xml:space="preserve">By delivering the above outcomes, the service will make a key contribution to the following outcomes from the </w:t>
            </w:r>
            <w:r>
              <w:rPr>
                <w:b/>
              </w:rPr>
              <w:t>Public Health Outcomes Framework (PHOF)</w:t>
            </w:r>
            <w:r>
              <w:t xml:space="preserve"> (</w:t>
            </w:r>
            <w:hyperlink r:id="rId35">
              <w:r>
                <w:rPr>
                  <w:color w:val="0563C1"/>
                  <w:u w:val="single"/>
                </w:rPr>
                <w:t>http://www.phoutcomes.info/</w:t>
              </w:r>
            </w:hyperlink>
            <w:r>
              <w:t>):</w:t>
            </w:r>
          </w:p>
          <w:p w:rsidR="004C24E3" w:rsidRDefault="004C24E3">
            <w:pPr>
              <w:contextualSpacing w:val="0"/>
            </w:pPr>
          </w:p>
          <w:p w:rsidR="004C24E3" w:rsidRDefault="00F56660">
            <w:pPr>
              <w:numPr>
                <w:ilvl w:val="0"/>
                <w:numId w:val="15"/>
              </w:numPr>
              <w:ind w:hanging="360"/>
              <w:jc w:val="both"/>
            </w:pPr>
            <w:r>
              <w:t>2.10ii Emergency Hospital Admissions for Intentional Self-Harm</w:t>
            </w:r>
          </w:p>
          <w:p w:rsidR="004C24E3" w:rsidRDefault="00F56660">
            <w:pPr>
              <w:numPr>
                <w:ilvl w:val="0"/>
                <w:numId w:val="15"/>
              </w:numPr>
              <w:ind w:hanging="360"/>
              <w:jc w:val="both"/>
            </w:pPr>
            <w:r>
              <w:t>4.10 Suicide Rate</w:t>
            </w:r>
          </w:p>
          <w:p w:rsidR="004C24E3" w:rsidRDefault="004C24E3">
            <w:pPr>
              <w:contextualSpacing w:val="0"/>
              <w:jc w:val="both"/>
            </w:pPr>
          </w:p>
          <w:p w:rsidR="004C24E3" w:rsidRDefault="00F56660">
            <w:pPr>
              <w:contextualSpacing w:val="0"/>
              <w:jc w:val="both"/>
            </w:pPr>
            <w:r>
              <w:t>It is expected the service will indirectly contribute to wider PHOF outcomes, such as reducing health inequality and improving the wider determinants of health.</w:t>
            </w:r>
          </w:p>
          <w:p w:rsidR="004C24E3" w:rsidRDefault="004C24E3">
            <w:pPr>
              <w:contextualSpacing w:val="0"/>
            </w:pPr>
          </w:p>
          <w:p w:rsidR="004C24E3" w:rsidRDefault="00F56660">
            <w:pPr>
              <w:contextualSpacing w:val="0"/>
            </w:pPr>
            <w:r>
              <w:t xml:space="preserve">The service will also contribute to all five domains of the </w:t>
            </w:r>
            <w:r>
              <w:rPr>
                <w:b/>
              </w:rPr>
              <w:t>NHS Outcomes Framework Domains and Indicators</w:t>
            </w:r>
            <w:r>
              <w:t>:</w:t>
            </w:r>
          </w:p>
          <w:p w:rsidR="004C24E3" w:rsidRDefault="00F56660">
            <w:pPr>
              <w:numPr>
                <w:ilvl w:val="0"/>
                <w:numId w:val="25"/>
              </w:numPr>
              <w:ind w:hanging="360"/>
              <w:jc w:val="both"/>
            </w:pPr>
            <w:r>
              <w:t xml:space="preserve">Domain 1 Preventing people from dying prematurely </w:t>
            </w:r>
          </w:p>
          <w:p w:rsidR="004C24E3" w:rsidRDefault="00F56660">
            <w:pPr>
              <w:ind w:left="720"/>
              <w:contextualSpacing w:val="0"/>
              <w:jc w:val="both"/>
            </w:pPr>
            <w:r>
              <w:t xml:space="preserve">Domain 2 Enhancing quality of life for people with long-term conditions </w:t>
            </w:r>
          </w:p>
          <w:p w:rsidR="004C24E3" w:rsidRDefault="00F56660">
            <w:pPr>
              <w:numPr>
                <w:ilvl w:val="0"/>
                <w:numId w:val="25"/>
              </w:numPr>
              <w:ind w:hanging="360"/>
              <w:jc w:val="both"/>
            </w:pPr>
            <w:r>
              <w:t xml:space="preserve">Domain 3 Helping people to recover from episodes of ill-health or following injury  </w:t>
            </w:r>
          </w:p>
          <w:p w:rsidR="004C24E3" w:rsidRDefault="00F56660">
            <w:pPr>
              <w:numPr>
                <w:ilvl w:val="0"/>
                <w:numId w:val="25"/>
              </w:numPr>
              <w:ind w:hanging="360"/>
              <w:jc w:val="both"/>
            </w:pPr>
            <w:r>
              <w:t xml:space="preserve">Domain 4 Ensuring people have a positive experience of care </w:t>
            </w:r>
          </w:p>
          <w:p w:rsidR="004C24E3" w:rsidRDefault="00F56660">
            <w:pPr>
              <w:ind w:left="720"/>
              <w:contextualSpacing w:val="0"/>
              <w:jc w:val="both"/>
              <w:rPr>
                <w:color w:val="339966"/>
                <w:highlight w:val="cyan"/>
              </w:rPr>
            </w:pPr>
            <w:r>
              <w:t>Domain 5 Treating and caring for people in a safe environment and protecting them from avoidable harm</w:t>
            </w:r>
          </w:p>
          <w:p w:rsidR="004C24E3" w:rsidRDefault="004C24E3">
            <w:pPr>
              <w:contextualSpacing w:val="0"/>
            </w:pPr>
          </w:p>
          <w:p w:rsidR="004C24E3" w:rsidRDefault="00F56660">
            <w:pPr>
              <w:contextualSpacing w:val="0"/>
            </w:pPr>
            <w:r>
              <w:rPr>
                <w:color w:val="00CC66"/>
              </w:rPr>
              <w:t>3.3 Detailed service outcomes</w:t>
            </w:r>
          </w:p>
          <w:p w:rsidR="004C24E3" w:rsidRDefault="004C24E3">
            <w:pPr>
              <w:contextualSpacing w:val="0"/>
            </w:pPr>
          </w:p>
          <w:p w:rsidR="004C24E3" w:rsidRDefault="00F56660">
            <w:pPr>
              <w:contextualSpacing w:val="0"/>
            </w:pPr>
            <w:r>
              <w:t>The key service outcomes are broken down further below and are essentially the key ‘deliverables’ to achieve the overarching outcomes laid out in 3.1. They also act as ‘proxy’ indicators for the overarching outcomes in section 3.1. The detailed service outcomes will be monitored, measured and reviewed regularly during the contract period.</w:t>
            </w:r>
          </w:p>
          <w:p w:rsidR="004C24E3" w:rsidRDefault="004C24E3">
            <w:pPr>
              <w:contextualSpacing w:val="0"/>
            </w:pPr>
          </w:p>
          <w:p w:rsidR="004C24E3" w:rsidRDefault="004C24E3">
            <w:pPr>
              <w:contextualSpacing w:val="0"/>
            </w:pPr>
          </w:p>
          <w:tbl>
            <w:tblPr>
              <w:tblStyle w:val="a2"/>
              <w:tblW w:w="902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9021"/>
            </w:tblGrid>
            <w:tr w:rsidR="004C24E3" w:rsidTr="004C24E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21" w:type="dxa"/>
                  <w:shd w:val="clear" w:color="auto" w:fill="C9DAF8"/>
                </w:tcPr>
                <w:p w:rsidR="004C24E3" w:rsidRDefault="00F56660">
                  <w:pPr>
                    <w:contextualSpacing w:val="0"/>
                  </w:pPr>
                  <w:r>
                    <w:t xml:space="preserve">1. </w:t>
                  </w:r>
                  <w:r>
                    <w:rPr>
                      <w:b/>
                    </w:rPr>
                    <w:t xml:space="preserve">Children and young people report improved mental health and emotional wellbeing and greater ability to self manage  emotions and cope with adversity </w:t>
                  </w:r>
                  <w:r>
                    <w:t>(Individual Outcomes -Self Reported)</w:t>
                  </w:r>
                </w:p>
              </w:tc>
            </w:tr>
            <w:tr w:rsidR="004C24E3">
              <w:tc>
                <w:tcPr>
                  <w:cnfStyle w:val="000010000000" w:firstRow="0" w:lastRow="0" w:firstColumn="0" w:lastColumn="0" w:oddVBand="1" w:evenVBand="0" w:oddHBand="0" w:evenHBand="0" w:firstRowFirstColumn="0" w:firstRowLastColumn="0" w:lastRowFirstColumn="0" w:lastRowLastColumn="0"/>
                  <w:tcW w:w="9021" w:type="dxa"/>
                </w:tcPr>
                <w:p w:rsidR="004C24E3" w:rsidRDefault="00F56660">
                  <w:pPr>
                    <w:contextualSpacing w:val="0"/>
                  </w:pPr>
                  <w:r>
                    <w:t>Improvement in psychological health</w:t>
                  </w:r>
                </w:p>
              </w:tc>
            </w:tr>
            <w:tr w:rsidR="004C24E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21" w:type="dxa"/>
                </w:tcPr>
                <w:p w:rsidR="004C24E3" w:rsidRDefault="00F56660">
                  <w:pPr>
                    <w:contextualSpacing w:val="0"/>
                  </w:pPr>
                  <w:r>
                    <w:t>Increase in resilience and ability to cope with adversity</w:t>
                  </w:r>
                </w:p>
              </w:tc>
            </w:tr>
            <w:tr w:rsidR="004C24E3" w:rsidTr="004C24E3">
              <w:tc>
                <w:tcPr>
                  <w:cnfStyle w:val="000010000000" w:firstRow="0" w:lastRow="0" w:firstColumn="0" w:lastColumn="0" w:oddVBand="1" w:evenVBand="0" w:oddHBand="0" w:evenHBand="0" w:firstRowFirstColumn="0" w:firstRowLastColumn="0" w:lastRowFirstColumn="0" w:lastRowLastColumn="0"/>
                  <w:tcW w:w="9021" w:type="dxa"/>
                  <w:tcBorders>
                    <w:top w:val="single" w:sz="4" w:space="0" w:color="A5A5A5"/>
                    <w:bottom w:val="single" w:sz="4" w:space="0" w:color="A5A5A5"/>
                  </w:tcBorders>
                </w:tcPr>
                <w:p w:rsidR="004C24E3" w:rsidRDefault="00F56660">
                  <w:pPr>
                    <w:contextualSpacing w:val="0"/>
                  </w:pPr>
                  <w:r>
                    <w:t>Increased ability to self manage  emotions</w:t>
                  </w:r>
                </w:p>
              </w:tc>
            </w:tr>
            <w:tr w:rsidR="004C24E3" w:rsidTr="004C24E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21" w:type="dxa"/>
                </w:tcPr>
                <w:p w:rsidR="004C24E3" w:rsidRDefault="00F56660">
                  <w:pPr>
                    <w:contextualSpacing w:val="0"/>
                  </w:pPr>
                  <w:r>
                    <w:t>Reduction in self-harm behaviours</w:t>
                  </w:r>
                </w:p>
              </w:tc>
            </w:tr>
            <w:tr w:rsidR="004C24E3" w:rsidTr="004C24E3">
              <w:tc>
                <w:tcPr>
                  <w:cnfStyle w:val="000010000000" w:firstRow="0" w:lastRow="0" w:firstColumn="0" w:lastColumn="0" w:oddVBand="1" w:evenVBand="0" w:oddHBand="0" w:evenHBand="0" w:firstRowFirstColumn="0" w:firstRowLastColumn="0" w:lastRowFirstColumn="0" w:lastRowLastColumn="0"/>
                  <w:tcW w:w="9021" w:type="dxa"/>
                  <w:tcBorders>
                    <w:top w:val="single" w:sz="4" w:space="0" w:color="A5A5A5"/>
                    <w:bottom w:val="single" w:sz="4" w:space="0" w:color="A5A5A5"/>
                  </w:tcBorders>
                </w:tcPr>
                <w:p w:rsidR="004C24E3" w:rsidRDefault="00F56660">
                  <w:pPr>
                    <w:contextualSpacing w:val="0"/>
                  </w:pPr>
                  <w:r>
                    <w:t>Reduction in risky behaviours (drug/alcohol use, unsafe sex)</w:t>
                  </w:r>
                </w:p>
              </w:tc>
            </w:tr>
            <w:tr w:rsidR="004C24E3" w:rsidTr="004C24E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21" w:type="dxa"/>
                </w:tcPr>
                <w:p w:rsidR="004C24E3" w:rsidRDefault="00F56660">
                  <w:pPr>
                    <w:contextualSpacing w:val="0"/>
                  </w:pPr>
                  <w:r>
                    <w:t>Improvement in physical health (e.g. sleep, eating properly, physical activity)</w:t>
                  </w:r>
                </w:p>
              </w:tc>
            </w:tr>
            <w:tr w:rsidR="004C24E3" w:rsidTr="004C24E3">
              <w:trPr>
                <w:trHeight w:val="60"/>
              </w:trPr>
              <w:tc>
                <w:tcPr>
                  <w:cnfStyle w:val="000010000000" w:firstRow="0" w:lastRow="0" w:firstColumn="0" w:lastColumn="0" w:oddVBand="1" w:evenVBand="0" w:oddHBand="0" w:evenHBand="0" w:firstRowFirstColumn="0" w:firstRowLastColumn="0" w:lastRowFirstColumn="0" w:lastRowLastColumn="0"/>
                  <w:tcW w:w="9021" w:type="dxa"/>
                </w:tcPr>
                <w:p w:rsidR="004C24E3" w:rsidRDefault="00F56660">
                  <w:pPr>
                    <w:contextualSpacing w:val="0"/>
                  </w:pPr>
                  <w:r>
                    <w:t>Improvement in relationships with others</w:t>
                  </w:r>
                </w:p>
              </w:tc>
            </w:tr>
            <w:tr w:rsidR="004C24E3" w:rsidTr="004C24E3">
              <w:trPr>
                <w:cnfStyle w:val="000000100000" w:firstRow="0" w:lastRow="0" w:firstColumn="0" w:lastColumn="0" w:oddVBand="0" w:evenVBand="0" w:oddHBand="1" w:evenHBand="0" w:firstRowFirstColumn="0" w:firstRowLastColumn="0" w:lastRowFirstColumn="0" w:lastRowLastColumn="0"/>
                <w:trHeight w:val="60"/>
              </w:trPr>
              <w:tc>
                <w:tcPr>
                  <w:cnfStyle w:val="000010000000" w:firstRow="0" w:lastRow="0" w:firstColumn="0" w:lastColumn="0" w:oddVBand="1" w:evenVBand="0" w:oddHBand="0" w:evenHBand="0" w:firstRowFirstColumn="0" w:firstRowLastColumn="0" w:lastRowFirstColumn="0" w:lastRowLastColumn="0"/>
                  <w:tcW w:w="9021" w:type="dxa"/>
                </w:tcPr>
                <w:p w:rsidR="004C24E3" w:rsidRDefault="00F56660">
                  <w:pPr>
                    <w:contextualSpacing w:val="0"/>
                  </w:pPr>
                  <w:r>
                    <w:t>Improvement in family functioning</w:t>
                  </w:r>
                </w:p>
              </w:tc>
            </w:tr>
            <w:tr w:rsidR="004C24E3" w:rsidTr="004C24E3">
              <w:trPr>
                <w:trHeight w:val="60"/>
              </w:trPr>
              <w:tc>
                <w:tcPr>
                  <w:cnfStyle w:val="000010000000" w:firstRow="0" w:lastRow="0" w:firstColumn="0" w:lastColumn="0" w:oddVBand="1" w:evenVBand="0" w:oddHBand="0" w:evenHBand="0" w:firstRowFirstColumn="0" w:firstRowLastColumn="0" w:lastRowFirstColumn="0" w:lastRowLastColumn="0"/>
                  <w:tcW w:w="9021" w:type="dxa"/>
                  <w:tcBorders>
                    <w:top w:val="single" w:sz="4" w:space="0" w:color="A5A5A5"/>
                    <w:bottom w:val="single" w:sz="4" w:space="0" w:color="A5A5A5"/>
                  </w:tcBorders>
                </w:tcPr>
                <w:p w:rsidR="004C24E3" w:rsidRDefault="00F56660">
                  <w:pPr>
                    <w:contextualSpacing w:val="0"/>
                  </w:pPr>
                  <w:r>
                    <w:t>Improvement in behaviour</w:t>
                  </w:r>
                </w:p>
              </w:tc>
            </w:tr>
            <w:tr w:rsidR="004C24E3" w:rsidTr="004C24E3">
              <w:trPr>
                <w:cnfStyle w:val="000000100000" w:firstRow="0" w:lastRow="0" w:firstColumn="0" w:lastColumn="0" w:oddVBand="0" w:evenVBand="0" w:oddHBand="1" w:evenHBand="0" w:firstRowFirstColumn="0" w:firstRowLastColumn="0" w:lastRowFirstColumn="0" w:lastRowLastColumn="0"/>
                <w:trHeight w:val="60"/>
              </w:trPr>
              <w:tc>
                <w:tcPr>
                  <w:cnfStyle w:val="000010000000" w:firstRow="0" w:lastRow="0" w:firstColumn="0" w:lastColumn="0" w:oddVBand="1" w:evenVBand="0" w:oddHBand="0" w:evenHBand="0" w:firstRowFirstColumn="0" w:firstRowLastColumn="0" w:lastRowFirstColumn="0" w:lastRowLastColumn="0"/>
                  <w:tcW w:w="9021" w:type="dxa"/>
                </w:tcPr>
                <w:p w:rsidR="004C24E3" w:rsidRDefault="00F56660">
                  <w:pPr>
                    <w:contextualSpacing w:val="0"/>
                  </w:pPr>
                  <w:r>
                    <w:t>Improvement in education, training or employment attendance</w:t>
                  </w:r>
                </w:p>
              </w:tc>
            </w:tr>
            <w:tr w:rsidR="004C24E3" w:rsidTr="004C24E3">
              <w:trPr>
                <w:trHeight w:val="60"/>
              </w:trPr>
              <w:tc>
                <w:tcPr>
                  <w:cnfStyle w:val="000010000000" w:firstRow="0" w:lastRow="0" w:firstColumn="0" w:lastColumn="0" w:oddVBand="1" w:evenVBand="0" w:oddHBand="0" w:evenHBand="0" w:firstRowFirstColumn="0" w:firstRowLastColumn="0" w:lastRowFirstColumn="0" w:lastRowLastColumn="0"/>
                  <w:tcW w:w="9021" w:type="dxa"/>
                  <w:tcBorders>
                    <w:top w:val="single" w:sz="4" w:space="0" w:color="A5A5A5"/>
                    <w:bottom w:val="single" w:sz="4" w:space="0" w:color="A5A5A5"/>
                  </w:tcBorders>
                </w:tcPr>
                <w:p w:rsidR="004C24E3" w:rsidRDefault="00F56660">
                  <w:pPr>
                    <w:contextualSpacing w:val="0"/>
                  </w:pPr>
                  <w:r>
                    <w:t>Improvement in attainment/readiness for learning</w:t>
                  </w:r>
                </w:p>
              </w:tc>
            </w:tr>
            <w:tr w:rsidR="004C24E3" w:rsidTr="004C24E3">
              <w:trPr>
                <w:cnfStyle w:val="000000100000" w:firstRow="0" w:lastRow="0" w:firstColumn="0" w:lastColumn="0" w:oddVBand="0" w:evenVBand="0" w:oddHBand="1" w:evenHBand="0" w:firstRowFirstColumn="0" w:firstRowLastColumn="0" w:lastRowFirstColumn="0" w:lastRowLastColumn="0"/>
                <w:trHeight w:val="60"/>
              </w:trPr>
              <w:tc>
                <w:tcPr>
                  <w:cnfStyle w:val="000010000000" w:firstRow="0" w:lastRow="0" w:firstColumn="0" w:lastColumn="0" w:oddVBand="1" w:evenVBand="0" w:oddHBand="0" w:evenHBand="0" w:firstRowFirstColumn="0" w:firstRowLastColumn="0" w:lastRowFirstColumn="0" w:lastRowLastColumn="0"/>
                  <w:tcW w:w="9021" w:type="dxa"/>
                </w:tcPr>
                <w:p w:rsidR="004C24E3" w:rsidRDefault="00F56660">
                  <w:pPr>
                    <w:contextualSpacing w:val="0"/>
                  </w:pPr>
                  <w:r>
                    <w:t>Reduction in offending/anti social behaviour</w:t>
                  </w:r>
                </w:p>
              </w:tc>
            </w:tr>
            <w:tr w:rsidR="004C24E3" w:rsidTr="004C24E3">
              <w:trPr>
                <w:trHeight w:val="60"/>
              </w:trPr>
              <w:tc>
                <w:tcPr>
                  <w:cnfStyle w:val="000010000000" w:firstRow="0" w:lastRow="0" w:firstColumn="0" w:lastColumn="0" w:oddVBand="1" w:evenVBand="0" w:oddHBand="0" w:evenHBand="0" w:firstRowFirstColumn="0" w:firstRowLastColumn="0" w:lastRowFirstColumn="0" w:lastRowLastColumn="0"/>
                  <w:tcW w:w="9021" w:type="dxa"/>
                  <w:tcBorders>
                    <w:top w:val="single" w:sz="4" w:space="0" w:color="A5A5A5"/>
                    <w:bottom w:val="single" w:sz="4" w:space="0" w:color="A5A5A5"/>
                  </w:tcBorders>
                </w:tcPr>
                <w:p w:rsidR="004C24E3" w:rsidRDefault="00F56660">
                  <w:pPr>
                    <w:contextualSpacing w:val="0"/>
                  </w:pPr>
                  <w:r>
                    <w:t>Increased knowledge of how to access information or support for themselves or others</w:t>
                  </w:r>
                </w:p>
              </w:tc>
            </w:tr>
          </w:tbl>
          <w:p w:rsidR="004C24E3" w:rsidRDefault="004C24E3">
            <w:pPr>
              <w:contextualSpacing w:val="0"/>
            </w:pPr>
          </w:p>
          <w:p w:rsidR="004C24E3" w:rsidRDefault="004C24E3">
            <w:pPr>
              <w:contextualSpacing w:val="0"/>
            </w:pPr>
          </w:p>
          <w:tbl>
            <w:tblPr>
              <w:tblStyle w:val="a3"/>
              <w:tblW w:w="902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9021"/>
            </w:tblGrid>
            <w:tr w:rsidR="004C24E3" w:rsidTr="004C24E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21" w:type="dxa"/>
                  <w:shd w:val="clear" w:color="auto" w:fill="C9DAF8"/>
                </w:tcPr>
                <w:p w:rsidR="004C24E3" w:rsidRDefault="00F56660">
                  <w:pPr>
                    <w:contextualSpacing w:val="0"/>
                  </w:pPr>
                  <w:r>
                    <w:t xml:space="preserve">2. </w:t>
                  </w:r>
                  <w:r>
                    <w:rPr>
                      <w:b/>
                    </w:rPr>
                    <w:t>More children and young people access evidence based therapies to improve their mental health</w:t>
                  </w:r>
                  <w:r>
                    <w:t xml:space="preserve"> </w:t>
                  </w:r>
                </w:p>
                <w:p w:rsidR="004C24E3" w:rsidRDefault="00F56660">
                  <w:pPr>
                    <w:contextualSpacing w:val="0"/>
                  </w:pPr>
                  <w:r>
                    <w:lastRenderedPageBreak/>
                    <w:t>(Core service outcomes)</w:t>
                  </w:r>
                </w:p>
              </w:tc>
            </w:tr>
            <w:tr w:rsidR="004C24E3">
              <w:tc>
                <w:tcPr>
                  <w:cnfStyle w:val="000010000000" w:firstRow="0" w:lastRow="0" w:firstColumn="0" w:lastColumn="0" w:oddVBand="1" w:evenVBand="0" w:oddHBand="0" w:evenHBand="0" w:firstRowFirstColumn="0" w:firstRowLastColumn="0" w:lastRowFirstColumn="0" w:lastRowLastColumn="0"/>
                  <w:tcW w:w="9021" w:type="dxa"/>
                </w:tcPr>
                <w:p w:rsidR="004C24E3" w:rsidRDefault="00F56660">
                  <w:pPr>
                    <w:contextualSpacing w:val="0"/>
                  </w:pPr>
                  <w:r>
                    <w:lastRenderedPageBreak/>
                    <w:t>More young people accessing and engaging in therapies based on CYP IAPT and Thrive principles (including goal focused)</w:t>
                  </w:r>
                </w:p>
              </w:tc>
            </w:tr>
            <w:tr w:rsidR="004C24E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21" w:type="dxa"/>
                </w:tcPr>
                <w:p w:rsidR="004C24E3" w:rsidRDefault="00F56660">
                  <w:pPr>
                    <w:contextualSpacing w:val="0"/>
                  </w:pPr>
                  <w:r>
                    <w:t xml:space="preserve">More vulnerable young people* accessing and engaging in treatment services based on CYP IAPT and Thrive principles. </w:t>
                  </w:r>
                </w:p>
              </w:tc>
            </w:tr>
            <w:tr w:rsidR="004C24E3">
              <w:tc>
                <w:tcPr>
                  <w:cnfStyle w:val="000010000000" w:firstRow="0" w:lastRow="0" w:firstColumn="0" w:lastColumn="0" w:oddVBand="1" w:evenVBand="0" w:oddHBand="0" w:evenHBand="0" w:firstRowFirstColumn="0" w:firstRowLastColumn="0" w:lastRowFirstColumn="0" w:lastRowLastColumn="0"/>
                  <w:tcW w:w="9021" w:type="dxa"/>
                </w:tcPr>
                <w:p w:rsidR="004C24E3" w:rsidRDefault="00F56660">
                  <w:pPr>
                    <w:contextualSpacing w:val="0"/>
                  </w:pPr>
                  <w:r>
                    <w:t>More young people are part of a shared decision making process in their care</w:t>
                  </w:r>
                </w:p>
              </w:tc>
            </w:tr>
            <w:tr w:rsidR="004C24E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21" w:type="dxa"/>
                </w:tcPr>
                <w:p w:rsidR="004C24E3" w:rsidRDefault="00F56660">
                  <w:pPr>
                    <w:contextualSpacing w:val="0"/>
                  </w:pPr>
                  <w:r>
                    <w:t xml:space="preserve">More young people are signposted to other sources of support to improve overall well being e.g. housing support. </w:t>
                  </w:r>
                </w:p>
              </w:tc>
            </w:tr>
            <w:tr w:rsidR="004C24E3">
              <w:tc>
                <w:tcPr>
                  <w:cnfStyle w:val="000010000000" w:firstRow="0" w:lastRow="0" w:firstColumn="0" w:lastColumn="0" w:oddVBand="1" w:evenVBand="0" w:oddHBand="0" w:evenHBand="0" w:firstRowFirstColumn="0" w:firstRowLastColumn="0" w:lastRowFirstColumn="0" w:lastRowLastColumn="0"/>
                  <w:tcW w:w="9021" w:type="dxa"/>
                </w:tcPr>
                <w:p w:rsidR="004C24E3" w:rsidRDefault="00F56660">
                  <w:pPr>
                    <w:contextualSpacing w:val="0"/>
                    <w:jc w:val="both"/>
                  </w:pPr>
                  <w:r>
                    <w:t>More children, young people, families and professionals report positive experiences of the services.</w:t>
                  </w:r>
                </w:p>
              </w:tc>
            </w:tr>
          </w:tbl>
          <w:p w:rsidR="004C24E3" w:rsidRDefault="004C24E3">
            <w:pPr>
              <w:contextualSpacing w:val="0"/>
            </w:pPr>
          </w:p>
          <w:p w:rsidR="004C24E3" w:rsidRDefault="004C24E3">
            <w:pPr>
              <w:contextualSpacing w:val="0"/>
            </w:pPr>
          </w:p>
          <w:p w:rsidR="004C24E3" w:rsidRDefault="004C24E3">
            <w:pPr>
              <w:contextualSpacing w:val="0"/>
            </w:pPr>
          </w:p>
          <w:tbl>
            <w:tblPr>
              <w:tblStyle w:val="a4"/>
              <w:tblW w:w="88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826"/>
            </w:tblGrid>
            <w:tr w:rsidR="004C24E3">
              <w:tc>
                <w:tcPr>
                  <w:tcW w:w="8826" w:type="dxa"/>
                  <w:shd w:val="clear" w:color="auto" w:fill="C9DAF8"/>
                  <w:tcMar>
                    <w:top w:w="100" w:type="dxa"/>
                    <w:left w:w="100" w:type="dxa"/>
                    <w:bottom w:w="100" w:type="dxa"/>
                    <w:right w:w="100" w:type="dxa"/>
                  </w:tcMar>
                </w:tcPr>
                <w:p w:rsidR="004C24E3" w:rsidRDefault="00F56660">
                  <w:pPr>
                    <w:jc w:val="left"/>
                    <w:rPr>
                      <w:rFonts w:ascii="Calibri" w:eastAsia="Calibri" w:hAnsi="Calibri" w:cs="Calibri"/>
                      <w:sz w:val="22"/>
                      <w:szCs w:val="22"/>
                    </w:rPr>
                  </w:pPr>
                  <w:r>
                    <w:rPr>
                      <w:rFonts w:ascii="Calibri" w:eastAsia="Calibri" w:hAnsi="Calibri" w:cs="Calibri"/>
                      <w:sz w:val="22"/>
                      <w:szCs w:val="22"/>
                    </w:rPr>
                    <w:t xml:space="preserve">3. </w:t>
                  </w:r>
                  <w:r>
                    <w:rPr>
                      <w:rFonts w:ascii="Calibri" w:eastAsia="Calibri" w:hAnsi="Calibri" w:cs="Calibri"/>
                      <w:b/>
                      <w:sz w:val="22"/>
                      <w:szCs w:val="22"/>
                    </w:rPr>
                    <w:t>More children and young people with mental health/emotional wellbeing issues receive the right level of intervention at the right time (contribution to system wide outcomes)</w:t>
                  </w:r>
                </w:p>
              </w:tc>
            </w:tr>
            <w:tr w:rsidR="004C24E3">
              <w:tc>
                <w:tcPr>
                  <w:tcW w:w="8826" w:type="dxa"/>
                  <w:tcMar>
                    <w:top w:w="100" w:type="dxa"/>
                    <w:left w:w="100" w:type="dxa"/>
                    <w:bottom w:w="100" w:type="dxa"/>
                    <w:right w:w="100" w:type="dxa"/>
                  </w:tcMar>
                </w:tcPr>
                <w:p w:rsidR="004C24E3" w:rsidRDefault="00F56660">
                  <w:pPr>
                    <w:jc w:val="left"/>
                    <w:rPr>
                      <w:rFonts w:ascii="Calibri" w:eastAsia="Calibri" w:hAnsi="Calibri" w:cs="Calibri"/>
                      <w:sz w:val="22"/>
                      <w:szCs w:val="22"/>
                      <w:highlight w:val="cyan"/>
                    </w:rPr>
                  </w:pPr>
                  <w:r>
                    <w:rPr>
                      <w:rFonts w:ascii="Calibri" w:eastAsia="Calibri" w:hAnsi="Calibri" w:cs="Calibri"/>
                      <w:sz w:val="22"/>
                      <w:szCs w:val="22"/>
                    </w:rPr>
                    <w:t xml:space="preserve">More children and young people receive a prompt holistic (Early Help) assessment </w:t>
                  </w:r>
                </w:p>
              </w:tc>
            </w:tr>
            <w:tr w:rsidR="004C24E3">
              <w:tc>
                <w:tcPr>
                  <w:tcW w:w="8826" w:type="dxa"/>
                  <w:tcMar>
                    <w:top w:w="100" w:type="dxa"/>
                    <w:left w:w="100" w:type="dxa"/>
                    <w:bottom w:w="100" w:type="dxa"/>
                    <w:right w:w="100" w:type="dxa"/>
                  </w:tcMar>
                </w:tcPr>
                <w:p w:rsidR="004C24E3" w:rsidRDefault="00F56660">
                  <w:pPr>
                    <w:jc w:val="left"/>
                    <w:rPr>
                      <w:rFonts w:ascii="Calibri" w:eastAsia="Calibri" w:hAnsi="Calibri" w:cs="Calibri"/>
                      <w:sz w:val="22"/>
                      <w:szCs w:val="22"/>
                      <w:highlight w:val="cyan"/>
                    </w:rPr>
                  </w:pPr>
                  <w:r>
                    <w:rPr>
                      <w:rFonts w:ascii="Calibri" w:eastAsia="Calibri" w:hAnsi="Calibri" w:cs="Calibri"/>
                      <w:sz w:val="22"/>
                      <w:szCs w:val="22"/>
                    </w:rPr>
                    <w:t xml:space="preserve">Length of time to assessment and intervention is reduced </w:t>
                  </w:r>
                </w:p>
              </w:tc>
            </w:tr>
            <w:tr w:rsidR="004C24E3">
              <w:tc>
                <w:tcPr>
                  <w:tcW w:w="8826" w:type="dxa"/>
                  <w:tcMar>
                    <w:top w:w="100" w:type="dxa"/>
                    <w:left w:w="100" w:type="dxa"/>
                    <w:bottom w:w="100" w:type="dxa"/>
                    <w:right w:w="100" w:type="dxa"/>
                  </w:tcMar>
                </w:tcPr>
                <w:p w:rsidR="004C24E3" w:rsidRDefault="00F56660">
                  <w:pPr>
                    <w:jc w:val="left"/>
                    <w:rPr>
                      <w:rFonts w:ascii="Calibri" w:eastAsia="Calibri" w:hAnsi="Calibri" w:cs="Calibri"/>
                      <w:sz w:val="22"/>
                      <w:szCs w:val="22"/>
                    </w:rPr>
                  </w:pPr>
                  <w:r>
                    <w:rPr>
                      <w:rFonts w:ascii="Calibri" w:eastAsia="Calibri" w:hAnsi="Calibri" w:cs="Calibri"/>
                      <w:sz w:val="22"/>
                      <w:szCs w:val="22"/>
                    </w:rPr>
                    <w:t>Fewer children and young people are inappropriately referred to specialist CAMH provision</w:t>
                  </w:r>
                </w:p>
              </w:tc>
            </w:tr>
            <w:tr w:rsidR="004C24E3">
              <w:tc>
                <w:tcPr>
                  <w:tcW w:w="8826" w:type="dxa"/>
                  <w:tcMar>
                    <w:top w:w="100" w:type="dxa"/>
                    <w:left w:w="100" w:type="dxa"/>
                    <w:bottom w:w="100" w:type="dxa"/>
                    <w:right w:w="100" w:type="dxa"/>
                  </w:tcMar>
                </w:tcPr>
                <w:p w:rsidR="004C24E3" w:rsidRDefault="00F56660">
                  <w:pPr>
                    <w:jc w:val="left"/>
                    <w:rPr>
                      <w:rFonts w:ascii="Calibri" w:eastAsia="Calibri" w:hAnsi="Calibri" w:cs="Calibri"/>
                      <w:sz w:val="22"/>
                      <w:szCs w:val="22"/>
                    </w:rPr>
                  </w:pPr>
                  <w:r>
                    <w:rPr>
                      <w:rFonts w:ascii="Calibri" w:eastAsia="Calibri" w:hAnsi="Calibri" w:cs="Calibri"/>
                      <w:sz w:val="22"/>
                      <w:szCs w:val="22"/>
                    </w:rPr>
                    <w:t>Fewer children and young people reach mental health crisis</w:t>
                  </w:r>
                </w:p>
              </w:tc>
            </w:tr>
            <w:tr w:rsidR="004C24E3">
              <w:tc>
                <w:tcPr>
                  <w:tcW w:w="8826" w:type="dxa"/>
                  <w:tcMar>
                    <w:top w:w="100" w:type="dxa"/>
                    <w:left w:w="100" w:type="dxa"/>
                    <w:bottom w:w="100" w:type="dxa"/>
                    <w:right w:w="100" w:type="dxa"/>
                  </w:tcMar>
                </w:tcPr>
                <w:p w:rsidR="004C24E3" w:rsidRDefault="00F56660">
                  <w:pPr>
                    <w:jc w:val="left"/>
                    <w:rPr>
                      <w:rFonts w:ascii="Calibri" w:eastAsia="Calibri" w:hAnsi="Calibri" w:cs="Calibri"/>
                      <w:sz w:val="22"/>
                      <w:szCs w:val="22"/>
                    </w:rPr>
                  </w:pPr>
                  <w:r>
                    <w:rPr>
                      <w:rFonts w:ascii="Calibri" w:eastAsia="Calibri" w:hAnsi="Calibri" w:cs="Calibri"/>
                      <w:sz w:val="22"/>
                      <w:szCs w:val="22"/>
                    </w:rPr>
                    <w:t>Fewer children and young people present to Emergency Departments as a result of deliberate self-harm or suicide attempt</w:t>
                  </w:r>
                </w:p>
              </w:tc>
            </w:tr>
          </w:tbl>
          <w:p w:rsidR="004C24E3" w:rsidRDefault="004C24E3">
            <w:pPr>
              <w:contextualSpacing w:val="0"/>
            </w:pPr>
          </w:p>
          <w:p w:rsidR="004C24E3" w:rsidRDefault="004C24E3">
            <w:pPr>
              <w:contextualSpacing w:val="0"/>
            </w:pPr>
          </w:p>
          <w:p w:rsidR="004C24E3" w:rsidRDefault="004C24E3">
            <w:pPr>
              <w:contextualSpacing w:val="0"/>
            </w:pPr>
          </w:p>
          <w:tbl>
            <w:tblPr>
              <w:tblStyle w:val="a5"/>
              <w:tblW w:w="88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826"/>
            </w:tblGrid>
            <w:tr w:rsidR="004C24E3">
              <w:tc>
                <w:tcPr>
                  <w:tcW w:w="8826" w:type="dxa"/>
                  <w:shd w:val="clear" w:color="auto" w:fill="C9DAF8"/>
                  <w:tcMar>
                    <w:top w:w="100" w:type="dxa"/>
                    <w:left w:w="100" w:type="dxa"/>
                    <w:bottom w:w="100" w:type="dxa"/>
                    <w:right w:w="100" w:type="dxa"/>
                  </w:tcMar>
                </w:tcPr>
                <w:p w:rsidR="004C24E3" w:rsidRDefault="00F56660">
                  <w:pPr>
                    <w:jc w:val="left"/>
                    <w:rPr>
                      <w:rFonts w:ascii="Calibri" w:eastAsia="Calibri" w:hAnsi="Calibri" w:cs="Calibri"/>
                      <w:sz w:val="22"/>
                      <w:szCs w:val="22"/>
                    </w:rPr>
                  </w:pPr>
                  <w:r>
                    <w:rPr>
                      <w:rFonts w:ascii="Calibri" w:eastAsia="Calibri" w:hAnsi="Calibri" w:cs="Calibri"/>
                      <w:sz w:val="22"/>
                      <w:szCs w:val="22"/>
                    </w:rPr>
                    <w:t xml:space="preserve">4. </w:t>
                  </w:r>
                  <w:r>
                    <w:rPr>
                      <w:rFonts w:ascii="Calibri" w:eastAsia="Calibri" w:hAnsi="Calibri" w:cs="Calibri"/>
                      <w:b/>
                      <w:sz w:val="22"/>
                      <w:szCs w:val="22"/>
                    </w:rPr>
                    <w:t>More children, young people, families and professionals know how to promote and sustain good mental health and emotional wellbeing</w:t>
                  </w:r>
                </w:p>
              </w:tc>
            </w:tr>
            <w:tr w:rsidR="004C24E3">
              <w:tc>
                <w:tcPr>
                  <w:tcW w:w="8826" w:type="dxa"/>
                  <w:tcMar>
                    <w:top w:w="100" w:type="dxa"/>
                    <w:left w:w="100" w:type="dxa"/>
                    <w:bottom w:w="100" w:type="dxa"/>
                    <w:right w:w="100" w:type="dxa"/>
                  </w:tcMar>
                </w:tcPr>
                <w:p w:rsidR="004C24E3" w:rsidRDefault="00F56660">
                  <w:pPr>
                    <w:rPr>
                      <w:rFonts w:ascii="Calibri" w:eastAsia="Calibri" w:hAnsi="Calibri" w:cs="Calibri"/>
                      <w:sz w:val="22"/>
                      <w:szCs w:val="22"/>
                    </w:rPr>
                  </w:pPr>
                  <w:r>
                    <w:rPr>
                      <w:rFonts w:ascii="Calibri" w:eastAsia="Calibri" w:hAnsi="Calibri" w:cs="Calibri"/>
                      <w:sz w:val="22"/>
                      <w:szCs w:val="22"/>
                    </w:rPr>
                    <w:t>More children and young people understand how to obtain and maintain good mental health and emotional wellbeing</w:t>
                  </w:r>
                </w:p>
              </w:tc>
            </w:tr>
            <w:tr w:rsidR="004C24E3">
              <w:tc>
                <w:tcPr>
                  <w:tcW w:w="8826" w:type="dxa"/>
                  <w:tcMar>
                    <w:top w:w="100" w:type="dxa"/>
                    <w:left w:w="100" w:type="dxa"/>
                    <w:bottom w:w="100" w:type="dxa"/>
                    <w:right w:w="100" w:type="dxa"/>
                  </w:tcMar>
                </w:tcPr>
                <w:p w:rsidR="004C24E3" w:rsidRDefault="00F56660">
                  <w:pPr>
                    <w:rPr>
                      <w:rFonts w:ascii="Calibri" w:eastAsia="Calibri" w:hAnsi="Calibri" w:cs="Calibri"/>
                      <w:sz w:val="22"/>
                      <w:szCs w:val="22"/>
                    </w:rPr>
                  </w:pPr>
                  <w:r>
                    <w:rPr>
                      <w:rFonts w:ascii="Calibri" w:eastAsia="Calibri" w:hAnsi="Calibri" w:cs="Calibri"/>
                      <w:sz w:val="22"/>
                      <w:szCs w:val="22"/>
                    </w:rPr>
                    <w:t>More professionals have increased understanding of mental health conditions and how to promote, teach and support good mental health  and emotional wellbeing amongst children and young people</w:t>
                  </w:r>
                </w:p>
              </w:tc>
            </w:tr>
            <w:tr w:rsidR="004C24E3">
              <w:tc>
                <w:tcPr>
                  <w:tcW w:w="8826" w:type="dxa"/>
                  <w:tcMar>
                    <w:top w:w="100" w:type="dxa"/>
                    <w:left w:w="100" w:type="dxa"/>
                    <w:bottom w:w="100" w:type="dxa"/>
                    <w:right w:w="100" w:type="dxa"/>
                  </w:tcMar>
                </w:tcPr>
                <w:p w:rsidR="004C24E3" w:rsidRDefault="00F56660">
                  <w:pPr>
                    <w:rPr>
                      <w:rFonts w:ascii="Calibri" w:eastAsia="Calibri" w:hAnsi="Calibri" w:cs="Calibri"/>
                      <w:sz w:val="22"/>
                      <w:szCs w:val="22"/>
                    </w:rPr>
                  </w:pPr>
                  <w:r>
                    <w:rPr>
                      <w:rFonts w:ascii="Calibri" w:eastAsia="Calibri" w:hAnsi="Calibri" w:cs="Calibri"/>
                      <w:sz w:val="22"/>
                      <w:szCs w:val="22"/>
                    </w:rPr>
                    <w:t xml:space="preserve">More children and young people report feeling able to support or speak to peers about their mental health. </w:t>
                  </w:r>
                </w:p>
              </w:tc>
            </w:tr>
            <w:tr w:rsidR="004C24E3">
              <w:tc>
                <w:tcPr>
                  <w:tcW w:w="8826" w:type="dxa"/>
                  <w:tcMar>
                    <w:top w:w="100" w:type="dxa"/>
                    <w:left w:w="100" w:type="dxa"/>
                    <w:bottom w:w="100" w:type="dxa"/>
                    <w:right w:w="100" w:type="dxa"/>
                  </w:tcMar>
                </w:tcPr>
                <w:p w:rsidR="004C24E3" w:rsidRDefault="00F56660">
                  <w:pPr>
                    <w:jc w:val="left"/>
                    <w:rPr>
                      <w:rFonts w:ascii="Calibri" w:eastAsia="Calibri" w:hAnsi="Calibri" w:cs="Calibri"/>
                      <w:sz w:val="22"/>
                      <w:szCs w:val="22"/>
                    </w:rPr>
                  </w:pPr>
                  <w:r>
                    <w:rPr>
                      <w:rFonts w:ascii="Calibri" w:eastAsia="Calibri" w:hAnsi="Calibri" w:cs="Calibri"/>
                      <w:sz w:val="22"/>
                      <w:szCs w:val="22"/>
                    </w:rPr>
                    <w:t>More children, young people and families know how to access advice and support to improve their mental health</w:t>
                  </w:r>
                </w:p>
              </w:tc>
            </w:tr>
            <w:tr w:rsidR="004C24E3">
              <w:tc>
                <w:tcPr>
                  <w:tcW w:w="8826" w:type="dxa"/>
                  <w:tcMar>
                    <w:top w:w="100" w:type="dxa"/>
                    <w:left w:w="100" w:type="dxa"/>
                    <w:bottom w:w="100" w:type="dxa"/>
                    <w:right w:w="100" w:type="dxa"/>
                  </w:tcMar>
                </w:tcPr>
                <w:p w:rsidR="004C24E3" w:rsidRDefault="00F56660">
                  <w:pPr>
                    <w:rPr>
                      <w:rFonts w:ascii="Calibri" w:eastAsia="Calibri" w:hAnsi="Calibri" w:cs="Calibri"/>
                      <w:sz w:val="22"/>
                      <w:szCs w:val="22"/>
                    </w:rPr>
                  </w:pPr>
                  <w:r>
                    <w:rPr>
                      <w:rFonts w:ascii="Calibri" w:eastAsia="Calibri" w:hAnsi="Calibri" w:cs="Calibri"/>
                      <w:sz w:val="22"/>
                      <w:szCs w:val="22"/>
                    </w:rPr>
                    <w:t>More parents/carers have increased understanding of how to promote and support the mental health and emotional wellbeing of their children</w:t>
                  </w:r>
                </w:p>
              </w:tc>
            </w:tr>
          </w:tbl>
          <w:p w:rsidR="004C24E3" w:rsidRDefault="004C24E3">
            <w:pPr>
              <w:contextualSpacing w:val="0"/>
            </w:pPr>
          </w:p>
          <w:p w:rsidR="004C24E3" w:rsidRDefault="00F56660">
            <w:pPr>
              <w:contextualSpacing w:val="0"/>
            </w:pPr>
            <w:r>
              <w:t xml:space="preserve">*vulnerable young people are those who may be at higher risk of poor mental health, for example </w:t>
            </w:r>
            <w:r>
              <w:lastRenderedPageBreak/>
              <w:t xml:space="preserve">those who are not in education, employment or training (NEET), teenage parents, those that identify as LGBTQ or those who have suffered abuse.  </w:t>
            </w:r>
          </w:p>
          <w:p w:rsidR="004C24E3" w:rsidRDefault="004C24E3">
            <w:pPr>
              <w:contextualSpacing w:val="0"/>
            </w:pPr>
          </w:p>
        </w:tc>
      </w:tr>
      <w:tr w:rsidR="004C24E3" w:rsidTr="004C24E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64" w:type="dxa"/>
            <w:shd w:val="clear" w:color="auto" w:fill="CCCCCC"/>
          </w:tcPr>
          <w:p w:rsidR="004C24E3" w:rsidRDefault="004C24E3">
            <w:pPr>
              <w:contextualSpacing w:val="0"/>
            </w:pPr>
          </w:p>
          <w:p w:rsidR="004C24E3" w:rsidRDefault="00F56660">
            <w:pPr>
              <w:contextualSpacing w:val="0"/>
              <w:rPr>
                <w:b/>
                <w:color w:val="FF0000"/>
              </w:rPr>
            </w:pPr>
            <w:r>
              <w:rPr>
                <w:b/>
                <w:color w:val="FF0000"/>
              </w:rPr>
              <w:t>4.0 Service Description</w:t>
            </w:r>
          </w:p>
          <w:p w:rsidR="004C24E3" w:rsidRDefault="004C24E3">
            <w:pPr>
              <w:contextualSpacing w:val="0"/>
            </w:pPr>
          </w:p>
        </w:tc>
      </w:tr>
      <w:tr w:rsidR="004C24E3">
        <w:tc>
          <w:tcPr>
            <w:cnfStyle w:val="000010000000" w:firstRow="0" w:lastRow="0" w:firstColumn="0" w:lastColumn="0" w:oddVBand="1" w:evenVBand="0" w:oddHBand="0" w:evenHBand="0" w:firstRowFirstColumn="0" w:firstRowLastColumn="0" w:lastRowFirstColumn="0" w:lastRowLastColumn="0"/>
            <w:tcW w:w="9464" w:type="dxa"/>
          </w:tcPr>
          <w:p w:rsidR="004C24E3" w:rsidRDefault="004C24E3">
            <w:pPr>
              <w:contextualSpacing w:val="0"/>
            </w:pPr>
          </w:p>
          <w:p w:rsidR="004C24E3" w:rsidRDefault="00F56660">
            <w:pPr>
              <w:contextualSpacing w:val="0"/>
            </w:pPr>
            <w:r>
              <w:rPr>
                <w:color w:val="339966"/>
              </w:rPr>
              <w:t>4.1 Service Description</w:t>
            </w:r>
          </w:p>
          <w:p w:rsidR="004C24E3" w:rsidRDefault="004C24E3">
            <w:pPr>
              <w:contextualSpacing w:val="0"/>
            </w:pPr>
          </w:p>
          <w:p w:rsidR="004C24E3" w:rsidRDefault="00F56660">
            <w:pPr>
              <w:contextualSpacing w:val="0"/>
            </w:pPr>
            <w:r>
              <w:t>The service will mainly be providing services within the ‘Getting Help’ grouping of Thrive and the activities within them (see diagram below).</w:t>
            </w:r>
          </w:p>
          <w:p w:rsidR="004C24E3" w:rsidRDefault="004C24E3">
            <w:pPr>
              <w:contextualSpacing w:val="0"/>
            </w:pPr>
          </w:p>
          <w:p w:rsidR="004C24E3" w:rsidRDefault="00F56660">
            <w:pPr>
              <w:spacing w:after="200" w:line="276" w:lineRule="auto"/>
              <w:contextualSpacing w:val="0"/>
            </w:pPr>
            <w:r>
              <w:rPr>
                <w:noProof/>
              </w:rPr>
              <w:drawing>
                <wp:inline distT="0" distB="0" distL="0" distR="0">
                  <wp:extent cx="2688330" cy="2614971"/>
                  <wp:effectExtent l="0" t="0" r="0" b="0"/>
                  <wp:docPr id="1"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36"/>
                          <a:srcRect t="2113" r="3840" b="1412"/>
                          <a:stretch>
                            <a:fillRect/>
                          </a:stretch>
                        </pic:blipFill>
                        <pic:spPr>
                          <a:xfrm>
                            <a:off x="0" y="0"/>
                            <a:ext cx="2688330" cy="2614971"/>
                          </a:xfrm>
                          <a:prstGeom prst="rect">
                            <a:avLst/>
                          </a:prstGeom>
                          <a:ln/>
                        </pic:spPr>
                      </pic:pic>
                    </a:graphicData>
                  </a:graphic>
                </wp:inline>
              </w:drawing>
            </w:r>
            <w:r>
              <w:rPr>
                <w:noProof/>
              </w:rPr>
              <w:drawing>
                <wp:inline distT="0" distB="0" distL="0" distR="0">
                  <wp:extent cx="2740220" cy="2656735"/>
                  <wp:effectExtent l="0" t="0" r="0" b="0"/>
                  <wp:docPr id="2" name="image04.png"/>
                  <wp:cNvGraphicFramePr/>
                  <a:graphic xmlns:a="http://schemas.openxmlformats.org/drawingml/2006/main">
                    <a:graphicData uri="http://schemas.openxmlformats.org/drawingml/2006/picture">
                      <pic:pic xmlns:pic="http://schemas.openxmlformats.org/drawingml/2006/picture">
                        <pic:nvPicPr>
                          <pic:cNvPr id="0" name="image04.png"/>
                          <pic:cNvPicPr preferRelativeResize="0"/>
                        </pic:nvPicPr>
                        <pic:blipFill>
                          <a:blip r:embed="rId37"/>
                          <a:srcRect/>
                          <a:stretch>
                            <a:fillRect/>
                          </a:stretch>
                        </pic:blipFill>
                        <pic:spPr>
                          <a:xfrm>
                            <a:off x="0" y="0"/>
                            <a:ext cx="2740220" cy="2656735"/>
                          </a:xfrm>
                          <a:prstGeom prst="rect">
                            <a:avLst/>
                          </a:prstGeom>
                          <a:ln/>
                        </pic:spPr>
                      </pic:pic>
                    </a:graphicData>
                  </a:graphic>
                </wp:inline>
              </w:drawing>
            </w:r>
          </w:p>
          <w:p w:rsidR="004C24E3" w:rsidRDefault="004C24E3">
            <w:pPr>
              <w:contextualSpacing w:val="0"/>
            </w:pPr>
          </w:p>
          <w:p w:rsidR="004C24E3" w:rsidRDefault="004C24E3">
            <w:pPr>
              <w:contextualSpacing w:val="0"/>
            </w:pPr>
          </w:p>
          <w:p w:rsidR="004C24E3" w:rsidRDefault="00F56660">
            <w:pPr>
              <w:contextualSpacing w:val="0"/>
            </w:pPr>
            <w:r>
              <w:t>It will be a free and confidential service that provides a range of evidence-based talking therapies for children and young people across Cambridgeshire and Peterborough. The service will strictly adhere to the Thrive principles (</w:t>
            </w:r>
            <w:hyperlink r:id="rId38">
              <w:r>
                <w:rPr>
                  <w:color w:val="1155CC"/>
                  <w:u w:val="single"/>
                </w:rPr>
                <w:t>http://www.implementingthrive.org</w:t>
              </w:r>
            </w:hyperlink>
            <w:r>
              <w:t xml:space="preserve">); these include shared decision making, evidence based interventions that are outcome focus and alignment with CYP Improving Access to Psychological Therapies (IAPT). </w:t>
            </w:r>
          </w:p>
          <w:p w:rsidR="004C24E3" w:rsidRDefault="004C24E3">
            <w:pPr>
              <w:contextualSpacing w:val="0"/>
            </w:pPr>
          </w:p>
          <w:p w:rsidR="004C24E3" w:rsidRDefault="00F56660">
            <w:pPr>
              <w:contextualSpacing w:val="0"/>
            </w:pPr>
            <w:r>
              <w:t>The service should also follow the general principles set out below:</w:t>
            </w:r>
          </w:p>
          <w:p w:rsidR="004C24E3" w:rsidRDefault="004C24E3">
            <w:pPr>
              <w:contextualSpacing w:val="0"/>
            </w:pPr>
          </w:p>
          <w:p w:rsidR="004C24E3" w:rsidRDefault="00F56660">
            <w:pPr>
              <w:contextualSpacing w:val="0"/>
              <w:rPr>
                <w:highlight w:val="cyan"/>
              </w:rPr>
            </w:pPr>
            <w:r>
              <w:rPr>
                <w:b/>
              </w:rPr>
              <w:t xml:space="preserve">Goals Focused </w:t>
            </w:r>
          </w:p>
          <w:p w:rsidR="004C24E3" w:rsidRDefault="00F56660">
            <w:pPr>
              <w:contextualSpacing w:val="0"/>
            </w:pPr>
            <w:r>
              <w:t>Interventions will be goal focused and begin with the end in mind. Children and young people will be directly involved in setting goals for their treatment as part of a shared decision making approach.</w:t>
            </w:r>
          </w:p>
          <w:p w:rsidR="004C24E3" w:rsidRDefault="004C24E3">
            <w:pPr>
              <w:contextualSpacing w:val="0"/>
            </w:pPr>
          </w:p>
          <w:p w:rsidR="004C24E3" w:rsidRDefault="00F56660">
            <w:pPr>
              <w:contextualSpacing w:val="0"/>
              <w:rPr>
                <w:b/>
              </w:rPr>
            </w:pPr>
            <w:r>
              <w:rPr>
                <w:b/>
              </w:rPr>
              <w:t>Evidence Based</w:t>
            </w:r>
          </w:p>
          <w:p w:rsidR="004C24E3" w:rsidRDefault="00F56660">
            <w:pPr>
              <w:contextualSpacing w:val="0"/>
            </w:pPr>
            <w:r>
              <w:t xml:space="preserve">All interventions and assessment/screening tools will be evidence based [defined as robust or verified by external evidence and/or general consensus of clinical/expert opinion on the impact or effectiveness is available] and align with NICE Guidance in terms of best practice.  </w:t>
            </w:r>
          </w:p>
          <w:p w:rsidR="004C24E3" w:rsidRDefault="004C24E3">
            <w:pPr>
              <w:contextualSpacing w:val="0"/>
            </w:pPr>
          </w:p>
          <w:p w:rsidR="004C24E3" w:rsidRDefault="00F56660">
            <w:pPr>
              <w:contextualSpacing w:val="0"/>
              <w:rPr>
                <w:b/>
              </w:rPr>
            </w:pPr>
            <w:r>
              <w:rPr>
                <w:b/>
              </w:rPr>
              <w:lastRenderedPageBreak/>
              <w:t>Outcome Focused</w:t>
            </w:r>
          </w:p>
          <w:p w:rsidR="004C24E3" w:rsidRDefault="00F56660">
            <w:pPr>
              <w:contextualSpacing w:val="0"/>
            </w:pPr>
            <w:r>
              <w:t>The service will be rigorously outcome focused, with an effective evaluation framework through which distance travelled and improvements in outcomes for individuals are captured. Self reported outcome measurements will be central to this service.</w:t>
            </w:r>
          </w:p>
          <w:p w:rsidR="004C24E3" w:rsidRDefault="004C24E3">
            <w:pPr>
              <w:contextualSpacing w:val="0"/>
            </w:pPr>
          </w:p>
          <w:p w:rsidR="004C24E3" w:rsidRDefault="00F56660">
            <w:pPr>
              <w:contextualSpacing w:val="0"/>
              <w:rPr>
                <w:b/>
              </w:rPr>
            </w:pPr>
            <w:r>
              <w:rPr>
                <w:b/>
              </w:rPr>
              <w:t>Brief and Care planned</w:t>
            </w:r>
          </w:p>
          <w:p w:rsidR="004C24E3" w:rsidRDefault="00F56660">
            <w:pPr>
              <w:contextualSpacing w:val="0"/>
            </w:pPr>
            <w:r>
              <w:t xml:space="preserve">Interventions will be brief, time limited (estimated 1-12 sessions but this is not prescribed) and care planned. Each child/young person will receive a comprehensive assessment (likely to be an Early Help assessment plus additional screening/assessment tools).  Where intervention is appropriate, children and young people will have a shared decision making role by goal setting, selecting interventions and self reporting outcome measures. Those leaving the service will have an agreed and documented discharge plan that supports self-management and explains how to access help if this becomes necessary. </w:t>
            </w:r>
          </w:p>
          <w:p w:rsidR="004C24E3" w:rsidRDefault="004C24E3">
            <w:pPr>
              <w:contextualSpacing w:val="0"/>
              <w:rPr>
                <w:b/>
              </w:rPr>
            </w:pPr>
          </w:p>
          <w:p w:rsidR="004C24E3" w:rsidRDefault="00F56660">
            <w:pPr>
              <w:contextualSpacing w:val="0"/>
              <w:rPr>
                <w:b/>
              </w:rPr>
            </w:pPr>
            <w:r>
              <w:rPr>
                <w:b/>
              </w:rPr>
              <w:t>Child, young person and parent/carer centred</w:t>
            </w:r>
          </w:p>
          <w:p w:rsidR="004C24E3" w:rsidRDefault="00F56660">
            <w:pPr>
              <w:contextualSpacing w:val="0"/>
            </w:pPr>
            <w:r>
              <w:t>Choice, personalisation and age appropriateness will underpin service delivery, care planning and coordination. The service will work flexibly to accommodate the needs and wishes of individual service users and involve them in shared decision making. Information will be provided about intervention options and care plans to enable children, young people and parents/carers to make informed decisions about their care, as appropriate to their competence and capacity. It will be in a format that is clear, easy to understand and jargon free.</w:t>
            </w:r>
          </w:p>
          <w:p w:rsidR="004C24E3" w:rsidRDefault="004C24E3">
            <w:pPr>
              <w:contextualSpacing w:val="0"/>
            </w:pPr>
          </w:p>
          <w:p w:rsidR="004C24E3" w:rsidRDefault="00F56660">
            <w:pPr>
              <w:contextualSpacing w:val="0"/>
            </w:pPr>
            <w:r>
              <w:t xml:space="preserve">Each person or family accessing services is entitled to the following respect agenda: </w:t>
            </w:r>
          </w:p>
          <w:p w:rsidR="004C24E3" w:rsidRDefault="00F56660">
            <w:pPr>
              <w:contextualSpacing w:val="0"/>
              <w:jc w:val="center"/>
            </w:pPr>
            <w:r>
              <w:rPr>
                <w:noProof/>
              </w:rPr>
              <w:drawing>
                <wp:inline distT="0" distB="0" distL="0" distR="0">
                  <wp:extent cx="5428933" cy="3275123"/>
                  <wp:effectExtent l="0" t="0" r="0" b="0"/>
                  <wp:docPr id="3" name="image05.png"/>
                  <wp:cNvGraphicFramePr/>
                  <a:graphic xmlns:a="http://schemas.openxmlformats.org/drawingml/2006/main">
                    <a:graphicData uri="http://schemas.openxmlformats.org/drawingml/2006/picture">
                      <pic:pic xmlns:pic="http://schemas.openxmlformats.org/drawingml/2006/picture">
                        <pic:nvPicPr>
                          <pic:cNvPr id="0" name="image05.png"/>
                          <pic:cNvPicPr preferRelativeResize="0"/>
                        </pic:nvPicPr>
                        <pic:blipFill>
                          <a:blip r:embed="rId39"/>
                          <a:srcRect/>
                          <a:stretch>
                            <a:fillRect/>
                          </a:stretch>
                        </pic:blipFill>
                        <pic:spPr>
                          <a:xfrm>
                            <a:off x="0" y="0"/>
                            <a:ext cx="5428933" cy="3275123"/>
                          </a:xfrm>
                          <a:prstGeom prst="rect">
                            <a:avLst/>
                          </a:prstGeom>
                          <a:ln/>
                        </pic:spPr>
                      </pic:pic>
                    </a:graphicData>
                  </a:graphic>
                </wp:inline>
              </w:drawing>
            </w:r>
          </w:p>
          <w:p w:rsidR="004C24E3" w:rsidRDefault="00F56660">
            <w:pPr>
              <w:contextualSpacing w:val="0"/>
            </w:pPr>
            <w:r>
              <w:t>Source: Thrive Elaborated 2</w:t>
            </w:r>
            <w:r>
              <w:rPr>
                <w:vertAlign w:val="superscript"/>
              </w:rPr>
              <w:t>nd</w:t>
            </w:r>
            <w:r>
              <w:t xml:space="preserve"> Edition.</w:t>
            </w:r>
          </w:p>
          <w:p w:rsidR="004C24E3" w:rsidRDefault="004C24E3">
            <w:pPr>
              <w:contextualSpacing w:val="0"/>
            </w:pPr>
          </w:p>
          <w:p w:rsidR="004C24E3" w:rsidRDefault="00F56660">
            <w:pPr>
              <w:contextualSpacing w:val="0"/>
            </w:pPr>
            <w:r>
              <w:t xml:space="preserve">Children, young people and families will be involved in the design and review of the service. </w:t>
            </w:r>
          </w:p>
          <w:p w:rsidR="004C24E3" w:rsidRDefault="004C24E3">
            <w:pPr>
              <w:contextualSpacing w:val="0"/>
            </w:pPr>
          </w:p>
          <w:p w:rsidR="004C24E3" w:rsidRDefault="00F56660">
            <w:pPr>
              <w:contextualSpacing w:val="0"/>
              <w:rPr>
                <w:b/>
              </w:rPr>
            </w:pPr>
            <w:r>
              <w:rPr>
                <w:b/>
              </w:rPr>
              <w:t>Flexible and Accessible</w:t>
            </w:r>
          </w:p>
          <w:p w:rsidR="004C24E3" w:rsidRDefault="00F56660">
            <w:pPr>
              <w:contextualSpacing w:val="0"/>
            </w:pPr>
            <w:r>
              <w:t xml:space="preserve">The service will offer a range of interventions tailored to the needs and preferences of those </w:t>
            </w:r>
            <w:r>
              <w:lastRenderedPageBreak/>
              <w:t>presenting. There will be targeted approaches to engage those who are highly vulnerable or reluctant to engage. The service will also respond flexibly to emerging patterns and adapt provision accordingly.</w:t>
            </w:r>
          </w:p>
          <w:p w:rsidR="004C24E3" w:rsidRDefault="004C24E3">
            <w:pPr>
              <w:contextualSpacing w:val="0"/>
            </w:pPr>
          </w:p>
          <w:p w:rsidR="004C24E3" w:rsidRDefault="00F56660">
            <w:pPr>
              <w:contextualSpacing w:val="0"/>
            </w:pPr>
            <w:r>
              <w:t xml:space="preserve">Delivery will be at times and locations in the community suited to children, young people and their families. Sufficient capacity and demand management will allow children and young people to be seen in a timely manner. </w:t>
            </w:r>
          </w:p>
          <w:p w:rsidR="004C24E3" w:rsidRDefault="004C24E3">
            <w:pPr>
              <w:contextualSpacing w:val="0"/>
            </w:pPr>
          </w:p>
          <w:p w:rsidR="004C24E3" w:rsidRDefault="00F56660">
            <w:pPr>
              <w:contextualSpacing w:val="0"/>
            </w:pPr>
            <w:r>
              <w:t>The service will ensure equity of access for all groups, including those who may find it hard to access such as minority ethnic communities, non-English speakers, those with a physical and/or learning disability, looked after children, refugees,  unaccompanied asylum seeking minors, young carers, people who are homeless and LGBTQ groups.</w:t>
            </w:r>
          </w:p>
          <w:p w:rsidR="004C24E3" w:rsidRDefault="004C24E3">
            <w:pPr>
              <w:contextualSpacing w:val="0"/>
            </w:pPr>
          </w:p>
          <w:p w:rsidR="004C24E3" w:rsidRDefault="00F56660">
            <w:pPr>
              <w:contextualSpacing w:val="0"/>
            </w:pPr>
            <w:r>
              <w:t xml:space="preserve">A trusted brand will be established and the service well publicised to children, young people, families and professionals. </w:t>
            </w:r>
          </w:p>
          <w:p w:rsidR="004C24E3" w:rsidRDefault="004C24E3">
            <w:pPr>
              <w:contextualSpacing w:val="0"/>
              <w:jc w:val="both"/>
            </w:pPr>
          </w:p>
          <w:p w:rsidR="004C24E3" w:rsidRDefault="00F56660">
            <w:pPr>
              <w:contextualSpacing w:val="0"/>
              <w:rPr>
                <w:b/>
              </w:rPr>
            </w:pPr>
            <w:r>
              <w:rPr>
                <w:b/>
              </w:rPr>
              <w:t>Quality</w:t>
            </w:r>
          </w:p>
          <w:p w:rsidR="004C24E3" w:rsidRDefault="00F56660">
            <w:pPr>
              <w:contextualSpacing w:val="0"/>
            </w:pPr>
            <w:r>
              <w:t xml:space="preserve">The service will be of the highest quality with a commitment to continuous improvement underpinned by a robust and active quality assurance system. It will adhere to all relevant guidance and quality standards. The service will continually monitor quality and performance and utilise feedback from staff, service users and partners. The service will be a learning organisation. The service will also utilise new technologies to make the service as accessible, relevant and ‘current’ as possible. </w:t>
            </w:r>
          </w:p>
          <w:p w:rsidR="004C24E3" w:rsidRDefault="004C24E3">
            <w:pPr>
              <w:spacing w:after="160" w:line="259" w:lineRule="auto"/>
              <w:contextualSpacing w:val="0"/>
              <w:rPr>
                <w:highlight w:val="cyan"/>
              </w:rPr>
            </w:pPr>
          </w:p>
          <w:p w:rsidR="004C24E3" w:rsidRDefault="00F56660">
            <w:pPr>
              <w:spacing w:after="160" w:line="259" w:lineRule="auto"/>
              <w:contextualSpacing w:val="0"/>
              <w:rPr>
                <w:b/>
              </w:rPr>
            </w:pPr>
            <w:r>
              <w:rPr>
                <w:b/>
              </w:rPr>
              <w:t>Integrated</w:t>
            </w:r>
          </w:p>
          <w:p w:rsidR="004C24E3" w:rsidRDefault="00F56660">
            <w:pPr>
              <w:spacing w:after="160" w:line="259" w:lineRule="auto"/>
              <w:contextualSpacing w:val="0"/>
            </w:pPr>
            <w:r>
              <w:t xml:space="preserve">The service will embed itself within the transforming child mental health and emotional well being landscape, ensuring effective interfaces are in place with services in other needs groupings (Thriving, Getting Advice, Getting More Help and Risk Support). It will work with all relevant agencies to ensure that services for children and young people with mental health problems are coordinated and address their individual needs, providing a holistic approach. </w:t>
            </w:r>
          </w:p>
          <w:p w:rsidR="004C24E3" w:rsidRDefault="00F56660">
            <w:pPr>
              <w:spacing w:after="160" w:line="259" w:lineRule="auto"/>
              <w:contextualSpacing w:val="0"/>
              <w:rPr>
                <w:b/>
              </w:rPr>
            </w:pPr>
            <w:r>
              <w:rPr>
                <w:b/>
              </w:rPr>
              <w:t>Technology enabled</w:t>
            </w:r>
          </w:p>
          <w:p w:rsidR="004C24E3" w:rsidRDefault="00F56660">
            <w:pPr>
              <w:spacing w:after="160" w:line="259" w:lineRule="auto"/>
              <w:contextualSpacing w:val="0"/>
            </w:pPr>
            <w:r>
              <w:t>Best use will be made of new technology and young people’s preferences for different ways to access services and consume information will inform the service offer. Technology will be utilised to make the most efficient use of time and resources. This will include the recording and performance reporting which should be in line with the Mental Health Service Data Set (MHSDS) technical guidance.</w:t>
            </w:r>
          </w:p>
          <w:p w:rsidR="004C24E3" w:rsidRDefault="00F56660">
            <w:pPr>
              <w:spacing w:after="160" w:line="259" w:lineRule="auto"/>
              <w:contextualSpacing w:val="0"/>
              <w:rPr>
                <w:b/>
              </w:rPr>
            </w:pPr>
            <w:r>
              <w:rPr>
                <w:b/>
              </w:rPr>
              <w:t>Improve overall health and wellbeing</w:t>
            </w:r>
          </w:p>
          <w:p w:rsidR="004C24E3" w:rsidRDefault="00F56660">
            <w:pPr>
              <w:spacing w:after="160" w:line="259" w:lineRule="auto"/>
              <w:contextualSpacing w:val="0"/>
            </w:pPr>
            <w:r>
              <w:t>The service will strive to improve the overall health and wellbeing of children and young people through a variety of means including healthy lifestyles promotion and screening.</w:t>
            </w:r>
          </w:p>
          <w:p w:rsidR="004C24E3" w:rsidRDefault="004C24E3">
            <w:pPr>
              <w:contextualSpacing w:val="0"/>
            </w:pPr>
          </w:p>
          <w:p w:rsidR="004C24E3" w:rsidRDefault="00F56660">
            <w:pPr>
              <w:contextualSpacing w:val="0"/>
            </w:pPr>
            <w:r>
              <w:rPr>
                <w:color w:val="339966"/>
              </w:rPr>
              <w:t>4.2 Service Model</w:t>
            </w:r>
          </w:p>
          <w:p w:rsidR="004C24E3" w:rsidRDefault="004C24E3">
            <w:pPr>
              <w:contextualSpacing w:val="0"/>
            </w:pPr>
          </w:p>
          <w:p w:rsidR="004C24E3" w:rsidRDefault="00F56660">
            <w:pPr>
              <w:contextualSpacing w:val="0"/>
            </w:pPr>
            <w:r>
              <w:rPr>
                <w:color w:val="339966"/>
              </w:rPr>
              <w:t>4.2.1 Summary of elements and activity to be delivered</w:t>
            </w:r>
          </w:p>
          <w:p w:rsidR="004C24E3" w:rsidRDefault="004C24E3">
            <w:pPr>
              <w:contextualSpacing w:val="0"/>
            </w:pPr>
          </w:p>
          <w:p w:rsidR="004C24E3" w:rsidRDefault="00F56660">
            <w:pPr>
              <w:contextualSpacing w:val="0"/>
            </w:pPr>
            <w:r>
              <w:t>Elements to be delivered include:</w:t>
            </w:r>
          </w:p>
          <w:p w:rsidR="004C24E3" w:rsidRDefault="004C24E3">
            <w:pPr>
              <w:contextualSpacing w:val="0"/>
            </w:pPr>
          </w:p>
          <w:p w:rsidR="004C24E3" w:rsidRDefault="004C24E3">
            <w:pPr>
              <w:contextualSpacing w:val="0"/>
            </w:pPr>
          </w:p>
          <w:tbl>
            <w:tblPr>
              <w:tblStyle w:val="a6"/>
              <w:tblW w:w="923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9238"/>
            </w:tblGrid>
            <w:tr w:rsidR="004C24E3">
              <w:tc>
                <w:tcPr>
                  <w:tcW w:w="9238" w:type="dxa"/>
                  <w:shd w:val="clear" w:color="auto" w:fill="8496B0"/>
                </w:tcPr>
                <w:p w:rsidR="004C24E3" w:rsidRDefault="00F56660">
                  <w:pPr>
                    <w:contextualSpacing w:val="0"/>
                  </w:pPr>
                  <w:r>
                    <w:rPr>
                      <w:b/>
                      <w:color w:val="FFFFFF"/>
                    </w:rPr>
                    <w:t>Core Elements</w:t>
                  </w:r>
                </w:p>
              </w:tc>
            </w:tr>
            <w:tr w:rsidR="004C24E3">
              <w:tc>
                <w:tcPr>
                  <w:tcW w:w="9238" w:type="dxa"/>
                </w:tcPr>
                <w:p w:rsidR="004C24E3" w:rsidRDefault="00F56660">
                  <w:pPr>
                    <w:contextualSpacing w:val="0"/>
                  </w:pPr>
                  <w:r>
                    <w:t>Getting Help - Holistic assessment &amp; early help assessment including specialist screening tools, local screening tools for domestic abuse and child sexual exploitation and risk assessment</w:t>
                  </w:r>
                </w:p>
              </w:tc>
            </w:tr>
            <w:tr w:rsidR="004C24E3">
              <w:tc>
                <w:tcPr>
                  <w:tcW w:w="9238" w:type="dxa"/>
                </w:tcPr>
                <w:p w:rsidR="004C24E3" w:rsidRDefault="00F56660">
                  <w:pPr>
                    <w:contextualSpacing w:val="0"/>
                  </w:pPr>
                  <w:r>
                    <w:t>Getting Help - a range of age appropriate, evidence-based talking therapies including, but not limited to, Cognitive Behavioural Therapy (group/individual), counselling and guided self-help</w:t>
                  </w:r>
                </w:p>
              </w:tc>
            </w:tr>
            <w:tr w:rsidR="004C24E3">
              <w:tc>
                <w:tcPr>
                  <w:tcW w:w="9238" w:type="dxa"/>
                </w:tcPr>
                <w:p w:rsidR="004C24E3" w:rsidRDefault="00F56660">
                  <w:pPr>
                    <w:contextualSpacing w:val="0"/>
                  </w:pPr>
                  <w:r>
                    <w:t>Getting Help - Pre and post bereavement support including 1-to-1 support for CYP and advice and guidance for parents/carers and professionals</w:t>
                  </w:r>
                </w:p>
              </w:tc>
            </w:tr>
            <w:tr w:rsidR="004C24E3">
              <w:tc>
                <w:tcPr>
                  <w:tcW w:w="9238" w:type="dxa"/>
                </w:tcPr>
                <w:p w:rsidR="004C24E3" w:rsidRDefault="00F56660">
                  <w:pPr>
                    <w:contextualSpacing w:val="0"/>
                  </w:pPr>
                  <w:r>
                    <w:t>Individualised care planning , review and discharge (including goal and outcome setting and review)</w:t>
                  </w:r>
                </w:p>
              </w:tc>
            </w:tr>
            <w:tr w:rsidR="004C24E3">
              <w:tc>
                <w:tcPr>
                  <w:tcW w:w="9238" w:type="dxa"/>
                </w:tcPr>
                <w:p w:rsidR="004C24E3" w:rsidRDefault="00F56660">
                  <w:pPr>
                    <w:contextualSpacing w:val="0"/>
                  </w:pPr>
                  <w:r>
                    <w:t>Case management</w:t>
                  </w:r>
                </w:p>
              </w:tc>
            </w:tr>
            <w:tr w:rsidR="004C24E3">
              <w:tc>
                <w:tcPr>
                  <w:tcW w:w="9238" w:type="dxa"/>
                </w:tcPr>
                <w:p w:rsidR="004C24E3" w:rsidRDefault="00F56660">
                  <w:pPr>
                    <w:contextualSpacing w:val="0"/>
                  </w:pPr>
                  <w:r>
                    <w:t>Evaluation framework to collate hard and soft data in which to measure effectiveness and improvements in outcomes at both individual and service level</w:t>
                  </w:r>
                </w:p>
              </w:tc>
            </w:tr>
            <w:tr w:rsidR="004C24E3">
              <w:tc>
                <w:tcPr>
                  <w:tcW w:w="9238" w:type="dxa"/>
                </w:tcPr>
                <w:p w:rsidR="004C24E3" w:rsidRDefault="00F56660">
                  <w:pPr>
                    <w:contextualSpacing w:val="0"/>
                  </w:pPr>
                  <w:r>
                    <w:t>Interface with Getting More Help (Specialist CAMHs) (onward referral/step down/co-manage)</w:t>
                  </w:r>
                </w:p>
              </w:tc>
            </w:tr>
            <w:tr w:rsidR="004C24E3">
              <w:tc>
                <w:tcPr>
                  <w:tcW w:w="9238" w:type="dxa"/>
                </w:tcPr>
                <w:p w:rsidR="004C24E3" w:rsidRDefault="00F56660">
                  <w:pPr>
                    <w:contextualSpacing w:val="0"/>
                  </w:pPr>
                  <w:r>
                    <w:t>Safeguarding</w:t>
                  </w:r>
                </w:p>
              </w:tc>
            </w:tr>
            <w:tr w:rsidR="004C24E3">
              <w:tc>
                <w:tcPr>
                  <w:tcW w:w="9238" w:type="dxa"/>
                </w:tcPr>
                <w:p w:rsidR="004C24E3" w:rsidRDefault="00F56660">
                  <w:pPr>
                    <w:contextualSpacing w:val="0"/>
                  </w:pPr>
                  <w:r>
                    <w:t>Getting Advice - Parenting information, advice and support and signposting for parents/carers of those engaged in the service</w:t>
                  </w:r>
                </w:p>
              </w:tc>
            </w:tr>
            <w:tr w:rsidR="004C24E3">
              <w:tc>
                <w:tcPr>
                  <w:tcW w:w="9238" w:type="dxa"/>
                </w:tcPr>
                <w:p w:rsidR="004C24E3" w:rsidRDefault="00F56660">
                  <w:pPr>
                    <w:contextualSpacing w:val="0"/>
                  </w:pPr>
                  <w:r>
                    <w:t>Getting Advice - Provision of general information and advice regarding emotional wellbeing for CYP, parents/carers or professionals</w:t>
                  </w:r>
                </w:p>
              </w:tc>
            </w:tr>
            <w:tr w:rsidR="004C24E3">
              <w:tc>
                <w:tcPr>
                  <w:tcW w:w="9238" w:type="dxa"/>
                </w:tcPr>
                <w:p w:rsidR="004C24E3" w:rsidRDefault="00F56660">
                  <w:pPr>
                    <w:contextualSpacing w:val="0"/>
                  </w:pPr>
                  <w:r>
                    <w:t>Getting Advice - Signposting to other services</w:t>
                  </w:r>
                </w:p>
              </w:tc>
            </w:tr>
            <w:tr w:rsidR="004C24E3">
              <w:tc>
                <w:tcPr>
                  <w:tcW w:w="9238" w:type="dxa"/>
                </w:tcPr>
                <w:p w:rsidR="004C24E3" w:rsidRDefault="00F56660">
                  <w:pPr>
                    <w:contextualSpacing w:val="0"/>
                  </w:pPr>
                  <w:r>
                    <w:t>Thriving - Mental Health literacy training for school staff enabling them to teach pupils about mental health.</w:t>
                  </w:r>
                </w:p>
              </w:tc>
            </w:tr>
            <w:tr w:rsidR="004C24E3">
              <w:tc>
                <w:tcPr>
                  <w:tcW w:w="9238" w:type="dxa"/>
                </w:tcPr>
                <w:p w:rsidR="004C24E3" w:rsidRDefault="00F56660">
                  <w:pPr>
                    <w:contextualSpacing w:val="0"/>
                  </w:pPr>
                  <w:r>
                    <w:t>Creative approaches to engaging those with significant need but reluctant to engage (e.g. refugees, NEETs, LGBTQ young people)</w:t>
                  </w:r>
                </w:p>
              </w:tc>
            </w:tr>
            <w:tr w:rsidR="004C24E3">
              <w:tc>
                <w:tcPr>
                  <w:tcW w:w="9238" w:type="dxa"/>
                </w:tcPr>
                <w:p w:rsidR="004C24E3" w:rsidRDefault="00F56660">
                  <w:pPr>
                    <w:contextualSpacing w:val="0"/>
                    <w:jc w:val="both"/>
                  </w:pPr>
                  <w:r>
                    <w:t>Establish clear communication pathways and information sharing mechanisms with relevant organisations to ensure smooth transitions for  children and young people</w:t>
                  </w:r>
                </w:p>
              </w:tc>
            </w:tr>
            <w:tr w:rsidR="004C24E3">
              <w:tc>
                <w:tcPr>
                  <w:tcW w:w="9238" w:type="dxa"/>
                  <w:shd w:val="clear" w:color="auto" w:fill="8496B0"/>
                </w:tcPr>
                <w:p w:rsidR="004C24E3" w:rsidRDefault="00F56660">
                  <w:pPr>
                    <w:contextualSpacing w:val="0"/>
                  </w:pPr>
                  <w:r>
                    <w:rPr>
                      <w:b/>
                      <w:color w:val="FFFFFF"/>
                    </w:rPr>
                    <w:t>Additional Elements</w:t>
                  </w:r>
                </w:p>
              </w:tc>
            </w:tr>
            <w:tr w:rsidR="004C24E3">
              <w:tc>
                <w:tcPr>
                  <w:tcW w:w="9238" w:type="dxa"/>
                </w:tcPr>
                <w:p w:rsidR="004C24E3" w:rsidRDefault="00F56660">
                  <w:pPr>
                    <w:contextualSpacing w:val="0"/>
                  </w:pPr>
                  <w:r>
                    <w:t xml:space="preserve">Website and online presence which includes relevant information, advice and links to other sources of support including </w:t>
                  </w:r>
                  <w:hyperlink r:id="rId40">
                    <w:r>
                      <w:rPr>
                        <w:color w:val="1155CC"/>
                        <w:u w:val="single"/>
                      </w:rPr>
                      <w:t>www.keep-your-head.com</w:t>
                    </w:r>
                  </w:hyperlink>
                  <w:r>
                    <w:t xml:space="preserve"> </w:t>
                  </w:r>
                </w:p>
              </w:tc>
            </w:tr>
            <w:tr w:rsidR="004C24E3">
              <w:tc>
                <w:tcPr>
                  <w:tcW w:w="9238" w:type="dxa"/>
                </w:tcPr>
                <w:p w:rsidR="004C24E3" w:rsidRDefault="00F56660">
                  <w:pPr>
                    <w:contextualSpacing w:val="0"/>
                  </w:pPr>
                  <w:r>
                    <w:t>Advice for schools following significant traumatic event (in conjunction with specialist CAMHs) e.g. suicide</w:t>
                  </w:r>
                </w:p>
              </w:tc>
            </w:tr>
            <w:tr w:rsidR="004C24E3">
              <w:tc>
                <w:tcPr>
                  <w:tcW w:w="9238" w:type="dxa"/>
                </w:tcPr>
                <w:p w:rsidR="004C24E3" w:rsidRDefault="00F56660">
                  <w:pPr>
                    <w:contextualSpacing w:val="0"/>
                  </w:pPr>
                  <w:r>
                    <w:t>Participation in Early Help Hubs (Integrated Front Door)</w:t>
                  </w:r>
                </w:p>
              </w:tc>
            </w:tr>
            <w:tr w:rsidR="004C24E3">
              <w:tc>
                <w:tcPr>
                  <w:tcW w:w="9238" w:type="dxa"/>
                </w:tcPr>
                <w:p w:rsidR="004C24E3" w:rsidRDefault="00F56660">
                  <w:pPr>
                    <w:contextualSpacing w:val="0"/>
                  </w:pPr>
                  <w:r>
                    <w:t xml:space="preserve">Contribution to packages of risk support of individuals </w:t>
                  </w:r>
                </w:p>
              </w:tc>
            </w:tr>
            <w:tr w:rsidR="004C24E3">
              <w:tc>
                <w:tcPr>
                  <w:tcW w:w="9238" w:type="dxa"/>
                </w:tcPr>
                <w:p w:rsidR="004C24E3" w:rsidRDefault="00F56660">
                  <w:pPr>
                    <w:contextualSpacing w:val="0"/>
                  </w:pPr>
                  <w:r>
                    <w:t>Participation in Multi-Agency Safeguarding Hubs (MASH)</w:t>
                  </w:r>
                </w:p>
              </w:tc>
            </w:tr>
            <w:tr w:rsidR="004C24E3">
              <w:tc>
                <w:tcPr>
                  <w:tcW w:w="9238" w:type="dxa"/>
                </w:tcPr>
                <w:p w:rsidR="004C24E3" w:rsidRDefault="00F56660">
                  <w:pPr>
                    <w:contextualSpacing w:val="0"/>
                  </w:pPr>
                  <w:r>
                    <w:t>Service publicity and promotion</w:t>
                  </w:r>
                </w:p>
              </w:tc>
            </w:tr>
            <w:tr w:rsidR="004C24E3">
              <w:tc>
                <w:tcPr>
                  <w:tcW w:w="9238" w:type="dxa"/>
                </w:tcPr>
                <w:p w:rsidR="004C24E3" w:rsidRDefault="00F56660">
                  <w:pPr>
                    <w:contextualSpacing w:val="0"/>
                  </w:pPr>
                  <w:r>
                    <w:t>Participation in local and national public health campaigns</w:t>
                  </w:r>
                </w:p>
              </w:tc>
            </w:tr>
            <w:tr w:rsidR="004C24E3">
              <w:tc>
                <w:tcPr>
                  <w:tcW w:w="9238" w:type="dxa"/>
                </w:tcPr>
                <w:p w:rsidR="004C24E3" w:rsidRDefault="00F56660">
                  <w:pPr>
                    <w:contextualSpacing w:val="0"/>
                  </w:pPr>
                  <w:r>
                    <w:t>Healthy lifestyles information and advice as appropriate (oral health, sexual health, physical activity, nutrition, smoking cessation)</w:t>
                  </w:r>
                </w:p>
              </w:tc>
            </w:tr>
            <w:tr w:rsidR="004C24E3">
              <w:tc>
                <w:tcPr>
                  <w:tcW w:w="9238" w:type="dxa"/>
                </w:tcPr>
                <w:p w:rsidR="004C24E3" w:rsidRDefault="00F56660">
                  <w:pPr>
                    <w:contextualSpacing w:val="0"/>
                  </w:pPr>
                  <w:r>
                    <w:t>C-Card scheme and Chlamydia Screening where appropriate</w:t>
                  </w:r>
                </w:p>
              </w:tc>
            </w:tr>
            <w:tr w:rsidR="004C24E3">
              <w:tc>
                <w:tcPr>
                  <w:tcW w:w="9238" w:type="dxa"/>
                </w:tcPr>
                <w:p w:rsidR="004C24E3" w:rsidRDefault="00F56660">
                  <w:pPr>
                    <w:contextualSpacing w:val="0"/>
                  </w:pPr>
                  <w:r>
                    <w:t>Drug and Alcohol screening where appropriate</w:t>
                  </w:r>
                </w:p>
              </w:tc>
            </w:tr>
            <w:tr w:rsidR="004C24E3">
              <w:tc>
                <w:tcPr>
                  <w:tcW w:w="9238" w:type="dxa"/>
                </w:tcPr>
                <w:p w:rsidR="004C24E3" w:rsidRDefault="00F56660">
                  <w:pPr>
                    <w:contextualSpacing w:val="0"/>
                  </w:pPr>
                  <w:r>
                    <w:t>Contribution to strategy development and needs analysis</w:t>
                  </w:r>
                </w:p>
              </w:tc>
            </w:tr>
          </w:tbl>
          <w:p w:rsidR="004C24E3" w:rsidRDefault="004C24E3">
            <w:pPr>
              <w:contextualSpacing w:val="0"/>
            </w:pPr>
          </w:p>
          <w:p w:rsidR="004C24E3" w:rsidRDefault="004C24E3">
            <w:pPr>
              <w:contextualSpacing w:val="0"/>
            </w:pPr>
          </w:p>
          <w:p w:rsidR="004C24E3" w:rsidRDefault="00F56660">
            <w:pPr>
              <w:contextualSpacing w:val="0"/>
            </w:pPr>
            <w:r>
              <w:t>How these elements fit within Thrive</w:t>
            </w:r>
          </w:p>
          <w:p w:rsidR="004C24E3" w:rsidRDefault="004C24E3">
            <w:pPr>
              <w:contextualSpacing w:val="0"/>
            </w:pPr>
          </w:p>
          <w:tbl>
            <w:tblPr>
              <w:tblStyle w:val="a7"/>
              <w:tblW w:w="92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55"/>
              <w:gridCol w:w="7155"/>
            </w:tblGrid>
            <w:tr w:rsidR="004C24E3">
              <w:tc>
                <w:tcPr>
                  <w:tcW w:w="2055" w:type="dxa"/>
                  <w:shd w:val="clear" w:color="auto" w:fill="FFE599"/>
                  <w:tcMar>
                    <w:top w:w="100" w:type="dxa"/>
                    <w:left w:w="100" w:type="dxa"/>
                    <w:bottom w:w="100" w:type="dxa"/>
                    <w:right w:w="100" w:type="dxa"/>
                  </w:tcMar>
                </w:tcPr>
                <w:p w:rsidR="004C24E3" w:rsidRDefault="00F56660">
                  <w:pPr>
                    <w:jc w:val="left"/>
                    <w:rPr>
                      <w:rFonts w:ascii="Calibri" w:eastAsia="Calibri" w:hAnsi="Calibri" w:cs="Calibri"/>
                      <w:sz w:val="22"/>
                      <w:szCs w:val="22"/>
                    </w:rPr>
                  </w:pPr>
                  <w:r>
                    <w:rPr>
                      <w:rFonts w:ascii="Calibri" w:eastAsia="Calibri" w:hAnsi="Calibri" w:cs="Calibri"/>
                      <w:sz w:val="22"/>
                      <w:szCs w:val="22"/>
                    </w:rPr>
                    <w:t>Thriving</w:t>
                  </w:r>
                </w:p>
              </w:tc>
              <w:tc>
                <w:tcPr>
                  <w:tcW w:w="7155" w:type="dxa"/>
                  <w:shd w:val="clear" w:color="auto" w:fill="FFE599"/>
                  <w:tcMar>
                    <w:top w:w="100" w:type="dxa"/>
                    <w:left w:w="100" w:type="dxa"/>
                    <w:bottom w:w="100" w:type="dxa"/>
                    <w:right w:w="100" w:type="dxa"/>
                  </w:tcMar>
                </w:tcPr>
                <w:p w:rsidR="004C24E3" w:rsidRDefault="00F56660">
                  <w:pPr>
                    <w:jc w:val="left"/>
                    <w:rPr>
                      <w:rFonts w:ascii="Calibri" w:eastAsia="Calibri" w:hAnsi="Calibri" w:cs="Calibri"/>
                      <w:sz w:val="22"/>
                      <w:szCs w:val="22"/>
                    </w:rPr>
                  </w:pPr>
                  <w:r>
                    <w:rPr>
                      <w:rFonts w:ascii="Calibri" w:eastAsia="Calibri" w:hAnsi="Calibri" w:cs="Calibri"/>
                      <w:b/>
                      <w:sz w:val="22"/>
                      <w:szCs w:val="22"/>
                    </w:rPr>
                    <w:t>Description</w:t>
                  </w:r>
                  <w:r>
                    <w:rPr>
                      <w:rFonts w:ascii="Calibri" w:eastAsia="Calibri" w:hAnsi="Calibri" w:cs="Calibri"/>
                      <w:sz w:val="22"/>
                      <w:szCs w:val="22"/>
                    </w:rPr>
                    <w:t xml:space="preserve">: The service will provide this through the training element of the contract with schools and also through their media outlets to ensure there is </w:t>
                  </w:r>
                  <w:r>
                    <w:rPr>
                      <w:rFonts w:ascii="Calibri" w:eastAsia="Calibri" w:hAnsi="Calibri" w:cs="Calibri"/>
                      <w:sz w:val="22"/>
                      <w:szCs w:val="22"/>
                    </w:rPr>
                    <w:lastRenderedPageBreak/>
                    <w:t>information in regards to how to keep well from an emotional, mental health and wellbeing perspective.</w:t>
                  </w:r>
                </w:p>
                <w:p w:rsidR="004C24E3" w:rsidRDefault="004C24E3">
                  <w:pPr>
                    <w:jc w:val="left"/>
                    <w:rPr>
                      <w:rFonts w:ascii="Calibri" w:eastAsia="Calibri" w:hAnsi="Calibri" w:cs="Calibri"/>
                      <w:sz w:val="22"/>
                      <w:szCs w:val="22"/>
                    </w:rPr>
                  </w:pPr>
                </w:p>
                <w:p w:rsidR="004C24E3" w:rsidRDefault="00F56660">
                  <w:pPr>
                    <w:jc w:val="left"/>
                    <w:rPr>
                      <w:rFonts w:ascii="Calibri" w:eastAsia="Calibri" w:hAnsi="Calibri" w:cs="Calibri"/>
                      <w:sz w:val="22"/>
                      <w:szCs w:val="22"/>
                    </w:rPr>
                  </w:pPr>
                  <w:r>
                    <w:rPr>
                      <w:rFonts w:ascii="Calibri" w:eastAsia="Calibri" w:hAnsi="Calibri" w:cs="Calibri"/>
                      <w:b/>
                      <w:sz w:val="22"/>
                      <w:szCs w:val="22"/>
                    </w:rPr>
                    <w:t>Who:</w:t>
                  </w:r>
                  <w:r>
                    <w:rPr>
                      <w:rFonts w:ascii="Calibri" w:eastAsia="Calibri" w:hAnsi="Calibri" w:cs="Calibri"/>
                      <w:sz w:val="22"/>
                      <w:szCs w:val="22"/>
                    </w:rPr>
                    <w:t xml:space="preserve"> All/any children and young people</w:t>
                  </w:r>
                </w:p>
              </w:tc>
            </w:tr>
            <w:tr w:rsidR="004C24E3">
              <w:tc>
                <w:tcPr>
                  <w:tcW w:w="2055" w:type="dxa"/>
                  <w:shd w:val="clear" w:color="auto" w:fill="00CC66"/>
                  <w:tcMar>
                    <w:top w:w="100" w:type="dxa"/>
                    <w:left w:w="100" w:type="dxa"/>
                    <w:bottom w:w="100" w:type="dxa"/>
                    <w:right w:w="100" w:type="dxa"/>
                  </w:tcMar>
                </w:tcPr>
                <w:p w:rsidR="004C24E3" w:rsidRDefault="00F56660">
                  <w:pPr>
                    <w:jc w:val="left"/>
                    <w:rPr>
                      <w:rFonts w:ascii="Calibri" w:eastAsia="Calibri" w:hAnsi="Calibri" w:cs="Calibri"/>
                      <w:sz w:val="22"/>
                      <w:szCs w:val="22"/>
                    </w:rPr>
                  </w:pPr>
                  <w:r>
                    <w:rPr>
                      <w:rFonts w:ascii="Calibri" w:eastAsia="Calibri" w:hAnsi="Calibri" w:cs="Calibri"/>
                      <w:sz w:val="22"/>
                      <w:szCs w:val="22"/>
                    </w:rPr>
                    <w:lastRenderedPageBreak/>
                    <w:t>Getting Advice</w:t>
                  </w:r>
                </w:p>
              </w:tc>
              <w:tc>
                <w:tcPr>
                  <w:tcW w:w="7155" w:type="dxa"/>
                  <w:shd w:val="clear" w:color="auto" w:fill="00CC66"/>
                  <w:tcMar>
                    <w:top w:w="100" w:type="dxa"/>
                    <w:left w:w="100" w:type="dxa"/>
                    <w:bottom w:w="100" w:type="dxa"/>
                    <w:right w:w="100" w:type="dxa"/>
                  </w:tcMar>
                </w:tcPr>
                <w:p w:rsidR="004C24E3" w:rsidRDefault="00F56660">
                  <w:pPr>
                    <w:jc w:val="left"/>
                    <w:rPr>
                      <w:rFonts w:ascii="Calibri" w:eastAsia="Calibri" w:hAnsi="Calibri" w:cs="Calibri"/>
                      <w:sz w:val="22"/>
                      <w:szCs w:val="22"/>
                    </w:rPr>
                  </w:pPr>
                  <w:r>
                    <w:rPr>
                      <w:rFonts w:ascii="Calibri" w:eastAsia="Calibri" w:hAnsi="Calibri" w:cs="Calibri"/>
                      <w:b/>
                      <w:sz w:val="22"/>
                      <w:szCs w:val="22"/>
                    </w:rPr>
                    <w:t>Description</w:t>
                  </w:r>
                  <w:r>
                    <w:rPr>
                      <w:rFonts w:ascii="Calibri" w:eastAsia="Calibri" w:hAnsi="Calibri" w:cs="Calibri"/>
                      <w:sz w:val="22"/>
                      <w:szCs w:val="22"/>
                    </w:rPr>
                    <w:t>: Getting Advice is an intrinsic part of the service and may take up a moderate amount of service activity. It is considered to be 1 face to face or indirect contact in 6 week period in which information, advice, guidance and support is provided to CYP and families.</w:t>
                  </w:r>
                </w:p>
                <w:p w:rsidR="004C24E3" w:rsidRDefault="004C24E3">
                  <w:pPr>
                    <w:jc w:val="left"/>
                    <w:rPr>
                      <w:rFonts w:ascii="Calibri" w:eastAsia="Calibri" w:hAnsi="Calibri" w:cs="Calibri"/>
                      <w:sz w:val="22"/>
                      <w:szCs w:val="22"/>
                    </w:rPr>
                  </w:pPr>
                </w:p>
                <w:p w:rsidR="004C24E3" w:rsidRDefault="00F56660">
                  <w:pPr>
                    <w:jc w:val="left"/>
                    <w:rPr>
                      <w:rFonts w:ascii="Calibri" w:eastAsia="Calibri" w:hAnsi="Calibri" w:cs="Calibri"/>
                      <w:sz w:val="22"/>
                      <w:szCs w:val="22"/>
                    </w:rPr>
                  </w:pPr>
                  <w:r>
                    <w:rPr>
                      <w:rFonts w:ascii="Calibri" w:eastAsia="Calibri" w:hAnsi="Calibri" w:cs="Calibri"/>
                      <w:b/>
                      <w:sz w:val="22"/>
                      <w:szCs w:val="22"/>
                    </w:rPr>
                    <w:t>Who:</w:t>
                  </w:r>
                  <w:r>
                    <w:rPr>
                      <w:rFonts w:ascii="Calibri" w:eastAsia="Calibri" w:hAnsi="Calibri" w:cs="Calibri"/>
                      <w:sz w:val="22"/>
                      <w:szCs w:val="22"/>
                    </w:rPr>
                    <w:t xml:space="preserve"> CYP and families adjusting to life circumstances, with mild or temporary difficulties, where the best intervention is within the community with the possible addition of self-support. This group may also include, however, those with chronic, fluctuating or ongoing severe difficulties, for which they are choosing to manage their own health and/or are on the road to recovery (Thrive Elaborated, 2016).</w:t>
                  </w:r>
                </w:p>
              </w:tc>
            </w:tr>
            <w:tr w:rsidR="004C24E3">
              <w:tc>
                <w:tcPr>
                  <w:tcW w:w="2055" w:type="dxa"/>
                  <w:shd w:val="clear" w:color="auto" w:fill="C9DAF8"/>
                  <w:tcMar>
                    <w:top w:w="100" w:type="dxa"/>
                    <w:left w:w="100" w:type="dxa"/>
                    <w:bottom w:w="100" w:type="dxa"/>
                    <w:right w:w="100" w:type="dxa"/>
                  </w:tcMar>
                </w:tcPr>
                <w:p w:rsidR="004C24E3" w:rsidRDefault="00F56660">
                  <w:pPr>
                    <w:jc w:val="left"/>
                    <w:rPr>
                      <w:rFonts w:ascii="Calibri" w:eastAsia="Calibri" w:hAnsi="Calibri" w:cs="Calibri"/>
                      <w:sz w:val="22"/>
                      <w:szCs w:val="22"/>
                    </w:rPr>
                  </w:pPr>
                  <w:r>
                    <w:rPr>
                      <w:rFonts w:ascii="Calibri" w:eastAsia="Calibri" w:hAnsi="Calibri" w:cs="Calibri"/>
                      <w:sz w:val="22"/>
                      <w:szCs w:val="22"/>
                    </w:rPr>
                    <w:t>Getting Help</w:t>
                  </w:r>
                </w:p>
              </w:tc>
              <w:tc>
                <w:tcPr>
                  <w:tcW w:w="7155" w:type="dxa"/>
                  <w:shd w:val="clear" w:color="auto" w:fill="C9DAF8"/>
                  <w:tcMar>
                    <w:top w:w="100" w:type="dxa"/>
                    <w:left w:w="100" w:type="dxa"/>
                    <w:bottom w:w="100" w:type="dxa"/>
                    <w:right w:w="100" w:type="dxa"/>
                  </w:tcMar>
                </w:tcPr>
                <w:p w:rsidR="004C24E3" w:rsidRDefault="00F56660">
                  <w:pPr>
                    <w:jc w:val="left"/>
                    <w:rPr>
                      <w:rFonts w:ascii="Calibri" w:eastAsia="Calibri" w:hAnsi="Calibri" w:cs="Calibri"/>
                      <w:sz w:val="22"/>
                      <w:szCs w:val="22"/>
                    </w:rPr>
                  </w:pPr>
                  <w:r>
                    <w:rPr>
                      <w:rFonts w:ascii="Calibri" w:eastAsia="Calibri" w:hAnsi="Calibri" w:cs="Calibri"/>
                      <w:b/>
                      <w:sz w:val="22"/>
                      <w:szCs w:val="22"/>
                    </w:rPr>
                    <w:t>Description:</w:t>
                  </w:r>
                  <w:r>
                    <w:rPr>
                      <w:rFonts w:ascii="Calibri" w:eastAsia="Calibri" w:hAnsi="Calibri" w:cs="Calibri"/>
                      <w:sz w:val="22"/>
                      <w:szCs w:val="22"/>
                    </w:rPr>
                    <w:t xml:space="preserve"> Considered to be 2 or more face to face or indirect contacts in 6 week period (up to max 12 sessions). A large proportion of service delivery will fall within this grouping as this group focuses on the provision of short term evidence based interventions with the aim of improving the outcomes for CYP. </w:t>
                  </w:r>
                </w:p>
                <w:p w:rsidR="004C24E3" w:rsidRDefault="004C24E3">
                  <w:pPr>
                    <w:jc w:val="left"/>
                    <w:rPr>
                      <w:rFonts w:ascii="Calibri" w:eastAsia="Calibri" w:hAnsi="Calibri" w:cs="Calibri"/>
                      <w:sz w:val="22"/>
                      <w:szCs w:val="22"/>
                    </w:rPr>
                  </w:pPr>
                </w:p>
                <w:p w:rsidR="004C24E3" w:rsidRDefault="00F56660">
                  <w:pPr>
                    <w:jc w:val="left"/>
                    <w:rPr>
                      <w:rFonts w:ascii="Calibri" w:eastAsia="Calibri" w:hAnsi="Calibri" w:cs="Calibri"/>
                      <w:sz w:val="22"/>
                      <w:szCs w:val="22"/>
                    </w:rPr>
                  </w:pPr>
                  <w:r>
                    <w:rPr>
                      <w:rFonts w:ascii="Calibri" w:eastAsia="Calibri" w:hAnsi="Calibri" w:cs="Calibri"/>
                      <w:b/>
                      <w:sz w:val="22"/>
                      <w:szCs w:val="22"/>
                    </w:rPr>
                    <w:t>Who:</w:t>
                  </w:r>
                  <w:r>
                    <w:rPr>
                      <w:rFonts w:ascii="Calibri" w:eastAsia="Calibri" w:hAnsi="Calibri" w:cs="Calibri"/>
                      <w:sz w:val="22"/>
                      <w:szCs w:val="22"/>
                    </w:rPr>
                    <w:t xml:space="preserve"> CYP and families who would benefit from focused, evidence-based treatment, with clear aims, and criteria for assessing whether aims have been achieved. This grouping would include children and young people with difficulties that fell within the remit of NICE guidance but also where it was less clear which NICE guidance would guide practice (Thrive Elaborated, 2016)</w:t>
                  </w:r>
                </w:p>
              </w:tc>
            </w:tr>
            <w:tr w:rsidR="004C24E3">
              <w:tc>
                <w:tcPr>
                  <w:tcW w:w="2055" w:type="dxa"/>
                  <w:shd w:val="clear" w:color="auto" w:fill="C27BA0"/>
                  <w:tcMar>
                    <w:top w:w="100" w:type="dxa"/>
                    <w:left w:w="100" w:type="dxa"/>
                    <w:bottom w:w="100" w:type="dxa"/>
                    <w:right w:w="100" w:type="dxa"/>
                  </w:tcMar>
                </w:tcPr>
                <w:p w:rsidR="004C24E3" w:rsidRDefault="00F56660">
                  <w:pPr>
                    <w:jc w:val="left"/>
                    <w:rPr>
                      <w:rFonts w:ascii="Calibri" w:eastAsia="Calibri" w:hAnsi="Calibri" w:cs="Calibri"/>
                      <w:sz w:val="22"/>
                      <w:szCs w:val="22"/>
                    </w:rPr>
                  </w:pPr>
                  <w:r>
                    <w:rPr>
                      <w:rFonts w:ascii="Calibri" w:eastAsia="Calibri" w:hAnsi="Calibri" w:cs="Calibri"/>
                      <w:sz w:val="22"/>
                      <w:szCs w:val="22"/>
                    </w:rPr>
                    <w:t>Getting More Help</w:t>
                  </w:r>
                </w:p>
              </w:tc>
              <w:tc>
                <w:tcPr>
                  <w:tcW w:w="7155" w:type="dxa"/>
                  <w:shd w:val="clear" w:color="auto" w:fill="C27BA0"/>
                  <w:tcMar>
                    <w:top w:w="100" w:type="dxa"/>
                    <w:left w:w="100" w:type="dxa"/>
                    <w:bottom w:w="100" w:type="dxa"/>
                    <w:right w:w="100" w:type="dxa"/>
                  </w:tcMar>
                </w:tcPr>
                <w:p w:rsidR="004C24E3" w:rsidRDefault="00F56660">
                  <w:pPr>
                    <w:jc w:val="left"/>
                    <w:rPr>
                      <w:rFonts w:ascii="Calibri" w:eastAsia="Calibri" w:hAnsi="Calibri" w:cs="Calibri"/>
                      <w:sz w:val="22"/>
                      <w:szCs w:val="22"/>
                    </w:rPr>
                  </w:pPr>
                  <w:r>
                    <w:rPr>
                      <w:rFonts w:ascii="Calibri" w:eastAsia="Calibri" w:hAnsi="Calibri" w:cs="Calibri"/>
                      <w:b/>
                      <w:sz w:val="22"/>
                      <w:szCs w:val="22"/>
                    </w:rPr>
                    <w:t xml:space="preserve">Description: </w:t>
                  </w:r>
                  <w:r>
                    <w:rPr>
                      <w:rFonts w:ascii="Calibri" w:eastAsia="Calibri" w:hAnsi="Calibri" w:cs="Calibri"/>
                      <w:sz w:val="22"/>
                      <w:szCs w:val="22"/>
                    </w:rPr>
                    <w:t>This grouping focuses on the provision of longer term evidence based interventions (considered to be 2 or more face to face or indirect contacts in 6 week period totally 12 or more sessions). This is likely to make up a small proportion of service delivery as longer term interventions are not the focus of this service.</w:t>
                  </w:r>
                </w:p>
                <w:p w:rsidR="004C24E3" w:rsidRDefault="004C24E3">
                  <w:pPr>
                    <w:jc w:val="left"/>
                    <w:rPr>
                      <w:rFonts w:ascii="Calibri" w:eastAsia="Calibri" w:hAnsi="Calibri" w:cs="Calibri"/>
                      <w:sz w:val="22"/>
                      <w:szCs w:val="22"/>
                    </w:rPr>
                  </w:pPr>
                </w:p>
                <w:p w:rsidR="004C24E3" w:rsidRDefault="00F56660">
                  <w:pPr>
                    <w:jc w:val="left"/>
                    <w:rPr>
                      <w:rFonts w:ascii="Calibri" w:eastAsia="Calibri" w:hAnsi="Calibri" w:cs="Calibri"/>
                      <w:sz w:val="22"/>
                      <w:szCs w:val="22"/>
                    </w:rPr>
                  </w:pPr>
                  <w:r>
                    <w:rPr>
                      <w:rFonts w:ascii="Calibri" w:eastAsia="Calibri" w:hAnsi="Calibri" w:cs="Calibri"/>
                      <w:b/>
                      <w:sz w:val="22"/>
                      <w:szCs w:val="22"/>
                    </w:rPr>
                    <w:t xml:space="preserve">Who: </w:t>
                  </w:r>
                  <w:r>
                    <w:rPr>
                      <w:rFonts w:ascii="Calibri" w:eastAsia="Calibri" w:hAnsi="Calibri" w:cs="Calibri"/>
                      <w:sz w:val="22"/>
                      <w:szCs w:val="22"/>
                    </w:rPr>
                    <w:t>CYP and families who would benefit from extensive long-term</w:t>
                  </w:r>
                  <w:r>
                    <w:rPr>
                      <w:rFonts w:ascii="Calibri" w:eastAsia="Calibri" w:hAnsi="Calibri" w:cs="Calibri"/>
                      <w:sz w:val="22"/>
                      <w:szCs w:val="22"/>
                    </w:rPr>
                    <w:br/>
                    <w:t>treatment. Likely to be the younger age group who may need a longer term intervention to improve their outcomes.</w:t>
                  </w:r>
                </w:p>
              </w:tc>
            </w:tr>
            <w:tr w:rsidR="004C24E3">
              <w:tc>
                <w:tcPr>
                  <w:tcW w:w="2055" w:type="dxa"/>
                  <w:shd w:val="clear" w:color="auto" w:fill="E69138"/>
                  <w:tcMar>
                    <w:top w:w="100" w:type="dxa"/>
                    <w:left w:w="100" w:type="dxa"/>
                    <w:bottom w:w="100" w:type="dxa"/>
                    <w:right w:w="100" w:type="dxa"/>
                  </w:tcMar>
                </w:tcPr>
                <w:p w:rsidR="004C24E3" w:rsidRDefault="00F56660">
                  <w:pPr>
                    <w:jc w:val="left"/>
                    <w:rPr>
                      <w:rFonts w:ascii="Calibri" w:eastAsia="Calibri" w:hAnsi="Calibri" w:cs="Calibri"/>
                      <w:sz w:val="22"/>
                      <w:szCs w:val="22"/>
                    </w:rPr>
                  </w:pPr>
                  <w:r>
                    <w:rPr>
                      <w:rFonts w:ascii="Calibri" w:eastAsia="Calibri" w:hAnsi="Calibri" w:cs="Calibri"/>
                      <w:sz w:val="22"/>
                      <w:szCs w:val="22"/>
                    </w:rPr>
                    <w:t>Risk Support</w:t>
                  </w:r>
                </w:p>
              </w:tc>
              <w:tc>
                <w:tcPr>
                  <w:tcW w:w="7155" w:type="dxa"/>
                  <w:shd w:val="clear" w:color="auto" w:fill="E69138"/>
                  <w:tcMar>
                    <w:top w:w="100" w:type="dxa"/>
                    <w:left w:w="100" w:type="dxa"/>
                    <w:bottom w:w="100" w:type="dxa"/>
                    <w:right w:w="100" w:type="dxa"/>
                  </w:tcMar>
                </w:tcPr>
                <w:p w:rsidR="004C24E3" w:rsidRDefault="00F56660">
                  <w:pPr>
                    <w:jc w:val="left"/>
                    <w:rPr>
                      <w:rFonts w:ascii="Calibri" w:eastAsia="Calibri" w:hAnsi="Calibri" w:cs="Calibri"/>
                      <w:sz w:val="22"/>
                      <w:szCs w:val="22"/>
                    </w:rPr>
                  </w:pPr>
                  <w:r>
                    <w:rPr>
                      <w:rFonts w:ascii="Calibri" w:eastAsia="Calibri" w:hAnsi="Calibri" w:cs="Calibri"/>
                      <w:b/>
                      <w:sz w:val="22"/>
                      <w:szCs w:val="22"/>
                    </w:rPr>
                    <w:t>Description:</w:t>
                  </w:r>
                  <w:r>
                    <w:rPr>
                      <w:rFonts w:ascii="Calibri" w:eastAsia="Calibri" w:hAnsi="Calibri" w:cs="Calibri"/>
                      <w:sz w:val="22"/>
                      <w:szCs w:val="22"/>
                    </w:rPr>
                    <w:t xml:space="preserve"> The service may, through its assessment process, identify a CYP for whom an evidence based intervention is not appropriate for various reasons but still poses a risk to themselves and/or other.  This service’s role would be to help facilitate access to other support services, but it is not envisaged this service will take on a lead professional function for these high risk CYP.</w:t>
                  </w:r>
                </w:p>
                <w:p w:rsidR="004C24E3" w:rsidRDefault="004C24E3">
                  <w:pPr>
                    <w:jc w:val="left"/>
                    <w:rPr>
                      <w:rFonts w:ascii="Calibri" w:eastAsia="Calibri" w:hAnsi="Calibri" w:cs="Calibri"/>
                      <w:sz w:val="22"/>
                      <w:szCs w:val="22"/>
                    </w:rPr>
                  </w:pPr>
                </w:p>
                <w:p w:rsidR="004C24E3" w:rsidRDefault="00F56660">
                  <w:pPr>
                    <w:jc w:val="left"/>
                    <w:rPr>
                      <w:rFonts w:ascii="Calibri" w:eastAsia="Calibri" w:hAnsi="Calibri" w:cs="Calibri"/>
                      <w:sz w:val="22"/>
                      <w:szCs w:val="22"/>
                    </w:rPr>
                  </w:pPr>
                  <w:r>
                    <w:rPr>
                      <w:rFonts w:ascii="Calibri" w:eastAsia="Calibri" w:hAnsi="Calibri" w:cs="Calibri"/>
                      <w:b/>
                      <w:sz w:val="22"/>
                      <w:szCs w:val="22"/>
                    </w:rPr>
                    <w:t xml:space="preserve">Who: </w:t>
                  </w:r>
                  <w:r>
                    <w:rPr>
                      <w:rFonts w:ascii="Calibri" w:eastAsia="Calibri" w:hAnsi="Calibri" w:cs="Calibri"/>
                      <w:sz w:val="22"/>
                      <w:szCs w:val="22"/>
                    </w:rPr>
                    <w:t xml:space="preserve">children, young people and families who are currently unable to </w:t>
                  </w:r>
                  <w:r>
                    <w:rPr>
                      <w:rFonts w:ascii="Calibri" w:eastAsia="Calibri" w:hAnsi="Calibri" w:cs="Calibri"/>
                      <w:sz w:val="22"/>
                      <w:szCs w:val="22"/>
                    </w:rPr>
                    <w:lastRenderedPageBreak/>
                    <w:t>benefit from evidence-based treatment but remain a significant concern and risk. This group might include children and young people who routinely go into crisis but are not able to make use of help offered, or where help offered has not been able to make a difference; who self-harm; or who have emerging personality disorders or ongoing issues that have not yet responded to treatment. (Thrive Elaborated, 2016)</w:t>
                  </w:r>
                </w:p>
              </w:tc>
            </w:tr>
          </w:tbl>
          <w:p w:rsidR="004C24E3" w:rsidRDefault="00F56660">
            <w:pPr>
              <w:contextualSpacing w:val="0"/>
            </w:pPr>
            <w:r>
              <w:lastRenderedPageBreak/>
              <w:br/>
            </w:r>
          </w:p>
          <w:p w:rsidR="004C24E3" w:rsidRDefault="004C24E3">
            <w:pPr>
              <w:contextualSpacing w:val="0"/>
            </w:pPr>
          </w:p>
          <w:p w:rsidR="004C24E3" w:rsidRDefault="00F56660">
            <w:pPr>
              <w:contextualSpacing w:val="0"/>
              <w:rPr>
                <w:color w:val="339966"/>
              </w:rPr>
            </w:pPr>
            <w:r>
              <w:rPr>
                <w:color w:val="339966"/>
              </w:rPr>
              <w:t>4.2.2 Detailed service model</w:t>
            </w:r>
          </w:p>
          <w:p w:rsidR="004C24E3" w:rsidRDefault="004C24E3">
            <w:pPr>
              <w:contextualSpacing w:val="0"/>
            </w:pPr>
          </w:p>
          <w:p w:rsidR="004C24E3" w:rsidRDefault="00F56660">
            <w:pPr>
              <w:contextualSpacing w:val="0"/>
            </w:pPr>
            <w:bookmarkStart w:id="3" w:name="_1fob9te" w:colFirst="0" w:colLast="0"/>
            <w:bookmarkEnd w:id="3"/>
            <w:r>
              <w:t xml:space="preserve">It is for bidders to propose an innovative service model in which all elements and outcomes listed are delivered. The model should embed the Thrive Principles. </w:t>
            </w:r>
          </w:p>
          <w:p w:rsidR="004C24E3" w:rsidRDefault="004C24E3">
            <w:pPr>
              <w:contextualSpacing w:val="0"/>
            </w:pPr>
          </w:p>
          <w:p w:rsidR="004C24E3" w:rsidRDefault="00F56660">
            <w:pPr>
              <w:contextualSpacing w:val="0"/>
              <w:rPr>
                <w:color w:val="339966"/>
              </w:rPr>
            </w:pPr>
            <w:r>
              <w:rPr>
                <w:color w:val="339966"/>
              </w:rPr>
              <w:t>4.3 Eligibility and Referral</w:t>
            </w:r>
          </w:p>
          <w:p w:rsidR="004C24E3" w:rsidRDefault="004C24E3">
            <w:pPr>
              <w:contextualSpacing w:val="0"/>
            </w:pPr>
          </w:p>
          <w:p w:rsidR="004C24E3" w:rsidRDefault="00F56660">
            <w:pPr>
              <w:contextualSpacing w:val="0"/>
            </w:pPr>
            <w:r>
              <w:t>To be eligible for the service, a child or young person must be:</w:t>
            </w:r>
          </w:p>
          <w:p w:rsidR="004C24E3" w:rsidRDefault="004C24E3">
            <w:pPr>
              <w:contextualSpacing w:val="0"/>
            </w:pPr>
          </w:p>
          <w:p w:rsidR="004C24E3" w:rsidRDefault="00F56660">
            <w:pPr>
              <w:contextualSpacing w:val="0"/>
            </w:pPr>
            <w:r>
              <w:t xml:space="preserve">(ia) resident within Peterborough Unitary Authority or Cambridgeshire County Council boundaries or attend a school within those local authority boundaries </w:t>
            </w:r>
          </w:p>
          <w:p w:rsidR="004C24E3" w:rsidRDefault="00F56660">
            <w:pPr>
              <w:contextualSpacing w:val="0"/>
            </w:pPr>
            <w:r>
              <w:t>Or,</w:t>
            </w:r>
          </w:p>
          <w:p w:rsidR="004C24E3" w:rsidRDefault="00F56660">
            <w:pPr>
              <w:contextualSpacing w:val="0"/>
            </w:pPr>
            <w:r>
              <w:t xml:space="preserve">(ib) Registered with a GP in Cambridgeshire or Peterborough Clinical Commissioning Group area. </w:t>
            </w:r>
          </w:p>
          <w:p w:rsidR="004C24E3" w:rsidRDefault="004C24E3">
            <w:pPr>
              <w:contextualSpacing w:val="0"/>
            </w:pPr>
          </w:p>
          <w:p w:rsidR="004C24E3" w:rsidRDefault="00F56660">
            <w:pPr>
              <w:contextualSpacing w:val="0"/>
            </w:pPr>
            <w:r>
              <w:t>(ii)  Aged School entry (4/5) up to 18</w:t>
            </w:r>
            <w:r>
              <w:rPr>
                <w:vertAlign w:val="superscript"/>
              </w:rPr>
              <w:t>th</w:t>
            </w:r>
            <w:r>
              <w:t xml:space="preserve"> birthday for those in Peterborough and up to 25 in Cambridgeshire (with the exception of bereavement support in Cambridgeshire, which will be up to the age of 19 years).</w:t>
            </w:r>
          </w:p>
          <w:p w:rsidR="004C24E3" w:rsidRDefault="004C24E3">
            <w:pPr>
              <w:contextualSpacing w:val="0"/>
            </w:pPr>
          </w:p>
          <w:p w:rsidR="004C24E3" w:rsidRDefault="00F56660">
            <w:pPr>
              <w:contextualSpacing w:val="0"/>
            </w:pPr>
            <w:r>
              <w:t>To be eligible for Getting Help (i.e. therapeutic interventions) a child or young person must be experiencing:</w:t>
            </w:r>
          </w:p>
          <w:p w:rsidR="004C24E3" w:rsidRDefault="00F56660">
            <w:pPr>
              <w:numPr>
                <w:ilvl w:val="0"/>
                <w:numId w:val="11"/>
              </w:numPr>
              <w:ind w:hanging="360"/>
            </w:pPr>
            <w:r>
              <w:t xml:space="preserve">mild-moderate mental health issues (diagnosed or undiagnosed) </w:t>
            </w:r>
          </w:p>
          <w:p w:rsidR="004C24E3" w:rsidRDefault="00F56660">
            <w:pPr>
              <w:numPr>
                <w:ilvl w:val="0"/>
                <w:numId w:val="11"/>
              </w:numPr>
              <w:ind w:hanging="360"/>
            </w:pPr>
            <w:r>
              <w:t xml:space="preserve">and/or significant emotional wellbeing difficulties </w:t>
            </w:r>
          </w:p>
          <w:p w:rsidR="004C24E3" w:rsidRDefault="00F56660">
            <w:pPr>
              <w:numPr>
                <w:ilvl w:val="0"/>
                <w:numId w:val="11"/>
              </w:numPr>
              <w:ind w:hanging="360"/>
            </w:pPr>
            <w:r>
              <w:t>which are significantly affecting their behaviour, functioning or relationships</w:t>
            </w:r>
          </w:p>
          <w:p w:rsidR="004C24E3" w:rsidRDefault="004C24E3">
            <w:pPr>
              <w:contextualSpacing w:val="0"/>
            </w:pPr>
          </w:p>
          <w:p w:rsidR="004C24E3" w:rsidRDefault="00F56660">
            <w:pPr>
              <w:contextualSpacing w:val="0"/>
            </w:pPr>
            <w:r>
              <w:t>Mild-moderate health issues include generalised anxiety, depression/low mood, social anxiety, post- traumatic stress disorder and self-harm. Significant emotional wellbeing difficulties are likely to be responses to difficult life events such as bereavement, family breakdown, attachment issues and bullying.</w:t>
            </w:r>
          </w:p>
          <w:p w:rsidR="004C24E3" w:rsidRDefault="004C24E3">
            <w:pPr>
              <w:contextualSpacing w:val="0"/>
            </w:pPr>
          </w:p>
          <w:p w:rsidR="004C24E3" w:rsidRDefault="00F56660">
            <w:pPr>
              <w:contextualSpacing w:val="0"/>
            </w:pPr>
            <w:r>
              <w:t xml:space="preserve">If inappropriate for therapeutic interventions, then all young people should be given advice or signposted to other more appropriate sources of support. </w:t>
            </w:r>
          </w:p>
          <w:p w:rsidR="004C24E3" w:rsidRDefault="004C24E3">
            <w:pPr>
              <w:contextualSpacing w:val="0"/>
            </w:pPr>
          </w:p>
          <w:p w:rsidR="004C24E3" w:rsidRDefault="00F56660">
            <w:pPr>
              <w:contextualSpacing w:val="0"/>
            </w:pPr>
            <w:r>
              <w:t>Young people who are leaving care or who have learning difficulties/disabilities whose needs cannot be better met in adult provision may access the service up to age 25.</w:t>
            </w:r>
          </w:p>
          <w:p w:rsidR="004C24E3" w:rsidRDefault="00F56660">
            <w:pPr>
              <w:contextualSpacing w:val="0"/>
            </w:pPr>
            <w:r>
              <w:t xml:space="preserve"> </w:t>
            </w:r>
          </w:p>
          <w:p w:rsidR="004C24E3" w:rsidRDefault="00F56660">
            <w:pPr>
              <w:contextualSpacing w:val="0"/>
            </w:pPr>
            <w:r>
              <w:t>The service must ensure equal access for all regardless of disability, sexual orientation, race (this includes ethnic or national origins), colour, nationality, religion, belief or lack or belief, marital status or gender status.</w:t>
            </w:r>
          </w:p>
          <w:p w:rsidR="004C24E3" w:rsidRDefault="004C24E3">
            <w:pPr>
              <w:contextualSpacing w:val="0"/>
            </w:pPr>
          </w:p>
          <w:p w:rsidR="004C24E3" w:rsidRDefault="00F56660">
            <w:pPr>
              <w:contextualSpacing w:val="0"/>
            </w:pPr>
            <w:r>
              <w:t xml:space="preserve">The service will accept referrals from professionals, multiagency support groups (MASGs), via an Early Help Assessment or Early Help Hubs, Child In Need or Child Protection Plan. The service will also accept self-referrals. </w:t>
            </w:r>
          </w:p>
          <w:p w:rsidR="004C24E3" w:rsidRDefault="004C24E3">
            <w:pPr>
              <w:ind w:left="720"/>
              <w:contextualSpacing w:val="0"/>
            </w:pPr>
          </w:p>
          <w:p w:rsidR="004C24E3" w:rsidRDefault="00F56660">
            <w:pPr>
              <w:contextualSpacing w:val="0"/>
              <w:rPr>
                <w:color w:val="339966"/>
              </w:rPr>
            </w:pPr>
            <w:r>
              <w:rPr>
                <w:color w:val="339966"/>
              </w:rPr>
              <w:t>4.4 Exclusions</w:t>
            </w:r>
          </w:p>
          <w:p w:rsidR="004C24E3" w:rsidRDefault="004C24E3">
            <w:pPr>
              <w:ind w:left="720"/>
              <w:contextualSpacing w:val="0"/>
            </w:pPr>
          </w:p>
          <w:p w:rsidR="004C24E3" w:rsidRDefault="00F56660">
            <w:pPr>
              <w:contextualSpacing w:val="0"/>
            </w:pPr>
            <w:r>
              <w:t>The following elements are out of scope for this service:-</w:t>
            </w:r>
          </w:p>
          <w:p w:rsidR="004C24E3" w:rsidRDefault="004C24E3">
            <w:pPr>
              <w:contextualSpacing w:val="0"/>
            </w:pPr>
          </w:p>
          <w:p w:rsidR="004C24E3" w:rsidRDefault="00F56660">
            <w:pPr>
              <w:numPr>
                <w:ilvl w:val="0"/>
                <w:numId w:val="26"/>
              </w:numPr>
              <w:ind w:hanging="360"/>
            </w:pPr>
            <w:r>
              <w:t>Specialist CAMH interventions for multiple and complex mental health issues requiring clinical prescribing and psychiatric intervention, neurodevelopmental assessment and interventions, longer term psychological provision, systemic family therapy and specialist eating disorder or psychosis interventions</w:t>
            </w:r>
          </w:p>
          <w:p w:rsidR="004C24E3" w:rsidRDefault="00F56660">
            <w:pPr>
              <w:numPr>
                <w:ilvl w:val="0"/>
                <w:numId w:val="26"/>
              </w:numPr>
              <w:ind w:hanging="360"/>
            </w:pPr>
            <w:r>
              <w:t>Inpatient provision</w:t>
            </w:r>
          </w:p>
          <w:p w:rsidR="004C24E3" w:rsidRDefault="00F56660">
            <w:pPr>
              <w:numPr>
                <w:ilvl w:val="0"/>
                <w:numId w:val="26"/>
              </w:numPr>
              <w:ind w:hanging="360"/>
            </w:pPr>
            <w:r>
              <w:t>Crisis response</w:t>
            </w:r>
          </w:p>
          <w:p w:rsidR="004C24E3" w:rsidRDefault="004C24E3">
            <w:pPr>
              <w:contextualSpacing w:val="0"/>
            </w:pPr>
          </w:p>
          <w:p w:rsidR="004C24E3" w:rsidRDefault="00F56660">
            <w:pPr>
              <w:contextualSpacing w:val="0"/>
            </w:pPr>
            <w:r>
              <w:t>The following are not considered to be eligible for this service:-</w:t>
            </w:r>
          </w:p>
          <w:p w:rsidR="004C24E3" w:rsidRDefault="00F56660">
            <w:pPr>
              <w:numPr>
                <w:ilvl w:val="0"/>
                <w:numId w:val="26"/>
              </w:numPr>
              <w:tabs>
                <w:tab w:val="left" w:pos="709"/>
              </w:tabs>
              <w:ind w:hanging="360"/>
            </w:pPr>
            <w:r>
              <w:t>CYP  who do not live in Cambridgeshire or Peterborough or are not registered with a GP in Cambridgeshire or Peterborough CCG area</w:t>
            </w:r>
          </w:p>
          <w:p w:rsidR="004C24E3" w:rsidRDefault="00F56660">
            <w:pPr>
              <w:numPr>
                <w:ilvl w:val="0"/>
                <w:numId w:val="26"/>
              </w:numPr>
              <w:tabs>
                <w:tab w:val="left" w:pos="709"/>
              </w:tabs>
              <w:ind w:hanging="360"/>
            </w:pPr>
            <w:r>
              <w:t>CYP who would be better treated in an alternative service</w:t>
            </w:r>
          </w:p>
          <w:p w:rsidR="004C24E3" w:rsidRDefault="004C24E3">
            <w:pPr>
              <w:contextualSpacing w:val="0"/>
            </w:pPr>
          </w:p>
          <w:p w:rsidR="004C24E3" w:rsidRDefault="00F56660">
            <w:pPr>
              <w:contextualSpacing w:val="0"/>
            </w:pPr>
            <w:r>
              <w:rPr>
                <w:color w:val="339966"/>
              </w:rPr>
              <w:t>4.5 Priority groups</w:t>
            </w:r>
          </w:p>
          <w:p w:rsidR="004C24E3" w:rsidRDefault="004C24E3">
            <w:pPr>
              <w:contextualSpacing w:val="0"/>
            </w:pPr>
          </w:p>
          <w:p w:rsidR="004C24E3" w:rsidRDefault="00F56660">
            <w:pPr>
              <w:contextualSpacing w:val="0"/>
              <w:rPr>
                <w:b/>
              </w:rPr>
            </w:pPr>
            <w:r>
              <w:t>Managing Demand and Prioritising Cases</w:t>
            </w:r>
          </w:p>
          <w:p w:rsidR="004C24E3" w:rsidRDefault="00F56660">
            <w:pPr>
              <w:contextualSpacing w:val="0"/>
            </w:pPr>
            <w:r>
              <w:t xml:space="preserve">Systems are in place to determine how waiting lists are prioritised and to manage peaks in demand.  </w:t>
            </w:r>
          </w:p>
          <w:p w:rsidR="004C24E3" w:rsidRDefault="004C24E3">
            <w:pPr>
              <w:contextualSpacing w:val="0"/>
            </w:pPr>
          </w:p>
          <w:p w:rsidR="004C24E3" w:rsidRDefault="00F56660">
            <w:pPr>
              <w:contextualSpacing w:val="0"/>
            </w:pPr>
            <w:r>
              <w:t>Priority groups for the service are:</w:t>
            </w:r>
          </w:p>
          <w:p w:rsidR="004C24E3" w:rsidRDefault="004C24E3">
            <w:pPr>
              <w:contextualSpacing w:val="0"/>
            </w:pPr>
          </w:p>
          <w:p w:rsidR="004C24E3" w:rsidRDefault="00F56660">
            <w:pPr>
              <w:numPr>
                <w:ilvl w:val="0"/>
                <w:numId w:val="14"/>
              </w:numPr>
              <w:ind w:hanging="360"/>
            </w:pPr>
            <w:r>
              <w:t xml:space="preserve">Children and young people presenting with higher levels of severity, disruption or distress </w:t>
            </w:r>
          </w:p>
          <w:p w:rsidR="004C24E3" w:rsidRDefault="004C24E3">
            <w:pPr>
              <w:contextualSpacing w:val="0"/>
            </w:pPr>
          </w:p>
          <w:p w:rsidR="004C24E3" w:rsidRDefault="004C24E3">
            <w:pPr>
              <w:contextualSpacing w:val="0"/>
            </w:pPr>
          </w:p>
          <w:p w:rsidR="004C24E3" w:rsidRDefault="00F56660">
            <w:pPr>
              <w:contextualSpacing w:val="0"/>
              <w:rPr>
                <w:color w:val="00B050"/>
              </w:rPr>
            </w:pPr>
            <w:r>
              <w:rPr>
                <w:color w:val="00B050"/>
              </w:rPr>
              <w:t>4.6 Activity Planning Assumptions</w:t>
            </w:r>
          </w:p>
          <w:p w:rsidR="004C24E3" w:rsidRDefault="004C24E3">
            <w:pPr>
              <w:contextualSpacing w:val="0"/>
              <w:rPr>
                <w:color w:val="00B050"/>
              </w:rPr>
            </w:pPr>
          </w:p>
          <w:p w:rsidR="004C24E3" w:rsidRDefault="00F56660">
            <w:pPr>
              <w:contextualSpacing w:val="0"/>
              <w:rPr>
                <w:color w:val="00B050"/>
              </w:rPr>
            </w:pPr>
            <w:r>
              <w:rPr>
                <w:color w:val="00B050"/>
              </w:rPr>
              <w:t>4.6.1 Total Service Activity</w:t>
            </w:r>
          </w:p>
          <w:p w:rsidR="004C24E3" w:rsidRDefault="004C24E3">
            <w:pPr>
              <w:contextualSpacing w:val="0"/>
              <w:rPr>
                <w:color w:val="00B050"/>
              </w:rPr>
            </w:pPr>
          </w:p>
          <w:p w:rsidR="004C24E3" w:rsidRDefault="00F56660">
            <w:pPr>
              <w:contextualSpacing w:val="0"/>
            </w:pPr>
            <w:r>
              <w:t xml:space="preserve">As a guide, the service will deliver interventions to a minimum of 2000 children and young people or more per annum (c.1450 in Cambridgeshire, c.621 in Peterborough), though the number actually seen will be higher as some will be assessed and signposted/referred on without receiving interventions. This guide is based on scaling up the service cost and activity of 2015/16 with the % finance increase available with this tender.  </w:t>
            </w:r>
          </w:p>
          <w:p w:rsidR="004C24E3" w:rsidRDefault="004C24E3">
            <w:pPr>
              <w:contextualSpacing w:val="0"/>
            </w:pPr>
          </w:p>
          <w:p w:rsidR="004C24E3" w:rsidRDefault="00F56660">
            <w:pPr>
              <w:contextualSpacing w:val="0"/>
            </w:pPr>
            <w:r>
              <w:t>Of the minimum 2000, the majority will be Getting Help whilst some will be Getting Advice. A very small proportion will be Getting More Help (possibly some of the younger children who may need longer term engagement to reach the same outcomes).</w:t>
            </w:r>
          </w:p>
          <w:p w:rsidR="004C24E3" w:rsidRDefault="004C24E3">
            <w:pPr>
              <w:contextualSpacing w:val="0"/>
            </w:pPr>
          </w:p>
          <w:p w:rsidR="004C24E3" w:rsidRDefault="00F56660">
            <w:pPr>
              <w:contextualSpacing w:val="0"/>
            </w:pPr>
            <w:r>
              <w:t xml:space="preserve">The service will also deliver ‘train the teacher’ mental health literacy training to 50 schools per year (based on approximately 20 participants at each session) in Cambridgeshire based on £40,000pa identified within the budget. In Peterborough it will deliver a minimum of 4 mental health literacy </w:t>
            </w:r>
            <w:r>
              <w:lastRenderedPageBreak/>
              <w:t xml:space="preserve">training events per annum.  </w:t>
            </w:r>
          </w:p>
          <w:p w:rsidR="004C24E3" w:rsidRDefault="004C24E3">
            <w:pPr>
              <w:contextualSpacing w:val="0"/>
            </w:pPr>
          </w:p>
          <w:p w:rsidR="004C24E3" w:rsidRDefault="00F56660">
            <w:pPr>
              <w:contextualSpacing w:val="0"/>
              <w:rPr>
                <w:color w:val="00B050"/>
              </w:rPr>
            </w:pPr>
            <w:r>
              <w:rPr>
                <w:color w:val="00B050"/>
              </w:rPr>
              <w:t>4.6.2 Assumptions for activity planning</w:t>
            </w:r>
          </w:p>
          <w:p w:rsidR="004C24E3" w:rsidRDefault="004C24E3">
            <w:pPr>
              <w:contextualSpacing w:val="0"/>
              <w:rPr>
                <w:color w:val="00B050"/>
              </w:rPr>
            </w:pPr>
          </w:p>
          <w:p w:rsidR="004C24E3" w:rsidRDefault="00F56660">
            <w:pPr>
              <w:contextualSpacing w:val="0"/>
            </w:pPr>
            <w:r>
              <w:t>Key assumptions to factor into activity planning and service modelling include:</w:t>
            </w:r>
          </w:p>
          <w:p w:rsidR="004C24E3" w:rsidRDefault="004C24E3">
            <w:pPr>
              <w:contextualSpacing w:val="0"/>
            </w:pPr>
          </w:p>
          <w:p w:rsidR="004C24E3" w:rsidRDefault="00F56660">
            <w:pPr>
              <w:numPr>
                <w:ilvl w:val="0"/>
                <w:numId w:val="6"/>
              </w:numPr>
              <w:ind w:hanging="360"/>
            </w:pPr>
            <w:r>
              <w:t>The resource split between local authorities; this is 60/40 Cambridgeshire/Peterborough (based on investment)</w:t>
            </w:r>
          </w:p>
          <w:p w:rsidR="004C24E3" w:rsidRDefault="00F56660">
            <w:pPr>
              <w:numPr>
                <w:ilvl w:val="0"/>
                <w:numId w:val="6"/>
              </w:numPr>
              <w:ind w:hanging="360"/>
            </w:pPr>
            <w:r>
              <w:t>Despite investment, demand will almost certainly continue to outweigh provision</w:t>
            </w:r>
          </w:p>
          <w:p w:rsidR="004C24E3" w:rsidRDefault="00F56660">
            <w:pPr>
              <w:numPr>
                <w:ilvl w:val="0"/>
                <w:numId w:val="6"/>
              </w:numPr>
              <w:ind w:hanging="360"/>
            </w:pPr>
            <w:r>
              <w:t xml:space="preserve">Variance in prevalence rates and projected growth across geographic areas </w:t>
            </w:r>
          </w:p>
          <w:p w:rsidR="004C24E3" w:rsidRDefault="00F56660">
            <w:pPr>
              <w:numPr>
                <w:ilvl w:val="0"/>
                <w:numId w:val="6"/>
              </w:numPr>
              <w:ind w:hanging="360"/>
            </w:pPr>
            <w:r>
              <w:t>Variance in complexity of need across geographic areas</w:t>
            </w:r>
          </w:p>
          <w:p w:rsidR="004C24E3" w:rsidRDefault="00F56660">
            <w:pPr>
              <w:numPr>
                <w:ilvl w:val="0"/>
                <w:numId w:val="6"/>
              </w:numPr>
              <w:ind w:hanging="360"/>
            </w:pPr>
            <w:r>
              <w:t>Bulk of service activity should be the provision of brief, talking therapy interventions</w:t>
            </w:r>
          </w:p>
          <w:p w:rsidR="004C24E3" w:rsidRDefault="00F56660">
            <w:pPr>
              <w:numPr>
                <w:ilvl w:val="0"/>
                <w:numId w:val="6"/>
              </w:numPr>
              <w:ind w:hanging="360"/>
            </w:pPr>
            <w:r>
              <w:t>CCG funding cannot be used for those 18 and above (c.39% resource in Cambridgeshire)</w:t>
            </w:r>
          </w:p>
          <w:p w:rsidR="004C24E3" w:rsidRDefault="00F56660">
            <w:pPr>
              <w:numPr>
                <w:ilvl w:val="0"/>
                <w:numId w:val="6"/>
              </w:numPr>
              <w:ind w:hanging="360"/>
            </w:pPr>
            <w:r>
              <w:t>NHS target to increase the number of children and young people receiving evidence-based treatment and support for mental health/emotional wellbeing issues is a key driver</w:t>
            </w:r>
          </w:p>
          <w:p w:rsidR="004C24E3" w:rsidRDefault="00F56660">
            <w:pPr>
              <w:numPr>
                <w:ilvl w:val="0"/>
                <w:numId w:val="6"/>
              </w:numPr>
              <w:ind w:hanging="360"/>
            </w:pPr>
            <w:r>
              <w:t>Demand from primary school aged children is not known (as this is a new area of service) and is potentially high, prevalence figures suggest 5,006 5-10 year olds in Cambridgeshire and Peterborough have a diagnosable mental health condition (this definition includes those with needs that will be met by other services also e.g. Eating Disorders and Autistic Spectrum Disorder), and there is less alternative sources of provision in this age group than adolescents and young adults</w:t>
            </w:r>
          </w:p>
          <w:p w:rsidR="004C24E3" w:rsidRDefault="00F56660">
            <w:pPr>
              <w:numPr>
                <w:ilvl w:val="0"/>
                <w:numId w:val="6"/>
              </w:numPr>
              <w:ind w:hanging="360"/>
            </w:pPr>
            <w:r>
              <w:t>There are range of other services provided that cater for this needs grouping, for example a number of schools, colleges and universities independently commission their own counselling provision and the Psychological Wellbeing Service (Adult IAPT service)</w:t>
            </w:r>
          </w:p>
          <w:p w:rsidR="004C24E3" w:rsidRDefault="004C24E3">
            <w:pPr>
              <w:contextualSpacing w:val="0"/>
            </w:pPr>
          </w:p>
          <w:p w:rsidR="004C24E3" w:rsidRDefault="00F56660">
            <w:pPr>
              <w:contextualSpacing w:val="0"/>
              <w:rPr>
                <w:color w:val="00B050"/>
              </w:rPr>
            </w:pPr>
            <w:r>
              <w:rPr>
                <w:color w:val="00B050"/>
              </w:rPr>
              <w:t>4.6.3. Further information to support activity planning</w:t>
            </w:r>
          </w:p>
          <w:p w:rsidR="004C24E3" w:rsidRDefault="004C24E3">
            <w:pPr>
              <w:contextualSpacing w:val="0"/>
              <w:rPr>
                <w:color w:val="00B050"/>
              </w:rPr>
            </w:pPr>
          </w:p>
          <w:p w:rsidR="004C24E3" w:rsidRDefault="00F56660">
            <w:pPr>
              <w:contextualSpacing w:val="0"/>
            </w:pPr>
            <w:r>
              <w:t>To assist with service modelling and activity planning, other relevant information is set out below.</w:t>
            </w:r>
          </w:p>
          <w:p w:rsidR="004C24E3" w:rsidRDefault="004C24E3">
            <w:pPr>
              <w:contextualSpacing w:val="0"/>
            </w:pPr>
          </w:p>
          <w:p w:rsidR="004C24E3" w:rsidRDefault="00F56660">
            <w:pPr>
              <w:contextualSpacing w:val="0"/>
              <w:rPr>
                <w:u w:val="single"/>
              </w:rPr>
            </w:pPr>
            <w:r>
              <w:rPr>
                <w:u w:val="single"/>
              </w:rPr>
              <w:t>(i) Projected need year by year by district (volume and % increase)</w:t>
            </w:r>
          </w:p>
          <w:p w:rsidR="004C24E3" w:rsidRDefault="004C24E3">
            <w:pPr>
              <w:contextualSpacing w:val="0"/>
            </w:pPr>
          </w:p>
          <w:p w:rsidR="004C24E3" w:rsidRDefault="00F56660">
            <w:pPr>
              <w:contextualSpacing w:val="0"/>
            </w:pPr>
            <w:r>
              <w:t>These can be found in the need summary and prevalence tables in section 1.4 Local Need.</w:t>
            </w:r>
          </w:p>
          <w:p w:rsidR="004C24E3" w:rsidRDefault="004C24E3">
            <w:pPr>
              <w:contextualSpacing w:val="0"/>
            </w:pPr>
          </w:p>
          <w:p w:rsidR="004C24E3" w:rsidRDefault="00F56660">
            <w:pPr>
              <w:contextualSpacing w:val="0"/>
              <w:rPr>
                <w:u w:val="single"/>
              </w:rPr>
            </w:pPr>
            <w:r>
              <w:rPr>
                <w:u w:val="single"/>
              </w:rPr>
              <w:t>(ii) Definition of Thrive activities (Length and Frequency)</w:t>
            </w:r>
          </w:p>
          <w:p w:rsidR="004C24E3" w:rsidRDefault="004C24E3">
            <w:pPr>
              <w:contextualSpacing w:val="0"/>
            </w:pPr>
          </w:p>
          <w:tbl>
            <w:tblPr>
              <w:tblStyle w:val="a8"/>
              <w:tblW w:w="92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90"/>
              <w:gridCol w:w="6420"/>
            </w:tblGrid>
            <w:tr w:rsidR="004C24E3">
              <w:tc>
                <w:tcPr>
                  <w:tcW w:w="2790" w:type="dxa"/>
                  <w:shd w:val="clear" w:color="auto" w:fill="B6D7A8"/>
                  <w:tcMar>
                    <w:top w:w="100" w:type="dxa"/>
                    <w:left w:w="100" w:type="dxa"/>
                    <w:bottom w:w="100" w:type="dxa"/>
                    <w:right w:w="100" w:type="dxa"/>
                  </w:tcMar>
                </w:tcPr>
                <w:p w:rsidR="004C24E3" w:rsidRDefault="00F56660">
                  <w:pPr>
                    <w:jc w:val="left"/>
                    <w:rPr>
                      <w:rFonts w:ascii="Calibri" w:eastAsia="Calibri" w:hAnsi="Calibri" w:cs="Calibri"/>
                      <w:sz w:val="22"/>
                      <w:szCs w:val="22"/>
                    </w:rPr>
                  </w:pPr>
                  <w:r>
                    <w:rPr>
                      <w:rFonts w:ascii="Calibri" w:eastAsia="Calibri" w:hAnsi="Calibri" w:cs="Calibri"/>
                      <w:sz w:val="22"/>
                      <w:szCs w:val="22"/>
                    </w:rPr>
                    <w:t>Getting Advice</w:t>
                  </w:r>
                </w:p>
              </w:tc>
              <w:tc>
                <w:tcPr>
                  <w:tcW w:w="6420" w:type="dxa"/>
                  <w:shd w:val="clear" w:color="auto" w:fill="B6D7A8"/>
                  <w:tcMar>
                    <w:top w:w="100" w:type="dxa"/>
                    <w:left w:w="100" w:type="dxa"/>
                    <w:bottom w:w="100" w:type="dxa"/>
                    <w:right w:w="100" w:type="dxa"/>
                  </w:tcMar>
                </w:tcPr>
                <w:p w:rsidR="004C24E3" w:rsidRDefault="00F56660">
                  <w:pPr>
                    <w:jc w:val="left"/>
                    <w:rPr>
                      <w:rFonts w:ascii="Calibri" w:eastAsia="Calibri" w:hAnsi="Calibri" w:cs="Calibri"/>
                      <w:sz w:val="22"/>
                      <w:szCs w:val="22"/>
                    </w:rPr>
                  </w:pPr>
                  <w:r>
                    <w:rPr>
                      <w:rFonts w:ascii="Calibri" w:eastAsia="Calibri" w:hAnsi="Calibri" w:cs="Calibri"/>
                      <w:sz w:val="22"/>
                      <w:szCs w:val="22"/>
                    </w:rPr>
                    <w:t>1 face to face or indirect contact in 6 week period</w:t>
                  </w:r>
                </w:p>
              </w:tc>
            </w:tr>
            <w:tr w:rsidR="004C24E3">
              <w:tc>
                <w:tcPr>
                  <w:tcW w:w="2790" w:type="dxa"/>
                  <w:shd w:val="clear" w:color="auto" w:fill="C9DAF8"/>
                  <w:tcMar>
                    <w:top w:w="100" w:type="dxa"/>
                    <w:left w:w="100" w:type="dxa"/>
                    <w:bottom w:w="100" w:type="dxa"/>
                    <w:right w:w="100" w:type="dxa"/>
                  </w:tcMar>
                </w:tcPr>
                <w:p w:rsidR="004C24E3" w:rsidRDefault="00F56660">
                  <w:pPr>
                    <w:jc w:val="left"/>
                    <w:rPr>
                      <w:rFonts w:ascii="Calibri" w:eastAsia="Calibri" w:hAnsi="Calibri" w:cs="Calibri"/>
                      <w:sz w:val="22"/>
                      <w:szCs w:val="22"/>
                    </w:rPr>
                  </w:pPr>
                  <w:r>
                    <w:rPr>
                      <w:rFonts w:ascii="Calibri" w:eastAsia="Calibri" w:hAnsi="Calibri" w:cs="Calibri"/>
                      <w:sz w:val="22"/>
                      <w:szCs w:val="22"/>
                    </w:rPr>
                    <w:t xml:space="preserve">Getting Help/Receiving Treatment </w:t>
                  </w:r>
                </w:p>
              </w:tc>
              <w:tc>
                <w:tcPr>
                  <w:tcW w:w="6420" w:type="dxa"/>
                  <w:shd w:val="clear" w:color="auto" w:fill="C9DAF8"/>
                  <w:tcMar>
                    <w:top w:w="100" w:type="dxa"/>
                    <w:left w:w="100" w:type="dxa"/>
                    <w:bottom w:w="100" w:type="dxa"/>
                    <w:right w:w="100" w:type="dxa"/>
                  </w:tcMar>
                </w:tcPr>
                <w:p w:rsidR="004C24E3" w:rsidRDefault="00F56660">
                  <w:pPr>
                    <w:jc w:val="left"/>
                    <w:rPr>
                      <w:rFonts w:ascii="Calibri" w:eastAsia="Calibri" w:hAnsi="Calibri" w:cs="Calibri"/>
                      <w:sz w:val="22"/>
                      <w:szCs w:val="22"/>
                    </w:rPr>
                  </w:pPr>
                  <w:r>
                    <w:rPr>
                      <w:rFonts w:ascii="Calibri" w:eastAsia="Calibri" w:hAnsi="Calibri" w:cs="Calibri"/>
                      <w:sz w:val="22"/>
                      <w:szCs w:val="22"/>
                    </w:rPr>
                    <w:t>2 or more face to face or indirect contacts in 6 week period (up to max 12 sessions)</w:t>
                  </w:r>
                </w:p>
              </w:tc>
            </w:tr>
            <w:tr w:rsidR="004C24E3">
              <w:tc>
                <w:tcPr>
                  <w:tcW w:w="2790" w:type="dxa"/>
                  <w:shd w:val="clear" w:color="auto" w:fill="D5A6BD"/>
                  <w:tcMar>
                    <w:top w:w="100" w:type="dxa"/>
                    <w:left w:w="100" w:type="dxa"/>
                    <w:bottom w:w="100" w:type="dxa"/>
                    <w:right w:w="100" w:type="dxa"/>
                  </w:tcMar>
                </w:tcPr>
                <w:p w:rsidR="004C24E3" w:rsidRDefault="00F56660">
                  <w:pPr>
                    <w:jc w:val="left"/>
                    <w:rPr>
                      <w:rFonts w:ascii="Calibri" w:eastAsia="Calibri" w:hAnsi="Calibri" w:cs="Calibri"/>
                      <w:sz w:val="22"/>
                      <w:szCs w:val="22"/>
                    </w:rPr>
                  </w:pPr>
                  <w:r>
                    <w:rPr>
                      <w:rFonts w:ascii="Calibri" w:eastAsia="Calibri" w:hAnsi="Calibri" w:cs="Calibri"/>
                      <w:sz w:val="22"/>
                      <w:szCs w:val="22"/>
                    </w:rPr>
                    <w:t xml:space="preserve">Getting More Help </w:t>
                  </w:r>
                </w:p>
              </w:tc>
              <w:tc>
                <w:tcPr>
                  <w:tcW w:w="6420" w:type="dxa"/>
                  <w:shd w:val="clear" w:color="auto" w:fill="D5A6BD"/>
                  <w:tcMar>
                    <w:top w:w="100" w:type="dxa"/>
                    <w:left w:w="100" w:type="dxa"/>
                    <w:bottom w:w="100" w:type="dxa"/>
                    <w:right w:w="100" w:type="dxa"/>
                  </w:tcMar>
                </w:tcPr>
                <w:p w:rsidR="004C24E3" w:rsidRDefault="00F56660">
                  <w:pPr>
                    <w:jc w:val="left"/>
                    <w:rPr>
                      <w:rFonts w:ascii="Calibri" w:eastAsia="Calibri" w:hAnsi="Calibri" w:cs="Calibri"/>
                      <w:sz w:val="22"/>
                      <w:szCs w:val="22"/>
                    </w:rPr>
                  </w:pPr>
                  <w:r>
                    <w:rPr>
                      <w:rFonts w:ascii="Calibri" w:eastAsia="Calibri" w:hAnsi="Calibri" w:cs="Calibri"/>
                      <w:sz w:val="22"/>
                      <w:szCs w:val="22"/>
                    </w:rPr>
                    <w:t>2 or more face to face or indirect contacts in 6 week period (total 12 sessions or more)</w:t>
                  </w:r>
                </w:p>
              </w:tc>
            </w:tr>
          </w:tbl>
          <w:p w:rsidR="004C24E3" w:rsidRDefault="004C24E3">
            <w:pPr>
              <w:contextualSpacing w:val="0"/>
              <w:rPr>
                <w:highlight w:val="white"/>
              </w:rPr>
            </w:pPr>
          </w:p>
          <w:p w:rsidR="004C24E3" w:rsidRDefault="00F56660">
            <w:pPr>
              <w:contextualSpacing w:val="0"/>
              <w:rPr>
                <w:b/>
                <w:highlight w:val="white"/>
              </w:rPr>
            </w:pPr>
            <w:r>
              <w:rPr>
                <w:b/>
                <w:highlight w:val="white"/>
              </w:rPr>
              <w:t>N.B Indirect contact can be via telephone or online but texts or SMS do not count.</w:t>
            </w:r>
          </w:p>
          <w:p w:rsidR="004C24E3" w:rsidRDefault="004C24E3">
            <w:pPr>
              <w:contextualSpacing w:val="0"/>
            </w:pPr>
          </w:p>
          <w:p w:rsidR="004C24E3" w:rsidRDefault="00F56660">
            <w:pPr>
              <w:contextualSpacing w:val="0"/>
              <w:rPr>
                <w:u w:val="single"/>
              </w:rPr>
            </w:pPr>
            <w:r>
              <w:rPr>
                <w:u w:val="single"/>
              </w:rPr>
              <w:t>(iii) NHS projected access targets</w:t>
            </w:r>
          </w:p>
          <w:p w:rsidR="004C24E3" w:rsidRDefault="004C24E3">
            <w:pPr>
              <w:contextualSpacing w:val="0"/>
            </w:pPr>
          </w:p>
          <w:p w:rsidR="004C24E3" w:rsidRDefault="00F56660">
            <w:pPr>
              <w:contextualSpacing w:val="0"/>
            </w:pPr>
            <w:r>
              <w:lastRenderedPageBreak/>
              <w:t>Currently, it is approximated that c.12% of CYP with a diagnosable mental health condition access services in this area (both specialist CAMHs and LA funded services). This should increase to 35% by 2020.</w:t>
            </w:r>
          </w:p>
          <w:p w:rsidR="004C24E3" w:rsidRDefault="004C24E3">
            <w:pPr>
              <w:contextualSpacing w:val="0"/>
            </w:pPr>
          </w:p>
          <w:p w:rsidR="004C24E3" w:rsidRDefault="00F56660">
            <w:pPr>
              <w:contextualSpacing w:val="0"/>
              <w:rPr>
                <w:u w:val="single"/>
              </w:rPr>
            </w:pPr>
            <w:r>
              <w:rPr>
                <w:u w:val="single"/>
              </w:rPr>
              <w:t>(iv) Activity in 2015/16</w:t>
            </w:r>
          </w:p>
          <w:p w:rsidR="004C24E3" w:rsidRDefault="004C24E3">
            <w:pPr>
              <w:contextualSpacing w:val="0"/>
            </w:pPr>
          </w:p>
          <w:p w:rsidR="004C24E3" w:rsidRDefault="00F56660">
            <w:pPr>
              <w:contextualSpacing w:val="0"/>
            </w:pPr>
            <w:r>
              <w:t xml:space="preserve">Activity data from existing suppliers suggests </w:t>
            </w:r>
          </w:p>
          <w:p w:rsidR="004C24E3" w:rsidRDefault="004C24E3">
            <w:pPr>
              <w:contextualSpacing w:val="0"/>
            </w:pPr>
          </w:p>
          <w:p w:rsidR="004C24E3" w:rsidRDefault="00F56660">
            <w:pPr>
              <w:numPr>
                <w:ilvl w:val="0"/>
                <w:numId w:val="2"/>
              </w:numPr>
              <w:ind w:hanging="360"/>
            </w:pPr>
            <w:r>
              <w:t>266 young people received interventions in Peterborough (11-17s only) [LA funded service]</w:t>
            </w:r>
          </w:p>
          <w:p w:rsidR="004C24E3" w:rsidRDefault="00F56660">
            <w:pPr>
              <w:numPr>
                <w:ilvl w:val="0"/>
                <w:numId w:val="2"/>
              </w:numPr>
              <w:ind w:hanging="360"/>
            </w:pPr>
            <w:r>
              <w:t>An additional c.207 (13-19s) young people received interventions in Peterborough [non LA funded service provided by third sector]</w:t>
            </w:r>
          </w:p>
          <w:p w:rsidR="004C24E3" w:rsidRDefault="00F56660">
            <w:pPr>
              <w:numPr>
                <w:ilvl w:val="0"/>
                <w:numId w:val="2"/>
              </w:numPr>
              <w:ind w:hanging="360"/>
            </w:pPr>
            <w:r>
              <w:t>829 children and young people received interventions in Cambridgeshire (13-25s with the exception of bereavement support which includes 0-19s)</w:t>
            </w:r>
          </w:p>
          <w:p w:rsidR="004C24E3" w:rsidRDefault="004C24E3">
            <w:pPr>
              <w:contextualSpacing w:val="0"/>
            </w:pPr>
          </w:p>
          <w:p w:rsidR="004C24E3" w:rsidRDefault="00F56660">
            <w:pPr>
              <w:contextualSpacing w:val="0"/>
            </w:pPr>
            <w:r>
              <w:t>There was no service for under 11s in Peterborough and only bereavement support for under 13s in Cambridgeshire.</w:t>
            </w:r>
          </w:p>
          <w:p w:rsidR="004C24E3" w:rsidRDefault="004C24E3">
            <w:pPr>
              <w:contextualSpacing w:val="0"/>
            </w:pPr>
          </w:p>
          <w:p w:rsidR="004C24E3" w:rsidRDefault="00F56660">
            <w:pPr>
              <w:contextualSpacing w:val="0"/>
            </w:pPr>
            <w:r>
              <w:t xml:space="preserve">Please note this activity data does </w:t>
            </w:r>
            <w:r>
              <w:rPr>
                <w:u w:val="single"/>
              </w:rPr>
              <w:t>not</w:t>
            </w:r>
            <w:r>
              <w:t xml:space="preserve"> include young people who were referred/accessed the service, assessed and then signposted elsewhere. </w:t>
            </w:r>
          </w:p>
          <w:p w:rsidR="004C24E3" w:rsidRDefault="004C24E3">
            <w:pPr>
              <w:ind w:left="435"/>
              <w:contextualSpacing w:val="0"/>
            </w:pPr>
          </w:p>
          <w:p w:rsidR="004C24E3" w:rsidRDefault="00F56660">
            <w:pPr>
              <w:contextualSpacing w:val="0"/>
            </w:pPr>
            <w:r>
              <w:rPr>
                <w:color w:val="339966"/>
              </w:rPr>
              <w:t>4.7 Pathways/Interdependencies</w:t>
            </w:r>
          </w:p>
          <w:p w:rsidR="004C24E3" w:rsidRDefault="004C24E3">
            <w:pPr>
              <w:ind w:left="435"/>
              <w:contextualSpacing w:val="0"/>
            </w:pPr>
          </w:p>
          <w:p w:rsidR="004C24E3" w:rsidRDefault="00F56660">
            <w:pPr>
              <w:contextualSpacing w:val="0"/>
            </w:pPr>
            <w:r>
              <w:t>The service must work collaboratively and in partnership with other organisations and services, ensuring that they are aware of the service and, as necessary, developing pathways and operational links to deliver an effective and seamless service for children and young people. Partners include:-</w:t>
            </w:r>
          </w:p>
          <w:p w:rsidR="004C24E3" w:rsidRDefault="004C24E3">
            <w:pPr>
              <w:contextualSpacing w:val="0"/>
            </w:pPr>
          </w:p>
          <w:p w:rsidR="004C24E3" w:rsidRDefault="00F56660">
            <w:pPr>
              <w:contextualSpacing w:val="0"/>
            </w:pPr>
            <w:r>
              <w:t>Key</w:t>
            </w:r>
          </w:p>
          <w:p w:rsidR="004C24E3" w:rsidRDefault="00F56660">
            <w:pPr>
              <w:numPr>
                <w:ilvl w:val="0"/>
                <w:numId w:val="3"/>
              </w:numPr>
              <w:ind w:hanging="360"/>
            </w:pPr>
            <w:r>
              <w:t>Specialist CAMH services</w:t>
            </w:r>
          </w:p>
          <w:p w:rsidR="004C24E3" w:rsidRDefault="00F56660">
            <w:pPr>
              <w:numPr>
                <w:ilvl w:val="0"/>
                <w:numId w:val="3"/>
              </w:numPr>
              <w:ind w:hanging="360"/>
            </w:pPr>
            <w:r>
              <w:t>CPN Project For Schools (Peterborough only until July 17)</w:t>
            </w:r>
          </w:p>
          <w:p w:rsidR="004C24E3" w:rsidRDefault="00F56660">
            <w:pPr>
              <w:numPr>
                <w:ilvl w:val="0"/>
                <w:numId w:val="3"/>
              </w:numPr>
              <w:ind w:hanging="360"/>
            </w:pPr>
            <w:r>
              <w:t xml:space="preserve">Emotional Wellbeing Workers </w:t>
            </w:r>
          </w:p>
          <w:p w:rsidR="004C24E3" w:rsidRDefault="00F56660">
            <w:pPr>
              <w:numPr>
                <w:ilvl w:val="0"/>
                <w:numId w:val="3"/>
              </w:numPr>
              <w:ind w:hanging="360"/>
            </w:pPr>
            <w:r>
              <w:t>Education settings (see below)</w:t>
            </w:r>
          </w:p>
          <w:p w:rsidR="004C24E3" w:rsidRDefault="00F56660">
            <w:pPr>
              <w:numPr>
                <w:ilvl w:val="0"/>
                <w:numId w:val="3"/>
              </w:numPr>
              <w:ind w:hanging="360"/>
            </w:pPr>
            <w:r>
              <w:t>Safeguarding and Early Help (see below)</w:t>
            </w:r>
          </w:p>
          <w:p w:rsidR="004C24E3" w:rsidRDefault="00F56660">
            <w:pPr>
              <w:numPr>
                <w:ilvl w:val="0"/>
                <w:numId w:val="3"/>
              </w:numPr>
              <w:ind w:hanging="360"/>
            </w:pPr>
            <w:r>
              <w:t>School Nursing Service</w:t>
            </w:r>
          </w:p>
          <w:p w:rsidR="004C24E3" w:rsidRDefault="00F56660">
            <w:pPr>
              <w:numPr>
                <w:ilvl w:val="0"/>
                <w:numId w:val="3"/>
              </w:numPr>
              <w:ind w:hanging="360"/>
            </w:pPr>
            <w:r>
              <w:t>Drug and alcohol services (young person and adult)</w:t>
            </w:r>
          </w:p>
          <w:p w:rsidR="004C24E3" w:rsidRDefault="00F56660">
            <w:pPr>
              <w:numPr>
                <w:ilvl w:val="0"/>
                <w:numId w:val="3"/>
              </w:numPr>
              <w:ind w:hanging="360"/>
            </w:pPr>
            <w:r>
              <w:t>Psychological Wellbeing Service (Adult IAPT Service)</w:t>
            </w:r>
          </w:p>
          <w:p w:rsidR="004C24E3" w:rsidRDefault="00F56660">
            <w:pPr>
              <w:numPr>
                <w:ilvl w:val="0"/>
                <w:numId w:val="3"/>
              </w:numPr>
              <w:ind w:hanging="360"/>
            </w:pPr>
            <w:r>
              <w:t xml:space="preserve">Crisis services e.g. The Sanctuary </w:t>
            </w:r>
          </w:p>
          <w:p w:rsidR="004C24E3" w:rsidRDefault="00F56660">
            <w:pPr>
              <w:numPr>
                <w:ilvl w:val="0"/>
                <w:numId w:val="3"/>
              </w:numPr>
              <w:ind w:hanging="360"/>
            </w:pPr>
            <w:r>
              <w:t>Looked After Children Psychology Service</w:t>
            </w:r>
          </w:p>
          <w:p w:rsidR="004C24E3" w:rsidRDefault="00F56660">
            <w:pPr>
              <w:numPr>
                <w:ilvl w:val="0"/>
                <w:numId w:val="3"/>
              </w:numPr>
              <w:ind w:hanging="360"/>
            </w:pPr>
            <w:r>
              <w:t>Specialist Abuse Service (Peterborough)</w:t>
            </w:r>
          </w:p>
          <w:p w:rsidR="004C24E3" w:rsidRDefault="00F56660">
            <w:pPr>
              <w:numPr>
                <w:ilvl w:val="0"/>
                <w:numId w:val="3"/>
              </w:numPr>
              <w:ind w:hanging="360"/>
            </w:pPr>
            <w:r>
              <w:t>Emergency Psychiatric Assessment</w:t>
            </w:r>
          </w:p>
          <w:p w:rsidR="004C24E3" w:rsidRDefault="004C24E3">
            <w:pPr>
              <w:contextualSpacing w:val="0"/>
            </w:pPr>
          </w:p>
          <w:p w:rsidR="004C24E3" w:rsidRDefault="004C24E3">
            <w:pPr>
              <w:ind w:left="720"/>
              <w:contextualSpacing w:val="0"/>
            </w:pPr>
          </w:p>
          <w:p w:rsidR="004C24E3" w:rsidRDefault="00F56660">
            <w:pPr>
              <w:contextualSpacing w:val="0"/>
            </w:pPr>
            <w:r>
              <w:t>Health</w:t>
            </w:r>
          </w:p>
          <w:p w:rsidR="004C24E3" w:rsidRDefault="00F56660">
            <w:pPr>
              <w:numPr>
                <w:ilvl w:val="0"/>
                <w:numId w:val="22"/>
              </w:numPr>
              <w:ind w:hanging="360"/>
            </w:pPr>
            <w:r>
              <w:t>GPs</w:t>
            </w:r>
          </w:p>
          <w:p w:rsidR="004C24E3" w:rsidRDefault="00F56660">
            <w:pPr>
              <w:numPr>
                <w:ilvl w:val="0"/>
                <w:numId w:val="22"/>
              </w:numPr>
              <w:ind w:hanging="360"/>
            </w:pPr>
            <w:r>
              <w:t>Peterborough City Hospitals</w:t>
            </w:r>
          </w:p>
          <w:p w:rsidR="004C24E3" w:rsidRDefault="00F56660">
            <w:pPr>
              <w:numPr>
                <w:ilvl w:val="0"/>
                <w:numId w:val="22"/>
              </w:numPr>
              <w:ind w:hanging="360"/>
            </w:pPr>
            <w:r>
              <w:t>Walk in Centres / Minor Injuries Units</w:t>
            </w:r>
          </w:p>
          <w:p w:rsidR="004C24E3" w:rsidRDefault="00F56660">
            <w:pPr>
              <w:numPr>
                <w:ilvl w:val="0"/>
                <w:numId w:val="22"/>
              </w:numPr>
              <w:ind w:hanging="360"/>
            </w:pPr>
            <w:r>
              <w:t>Health Improvement services and programmes (Public Health delivery team)</w:t>
            </w:r>
          </w:p>
          <w:p w:rsidR="004C24E3" w:rsidRDefault="00F56660">
            <w:pPr>
              <w:numPr>
                <w:ilvl w:val="0"/>
                <w:numId w:val="22"/>
              </w:numPr>
              <w:ind w:hanging="360"/>
            </w:pPr>
            <w:r>
              <w:t>Contraceptive and Sexual Health service</w:t>
            </w:r>
          </w:p>
          <w:p w:rsidR="004C24E3" w:rsidRDefault="00F56660">
            <w:pPr>
              <w:numPr>
                <w:ilvl w:val="0"/>
                <w:numId w:val="22"/>
              </w:numPr>
              <w:ind w:hanging="360"/>
            </w:pPr>
            <w:r>
              <w:t>NHS funded online counselling services</w:t>
            </w:r>
          </w:p>
          <w:p w:rsidR="004C24E3" w:rsidRDefault="004C24E3">
            <w:pPr>
              <w:contextualSpacing w:val="0"/>
            </w:pPr>
          </w:p>
          <w:p w:rsidR="004C24E3" w:rsidRDefault="00F56660">
            <w:pPr>
              <w:contextualSpacing w:val="0"/>
            </w:pPr>
            <w:r>
              <w:t>Education</w:t>
            </w:r>
          </w:p>
          <w:p w:rsidR="004C24E3" w:rsidRDefault="00F56660">
            <w:pPr>
              <w:numPr>
                <w:ilvl w:val="0"/>
                <w:numId w:val="27"/>
              </w:numPr>
              <w:ind w:hanging="360"/>
            </w:pPr>
            <w:r>
              <w:t>Primary schools</w:t>
            </w:r>
          </w:p>
          <w:p w:rsidR="004C24E3" w:rsidRDefault="00F56660">
            <w:pPr>
              <w:numPr>
                <w:ilvl w:val="0"/>
                <w:numId w:val="27"/>
              </w:numPr>
              <w:ind w:hanging="360"/>
            </w:pPr>
            <w:r>
              <w:t>Secondary Schools</w:t>
            </w:r>
          </w:p>
          <w:p w:rsidR="004C24E3" w:rsidRDefault="00F56660">
            <w:pPr>
              <w:numPr>
                <w:ilvl w:val="0"/>
                <w:numId w:val="27"/>
              </w:numPr>
              <w:ind w:hanging="360"/>
            </w:pPr>
            <w:r>
              <w:t>Special Schools</w:t>
            </w:r>
          </w:p>
          <w:p w:rsidR="004C24E3" w:rsidRDefault="00F56660">
            <w:pPr>
              <w:numPr>
                <w:ilvl w:val="0"/>
                <w:numId w:val="27"/>
              </w:numPr>
              <w:ind w:hanging="360"/>
            </w:pPr>
            <w:r>
              <w:t>Alternative education settings</w:t>
            </w:r>
          </w:p>
          <w:p w:rsidR="004C24E3" w:rsidRDefault="00F56660">
            <w:pPr>
              <w:numPr>
                <w:ilvl w:val="0"/>
                <w:numId w:val="27"/>
              </w:numPr>
              <w:ind w:hanging="360"/>
            </w:pPr>
            <w:r>
              <w:t>Colleges</w:t>
            </w:r>
          </w:p>
          <w:p w:rsidR="004C24E3" w:rsidRDefault="004C24E3">
            <w:pPr>
              <w:contextualSpacing w:val="0"/>
            </w:pPr>
          </w:p>
          <w:p w:rsidR="004C24E3" w:rsidRDefault="00F56660">
            <w:pPr>
              <w:contextualSpacing w:val="0"/>
            </w:pPr>
            <w:r>
              <w:t>Safeguarding and Early Help</w:t>
            </w:r>
          </w:p>
          <w:p w:rsidR="004C24E3" w:rsidRDefault="00F56660">
            <w:pPr>
              <w:contextualSpacing w:val="0"/>
            </w:pPr>
            <w:r>
              <w:t>•</w:t>
            </w:r>
            <w:r>
              <w:tab/>
              <w:t>Children’s Social Care</w:t>
            </w:r>
          </w:p>
          <w:p w:rsidR="004C24E3" w:rsidRDefault="00F56660">
            <w:pPr>
              <w:contextualSpacing w:val="0"/>
            </w:pPr>
            <w:r>
              <w:t>•</w:t>
            </w:r>
            <w:r>
              <w:tab/>
              <w:t>Adult Social Care</w:t>
            </w:r>
          </w:p>
          <w:p w:rsidR="004C24E3" w:rsidRDefault="00F56660">
            <w:pPr>
              <w:contextualSpacing w:val="0"/>
            </w:pPr>
            <w:r>
              <w:t>•</w:t>
            </w:r>
            <w:r>
              <w:tab/>
              <w:t>Child sexual exploitation services</w:t>
            </w:r>
          </w:p>
          <w:p w:rsidR="004C24E3" w:rsidRDefault="00F56660">
            <w:pPr>
              <w:contextualSpacing w:val="0"/>
            </w:pPr>
            <w:r>
              <w:t>•</w:t>
            </w:r>
            <w:r>
              <w:tab/>
              <w:t>Peterborough and Cambridgeshire Safeguarding Boards (adult and child)</w:t>
            </w:r>
          </w:p>
          <w:p w:rsidR="004C24E3" w:rsidRDefault="00F56660">
            <w:pPr>
              <w:contextualSpacing w:val="0"/>
            </w:pPr>
            <w:r>
              <w:t>•</w:t>
            </w:r>
            <w:r>
              <w:tab/>
              <w:t>Early Help Forum</w:t>
            </w:r>
          </w:p>
          <w:p w:rsidR="004C24E3" w:rsidRDefault="00F56660">
            <w:pPr>
              <w:contextualSpacing w:val="0"/>
            </w:pPr>
            <w:r>
              <w:t>•</w:t>
            </w:r>
            <w:r>
              <w:tab/>
              <w:t>Early Help team</w:t>
            </w:r>
          </w:p>
          <w:p w:rsidR="004C24E3" w:rsidRDefault="00F56660">
            <w:pPr>
              <w:contextualSpacing w:val="0"/>
            </w:pPr>
            <w:r>
              <w:t>•</w:t>
            </w:r>
            <w:r>
              <w:tab/>
              <w:t>Multi-Agency Support Groups (MASGs)</w:t>
            </w:r>
          </w:p>
          <w:p w:rsidR="004C24E3" w:rsidRDefault="00F56660">
            <w:pPr>
              <w:contextualSpacing w:val="0"/>
            </w:pPr>
            <w:r>
              <w:t>•</w:t>
            </w:r>
            <w:r>
              <w:tab/>
              <w:t>Peterborough and Cambridgeshire Multi-Agency Safeguarding Hubs (MASH)</w:t>
            </w:r>
          </w:p>
          <w:p w:rsidR="004C24E3" w:rsidRDefault="004C24E3">
            <w:pPr>
              <w:contextualSpacing w:val="0"/>
            </w:pPr>
          </w:p>
          <w:p w:rsidR="004C24E3" w:rsidRDefault="00F56660">
            <w:pPr>
              <w:contextualSpacing w:val="0"/>
            </w:pPr>
            <w:r>
              <w:t>Criminal Justice</w:t>
            </w:r>
          </w:p>
          <w:p w:rsidR="004C24E3" w:rsidRDefault="00F56660">
            <w:pPr>
              <w:numPr>
                <w:ilvl w:val="0"/>
                <w:numId w:val="22"/>
              </w:numPr>
              <w:ind w:hanging="360"/>
            </w:pPr>
            <w:r>
              <w:t>Youth Offending Service</w:t>
            </w:r>
          </w:p>
          <w:p w:rsidR="004C24E3" w:rsidRDefault="004C24E3">
            <w:pPr>
              <w:contextualSpacing w:val="0"/>
            </w:pPr>
          </w:p>
          <w:p w:rsidR="004C24E3" w:rsidRDefault="00F56660">
            <w:pPr>
              <w:contextualSpacing w:val="0"/>
            </w:pPr>
            <w:r>
              <w:t>Wider Partners</w:t>
            </w:r>
          </w:p>
          <w:p w:rsidR="004C24E3" w:rsidRDefault="00F56660">
            <w:pPr>
              <w:numPr>
                <w:ilvl w:val="0"/>
                <w:numId w:val="22"/>
              </w:numPr>
              <w:ind w:hanging="360"/>
            </w:pPr>
            <w:r>
              <w:t>Targeted youth services</w:t>
            </w:r>
          </w:p>
          <w:p w:rsidR="004C24E3" w:rsidRDefault="00F56660">
            <w:pPr>
              <w:numPr>
                <w:ilvl w:val="0"/>
                <w:numId w:val="22"/>
              </w:numPr>
              <w:ind w:hanging="360"/>
            </w:pPr>
            <w:r>
              <w:t>Sexual Assault Referral Centre</w:t>
            </w:r>
          </w:p>
          <w:p w:rsidR="004C24E3" w:rsidRDefault="00F56660">
            <w:pPr>
              <w:numPr>
                <w:ilvl w:val="0"/>
                <w:numId w:val="22"/>
              </w:numPr>
              <w:ind w:hanging="360"/>
            </w:pPr>
            <w:r>
              <w:t>Domestic abuse and sexual violence support services</w:t>
            </w:r>
          </w:p>
          <w:p w:rsidR="004C24E3" w:rsidRDefault="00F56660">
            <w:pPr>
              <w:numPr>
                <w:ilvl w:val="0"/>
                <w:numId w:val="22"/>
              </w:numPr>
              <w:ind w:hanging="360"/>
            </w:pPr>
            <w:r>
              <w:t>Jobcentre Plus</w:t>
            </w:r>
          </w:p>
          <w:p w:rsidR="004C24E3" w:rsidRDefault="00F56660">
            <w:pPr>
              <w:numPr>
                <w:ilvl w:val="0"/>
                <w:numId w:val="22"/>
              </w:numPr>
              <w:ind w:hanging="360"/>
            </w:pPr>
            <w:r>
              <w:t>Housing providers and Housing Options</w:t>
            </w:r>
          </w:p>
          <w:p w:rsidR="004C24E3" w:rsidRDefault="00F56660">
            <w:pPr>
              <w:numPr>
                <w:ilvl w:val="0"/>
                <w:numId w:val="22"/>
              </w:numPr>
              <w:ind w:hanging="360"/>
            </w:pPr>
            <w:r>
              <w:t>Voluntary and community services</w:t>
            </w:r>
          </w:p>
          <w:p w:rsidR="004C24E3" w:rsidRDefault="00F56660">
            <w:pPr>
              <w:numPr>
                <w:ilvl w:val="0"/>
                <w:numId w:val="22"/>
              </w:numPr>
              <w:ind w:hanging="360"/>
            </w:pPr>
            <w:r>
              <w:t xml:space="preserve">Community groups e.g. youth groups. </w:t>
            </w:r>
          </w:p>
          <w:p w:rsidR="004C24E3" w:rsidRDefault="004C24E3">
            <w:pPr>
              <w:contextualSpacing w:val="0"/>
            </w:pPr>
          </w:p>
          <w:p w:rsidR="004C24E3" w:rsidRDefault="00F56660">
            <w:pPr>
              <w:contextualSpacing w:val="0"/>
            </w:pPr>
            <w:r>
              <w:t>Providers should ensure they have excellent links with services regularly used by young people.</w:t>
            </w:r>
          </w:p>
          <w:p w:rsidR="004C24E3" w:rsidRDefault="004C24E3">
            <w:pPr>
              <w:contextualSpacing w:val="0"/>
            </w:pPr>
          </w:p>
          <w:p w:rsidR="004C24E3" w:rsidRDefault="00F56660">
            <w:pPr>
              <w:contextualSpacing w:val="0"/>
            </w:pPr>
            <w:r>
              <w:rPr>
                <w:color w:val="00B050"/>
              </w:rPr>
              <w:t>4.8 Service user and staff engagement</w:t>
            </w:r>
          </w:p>
          <w:p w:rsidR="004C24E3" w:rsidRDefault="004C24E3">
            <w:pPr>
              <w:ind w:left="435"/>
              <w:contextualSpacing w:val="0"/>
            </w:pPr>
          </w:p>
          <w:p w:rsidR="004C24E3" w:rsidRDefault="00F56660">
            <w:pPr>
              <w:contextualSpacing w:val="0"/>
            </w:pPr>
            <w:r>
              <w:t>The service will embed feedback from children, young people, families, professionals and staff within all aspects of service planning, review and, where appropriate, delivery. The service should clearly demonstrate how the feedback from service users and staff has contributed to service development.</w:t>
            </w:r>
          </w:p>
          <w:p w:rsidR="004C24E3" w:rsidRDefault="004C24E3">
            <w:pPr>
              <w:contextualSpacing w:val="0"/>
            </w:pPr>
          </w:p>
          <w:p w:rsidR="004C24E3" w:rsidRDefault="00F56660">
            <w:pPr>
              <w:contextualSpacing w:val="0"/>
            </w:pPr>
            <w:r>
              <w:t xml:space="preserve">All children, young people and families accessing support will take part in routine outcomes measures and all service users will be asked to complete experience of service questionnaires, share their own words and views about the service and to offer suggestions and complaints. The service will also operate a complaints and compliments scheme. </w:t>
            </w:r>
          </w:p>
          <w:p w:rsidR="004C24E3" w:rsidRDefault="004C24E3">
            <w:pPr>
              <w:contextualSpacing w:val="0"/>
            </w:pPr>
          </w:p>
          <w:p w:rsidR="004C24E3" w:rsidRDefault="00F56660">
            <w:pPr>
              <w:contextualSpacing w:val="0"/>
            </w:pPr>
            <w:r>
              <w:rPr>
                <w:color w:val="00B050"/>
              </w:rPr>
              <w:t>4.9 Transfer and Discharge</w:t>
            </w:r>
          </w:p>
          <w:p w:rsidR="004C24E3" w:rsidRDefault="004C24E3">
            <w:pPr>
              <w:contextualSpacing w:val="0"/>
            </w:pPr>
          </w:p>
          <w:p w:rsidR="004C24E3" w:rsidRDefault="00F56660">
            <w:pPr>
              <w:contextualSpacing w:val="0"/>
              <w:rPr>
                <w:highlight w:val="cyan"/>
              </w:rPr>
            </w:pPr>
            <w:r>
              <w:t xml:space="preserve">The service will have in place appropriate transfer, DNA/ re-engagement and discharge policies which comply with relevant national guidance and best practice. </w:t>
            </w:r>
          </w:p>
          <w:p w:rsidR="004C24E3" w:rsidRDefault="004C24E3">
            <w:pPr>
              <w:contextualSpacing w:val="0"/>
            </w:pPr>
          </w:p>
          <w:p w:rsidR="004C24E3" w:rsidRDefault="00F56660">
            <w:pPr>
              <w:contextualSpacing w:val="0"/>
            </w:pPr>
            <w:r>
              <w:rPr>
                <w:color w:val="00B050"/>
              </w:rPr>
              <w:lastRenderedPageBreak/>
              <w:t>4.10 Data</w:t>
            </w:r>
          </w:p>
          <w:p w:rsidR="004C24E3" w:rsidRDefault="004C24E3">
            <w:pPr>
              <w:ind w:left="435"/>
              <w:contextualSpacing w:val="0"/>
            </w:pPr>
          </w:p>
          <w:p w:rsidR="004C24E3" w:rsidRDefault="00F56660">
            <w:pPr>
              <w:contextualSpacing w:val="0"/>
            </w:pPr>
            <w:r>
              <w:t>The service will have in place a system to record, collate and report service activity and submit data to the National Mental Health Service (MHS) Dataset v2.0 on a quarterly basis. This will include robust and secure systems or partnership arrangements to submit information to the NHS MHS Dataset. The service will comply with all relevant national reporting requirements and standards including Joint Technical Definitions of Performance Activity and NHS Contract Technical Guidance (please see Specification Appendix 5) and the National Mental Health Service Dataset (please see below link for relevant documentation).</w:t>
            </w:r>
          </w:p>
          <w:p w:rsidR="004C24E3" w:rsidRDefault="004C24E3">
            <w:pPr>
              <w:contextualSpacing w:val="0"/>
            </w:pPr>
          </w:p>
          <w:p w:rsidR="004C24E3" w:rsidRDefault="00F56660">
            <w:pPr>
              <w:contextualSpacing w:val="0"/>
            </w:pPr>
            <w:r>
              <w:t>https://content.digital.nhs.uk/isce/publication/SCCI0011</w:t>
            </w:r>
          </w:p>
          <w:p w:rsidR="004C24E3" w:rsidRDefault="004C24E3">
            <w:pPr>
              <w:contextualSpacing w:val="0"/>
            </w:pPr>
          </w:p>
          <w:p w:rsidR="004C24E3" w:rsidRDefault="00F56660">
            <w:pPr>
              <w:contextualSpacing w:val="0"/>
            </w:pPr>
            <w:r>
              <w:t xml:space="preserve">Data recording on individual level outcomes should include: </w:t>
            </w:r>
          </w:p>
          <w:p w:rsidR="004C24E3" w:rsidRDefault="00F56660">
            <w:pPr>
              <w:contextualSpacing w:val="0"/>
            </w:pPr>
            <w:r>
              <w:t>•</w:t>
            </w:r>
            <w:r>
              <w:tab/>
              <w:t xml:space="preserve">Agreed assessment measures (identified from the resource below) </w:t>
            </w:r>
          </w:p>
          <w:p w:rsidR="004C24E3" w:rsidRDefault="00F56660">
            <w:pPr>
              <w:contextualSpacing w:val="0"/>
            </w:pPr>
            <w:r>
              <w:t>•</w:t>
            </w:r>
            <w:r>
              <w:tab/>
              <w:t xml:space="preserve">Whether the individual is currently being seen by any other local services, including in schools or academy. </w:t>
            </w:r>
          </w:p>
          <w:p w:rsidR="004C24E3" w:rsidRDefault="00FD655A">
            <w:pPr>
              <w:contextualSpacing w:val="0"/>
            </w:pPr>
            <w:hyperlink r:id="rId41">
              <w:r w:rsidR="00F56660">
                <w:rPr>
                  <w:color w:val="0563C1"/>
                  <w:u w:val="single"/>
                </w:rPr>
                <w:t>https://www.ucl.ac.uk/ebpu/docs/publication_files/Guide_COOP_Book010414.pdf</w:t>
              </w:r>
            </w:hyperlink>
            <w:r w:rsidR="00F56660">
              <w:t xml:space="preserve"> </w:t>
            </w:r>
          </w:p>
          <w:p w:rsidR="004C24E3" w:rsidRDefault="004C24E3">
            <w:pPr>
              <w:ind w:left="435"/>
              <w:contextualSpacing w:val="0"/>
            </w:pPr>
          </w:p>
          <w:p w:rsidR="004C24E3" w:rsidRDefault="00F56660">
            <w:pPr>
              <w:contextualSpacing w:val="0"/>
            </w:pPr>
            <w:r>
              <w:rPr>
                <w:color w:val="00B050"/>
              </w:rPr>
              <w:t>4.11 Information Governance</w:t>
            </w:r>
          </w:p>
          <w:p w:rsidR="004C24E3" w:rsidRDefault="004C24E3">
            <w:pPr>
              <w:contextualSpacing w:val="0"/>
            </w:pPr>
          </w:p>
          <w:p w:rsidR="004C24E3" w:rsidRDefault="00F56660">
            <w:pPr>
              <w:contextualSpacing w:val="0"/>
            </w:pPr>
            <w:r>
              <w:t>The provider will have in place an information governance system to ensure the service operates within the requirements set by law. This should include as a minimum:-</w:t>
            </w:r>
          </w:p>
          <w:p w:rsidR="004C24E3" w:rsidRDefault="00F56660">
            <w:pPr>
              <w:numPr>
                <w:ilvl w:val="0"/>
                <w:numId w:val="16"/>
              </w:numPr>
              <w:ind w:hanging="360"/>
            </w:pPr>
            <w:r>
              <w:t xml:space="preserve">Summary of policies and procedures supporting the confidentiality and security of health and case records, service user information and consent. </w:t>
            </w:r>
          </w:p>
          <w:p w:rsidR="004C24E3" w:rsidRDefault="00F56660">
            <w:pPr>
              <w:ind w:left="720"/>
              <w:contextualSpacing w:val="0"/>
            </w:pPr>
            <w:r>
              <w:t>This includes:-</w:t>
            </w:r>
          </w:p>
          <w:p w:rsidR="004C24E3" w:rsidRDefault="00F56660">
            <w:pPr>
              <w:numPr>
                <w:ilvl w:val="0"/>
                <w:numId w:val="4"/>
              </w:numPr>
              <w:ind w:hanging="360"/>
            </w:pPr>
            <w:r>
              <w:t>obligation under the NHS Care Records Guarantee where applicable</w:t>
            </w:r>
          </w:p>
          <w:p w:rsidR="004C24E3" w:rsidRDefault="00F56660">
            <w:pPr>
              <w:numPr>
                <w:ilvl w:val="0"/>
                <w:numId w:val="4"/>
              </w:numPr>
              <w:ind w:hanging="360"/>
            </w:pPr>
            <w:r>
              <w:t>handling of personal data, even for internal audit (in case of staff attending services) or service users who do not wish their GPs to know</w:t>
            </w:r>
          </w:p>
          <w:p w:rsidR="004C24E3" w:rsidRDefault="00F56660">
            <w:pPr>
              <w:numPr>
                <w:ilvl w:val="0"/>
                <w:numId w:val="4"/>
              </w:numPr>
              <w:ind w:hanging="360"/>
            </w:pPr>
            <w:r>
              <w:t>protocols for lawful sharing of personal data with other NHS agencies and, where necessary, non NHS organisations</w:t>
            </w:r>
          </w:p>
          <w:p w:rsidR="004C24E3" w:rsidRDefault="00F56660">
            <w:pPr>
              <w:numPr>
                <w:ilvl w:val="0"/>
                <w:numId w:val="4"/>
              </w:numPr>
              <w:ind w:hanging="360"/>
            </w:pPr>
            <w:r>
              <w:t>protocol for dealing with serious IG incidents</w:t>
            </w:r>
          </w:p>
          <w:p w:rsidR="004C24E3" w:rsidRDefault="004C24E3">
            <w:pPr>
              <w:contextualSpacing w:val="0"/>
            </w:pPr>
          </w:p>
          <w:p w:rsidR="004C24E3" w:rsidRDefault="00F56660">
            <w:pPr>
              <w:numPr>
                <w:ilvl w:val="0"/>
                <w:numId w:val="16"/>
              </w:numPr>
              <w:ind w:hanging="360"/>
            </w:pPr>
            <w:r>
              <w:t>IG reporting structure including a Caldecott Guardian and Senior Information Risk Owner</w:t>
            </w:r>
          </w:p>
          <w:p w:rsidR="004C24E3" w:rsidRDefault="00F56660">
            <w:pPr>
              <w:numPr>
                <w:ilvl w:val="0"/>
                <w:numId w:val="16"/>
              </w:numPr>
              <w:ind w:hanging="360"/>
            </w:pPr>
            <w:r>
              <w:t>Data Protection Act registration</w:t>
            </w:r>
          </w:p>
          <w:p w:rsidR="004C24E3" w:rsidRDefault="00F56660">
            <w:pPr>
              <w:numPr>
                <w:ilvl w:val="0"/>
                <w:numId w:val="16"/>
              </w:numPr>
              <w:ind w:hanging="360"/>
            </w:pPr>
            <w:r>
              <w:t>Relevant IG certification or registration such as ISO 17799/27001 or recognised equivalent and/or NHS Information Governance Toolkit at Level 2 or higher</w:t>
            </w:r>
          </w:p>
          <w:p w:rsidR="004C24E3" w:rsidRDefault="004C24E3">
            <w:pPr>
              <w:contextualSpacing w:val="0"/>
            </w:pPr>
          </w:p>
          <w:p w:rsidR="004C24E3" w:rsidRDefault="00F56660">
            <w:pPr>
              <w:contextualSpacing w:val="0"/>
            </w:pPr>
            <w:r>
              <w:rPr>
                <w:color w:val="339966"/>
              </w:rPr>
              <w:t>4.12 Integrated Governance</w:t>
            </w:r>
          </w:p>
          <w:p w:rsidR="004C24E3" w:rsidRDefault="004C24E3">
            <w:pPr>
              <w:ind w:left="435"/>
              <w:contextualSpacing w:val="0"/>
            </w:pPr>
          </w:p>
          <w:p w:rsidR="004C24E3" w:rsidRDefault="00F56660">
            <w:pPr>
              <w:contextualSpacing w:val="0"/>
            </w:pPr>
            <w:r>
              <w:t>The service will have in place an effective system for quality assurance and clinical governance. The system will ensure continuous improvement of quality of service, safeguard high standards of care and create an environment in which excellence can flourish.</w:t>
            </w:r>
          </w:p>
          <w:p w:rsidR="004C24E3" w:rsidRDefault="004C24E3">
            <w:pPr>
              <w:contextualSpacing w:val="0"/>
            </w:pPr>
          </w:p>
          <w:p w:rsidR="004C24E3" w:rsidRDefault="00F56660">
            <w:pPr>
              <w:contextualSpacing w:val="0"/>
            </w:pPr>
            <w:r>
              <w:t>The system will include (as a minimum):-</w:t>
            </w:r>
          </w:p>
          <w:p w:rsidR="004C24E3" w:rsidRDefault="004C24E3">
            <w:pPr>
              <w:contextualSpacing w:val="0"/>
            </w:pPr>
          </w:p>
          <w:p w:rsidR="004C24E3" w:rsidRDefault="00F56660">
            <w:pPr>
              <w:numPr>
                <w:ilvl w:val="0"/>
                <w:numId w:val="28"/>
              </w:numPr>
              <w:ind w:hanging="360"/>
            </w:pPr>
            <w:r>
              <w:t xml:space="preserve">It is not expected that registration with Care Quality Commission (CQC) is required by this service, however, the Provider should be registered if applicable to their organisation or service model, as required by law. Whether registration is required may depend on the </w:t>
            </w:r>
            <w:r>
              <w:lastRenderedPageBreak/>
              <w:t xml:space="preserve">professional delivering interventions, therefore the Provider will be required to check CQC guidance. </w:t>
            </w:r>
          </w:p>
          <w:p w:rsidR="004C24E3" w:rsidRDefault="00F56660">
            <w:pPr>
              <w:numPr>
                <w:ilvl w:val="0"/>
                <w:numId w:val="28"/>
              </w:numPr>
              <w:ind w:hanging="360"/>
            </w:pPr>
            <w:r>
              <w:t xml:space="preserve">A clear quality assurance and clinical governance structure with named leads and clear responsibilities. This will include a lead clinician with appropriate training, skills and experience to provide clinical leadership, supervision and advice. </w:t>
            </w:r>
          </w:p>
          <w:p w:rsidR="004C24E3" w:rsidRDefault="00F56660">
            <w:pPr>
              <w:numPr>
                <w:ilvl w:val="0"/>
                <w:numId w:val="28"/>
              </w:numPr>
              <w:ind w:hanging="360"/>
            </w:pPr>
            <w:r>
              <w:t>Documented clinical and operational standards which cover all aspects of the service, each having a named responsible person for implementation, monitoring and review</w:t>
            </w:r>
          </w:p>
          <w:p w:rsidR="004C24E3" w:rsidRDefault="00F56660">
            <w:pPr>
              <w:numPr>
                <w:ilvl w:val="0"/>
                <w:numId w:val="28"/>
              </w:numPr>
              <w:ind w:hanging="360"/>
            </w:pPr>
            <w:r>
              <w:t>Documented risk assessment and risk management processes and business continuity plans</w:t>
            </w:r>
          </w:p>
          <w:p w:rsidR="004C24E3" w:rsidRDefault="00F56660">
            <w:pPr>
              <w:numPr>
                <w:ilvl w:val="0"/>
                <w:numId w:val="28"/>
              </w:numPr>
              <w:ind w:hanging="360"/>
            </w:pPr>
            <w:r>
              <w:t>Annual audit programme to ensure compliance with clinical and operational standards and relevant guidance and Quality Standards</w:t>
            </w:r>
          </w:p>
          <w:p w:rsidR="004C24E3" w:rsidRDefault="00F56660">
            <w:pPr>
              <w:numPr>
                <w:ilvl w:val="0"/>
                <w:numId w:val="28"/>
              </w:numPr>
              <w:ind w:hanging="360"/>
            </w:pPr>
            <w:r>
              <w:t>Mechanisms for staff, service user and stakeholder feedback to input into service development</w:t>
            </w:r>
          </w:p>
          <w:p w:rsidR="004C24E3" w:rsidRDefault="00F56660">
            <w:pPr>
              <w:numPr>
                <w:ilvl w:val="0"/>
                <w:numId w:val="28"/>
              </w:numPr>
              <w:ind w:hanging="360"/>
            </w:pPr>
            <w:r>
              <w:t>Staffing structure in which all staff receive support, training, clinical guidance and supervision relevant to their role and delivered by qualified, experienced individuals</w:t>
            </w:r>
          </w:p>
          <w:p w:rsidR="004C24E3" w:rsidRDefault="004C24E3">
            <w:pPr>
              <w:ind w:left="720"/>
              <w:contextualSpacing w:val="0"/>
            </w:pPr>
          </w:p>
          <w:p w:rsidR="004C24E3" w:rsidRDefault="004C24E3">
            <w:pPr>
              <w:contextualSpacing w:val="0"/>
            </w:pPr>
          </w:p>
          <w:p w:rsidR="004C24E3" w:rsidRDefault="00F56660">
            <w:pPr>
              <w:contextualSpacing w:val="0"/>
            </w:pPr>
            <w:r>
              <w:rPr>
                <w:color w:val="339966"/>
              </w:rPr>
              <w:t>4.13 Incidents requiring reporting</w:t>
            </w:r>
          </w:p>
          <w:p w:rsidR="004C24E3" w:rsidRDefault="004C24E3">
            <w:pPr>
              <w:ind w:left="435"/>
              <w:contextualSpacing w:val="0"/>
            </w:pPr>
          </w:p>
          <w:p w:rsidR="004C24E3" w:rsidRDefault="00F56660">
            <w:pPr>
              <w:contextualSpacing w:val="0"/>
            </w:pPr>
            <w:r>
              <w:t>The service will operate an incident reporting procedure which is compliant with national guidance which describes the process for reporting, investigating, implementing and sharing lessons learned from serious untoward incidents, reportable service user safety incidents, non-service user incidents.</w:t>
            </w:r>
          </w:p>
          <w:p w:rsidR="004C24E3" w:rsidRDefault="004C24E3">
            <w:pPr>
              <w:contextualSpacing w:val="0"/>
            </w:pPr>
          </w:p>
          <w:p w:rsidR="004C24E3" w:rsidRDefault="00F56660">
            <w:pPr>
              <w:contextualSpacing w:val="0"/>
            </w:pPr>
            <w:r>
              <w:t>Serious untoward incidents, service user safety incidents or non-service user incidents should be reported to the commissioner and service clinical governance lead within one working day. Investigations into any serious untoward or service user safety incidents must be shared with the commissioner.</w:t>
            </w:r>
          </w:p>
          <w:p w:rsidR="004C24E3" w:rsidRDefault="004C24E3">
            <w:pPr>
              <w:contextualSpacing w:val="0"/>
            </w:pPr>
          </w:p>
          <w:p w:rsidR="004C24E3" w:rsidRDefault="00F56660">
            <w:pPr>
              <w:contextualSpacing w:val="0"/>
            </w:pPr>
            <w:r>
              <w:rPr>
                <w:color w:val="339966"/>
              </w:rPr>
              <w:t xml:space="preserve">4.14 Safeguarding </w:t>
            </w:r>
          </w:p>
          <w:p w:rsidR="004C24E3" w:rsidRDefault="00F56660">
            <w:pPr>
              <w:contextualSpacing w:val="0"/>
            </w:pPr>
            <w:r>
              <w:t>The service will operate place policies and procedures to safeguard the welfare of vulnerable children and adults. This shall include both safeguarding of children and adults at risk procedures, Mental Capacity Act and its implication for those aged 16 plus. These policies and procedures will be in line with with guidance and protocols issued by both Peterborough and Cambridgeshire Safeguarding Children Boards and Safeguarding Vulnerable Adults Boards and comply with any relevant legislation. Particular attention is drawn to local safeguarding referral procedures, referral pathways to social care and the multi-agency safeguarding hub (MASH) and risk assessments for sexual exploitation and domestic abuse.</w:t>
            </w:r>
          </w:p>
          <w:p w:rsidR="004C24E3" w:rsidRDefault="004C24E3">
            <w:pPr>
              <w:contextualSpacing w:val="0"/>
              <w:rPr>
                <w:b/>
              </w:rPr>
            </w:pPr>
          </w:p>
          <w:p w:rsidR="004C24E3" w:rsidRDefault="00F56660">
            <w:pPr>
              <w:contextualSpacing w:val="0"/>
            </w:pPr>
            <w:r>
              <w:t xml:space="preserve">This safeguarding requirement applies to all delivery partners in the supply chain and it is the responsibility of the lead provider(s) to ensure subcontractors or partners have suitable safeguarding processes in place. </w:t>
            </w:r>
          </w:p>
          <w:p w:rsidR="004C24E3" w:rsidRDefault="004C24E3">
            <w:pPr>
              <w:contextualSpacing w:val="0"/>
            </w:pPr>
          </w:p>
          <w:p w:rsidR="004C24E3" w:rsidRDefault="00F56660">
            <w:pPr>
              <w:contextualSpacing w:val="0"/>
            </w:pPr>
            <w:r>
              <w:rPr>
                <w:color w:val="339966"/>
              </w:rPr>
              <w:t>4.15 Conditions Precedent</w:t>
            </w:r>
          </w:p>
          <w:p w:rsidR="004C24E3" w:rsidRDefault="00F56660">
            <w:pPr>
              <w:numPr>
                <w:ilvl w:val="0"/>
                <w:numId w:val="20"/>
              </w:numPr>
              <w:ind w:hanging="360"/>
            </w:pPr>
            <w:r>
              <w:t>Certificate of insurance in respect of this service</w:t>
            </w:r>
          </w:p>
          <w:p w:rsidR="004C24E3" w:rsidRDefault="00F56660">
            <w:pPr>
              <w:numPr>
                <w:ilvl w:val="0"/>
                <w:numId w:val="20"/>
              </w:numPr>
              <w:ind w:hanging="360"/>
            </w:pPr>
            <w:r>
              <w:t>Safeguarding children and adults policy and procedures</w:t>
            </w:r>
          </w:p>
          <w:p w:rsidR="004C24E3" w:rsidRDefault="00F56660">
            <w:pPr>
              <w:numPr>
                <w:ilvl w:val="0"/>
                <w:numId w:val="20"/>
              </w:numPr>
              <w:ind w:hanging="360"/>
            </w:pPr>
            <w:r>
              <w:t>Current relevant IG certification or registration such as ISO 17799/27001 or recognised equivalent and/or NHS Information Governance Toolkit at  Level 2 or higher</w:t>
            </w:r>
          </w:p>
          <w:p w:rsidR="004C24E3" w:rsidRDefault="00F56660">
            <w:pPr>
              <w:numPr>
                <w:ilvl w:val="0"/>
                <w:numId w:val="20"/>
              </w:numPr>
              <w:ind w:hanging="360"/>
            </w:pPr>
            <w:r>
              <w:t>Quality assurance and clinical governance arrangements in respect of this service</w:t>
            </w:r>
          </w:p>
          <w:p w:rsidR="004C24E3" w:rsidRDefault="00F56660">
            <w:pPr>
              <w:numPr>
                <w:ilvl w:val="0"/>
                <w:numId w:val="20"/>
              </w:numPr>
              <w:ind w:hanging="360"/>
            </w:pPr>
            <w:r>
              <w:t>Hold and maintain effective and detailed risk assessment and business continuity plans in respect of this service</w:t>
            </w:r>
          </w:p>
          <w:p w:rsidR="004C24E3" w:rsidRDefault="00F56660">
            <w:pPr>
              <w:numPr>
                <w:ilvl w:val="0"/>
                <w:numId w:val="20"/>
              </w:numPr>
              <w:ind w:hanging="360"/>
            </w:pPr>
            <w:r>
              <w:lastRenderedPageBreak/>
              <w:t>CQC registration where required by law</w:t>
            </w:r>
          </w:p>
          <w:p w:rsidR="004C24E3" w:rsidRDefault="004C24E3">
            <w:pPr>
              <w:contextualSpacing w:val="0"/>
            </w:pPr>
          </w:p>
        </w:tc>
      </w:tr>
      <w:tr w:rsidR="004C24E3" w:rsidTr="004C24E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64" w:type="dxa"/>
            <w:shd w:val="clear" w:color="auto" w:fill="D9D9D9"/>
          </w:tcPr>
          <w:p w:rsidR="004C24E3" w:rsidRDefault="004C24E3">
            <w:pPr>
              <w:contextualSpacing w:val="0"/>
            </w:pPr>
          </w:p>
          <w:p w:rsidR="004C24E3" w:rsidRDefault="00F56660">
            <w:pPr>
              <w:contextualSpacing w:val="0"/>
              <w:rPr>
                <w:b/>
                <w:color w:val="FF0000"/>
              </w:rPr>
            </w:pPr>
            <w:r>
              <w:rPr>
                <w:b/>
                <w:color w:val="FF0000"/>
              </w:rPr>
              <w:t xml:space="preserve">5.0 Applicable Service Standards </w:t>
            </w:r>
          </w:p>
          <w:p w:rsidR="004C24E3" w:rsidRDefault="004C24E3">
            <w:pPr>
              <w:contextualSpacing w:val="0"/>
            </w:pPr>
          </w:p>
        </w:tc>
      </w:tr>
      <w:tr w:rsidR="004C24E3">
        <w:tc>
          <w:tcPr>
            <w:cnfStyle w:val="000010000000" w:firstRow="0" w:lastRow="0" w:firstColumn="0" w:lastColumn="0" w:oddVBand="1" w:evenVBand="0" w:oddHBand="0" w:evenHBand="0" w:firstRowFirstColumn="0" w:firstRowLastColumn="0" w:lastRowFirstColumn="0" w:lastRowLastColumn="0"/>
            <w:tcW w:w="9464" w:type="dxa"/>
          </w:tcPr>
          <w:p w:rsidR="004C24E3" w:rsidRDefault="004C24E3">
            <w:pPr>
              <w:contextualSpacing w:val="0"/>
            </w:pPr>
          </w:p>
          <w:p w:rsidR="004C24E3" w:rsidRDefault="00F56660">
            <w:pPr>
              <w:contextualSpacing w:val="0"/>
            </w:pPr>
            <w:r>
              <w:t>The service should take continuous active account of the latest local and national developments, guidance and legislative changes.</w:t>
            </w:r>
          </w:p>
          <w:p w:rsidR="004C24E3" w:rsidRDefault="004C24E3">
            <w:pPr>
              <w:contextualSpacing w:val="0"/>
            </w:pPr>
          </w:p>
          <w:p w:rsidR="004C24E3" w:rsidRDefault="00F56660">
            <w:pPr>
              <w:contextualSpacing w:val="0"/>
            </w:pPr>
            <w:r>
              <w:rPr>
                <w:color w:val="339966"/>
              </w:rPr>
              <w:t>5.1 Applicable national standards and evidence base</w:t>
            </w:r>
          </w:p>
          <w:p w:rsidR="004C24E3" w:rsidRDefault="004C24E3">
            <w:pPr>
              <w:contextualSpacing w:val="0"/>
            </w:pPr>
          </w:p>
          <w:p w:rsidR="004C24E3" w:rsidRDefault="00F56660">
            <w:pPr>
              <w:contextualSpacing w:val="0"/>
            </w:pPr>
            <w:r>
              <w:t>The service is expected to be fully compliant with all national policy, guidelines and clinical procedures produced by relevant bodies including NICE and Public Health England.</w:t>
            </w:r>
          </w:p>
          <w:p w:rsidR="004C24E3" w:rsidRDefault="004C24E3">
            <w:pPr>
              <w:contextualSpacing w:val="0"/>
            </w:pPr>
          </w:p>
          <w:p w:rsidR="004C24E3" w:rsidRDefault="00F56660">
            <w:pPr>
              <w:contextualSpacing w:val="0"/>
            </w:pPr>
            <w:r>
              <w:t>The service and its staff are to take continuous active account of new and emerging guidance. The service will adhere to the following national quality standards. The list, whilst not exhaustive, includes key standards, guidance and legislation:-</w:t>
            </w:r>
          </w:p>
          <w:p w:rsidR="004C24E3" w:rsidRDefault="004C24E3">
            <w:pPr>
              <w:contextualSpacing w:val="0"/>
            </w:pPr>
          </w:p>
          <w:tbl>
            <w:tblPr>
              <w:tblStyle w:val="a9"/>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9016"/>
            </w:tblGrid>
            <w:tr w:rsidR="004C24E3">
              <w:tc>
                <w:tcPr>
                  <w:tcW w:w="9016" w:type="dxa"/>
                  <w:tcBorders>
                    <w:top w:val="single" w:sz="4" w:space="0" w:color="000000"/>
                    <w:left w:val="single" w:sz="4" w:space="0" w:color="000000"/>
                    <w:bottom w:val="single" w:sz="4" w:space="0" w:color="000000"/>
                    <w:right w:val="single" w:sz="4" w:space="0" w:color="000000"/>
                  </w:tcBorders>
                </w:tcPr>
                <w:p w:rsidR="004C24E3" w:rsidRDefault="004C24E3">
                  <w:pPr>
                    <w:contextualSpacing w:val="0"/>
                  </w:pPr>
                </w:p>
                <w:p w:rsidR="004C24E3" w:rsidRDefault="00F56660">
                  <w:pPr>
                    <w:contextualSpacing w:val="0"/>
                    <w:rPr>
                      <w:i/>
                    </w:rPr>
                  </w:pPr>
                  <w:r>
                    <w:t>British Psychological Society (BPS) (2015)</w:t>
                  </w:r>
                  <w:r>
                    <w:rPr>
                      <w:i/>
                    </w:rPr>
                    <w:t xml:space="preserve"> Division of Clinical Psychology: What good looks like in psychological services for children, young people and their families. The Child and Family Clinical Psychology Review, 3.</w:t>
                  </w:r>
                </w:p>
                <w:p w:rsidR="004C24E3" w:rsidRDefault="004C24E3">
                  <w:pPr>
                    <w:contextualSpacing w:val="0"/>
                  </w:pPr>
                </w:p>
                <w:p w:rsidR="004C24E3" w:rsidRDefault="00F56660">
                  <w:pPr>
                    <w:spacing w:line="276" w:lineRule="auto"/>
                    <w:contextualSpacing w:val="0"/>
                  </w:pPr>
                  <w:r>
                    <w:t>Chief Medical Officer (England) (2014) Annual Report of the Chief Medical Officer 2013.</w:t>
                  </w:r>
                  <w:r>
                    <w:rPr>
                      <w:i/>
                    </w:rPr>
                    <w:t xml:space="preserve"> Public Mental Health Priorities: Investing in the Evidence</w:t>
                  </w:r>
                  <w:r>
                    <w:t xml:space="preserve"> [online]. Available at: </w:t>
                  </w:r>
                  <w:hyperlink r:id="rId42">
                    <w:r>
                      <w:rPr>
                        <w:color w:val="1155CC"/>
                        <w:u w:val="single"/>
                      </w:rPr>
                      <w:t>https://www.gov.uk/government/uploads/system/uploads/attachement_data/file/351629/Annual_report_2013_1.pdf</w:t>
                    </w:r>
                  </w:hyperlink>
                  <w:r>
                    <w:t>.</w:t>
                  </w:r>
                </w:p>
                <w:p w:rsidR="004C24E3" w:rsidRDefault="004C24E3">
                  <w:pPr>
                    <w:spacing w:line="276" w:lineRule="auto"/>
                    <w:contextualSpacing w:val="0"/>
                  </w:pPr>
                </w:p>
                <w:p w:rsidR="004C24E3" w:rsidRDefault="00F56660">
                  <w:pPr>
                    <w:contextualSpacing w:val="0"/>
                    <w:rPr>
                      <w:color w:val="222222"/>
                    </w:rPr>
                  </w:pPr>
                  <w:r>
                    <w:rPr>
                      <w:color w:val="222222"/>
                    </w:rPr>
                    <w:t xml:space="preserve">Children and Young People’s Mental Health Coalition (CYPMHC) (2012) </w:t>
                  </w:r>
                  <w:r>
                    <w:rPr>
                      <w:i/>
                      <w:color w:val="222222"/>
                    </w:rPr>
                    <w:t>Resilience and Results: How to Improve the Emotional and Mental Well-being of Children and Young People in Your School.</w:t>
                  </w:r>
                  <w:r>
                    <w:rPr>
                      <w:color w:val="222222"/>
                    </w:rPr>
                    <w:t xml:space="preserve"> London: CYPMHC.</w:t>
                  </w:r>
                </w:p>
                <w:p w:rsidR="004C24E3" w:rsidRDefault="004C24E3">
                  <w:pPr>
                    <w:contextualSpacing w:val="0"/>
                    <w:rPr>
                      <w:i/>
                      <w:color w:val="222222"/>
                    </w:rPr>
                  </w:pPr>
                </w:p>
                <w:p w:rsidR="004C24E3" w:rsidRDefault="00F56660">
                  <w:pPr>
                    <w:contextualSpacing w:val="0"/>
                    <w:rPr>
                      <w:i/>
                      <w:color w:val="231F20"/>
                    </w:rPr>
                  </w:pPr>
                  <w:r>
                    <w:rPr>
                      <w:color w:val="231F20"/>
                    </w:rPr>
                    <w:t>Children and Young People’s Mental Health and Wellbeing Taskforce (2015)</w:t>
                  </w:r>
                  <w:r>
                    <w:rPr>
                      <w:i/>
                      <w:color w:val="231F20"/>
                    </w:rPr>
                    <w:t xml:space="preserve"> Vulnerable groups and inequalities task and finish group report </w:t>
                  </w:r>
                  <w:r>
                    <w:t>[online].  Available at: https://www.gov.uk/government/uploads/system/uploads/attachment_data/file/414326/Vulnerable_Groups_and_Inequalities.pdf.</w:t>
                  </w:r>
                </w:p>
                <w:p w:rsidR="004C24E3" w:rsidRDefault="004C24E3">
                  <w:pPr>
                    <w:contextualSpacing w:val="0"/>
                    <w:rPr>
                      <w:color w:val="231F20"/>
                    </w:rPr>
                  </w:pPr>
                </w:p>
                <w:p w:rsidR="004C24E3" w:rsidRDefault="00F56660">
                  <w:pPr>
                    <w:contextualSpacing w:val="0"/>
                    <w:rPr>
                      <w:color w:val="231F20"/>
                    </w:rPr>
                  </w:pPr>
                  <w:r>
                    <w:rPr>
                      <w:color w:val="231F20"/>
                    </w:rPr>
                    <w:t>Department of Health (2009)</w:t>
                  </w:r>
                  <w:r>
                    <w:rPr>
                      <w:i/>
                      <w:color w:val="231F20"/>
                    </w:rPr>
                    <w:t xml:space="preserve">. Children and Young People in Mind: The Final Report of the National CAMHS Review. </w:t>
                  </w:r>
                  <w:r>
                    <w:rPr>
                      <w:color w:val="231F20"/>
                    </w:rPr>
                    <w:t xml:space="preserve">London: </w:t>
                  </w:r>
                  <w:r>
                    <w:t xml:space="preserve">Department of Health. </w:t>
                  </w:r>
                </w:p>
                <w:p w:rsidR="004C24E3" w:rsidRDefault="004C24E3">
                  <w:pPr>
                    <w:contextualSpacing w:val="0"/>
                    <w:rPr>
                      <w:i/>
                      <w:color w:val="231F20"/>
                    </w:rPr>
                  </w:pPr>
                </w:p>
                <w:p w:rsidR="004C24E3" w:rsidRDefault="00F56660">
                  <w:pPr>
                    <w:contextualSpacing w:val="0"/>
                  </w:pPr>
                  <w:r>
                    <w:t xml:space="preserve">Department of Health (2011) </w:t>
                  </w:r>
                  <w:r>
                    <w:rPr>
                      <w:i/>
                    </w:rPr>
                    <w:t>No Health without Mental Health: A cross-government mental health outcomes strategy for people of all ages.</w:t>
                  </w:r>
                  <w:r>
                    <w:t xml:space="preserve"> London: Department of Health. </w:t>
                  </w:r>
                </w:p>
                <w:p w:rsidR="004C24E3" w:rsidRDefault="004C24E3">
                  <w:pPr>
                    <w:contextualSpacing w:val="0"/>
                  </w:pPr>
                </w:p>
                <w:p w:rsidR="004C24E3" w:rsidRDefault="00F56660">
                  <w:pPr>
                    <w:contextualSpacing w:val="0"/>
                    <w:rPr>
                      <w:i/>
                    </w:rPr>
                  </w:pPr>
                  <w:r>
                    <w:t xml:space="preserve">Department of Health (2011) </w:t>
                  </w:r>
                  <w:r>
                    <w:rPr>
                      <w:i/>
                    </w:rPr>
                    <w:t>Talking therapies: A four-year plan of action [online]. Available at:</w:t>
                  </w:r>
                  <w:hyperlink r:id="rId43">
                    <w:r>
                      <w:rPr>
                        <w:i/>
                      </w:rPr>
                      <w:t xml:space="preserve"> </w:t>
                    </w:r>
                  </w:hyperlink>
                  <w:hyperlink r:id="rId44">
                    <w:r>
                      <w:rPr>
                        <w:i/>
                        <w:color w:val="1155CC"/>
                        <w:u w:val="single"/>
                      </w:rPr>
                      <w:t>https://www.gov.uk/government/publications/talking-therapies-a-4-year-plan-of-action</w:t>
                    </w:r>
                  </w:hyperlink>
                  <w:r>
                    <w:rPr>
                      <w:i/>
                    </w:rPr>
                    <w:t xml:space="preserve">.  </w:t>
                  </w:r>
                </w:p>
                <w:p w:rsidR="004C24E3" w:rsidRDefault="004C24E3">
                  <w:pPr>
                    <w:contextualSpacing w:val="0"/>
                    <w:rPr>
                      <w:i/>
                    </w:rPr>
                  </w:pPr>
                </w:p>
                <w:p w:rsidR="004C24E3" w:rsidRDefault="00F56660">
                  <w:pPr>
                    <w:contextualSpacing w:val="0"/>
                  </w:pPr>
                  <w:r>
                    <w:t xml:space="preserve">NICE (National Institute of for Health and Care Excellence) (2004) </w:t>
                  </w:r>
                  <w:r>
                    <w:rPr>
                      <w:i/>
                    </w:rPr>
                    <w:t xml:space="preserve">‘Self-harm in over 8s: short-term </w:t>
                  </w:r>
                  <w:r>
                    <w:rPr>
                      <w:i/>
                    </w:rPr>
                    <w:lastRenderedPageBreak/>
                    <w:t>management and prevention of recurrence’</w:t>
                  </w:r>
                  <w:r>
                    <w:t>. CG16</w:t>
                  </w:r>
                  <w:r>
                    <w:rPr>
                      <w:highlight w:val="white"/>
                    </w:rPr>
                    <w:t xml:space="preserve"> </w:t>
                  </w:r>
                  <w:r>
                    <w:t xml:space="preserve">[online]. Available at: </w:t>
                  </w:r>
                  <w:hyperlink r:id="rId45">
                    <w:r>
                      <w:rPr>
                        <w:color w:val="1155CC"/>
                        <w:u w:val="single"/>
                      </w:rPr>
                      <w:t>https://www.nice.org.uk/guidance/cg16/chapter/1-guidance</w:t>
                    </w:r>
                  </w:hyperlink>
                  <w:r>
                    <w:t>.</w:t>
                  </w:r>
                </w:p>
                <w:p w:rsidR="004C24E3" w:rsidRDefault="00F56660">
                  <w:pPr>
                    <w:contextualSpacing w:val="0"/>
                  </w:pPr>
                  <w:r>
                    <w:t xml:space="preserve"> </w:t>
                  </w:r>
                </w:p>
                <w:p w:rsidR="004C24E3" w:rsidRDefault="00F56660">
                  <w:pPr>
                    <w:contextualSpacing w:val="0"/>
                  </w:pPr>
                  <w:r>
                    <w:t>NICE (National Institute of for Health and Care Excellence) (2005)</w:t>
                  </w:r>
                  <w:r>
                    <w:rPr>
                      <w:i/>
                    </w:rPr>
                    <w:t xml:space="preserve"> ‘Post-Traumatic Stress Disorder (PTSD): The Management of PTSD in Adults and Children in Primary and Secondary Care’</w:t>
                  </w:r>
                  <w:r>
                    <w:t>. CG26 [online]. Available at: http://</w:t>
                  </w:r>
                  <w:hyperlink r:id="rId46">
                    <w:r>
                      <w:rPr>
                        <w:color w:val="1155CC"/>
                        <w:u w:val="single"/>
                      </w:rPr>
                      <w:t>www.nice.org.uk/</w:t>
                    </w:r>
                  </w:hyperlink>
                  <w:r>
                    <w:t>CG26.</w:t>
                  </w:r>
                </w:p>
                <w:p w:rsidR="004C24E3" w:rsidRDefault="004C24E3">
                  <w:pPr>
                    <w:contextualSpacing w:val="0"/>
                  </w:pPr>
                </w:p>
                <w:p w:rsidR="004C24E3" w:rsidRDefault="00F56660">
                  <w:pPr>
                    <w:contextualSpacing w:val="0"/>
                  </w:pPr>
                  <w:r>
                    <w:t>NICE (National Institute of for Health and Care Excellence) (2007)</w:t>
                  </w:r>
                  <w:r>
                    <w:rPr>
                      <w:i/>
                    </w:rPr>
                    <w:t xml:space="preserve"> ‘Interventions to reduce substance misuse among vulnerable young people’</w:t>
                  </w:r>
                  <w:r>
                    <w:t>. PH4 [online]. Available at:</w:t>
                  </w:r>
                  <w:hyperlink r:id="rId47">
                    <w:r>
                      <w:t xml:space="preserve"> </w:t>
                    </w:r>
                  </w:hyperlink>
                  <w:hyperlink r:id="rId48">
                    <w:r>
                      <w:rPr>
                        <w:color w:val="1155CC"/>
                        <w:u w:val="single"/>
                      </w:rPr>
                      <w:t>http://www.nice.org/uk/guidance/ph4</w:t>
                    </w:r>
                  </w:hyperlink>
                  <w:r>
                    <w:t>.</w:t>
                  </w:r>
                </w:p>
                <w:p w:rsidR="004C24E3" w:rsidRDefault="004C24E3">
                  <w:pPr>
                    <w:contextualSpacing w:val="0"/>
                  </w:pPr>
                </w:p>
                <w:p w:rsidR="004C24E3" w:rsidRDefault="00F56660">
                  <w:pPr>
                    <w:contextualSpacing w:val="0"/>
                  </w:pPr>
                  <w:r>
                    <w:t>NICE (National Institute of for Health and Care Excellence) (2008) ‘</w:t>
                  </w:r>
                  <w:r>
                    <w:rPr>
                      <w:i/>
                    </w:rPr>
                    <w:t>Social and emotional wellbeing in primary education’.</w:t>
                  </w:r>
                  <w:r>
                    <w:t xml:space="preserve"> PH12</w:t>
                  </w:r>
                  <w:r>
                    <w:rPr>
                      <w:highlight w:val="white"/>
                    </w:rPr>
                    <w:t xml:space="preserve"> </w:t>
                  </w:r>
                  <w:r>
                    <w:t xml:space="preserve">[online]. Available at: </w:t>
                  </w:r>
                  <w:hyperlink r:id="rId49">
                    <w:r>
                      <w:rPr>
                        <w:color w:val="1155CC"/>
                        <w:u w:val="single"/>
                      </w:rPr>
                      <w:t>https://www.nice.org.uk/guidance/ph12</w:t>
                    </w:r>
                  </w:hyperlink>
                  <w:r>
                    <w:t>.</w:t>
                  </w:r>
                </w:p>
                <w:p w:rsidR="004C24E3" w:rsidRDefault="004C24E3">
                  <w:pPr>
                    <w:contextualSpacing w:val="0"/>
                  </w:pPr>
                </w:p>
                <w:p w:rsidR="004C24E3" w:rsidRDefault="00F56660">
                  <w:pPr>
                    <w:contextualSpacing w:val="0"/>
                  </w:pPr>
                  <w:r>
                    <w:t>NICE (National Institute of for Health and Care Excellence) (2009) ‘</w:t>
                  </w:r>
                  <w:r>
                    <w:rPr>
                      <w:i/>
                    </w:rPr>
                    <w:t>Depression in Adults’.</w:t>
                  </w:r>
                  <w:r>
                    <w:t xml:space="preserve"> CG90 [online]. Available at: </w:t>
                  </w:r>
                  <w:hyperlink r:id="rId50">
                    <w:r>
                      <w:rPr>
                        <w:color w:val="1155CC"/>
                        <w:u w:val="single"/>
                      </w:rPr>
                      <w:t>https://www.nice.org.uk/guidance/cg90</w:t>
                    </w:r>
                  </w:hyperlink>
                  <w:r>
                    <w:t xml:space="preserve">. </w:t>
                  </w:r>
                </w:p>
                <w:p w:rsidR="004C24E3" w:rsidRDefault="004C24E3">
                  <w:pPr>
                    <w:contextualSpacing w:val="0"/>
                  </w:pPr>
                </w:p>
                <w:p w:rsidR="004C24E3" w:rsidRDefault="00F56660">
                  <w:pPr>
                    <w:contextualSpacing w:val="0"/>
                    <w:rPr>
                      <w:i/>
                    </w:rPr>
                  </w:pPr>
                  <w:r>
                    <w:t>NICE (National Institute of for Health and Care Excellence) (2009) ‘</w:t>
                  </w:r>
                  <w:r>
                    <w:rPr>
                      <w:i/>
                    </w:rPr>
                    <w:t xml:space="preserve">Promoting Physical Activity for Children and Young People’. </w:t>
                  </w:r>
                  <w:r>
                    <w:t xml:space="preserve">PH17 [online]. Available at: </w:t>
                  </w:r>
                  <w:hyperlink r:id="rId51">
                    <w:r>
                      <w:rPr>
                        <w:i/>
                        <w:color w:val="1155CC"/>
                        <w:u w:val="single"/>
                      </w:rPr>
                      <w:t>https://www.nice.org.uk/guidance/ph17</w:t>
                    </w:r>
                  </w:hyperlink>
                  <w:r>
                    <w:rPr>
                      <w:i/>
                    </w:rPr>
                    <w:t>.</w:t>
                  </w:r>
                </w:p>
                <w:p w:rsidR="004C24E3" w:rsidRDefault="004C24E3">
                  <w:pPr>
                    <w:contextualSpacing w:val="0"/>
                    <w:rPr>
                      <w:i/>
                    </w:rPr>
                  </w:pPr>
                </w:p>
                <w:p w:rsidR="004C24E3" w:rsidRDefault="00F56660">
                  <w:pPr>
                    <w:contextualSpacing w:val="0"/>
                  </w:pPr>
                  <w:r>
                    <w:t>NICE (National Institute of for Health and Care Excellence)  (2009)</w:t>
                  </w:r>
                  <w:r>
                    <w:rPr>
                      <w:i/>
                    </w:rPr>
                    <w:t xml:space="preserve"> </w:t>
                  </w:r>
                  <w:r>
                    <w:t>‘</w:t>
                  </w:r>
                  <w:r>
                    <w:rPr>
                      <w:i/>
                    </w:rPr>
                    <w:t xml:space="preserve">Social and emotional wellbeing in secondary education’. </w:t>
                  </w:r>
                  <w:r>
                    <w:t>PH20</w:t>
                  </w:r>
                  <w:r>
                    <w:rPr>
                      <w:highlight w:val="white"/>
                    </w:rPr>
                    <w:t xml:space="preserve"> </w:t>
                  </w:r>
                  <w:r>
                    <w:t xml:space="preserve">[online]. Available at: </w:t>
                  </w:r>
                  <w:hyperlink r:id="rId52">
                    <w:r>
                      <w:rPr>
                        <w:color w:val="1155CC"/>
                        <w:u w:val="single"/>
                      </w:rPr>
                      <w:t>https://www.nice.org.uk/guidance/ph20/chapter/1-recommendations</w:t>
                    </w:r>
                  </w:hyperlink>
                  <w:r>
                    <w:t>.</w:t>
                  </w:r>
                </w:p>
                <w:p w:rsidR="004C24E3" w:rsidRDefault="004C24E3">
                  <w:pPr>
                    <w:contextualSpacing w:val="0"/>
                  </w:pPr>
                </w:p>
                <w:p w:rsidR="004C24E3" w:rsidRDefault="00F56660">
                  <w:pPr>
                    <w:contextualSpacing w:val="0"/>
                  </w:pPr>
                  <w:r>
                    <w:t>NICE (National Institute of for Health and Care Excellence) (2009) ‘</w:t>
                  </w:r>
                  <w:r>
                    <w:rPr>
                      <w:i/>
                    </w:rPr>
                    <w:t xml:space="preserve">When to Suspect Child Maltreatment’. </w:t>
                  </w:r>
                  <w:r>
                    <w:t>CG89 [online]. Available at: https://www.nice.org.uk/guidance/cg89.</w:t>
                  </w:r>
                </w:p>
                <w:p w:rsidR="004C24E3" w:rsidRDefault="004C24E3">
                  <w:pPr>
                    <w:contextualSpacing w:val="0"/>
                  </w:pPr>
                </w:p>
                <w:p w:rsidR="004C24E3" w:rsidRDefault="00F56660">
                  <w:pPr>
                    <w:contextualSpacing w:val="0"/>
                  </w:pPr>
                  <w:r>
                    <w:t xml:space="preserve">NICE (National Institute of for Health and Care Excellence) (2010) </w:t>
                  </w:r>
                  <w:r>
                    <w:rPr>
                      <w:i/>
                    </w:rPr>
                    <w:t>‘Looked After Children and Young People’.</w:t>
                  </w:r>
                  <w:r>
                    <w:t xml:space="preserve"> PH28 [online]. Available at:</w:t>
                  </w:r>
                  <w:hyperlink r:id="rId53">
                    <w:r>
                      <w:t xml:space="preserve"> </w:t>
                    </w:r>
                  </w:hyperlink>
                  <w:hyperlink r:id="rId54">
                    <w:r>
                      <w:rPr>
                        <w:color w:val="1155CC"/>
                        <w:u w:val="single"/>
                      </w:rPr>
                      <w:t>www.nice.ork.uk/guidance/ph28</w:t>
                    </w:r>
                  </w:hyperlink>
                  <w:r>
                    <w:t xml:space="preserve">. </w:t>
                  </w:r>
                </w:p>
                <w:p w:rsidR="004C24E3" w:rsidRDefault="004C24E3">
                  <w:pPr>
                    <w:contextualSpacing w:val="0"/>
                  </w:pPr>
                </w:p>
                <w:p w:rsidR="004C24E3" w:rsidRDefault="00F56660">
                  <w:pPr>
                    <w:contextualSpacing w:val="0"/>
                  </w:pPr>
                  <w:r>
                    <w:t xml:space="preserve">NICE (National Institute of for Health and Care Excellence) (2011) </w:t>
                  </w:r>
                  <w:r>
                    <w:rPr>
                      <w:i/>
                    </w:rPr>
                    <w:t>‘Self-harm in over 8s: long-term management’.</w:t>
                  </w:r>
                  <w:r>
                    <w:t xml:space="preserve"> CG133</w:t>
                  </w:r>
                  <w:r>
                    <w:rPr>
                      <w:highlight w:val="white"/>
                    </w:rPr>
                    <w:t xml:space="preserve"> </w:t>
                  </w:r>
                  <w:r>
                    <w:t>[online]. Available at: https://www.nice.org.uk/guidance/cg133.</w:t>
                  </w:r>
                </w:p>
                <w:p w:rsidR="004C24E3" w:rsidRDefault="004C24E3">
                  <w:pPr>
                    <w:contextualSpacing w:val="0"/>
                  </w:pPr>
                </w:p>
                <w:p w:rsidR="004C24E3" w:rsidRDefault="00F56660">
                  <w:pPr>
                    <w:contextualSpacing w:val="0"/>
                  </w:pPr>
                  <w:r>
                    <w:t>NICE (National Institute of for Health and Care Excellence) (2013)</w:t>
                  </w:r>
                  <w:r>
                    <w:rPr>
                      <w:i/>
                    </w:rPr>
                    <w:t xml:space="preserve"> ‘</w:t>
                  </w:r>
                  <w:r>
                    <w:rPr>
                      <w:i/>
                      <w:highlight w:val="white"/>
                    </w:rPr>
                    <w:t>Depression in children and young people’.</w:t>
                  </w:r>
                  <w:r>
                    <w:rPr>
                      <w:highlight w:val="white"/>
                    </w:rPr>
                    <w:t xml:space="preserve"> QS48 </w:t>
                  </w:r>
                  <w:r>
                    <w:t xml:space="preserve">[online]. Available at: </w:t>
                  </w:r>
                  <w:hyperlink r:id="rId55">
                    <w:r>
                      <w:rPr>
                        <w:color w:val="1155CC"/>
                        <w:u w:val="single"/>
                      </w:rPr>
                      <w:t>https://www.nice.org.uk/guidance/qs48</w:t>
                    </w:r>
                  </w:hyperlink>
                  <w:r>
                    <w:t xml:space="preserve">. </w:t>
                  </w:r>
                </w:p>
                <w:p w:rsidR="004C24E3" w:rsidRDefault="004C24E3">
                  <w:pPr>
                    <w:contextualSpacing w:val="0"/>
                  </w:pPr>
                </w:p>
                <w:p w:rsidR="004C24E3" w:rsidRDefault="00F56660">
                  <w:pPr>
                    <w:contextualSpacing w:val="0"/>
                  </w:pPr>
                  <w:r>
                    <w:t>NICE (National Institute of for Health and Care Excellence) (2013) ‘</w:t>
                  </w:r>
                  <w:r>
                    <w:rPr>
                      <w:i/>
                      <w:highlight w:val="white"/>
                    </w:rPr>
                    <w:t>Health and Wellbeing of Looked-after Children and Young People’</w:t>
                  </w:r>
                  <w:r>
                    <w:rPr>
                      <w:highlight w:val="white"/>
                    </w:rPr>
                    <w:t xml:space="preserve">. QS31 </w:t>
                  </w:r>
                  <w:r>
                    <w:t xml:space="preserve">[online]. Available at: </w:t>
                  </w:r>
                  <w:hyperlink r:id="rId56">
                    <w:r>
                      <w:rPr>
                        <w:color w:val="1155CC"/>
                        <w:u w:val="single"/>
                      </w:rPr>
                      <w:t>https://www.nice.org.uk/guidance/qs31</w:t>
                    </w:r>
                  </w:hyperlink>
                  <w:r>
                    <w:t>.</w:t>
                  </w:r>
                </w:p>
                <w:p w:rsidR="004C24E3" w:rsidRDefault="004C24E3">
                  <w:pPr>
                    <w:contextualSpacing w:val="0"/>
                  </w:pPr>
                </w:p>
                <w:p w:rsidR="004C24E3" w:rsidRDefault="00F56660">
                  <w:pPr>
                    <w:contextualSpacing w:val="0"/>
                    <w:rPr>
                      <w:i/>
                      <w:highlight w:val="white"/>
                    </w:rPr>
                  </w:pPr>
                  <w:r>
                    <w:t>NICE (National Institute of for Health and Care Excellence) (2013) ‘</w:t>
                  </w:r>
                  <w:r>
                    <w:rPr>
                      <w:i/>
                      <w:highlight w:val="white"/>
                    </w:rPr>
                    <w:t>Self-harm’.</w:t>
                  </w:r>
                  <w:r>
                    <w:rPr>
                      <w:rFonts w:ascii="Times New Roman" w:eastAsia="Times New Roman" w:hAnsi="Times New Roman" w:cs="Times New Roman"/>
                      <w:i/>
                      <w:sz w:val="14"/>
                      <w:szCs w:val="14"/>
                      <w:highlight w:val="white"/>
                    </w:rPr>
                    <w:t xml:space="preserve"> </w:t>
                  </w:r>
                  <w:r>
                    <w:rPr>
                      <w:i/>
                      <w:highlight w:val="white"/>
                    </w:rPr>
                    <w:t xml:space="preserve">QS34 [online]. Available at:  </w:t>
                  </w:r>
                  <w:hyperlink r:id="rId57">
                    <w:r>
                      <w:rPr>
                        <w:i/>
                        <w:color w:val="1155CC"/>
                        <w:highlight w:val="white"/>
                        <w:u w:val="single"/>
                      </w:rPr>
                      <w:t>https://www.nice.org.uk/guidance/qs34</w:t>
                    </w:r>
                  </w:hyperlink>
                  <w:r>
                    <w:rPr>
                      <w:i/>
                      <w:highlight w:val="white"/>
                    </w:rPr>
                    <w:t>.</w:t>
                  </w:r>
                </w:p>
                <w:p w:rsidR="004C24E3" w:rsidRDefault="004C24E3">
                  <w:pPr>
                    <w:contextualSpacing w:val="0"/>
                    <w:rPr>
                      <w:i/>
                      <w:highlight w:val="white"/>
                    </w:rPr>
                  </w:pPr>
                </w:p>
                <w:p w:rsidR="004C24E3" w:rsidRDefault="00F56660">
                  <w:pPr>
                    <w:contextualSpacing w:val="0"/>
                  </w:pPr>
                  <w:r>
                    <w:t>NICE (National Institute of for Health and Care Excellence) (2013) ‘</w:t>
                  </w:r>
                  <w:r>
                    <w:rPr>
                      <w:i/>
                    </w:rPr>
                    <w:t>Social Anxiety Disorder: Recognition, Assessment and Treatment’.</w:t>
                  </w:r>
                  <w:r>
                    <w:t xml:space="preserve"> CG159 [online]. Available at: </w:t>
                  </w:r>
                  <w:hyperlink r:id="rId58">
                    <w:r>
                      <w:rPr>
                        <w:color w:val="1155CC"/>
                        <w:u w:val="single"/>
                      </w:rPr>
                      <w:t>https://www.nice.org.uk/guidance/cg159?unlid=2922230212016242297</w:t>
                    </w:r>
                  </w:hyperlink>
                  <w:r>
                    <w:t>.</w:t>
                  </w:r>
                </w:p>
                <w:p w:rsidR="004C24E3" w:rsidRDefault="004C24E3">
                  <w:pPr>
                    <w:contextualSpacing w:val="0"/>
                  </w:pPr>
                </w:p>
                <w:p w:rsidR="004C24E3" w:rsidRDefault="00F56660">
                  <w:pPr>
                    <w:contextualSpacing w:val="0"/>
                    <w:rPr>
                      <w:i/>
                    </w:rPr>
                  </w:pPr>
                  <w:r>
                    <w:t xml:space="preserve">NICE (National Institute of for Health and Care Excellence) (2014) </w:t>
                  </w:r>
                  <w:r>
                    <w:rPr>
                      <w:i/>
                    </w:rPr>
                    <w:t>‘</w:t>
                  </w:r>
                  <w:r>
                    <w:rPr>
                      <w:i/>
                      <w:highlight w:val="white"/>
                    </w:rPr>
                    <w:t xml:space="preserve">Anxiety Disorders’. </w:t>
                  </w:r>
                  <w:r>
                    <w:rPr>
                      <w:highlight w:val="white"/>
                    </w:rPr>
                    <w:t xml:space="preserve">QS53 </w:t>
                  </w:r>
                  <w:r>
                    <w:lastRenderedPageBreak/>
                    <w:t xml:space="preserve">[online]. Available at: </w:t>
                  </w:r>
                  <w:r>
                    <w:rPr>
                      <w:highlight w:val="white"/>
                    </w:rPr>
                    <w:t xml:space="preserve"> https://www.nice.org.uk/guidance/qs53.</w:t>
                  </w:r>
                </w:p>
                <w:p w:rsidR="004C24E3" w:rsidRDefault="004C24E3">
                  <w:pPr>
                    <w:contextualSpacing w:val="0"/>
                  </w:pPr>
                </w:p>
                <w:p w:rsidR="004C24E3" w:rsidRDefault="00F56660">
                  <w:pPr>
                    <w:contextualSpacing w:val="0"/>
                  </w:pPr>
                  <w:r>
                    <w:t>NICE (National Institute of for Health and Care Excellence) (2015)</w:t>
                  </w:r>
                  <w:r>
                    <w:rPr>
                      <w:i/>
                    </w:rPr>
                    <w:t xml:space="preserve"> ‘Co-existing Mental Health and Substance Misuse Problems (14 years upwards)’</w:t>
                  </w:r>
                  <w:r>
                    <w:t xml:space="preserve">. </w:t>
                  </w:r>
                  <w:r>
                    <w:rPr>
                      <w:color w:val="0E0E0E"/>
                      <w:shd w:val="clear" w:color="auto" w:fill="FAFAFB"/>
                    </w:rPr>
                    <w:t>CG120 [online]. Available at: https://www.nice.org.uk/guidance/cg120.</w:t>
                  </w:r>
                </w:p>
                <w:p w:rsidR="004C24E3" w:rsidRDefault="004C24E3">
                  <w:pPr>
                    <w:contextualSpacing w:val="0"/>
                    <w:rPr>
                      <w:i/>
                    </w:rPr>
                  </w:pPr>
                </w:p>
                <w:p w:rsidR="004C24E3" w:rsidRDefault="00F56660">
                  <w:pPr>
                    <w:contextualSpacing w:val="0"/>
                  </w:pPr>
                  <w:r>
                    <w:t xml:space="preserve">NICE (National Institute of for Health and Care Excellence) (2015) </w:t>
                  </w:r>
                  <w:r>
                    <w:rPr>
                      <w:i/>
                    </w:rPr>
                    <w:t>‘Depression in Children and Young People: Identification and Management’</w:t>
                  </w:r>
                  <w:r>
                    <w:t xml:space="preserve">. CG28 [online]. Available at: </w:t>
                  </w:r>
                  <w:hyperlink r:id="rId59">
                    <w:r>
                      <w:rPr>
                        <w:color w:val="1155CC"/>
                        <w:u w:val="single"/>
                      </w:rPr>
                      <w:t>https://www.nice.org.uk/guidance/cg28</w:t>
                    </w:r>
                  </w:hyperlink>
                  <w:r>
                    <w:t>.</w:t>
                  </w:r>
                </w:p>
                <w:p w:rsidR="004C24E3" w:rsidRDefault="004C24E3">
                  <w:pPr>
                    <w:contextualSpacing w:val="0"/>
                  </w:pPr>
                </w:p>
                <w:p w:rsidR="004C24E3" w:rsidRDefault="00F56660">
                  <w:pPr>
                    <w:contextualSpacing w:val="0"/>
                    <w:rPr>
                      <w:i/>
                    </w:rPr>
                  </w:pPr>
                  <w:r>
                    <w:t>NICE (National Institute of for Health and Care Excellence) (2016) ‘</w:t>
                  </w:r>
                  <w:r>
                    <w:rPr>
                      <w:i/>
                    </w:rPr>
                    <w:t>Early Years: Promoting Health and Wellbeing in Under 5s’</w:t>
                  </w:r>
                  <w:r>
                    <w:t>. QS128 [online]. Available at: https://www.nice.org.uk/guidance/qs128.</w:t>
                  </w:r>
                </w:p>
                <w:p w:rsidR="004C24E3" w:rsidRDefault="004C24E3">
                  <w:pPr>
                    <w:contextualSpacing w:val="0"/>
                  </w:pPr>
                </w:p>
                <w:p w:rsidR="004C24E3" w:rsidRDefault="00F56660">
                  <w:pPr>
                    <w:contextualSpacing w:val="0"/>
                    <w:rPr>
                      <w:color w:val="0B0C0C"/>
                      <w:highlight w:val="white"/>
                    </w:rPr>
                  </w:pPr>
                  <w:r>
                    <w:t xml:space="preserve">Public Health England (2016) </w:t>
                  </w:r>
                  <w:r>
                    <w:rPr>
                      <w:i/>
                    </w:rPr>
                    <w:t xml:space="preserve">Healthy Child Programme 0-19: </w:t>
                  </w:r>
                  <w:r>
                    <w:rPr>
                      <w:i/>
                      <w:color w:val="0B0C0C"/>
                      <w:highlight w:val="white"/>
                    </w:rPr>
                    <w:t>Health Visitor and School Nurse Commissioning.</w:t>
                  </w:r>
                  <w:r>
                    <w:rPr>
                      <w:color w:val="0B0C0C"/>
                      <w:highlight w:val="white"/>
                    </w:rPr>
                    <w:t xml:space="preserve"> London: Public Health England.</w:t>
                  </w:r>
                </w:p>
                <w:p w:rsidR="004C24E3" w:rsidRDefault="004C24E3">
                  <w:pPr>
                    <w:contextualSpacing w:val="0"/>
                    <w:rPr>
                      <w:i/>
                      <w:color w:val="0B0C0C"/>
                      <w:highlight w:val="white"/>
                    </w:rPr>
                  </w:pPr>
                </w:p>
                <w:p w:rsidR="004C24E3" w:rsidRDefault="00F56660">
                  <w:pPr>
                    <w:contextualSpacing w:val="0"/>
                    <w:rPr>
                      <w:i/>
                      <w:color w:val="231F20"/>
                    </w:rPr>
                  </w:pPr>
                  <w:r>
                    <w:t>World Health Organisation (2014)</w:t>
                  </w:r>
                  <w:r>
                    <w:rPr>
                      <w:i/>
                    </w:rPr>
                    <w:t xml:space="preserve"> Mental health: Strengthening our response. </w:t>
                  </w:r>
                  <w:r>
                    <w:t>Fact sheet No. 220 [online]. Available at:</w:t>
                  </w:r>
                  <w:hyperlink r:id="rId60">
                    <w:r>
                      <w:t xml:space="preserve"> </w:t>
                    </w:r>
                  </w:hyperlink>
                  <w:hyperlink r:id="rId61">
                    <w:r>
                      <w:rPr>
                        <w:color w:val="1155CC"/>
                        <w:u w:val="single"/>
                      </w:rPr>
                      <w:t>http://www.who.int/mediacentre/factsheets/fs220/en</w:t>
                    </w:r>
                  </w:hyperlink>
                  <w:r>
                    <w:t xml:space="preserve">. </w:t>
                  </w:r>
                </w:p>
              </w:tc>
            </w:tr>
          </w:tbl>
          <w:p w:rsidR="004C24E3" w:rsidRDefault="004C24E3">
            <w:pPr>
              <w:contextualSpacing w:val="0"/>
            </w:pPr>
          </w:p>
          <w:p w:rsidR="004C24E3" w:rsidRDefault="00F56660">
            <w:pPr>
              <w:contextualSpacing w:val="0"/>
              <w:rPr>
                <w:color w:val="339966"/>
              </w:rPr>
            </w:pPr>
            <w:r>
              <w:rPr>
                <w:color w:val="339966"/>
              </w:rPr>
              <w:t>5.2 Applicable local standards</w:t>
            </w:r>
          </w:p>
          <w:p w:rsidR="004C24E3" w:rsidRDefault="004C24E3">
            <w:pPr>
              <w:contextualSpacing w:val="0"/>
            </w:pPr>
          </w:p>
          <w:tbl>
            <w:tblPr>
              <w:tblStyle w:val="aa"/>
              <w:tblW w:w="923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9233"/>
            </w:tblGrid>
            <w:tr w:rsidR="004C24E3">
              <w:tc>
                <w:tcPr>
                  <w:tcW w:w="9233" w:type="dxa"/>
                  <w:tcBorders>
                    <w:top w:val="single" w:sz="4" w:space="0" w:color="000000"/>
                    <w:left w:val="single" w:sz="4" w:space="0" w:color="000000"/>
                    <w:bottom w:val="single" w:sz="4" w:space="0" w:color="000000"/>
                    <w:right w:val="single" w:sz="4" w:space="0" w:color="000000"/>
                  </w:tcBorders>
                </w:tcPr>
                <w:p w:rsidR="004C24E3" w:rsidRDefault="00F56660">
                  <w:pPr>
                    <w:contextualSpacing w:val="0"/>
                  </w:pPr>
                  <w:r>
                    <w:rPr>
                      <w:b/>
                    </w:rPr>
                    <w:t>100% of service users referred for Getting Help are contacted and risk assessed within 3 working days of referral</w:t>
                  </w:r>
                </w:p>
              </w:tc>
            </w:tr>
            <w:tr w:rsidR="004C24E3">
              <w:tc>
                <w:tcPr>
                  <w:tcW w:w="9233" w:type="dxa"/>
                  <w:tcBorders>
                    <w:top w:val="single" w:sz="4" w:space="0" w:color="000000"/>
                    <w:left w:val="single" w:sz="4" w:space="0" w:color="000000"/>
                    <w:bottom w:val="single" w:sz="4" w:space="0" w:color="000000"/>
                    <w:right w:val="single" w:sz="4" w:space="0" w:color="000000"/>
                  </w:tcBorders>
                </w:tcPr>
                <w:p w:rsidR="004C24E3" w:rsidRDefault="00F56660">
                  <w:pPr>
                    <w:contextualSpacing w:val="0"/>
                  </w:pPr>
                  <w:r>
                    <w:rPr>
                      <w:b/>
                    </w:rPr>
                    <w:t>100% of service users referred for Getting Help receive a holistic assessment (Early Help assessment) plus specialist screening tools within 10 working days of referral</w:t>
                  </w:r>
                </w:p>
              </w:tc>
            </w:tr>
            <w:tr w:rsidR="004C24E3">
              <w:tc>
                <w:tcPr>
                  <w:tcW w:w="9233" w:type="dxa"/>
                  <w:tcBorders>
                    <w:top w:val="single" w:sz="4" w:space="0" w:color="000000"/>
                    <w:left w:val="single" w:sz="4" w:space="0" w:color="000000"/>
                    <w:bottom w:val="single" w:sz="4" w:space="0" w:color="000000"/>
                    <w:right w:val="single" w:sz="4" w:space="0" w:color="000000"/>
                  </w:tcBorders>
                </w:tcPr>
                <w:p w:rsidR="004C24E3" w:rsidRDefault="00F56660">
                  <w:pPr>
                    <w:contextualSpacing w:val="0"/>
                    <w:rPr>
                      <w:b/>
                    </w:rPr>
                  </w:pPr>
                  <w:r>
                    <w:rPr>
                      <w:b/>
                    </w:rPr>
                    <w:t>100% of service users assessed as suitable for therapeutic interventions are offered their first session within 30 days of referral</w:t>
                  </w:r>
                </w:p>
              </w:tc>
            </w:tr>
            <w:tr w:rsidR="004C24E3">
              <w:tc>
                <w:tcPr>
                  <w:tcW w:w="9233" w:type="dxa"/>
                  <w:tcBorders>
                    <w:top w:val="single" w:sz="4" w:space="0" w:color="000000"/>
                    <w:left w:val="single" w:sz="4" w:space="0" w:color="000000"/>
                    <w:bottom w:val="single" w:sz="4" w:space="0" w:color="000000"/>
                    <w:right w:val="single" w:sz="4" w:space="0" w:color="000000"/>
                  </w:tcBorders>
                </w:tcPr>
                <w:p w:rsidR="004C24E3" w:rsidRDefault="00F56660">
                  <w:pPr>
                    <w:contextualSpacing w:val="0"/>
                  </w:pPr>
                  <w:r>
                    <w:rPr>
                      <w:b/>
                    </w:rPr>
                    <w:t>100% of service users assessed as suitable for therapeutic interventions have a personalised plan in place within 10 days of initial assessment which sets out goals, outcomes, interventions and review points</w:t>
                  </w:r>
                </w:p>
              </w:tc>
            </w:tr>
            <w:tr w:rsidR="004C24E3">
              <w:tc>
                <w:tcPr>
                  <w:tcW w:w="9233" w:type="dxa"/>
                  <w:tcBorders>
                    <w:top w:val="single" w:sz="4" w:space="0" w:color="000000"/>
                    <w:left w:val="single" w:sz="4" w:space="0" w:color="000000"/>
                    <w:bottom w:val="single" w:sz="4" w:space="0" w:color="000000"/>
                    <w:right w:val="single" w:sz="4" w:space="0" w:color="000000"/>
                  </w:tcBorders>
                </w:tcPr>
                <w:p w:rsidR="004C24E3" w:rsidRDefault="00F56660">
                  <w:pPr>
                    <w:contextualSpacing w:val="0"/>
                    <w:rPr>
                      <w:b/>
                    </w:rPr>
                  </w:pPr>
                  <w:r>
                    <w:rPr>
                      <w:b/>
                    </w:rPr>
                    <w:t>100% of service users coproduce their personalised plan (goal setting, selecting interventions, reviewing progress)</w:t>
                  </w:r>
                </w:p>
              </w:tc>
            </w:tr>
            <w:tr w:rsidR="004C24E3">
              <w:tc>
                <w:tcPr>
                  <w:tcW w:w="9233" w:type="dxa"/>
                  <w:tcBorders>
                    <w:top w:val="single" w:sz="4" w:space="0" w:color="000000"/>
                    <w:left w:val="single" w:sz="4" w:space="0" w:color="000000"/>
                    <w:bottom w:val="single" w:sz="4" w:space="0" w:color="000000"/>
                    <w:right w:val="single" w:sz="4" w:space="0" w:color="000000"/>
                  </w:tcBorders>
                </w:tcPr>
                <w:p w:rsidR="004C24E3" w:rsidRDefault="00F56660">
                  <w:pPr>
                    <w:contextualSpacing w:val="0"/>
                  </w:pPr>
                  <w:r>
                    <w:rPr>
                      <w:b/>
                    </w:rPr>
                    <w:t>100% of care plans are reviewed at least once and with service user input</w:t>
                  </w:r>
                </w:p>
              </w:tc>
            </w:tr>
            <w:tr w:rsidR="004C24E3">
              <w:tc>
                <w:tcPr>
                  <w:tcW w:w="9233" w:type="dxa"/>
                  <w:tcBorders>
                    <w:top w:val="single" w:sz="4" w:space="0" w:color="000000"/>
                    <w:left w:val="single" w:sz="4" w:space="0" w:color="000000"/>
                    <w:bottom w:val="single" w:sz="4" w:space="0" w:color="000000"/>
                    <w:right w:val="single" w:sz="4" w:space="0" w:color="000000"/>
                  </w:tcBorders>
                </w:tcPr>
                <w:p w:rsidR="004C24E3" w:rsidRDefault="00F56660">
                  <w:pPr>
                    <w:contextualSpacing w:val="0"/>
                  </w:pPr>
                  <w:r>
                    <w:rPr>
                      <w:b/>
                    </w:rPr>
                    <w:t>100% service users self report outcomes/distance travelled</w:t>
                  </w:r>
                </w:p>
              </w:tc>
            </w:tr>
            <w:tr w:rsidR="004C24E3">
              <w:tc>
                <w:tcPr>
                  <w:tcW w:w="9233" w:type="dxa"/>
                  <w:tcBorders>
                    <w:top w:val="single" w:sz="4" w:space="0" w:color="000000"/>
                    <w:left w:val="single" w:sz="4" w:space="0" w:color="000000"/>
                    <w:bottom w:val="single" w:sz="4" w:space="0" w:color="000000"/>
                    <w:right w:val="single" w:sz="4" w:space="0" w:color="000000"/>
                  </w:tcBorders>
                </w:tcPr>
                <w:p w:rsidR="004C24E3" w:rsidRDefault="00F56660">
                  <w:pPr>
                    <w:contextualSpacing w:val="0"/>
                  </w:pPr>
                  <w:r>
                    <w:rPr>
                      <w:b/>
                    </w:rPr>
                    <w:t>The service maintains a DNA rate of 12% or less</w:t>
                  </w:r>
                </w:p>
              </w:tc>
            </w:tr>
            <w:tr w:rsidR="004C24E3">
              <w:tc>
                <w:tcPr>
                  <w:tcW w:w="9233" w:type="dxa"/>
                  <w:tcBorders>
                    <w:top w:val="single" w:sz="4" w:space="0" w:color="000000"/>
                    <w:left w:val="single" w:sz="4" w:space="0" w:color="000000"/>
                    <w:bottom w:val="single" w:sz="4" w:space="0" w:color="000000"/>
                    <w:right w:val="single" w:sz="4" w:space="0" w:color="000000"/>
                  </w:tcBorders>
                </w:tcPr>
                <w:p w:rsidR="004C24E3" w:rsidRDefault="00F56660">
                  <w:pPr>
                    <w:contextualSpacing w:val="0"/>
                    <w:rPr>
                      <w:b/>
                    </w:rPr>
                  </w:pPr>
                  <w:r>
                    <w:rPr>
                      <w:b/>
                    </w:rPr>
                    <w:t>95% of service users rate the service as good or very good</w:t>
                  </w:r>
                </w:p>
              </w:tc>
            </w:tr>
            <w:tr w:rsidR="004C24E3">
              <w:tc>
                <w:tcPr>
                  <w:tcW w:w="9233" w:type="dxa"/>
                  <w:tcBorders>
                    <w:top w:val="single" w:sz="4" w:space="0" w:color="000000"/>
                    <w:left w:val="single" w:sz="4" w:space="0" w:color="000000"/>
                    <w:bottom w:val="single" w:sz="4" w:space="0" w:color="000000"/>
                    <w:right w:val="single" w:sz="4" w:space="0" w:color="000000"/>
                  </w:tcBorders>
                </w:tcPr>
                <w:p w:rsidR="004C24E3" w:rsidRDefault="00F56660">
                  <w:pPr>
                    <w:contextualSpacing w:val="0"/>
                  </w:pPr>
                  <w:r>
                    <w:rPr>
                      <w:b/>
                    </w:rPr>
                    <w:t xml:space="preserve">The service will operate robust safeguarding practices and procedures in line with guidance and protocols issued by both Peterborough and Cambridgeshire Safeguarding Children Boards and Safeguarding Vulnerable Adults Boards. This includes the current version of both local authorities’ Safeguarding Children Toolkit and Safeguarding Adults Toolkit. </w:t>
                  </w:r>
                </w:p>
              </w:tc>
            </w:tr>
            <w:tr w:rsidR="004C24E3">
              <w:tc>
                <w:tcPr>
                  <w:tcW w:w="9233" w:type="dxa"/>
                  <w:tcBorders>
                    <w:top w:val="single" w:sz="4" w:space="0" w:color="000000"/>
                    <w:left w:val="single" w:sz="4" w:space="0" w:color="000000"/>
                    <w:bottom w:val="single" w:sz="4" w:space="0" w:color="000000"/>
                    <w:right w:val="single" w:sz="4" w:space="0" w:color="000000"/>
                  </w:tcBorders>
                </w:tcPr>
                <w:p w:rsidR="004C24E3" w:rsidRDefault="004C24E3">
                  <w:pPr>
                    <w:contextualSpacing w:val="0"/>
                  </w:pPr>
                </w:p>
              </w:tc>
            </w:tr>
            <w:tr w:rsidR="004C24E3">
              <w:tc>
                <w:tcPr>
                  <w:tcW w:w="9233" w:type="dxa"/>
                  <w:tcBorders>
                    <w:top w:val="single" w:sz="4" w:space="0" w:color="000000"/>
                    <w:left w:val="single" w:sz="4" w:space="0" w:color="000000"/>
                    <w:bottom w:val="single" w:sz="4" w:space="0" w:color="000000"/>
                    <w:right w:val="single" w:sz="4" w:space="0" w:color="000000"/>
                  </w:tcBorders>
                </w:tcPr>
                <w:p w:rsidR="004C24E3" w:rsidRDefault="00F56660">
                  <w:pPr>
                    <w:contextualSpacing w:val="0"/>
                    <w:rPr>
                      <w:b/>
                    </w:rPr>
                  </w:pPr>
                  <w:r>
                    <w:rPr>
                      <w:b/>
                    </w:rPr>
                    <w:t>90% of MHS dataset records in which ethnicity codes for service user was properly completed</w:t>
                  </w:r>
                </w:p>
              </w:tc>
            </w:tr>
            <w:tr w:rsidR="004C24E3">
              <w:tc>
                <w:tcPr>
                  <w:tcW w:w="9233" w:type="dxa"/>
                  <w:tcBorders>
                    <w:top w:val="single" w:sz="4" w:space="0" w:color="000000"/>
                    <w:left w:val="single" w:sz="4" w:space="0" w:color="000000"/>
                    <w:bottom w:val="single" w:sz="4" w:space="0" w:color="000000"/>
                    <w:right w:val="single" w:sz="4" w:space="0" w:color="000000"/>
                  </w:tcBorders>
                </w:tcPr>
                <w:p w:rsidR="004C24E3" w:rsidRDefault="004C24E3">
                  <w:pPr>
                    <w:contextualSpacing w:val="0"/>
                  </w:pPr>
                </w:p>
              </w:tc>
            </w:tr>
            <w:tr w:rsidR="004C24E3">
              <w:tc>
                <w:tcPr>
                  <w:tcW w:w="9233" w:type="dxa"/>
                  <w:tcBorders>
                    <w:top w:val="single" w:sz="4" w:space="0" w:color="000000"/>
                    <w:left w:val="single" w:sz="4" w:space="0" w:color="000000"/>
                    <w:bottom w:val="single" w:sz="4" w:space="0" w:color="000000"/>
                    <w:right w:val="single" w:sz="4" w:space="0" w:color="000000"/>
                  </w:tcBorders>
                </w:tcPr>
                <w:p w:rsidR="004C24E3" w:rsidRDefault="00F56660">
                  <w:pPr>
                    <w:contextualSpacing w:val="0"/>
                  </w:pPr>
                  <w:r>
                    <w:rPr>
                      <w:b/>
                    </w:rPr>
                    <w:t>The service will also adhere to Baby Café Standards (breastfeeding).</w:t>
                  </w:r>
                </w:p>
              </w:tc>
            </w:tr>
          </w:tbl>
          <w:p w:rsidR="004C24E3" w:rsidRDefault="004C24E3">
            <w:pPr>
              <w:contextualSpacing w:val="0"/>
            </w:pPr>
          </w:p>
          <w:p w:rsidR="004C24E3" w:rsidRDefault="004C24E3">
            <w:pPr>
              <w:contextualSpacing w:val="0"/>
            </w:pPr>
          </w:p>
          <w:p w:rsidR="004C24E3" w:rsidRDefault="00F56660">
            <w:pPr>
              <w:contextualSpacing w:val="0"/>
              <w:rPr>
                <w:color w:val="00B050"/>
              </w:rPr>
            </w:pPr>
            <w:r>
              <w:rPr>
                <w:color w:val="00B050"/>
              </w:rPr>
              <w:lastRenderedPageBreak/>
              <w:t>5.3 Workforce standards</w:t>
            </w:r>
          </w:p>
          <w:p w:rsidR="004C24E3" w:rsidRDefault="004C24E3">
            <w:pPr>
              <w:contextualSpacing w:val="0"/>
            </w:pPr>
          </w:p>
          <w:p w:rsidR="004C24E3" w:rsidRDefault="00F56660">
            <w:pPr>
              <w:contextualSpacing w:val="0"/>
            </w:pPr>
            <w:r>
              <w:t xml:space="preserve">The service will ensure its staff (including volunteers) have the necessary compassion, values and behaviours to provide person-centred, integrated care and enhance the quality of experience through education, training and regular continuing personal and professional development (CPPD) that instills respect for children/young people and parents/carers. </w:t>
            </w:r>
          </w:p>
          <w:p w:rsidR="004C24E3" w:rsidRDefault="004C24E3">
            <w:pPr>
              <w:contextualSpacing w:val="0"/>
            </w:pPr>
          </w:p>
          <w:p w:rsidR="004C24E3" w:rsidRDefault="00F56660">
            <w:pPr>
              <w:contextualSpacing w:val="0"/>
            </w:pPr>
            <w:r>
              <w:t>The service will ensure all staff are appropriately qualified and registered (where applicable) with the relevant professional body. The Provider should ensure that all qualified and trainee counsellors are accredited or working toward BACP accreditation or equivalent with a professional body to ensure that they satisfy the necessary standard of training, practice and ethics to gain professional recognition.</w:t>
            </w:r>
          </w:p>
          <w:p w:rsidR="004C24E3" w:rsidRDefault="004C24E3">
            <w:pPr>
              <w:contextualSpacing w:val="0"/>
            </w:pPr>
          </w:p>
          <w:p w:rsidR="004C24E3" w:rsidRDefault="00F56660">
            <w:pPr>
              <w:contextualSpacing w:val="0"/>
            </w:pPr>
            <w:r>
              <w:t>Staff will be trained for their job role according to the latest guidance on the roles and competencies of professionals working with children and young people with mental health and/or emotional wellbeing issues. This may include:-</w:t>
            </w:r>
          </w:p>
          <w:p w:rsidR="004C24E3" w:rsidRDefault="004C24E3">
            <w:pPr>
              <w:contextualSpacing w:val="0"/>
            </w:pPr>
          </w:p>
          <w:p w:rsidR="004C24E3" w:rsidRDefault="00F56660">
            <w:pPr>
              <w:contextualSpacing w:val="0"/>
            </w:pPr>
            <w:r>
              <w:t xml:space="preserve"> </w:t>
            </w:r>
          </w:p>
          <w:p w:rsidR="004C24E3" w:rsidRDefault="00F56660">
            <w:pPr>
              <w:numPr>
                <w:ilvl w:val="0"/>
                <w:numId w:val="17"/>
              </w:numPr>
              <w:ind w:firstLine="360"/>
            </w:pPr>
            <w:r>
              <w:t xml:space="preserve">CAMHS Workforce Guidance </w:t>
            </w:r>
          </w:p>
          <w:p w:rsidR="004C24E3" w:rsidRDefault="00F56660">
            <w:pPr>
              <w:numPr>
                <w:ilvl w:val="0"/>
                <w:numId w:val="17"/>
              </w:numPr>
              <w:ind w:firstLine="360"/>
            </w:pPr>
            <w:r>
              <w:t>CHIMAT</w:t>
            </w:r>
          </w:p>
          <w:p w:rsidR="004C24E3" w:rsidRDefault="00F56660">
            <w:pPr>
              <w:numPr>
                <w:ilvl w:val="0"/>
                <w:numId w:val="17"/>
              </w:numPr>
              <w:ind w:firstLine="360"/>
            </w:pPr>
            <w:r>
              <w:t xml:space="preserve">CYP IAPT Principles in CAMHS Services: Values and Standards: “Delivering With and Delivering Well”  </w:t>
            </w:r>
          </w:p>
          <w:p w:rsidR="004C24E3" w:rsidRDefault="004C24E3">
            <w:pPr>
              <w:ind w:left="720"/>
              <w:contextualSpacing w:val="0"/>
            </w:pPr>
          </w:p>
          <w:p w:rsidR="004C24E3" w:rsidRDefault="00F56660">
            <w:pPr>
              <w:contextualSpacing w:val="0"/>
            </w:pPr>
            <w:r>
              <w:t>Staff will receive clear line management, leadership and monthly supervision (in line with guidance issued by  BACP or other relevant bodies such as ACP, BAPT, BPC, NCS, PTUK, UKCP, HCPC) and be supported to continuously update their skills and knowledge through a programme of Continuing Professional Development. Staff should receive training on Early Help Assessments, Safeguarding, Health and Safety, lone working and data protection as commensurate with their role.</w:t>
            </w:r>
          </w:p>
          <w:p w:rsidR="004C24E3" w:rsidRDefault="004C24E3">
            <w:pPr>
              <w:contextualSpacing w:val="0"/>
            </w:pPr>
          </w:p>
          <w:p w:rsidR="004C24E3" w:rsidRDefault="00F56660">
            <w:pPr>
              <w:contextualSpacing w:val="0"/>
            </w:pPr>
            <w:r>
              <w:t>The service will undertake appropriate level of DBS checks for all employees working with vulnerable adults and children, not allowing employees to work unsupervised with vulnerable people until a satisfactory DBS check has been received. The service will not appoint any individual included in a government held barred list for the purpose of providing a service directly to or likely to involve contact with a children or vulnerable adults.</w:t>
            </w:r>
          </w:p>
          <w:p w:rsidR="004C24E3" w:rsidRDefault="00F56660">
            <w:pPr>
              <w:contextualSpacing w:val="0"/>
            </w:pPr>
            <w:r>
              <w:t xml:space="preserve"> </w:t>
            </w:r>
          </w:p>
          <w:p w:rsidR="004C24E3" w:rsidRDefault="00F56660">
            <w:pPr>
              <w:contextualSpacing w:val="0"/>
            </w:pPr>
            <w:r>
              <w:t>The service will ensure sufficient capacity and skill mix amongst its workforce to deliver the requirement and successfully meet the demands of the population. Caseloads will be monitored and maintained within relevant guidance/best practice levels to ensure safe and effective delivery of services.</w:t>
            </w:r>
          </w:p>
          <w:p w:rsidR="004C24E3" w:rsidRDefault="004C24E3">
            <w:pPr>
              <w:contextualSpacing w:val="0"/>
            </w:pPr>
          </w:p>
          <w:p w:rsidR="004C24E3" w:rsidRDefault="004C24E3">
            <w:pPr>
              <w:ind w:left="720"/>
              <w:contextualSpacing w:val="0"/>
              <w:jc w:val="both"/>
            </w:pPr>
          </w:p>
        </w:tc>
      </w:tr>
      <w:tr w:rsidR="004C24E3" w:rsidTr="004C24E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64" w:type="dxa"/>
            <w:shd w:val="clear" w:color="auto" w:fill="CCCCCC"/>
          </w:tcPr>
          <w:p w:rsidR="004C24E3" w:rsidRDefault="004C24E3">
            <w:pPr>
              <w:contextualSpacing w:val="0"/>
            </w:pPr>
          </w:p>
          <w:p w:rsidR="004C24E3" w:rsidRDefault="00F56660">
            <w:pPr>
              <w:contextualSpacing w:val="0"/>
            </w:pPr>
            <w:r>
              <w:t>6. Performance Management</w:t>
            </w:r>
          </w:p>
          <w:p w:rsidR="004C24E3" w:rsidRDefault="004C24E3">
            <w:pPr>
              <w:contextualSpacing w:val="0"/>
            </w:pPr>
          </w:p>
        </w:tc>
      </w:tr>
      <w:tr w:rsidR="004C24E3" w:rsidTr="004C24E3">
        <w:trPr>
          <w:trHeight w:val="60"/>
        </w:trPr>
        <w:tc>
          <w:tcPr>
            <w:cnfStyle w:val="000010000000" w:firstRow="0" w:lastRow="0" w:firstColumn="0" w:lastColumn="0" w:oddVBand="1" w:evenVBand="0" w:oddHBand="0" w:evenHBand="0" w:firstRowFirstColumn="0" w:firstRowLastColumn="0" w:lastRowFirstColumn="0" w:lastRowLastColumn="0"/>
            <w:tcW w:w="9464" w:type="dxa"/>
          </w:tcPr>
          <w:p w:rsidR="004C24E3" w:rsidRDefault="004C24E3">
            <w:pPr>
              <w:contextualSpacing w:val="0"/>
            </w:pPr>
          </w:p>
          <w:p w:rsidR="004C24E3" w:rsidRDefault="004C24E3">
            <w:pPr>
              <w:contextualSpacing w:val="0"/>
            </w:pPr>
          </w:p>
          <w:p w:rsidR="004C24E3" w:rsidRDefault="00F56660">
            <w:pPr>
              <w:contextualSpacing w:val="0"/>
            </w:pPr>
            <w:r>
              <w:t>Baselines are to be developed during mobilisation and Year 1.</w:t>
            </w:r>
          </w:p>
          <w:p w:rsidR="004C24E3" w:rsidRDefault="004C24E3">
            <w:pPr>
              <w:contextualSpacing w:val="0"/>
            </w:pPr>
          </w:p>
          <w:p w:rsidR="004C24E3" w:rsidRDefault="00F56660">
            <w:pPr>
              <w:contextualSpacing w:val="0"/>
            </w:pPr>
            <w:r>
              <w:rPr>
                <w:color w:val="00B050"/>
              </w:rPr>
              <w:t>6.1 Performance Management</w:t>
            </w:r>
          </w:p>
          <w:p w:rsidR="004C24E3" w:rsidRDefault="004C24E3">
            <w:pPr>
              <w:contextualSpacing w:val="0"/>
            </w:pPr>
          </w:p>
          <w:p w:rsidR="004C24E3" w:rsidRDefault="00F56660">
            <w:pPr>
              <w:contextualSpacing w:val="0"/>
            </w:pPr>
            <w:r>
              <w:t>The overall performance of the service will be monitored through a combination of:</w:t>
            </w:r>
          </w:p>
          <w:p w:rsidR="004C24E3" w:rsidRDefault="00F56660">
            <w:pPr>
              <w:numPr>
                <w:ilvl w:val="0"/>
                <w:numId w:val="1"/>
              </w:numPr>
              <w:ind w:hanging="360"/>
            </w:pPr>
            <w:r>
              <w:t>qualitative measures (outcomes and quality assurance)</w:t>
            </w:r>
          </w:p>
          <w:p w:rsidR="004C24E3" w:rsidRDefault="00F56660">
            <w:pPr>
              <w:numPr>
                <w:ilvl w:val="0"/>
                <w:numId w:val="1"/>
              </w:numPr>
              <w:ind w:hanging="360"/>
            </w:pPr>
            <w:r>
              <w:t>quantitative measures (outputs/activity and key performance indicators)</w:t>
            </w:r>
          </w:p>
          <w:p w:rsidR="004C24E3" w:rsidRDefault="00F56660">
            <w:pPr>
              <w:numPr>
                <w:ilvl w:val="0"/>
                <w:numId w:val="1"/>
              </w:numPr>
              <w:ind w:hanging="360"/>
            </w:pPr>
            <w:r>
              <w:t>progress against SMART service development plan</w:t>
            </w:r>
          </w:p>
          <w:p w:rsidR="004C24E3" w:rsidRDefault="00F56660">
            <w:pPr>
              <w:numPr>
                <w:ilvl w:val="0"/>
                <w:numId w:val="1"/>
              </w:numPr>
              <w:ind w:hanging="360"/>
            </w:pPr>
            <w:r>
              <w:t>open book financial reporting</w:t>
            </w:r>
          </w:p>
          <w:p w:rsidR="004C24E3" w:rsidRDefault="004C24E3">
            <w:pPr>
              <w:contextualSpacing w:val="0"/>
            </w:pPr>
          </w:p>
          <w:p w:rsidR="004C24E3" w:rsidRDefault="00F56660">
            <w:pPr>
              <w:contextualSpacing w:val="0"/>
            </w:pPr>
            <w:r>
              <w:t>Commissioners will monitor progress against the performance objective.</w:t>
            </w:r>
          </w:p>
          <w:p w:rsidR="004C24E3" w:rsidRDefault="004C24E3">
            <w:pPr>
              <w:contextualSpacing w:val="0"/>
            </w:pPr>
          </w:p>
          <w:p w:rsidR="004C24E3" w:rsidRDefault="00F56660">
            <w:pPr>
              <w:contextualSpacing w:val="0"/>
            </w:pPr>
            <w:r>
              <w:t>The provider will supply commissioners with data relating to the delivery of the service on a quarterly basis. A monitoring workbook will be provided for the provider to complete within 4 weeks of quarter end. The exact range and format of information required from providers will be agreed as part of mobilisation (once the successful bidder is known) but is likely to include:-</w:t>
            </w:r>
          </w:p>
          <w:p w:rsidR="004C24E3" w:rsidRDefault="004C24E3">
            <w:pPr>
              <w:contextualSpacing w:val="0"/>
            </w:pPr>
          </w:p>
          <w:p w:rsidR="004C24E3" w:rsidRDefault="00F56660">
            <w:pPr>
              <w:numPr>
                <w:ilvl w:val="0"/>
                <w:numId w:val="7"/>
              </w:numPr>
              <w:ind w:hanging="360"/>
            </w:pPr>
            <w:r>
              <w:t>activity and outcome information for services</w:t>
            </w:r>
          </w:p>
          <w:p w:rsidR="004C24E3" w:rsidRDefault="00F56660">
            <w:pPr>
              <w:numPr>
                <w:ilvl w:val="0"/>
                <w:numId w:val="7"/>
              </w:numPr>
              <w:ind w:hanging="360"/>
            </w:pPr>
            <w:r>
              <w:t>detailed caseload analysis</w:t>
            </w:r>
          </w:p>
          <w:p w:rsidR="004C24E3" w:rsidRDefault="00F56660">
            <w:pPr>
              <w:numPr>
                <w:ilvl w:val="0"/>
                <w:numId w:val="7"/>
              </w:numPr>
              <w:ind w:hanging="360"/>
            </w:pPr>
            <w:r>
              <w:t>compliance with quality standards</w:t>
            </w:r>
          </w:p>
          <w:p w:rsidR="004C24E3" w:rsidRDefault="00F56660">
            <w:pPr>
              <w:numPr>
                <w:ilvl w:val="0"/>
                <w:numId w:val="7"/>
              </w:numPr>
              <w:ind w:hanging="360"/>
            </w:pPr>
            <w:r>
              <w:t>reflective account of quarter</w:t>
            </w:r>
          </w:p>
          <w:p w:rsidR="004C24E3" w:rsidRDefault="00F56660">
            <w:pPr>
              <w:numPr>
                <w:ilvl w:val="0"/>
                <w:numId w:val="7"/>
              </w:numPr>
              <w:ind w:hanging="360"/>
            </w:pPr>
            <w:r>
              <w:t>complaints/compliments</w:t>
            </w:r>
          </w:p>
          <w:p w:rsidR="004C24E3" w:rsidRDefault="00F56660">
            <w:pPr>
              <w:numPr>
                <w:ilvl w:val="0"/>
                <w:numId w:val="7"/>
              </w:numPr>
              <w:ind w:hanging="360"/>
            </w:pPr>
            <w:r>
              <w:t>serious untoward incidents</w:t>
            </w:r>
          </w:p>
          <w:p w:rsidR="004C24E3" w:rsidRDefault="00F56660">
            <w:pPr>
              <w:numPr>
                <w:ilvl w:val="0"/>
                <w:numId w:val="7"/>
              </w:numPr>
              <w:ind w:hanging="360"/>
            </w:pPr>
            <w:r>
              <w:t>results of audit</w:t>
            </w:r>
          </w:p>
          <w:p w:rsidR="004C24E3" w:rsidRDefault="00F56660">
            <w:pPr>
              <w:numPr>
                <w:ilvl w:val="0"/>
                <w:numId w:val="7"/>
              </w:numPr>
              <w:ind w:hanging="360"/>
            </w:pPr>
            <w:r>
              <w:t>progress towards SMART development plan</w:t>
            </w:r>
          </w:p>
          <w:p w:rsidR="004C24E3" w:rsidRDefault="00F56660">
            <w:pPr>
              <w:numPr>
                <w:ilvl w:val="0"/>
                <w:numId w:val="7"/>
              </w:numPr>
              <w:ind w:hanging="360"/>
            </w:pPr>
            <w:r>
              <w:t xml:space="preserve">open book financial reporting </w:t>
            </w:r>
          </w:p>
          <w:p w:rsidR="004C24E3" w:rsidRDefault="004C24E3">
            <w:pPr>
              <w:contextualSpacing w:val="0"/>
            </w:pPr>
          </w:p>
          <w:p w:rsidR="004C24E3" w:rsidRDefault="00F56660">
            <w:pPr>
              <w:contextualSpacing w:val="0"/>
            </w:pPr>
            <w:r>
              <w:t>This workbook, along with progress updates against the service development plan will form the basis of contract monitoring meetings held once per quarter and the provider will ensure the individuals responsible for the service are present.</w:t>
            </w:r>
          </w:p>
          <w:p w:rsidR="004C24E3" w:rsidRDefault="004C24E3">
            <w:pPr>
              <w:contextualSpacing w:val="0"/>
            </w:pPr>
          </w:p>
          <w:p w:rsidR="004C24E3" w:rsidRDefault="00F56660">
            <w:pPr>
              <w:contextualSpacing w:val="0"/>
            </w:pPr>
            <w:r>
              <w:t>The monitoring template in Appendix</w:t>
            </w:r>
            <w:r>
              <w:rPr>
                <w:highlight w:val="cyan"/>
              </w:rPr>
              <w:t xml:space="preserve"> 4 </w:t>
            </w:r>
            <w:r>
              <w:t xml:space="preserve">provides a summary of the information to be used for monitoring purposes and its source. The provider and commissioners will agree a final version which is tailored to the successful bid during the mobilisation phase. </w:t>
            </w:r>
          </w:p>
          <w:p w:rsidR="004C24E3" w:rsidRDefault="004C24E3">
            <w:pPr>
              <w:contextualSpacing w:val="0"/>
            </w:pPr>
          </w:p>
          <w:p w:rsidR="004C24E3" w:rsidRDefault="00F56660">
            <w:pPr>
              <w:contextualSpacing w:val="0"/>
            </w:pPr>
            <w:r>
              <w:t>Failure to supply complete monitoring information within deadline may be interpreted as a material breach of contract.</w:t>
            </w:r>
          </w:p>
          <w:p w:rsidR="004C24E3" w:rsidRDefault="004C24E3">
            <w:pPr>
              <w:contextualSpacing w:val="0"/>
            </w:pPr>
          </w:p>
          <w:p w:rsidR="004C24E3" w:rsidRDefault="00F56660">
            <w:pPr>
              <w:contextualSpacing w:val="0"/>
            </w:pPr>
            <w:r>
              <w:t>All local authority commissioned services are scrutinised and held to account by the local authority and, where appropriate, relevant partnerships. Therefore, summaries of performance will be shared with relevant boards which have a scrutiny or oversight role for public health, crime reduction or local authority commissioned services. On this basis, performance information may reach the public domain and is therefore not considered to be commercially sensitive or confidential. Performance information is also subject to Freedom of Information requests.</w:t>
            </w:r>
          </w:p>
          <w:p w:rsidR="004C24E3" w:rsidRDefault="004C24E3">
            <w:pPr>
              <w:contextualSpacing w:val="0"/>
            </w:pPr>
          </w:p>
          <w:p w:rsidR="004C24E3" w:rsidRDefault="00F56660">
            <w:pPr>
              <w:contextualSpacing w:val="0"/>
            </w:pPr>
            <w:r>
              <w:rPr>
                <w:color w:val="00B050"/>
              </w:rPr>
              <w:t xml:space="preserve">6.2 Annual Report </w:t>
            </w:r>
          </w:p>
          <w:p w:rsidR="004C24E3" w:rsidRDefault="00F56660">
            <w:pPr>
              <w:contextualSpacing w:val="0"/>
            </w:pPr>
            <w:r>
              <w:t>The service will also produce an annual report within 6 weeks of the anniversary of the service commencing. It should include as a minimum:-</w:t>
            </w:r>
          </w:p>
          <w:p w:rsidR="004C24E3" w:rsidRDefault="004C24E3">
            <w:pPr>
              <w:contextualSpacing w:val="0"/>
            </w:pPr>
          </w:p>
          <w:p w:rsidR="004C24E3" w:rsidRDefault="00F56660">
            <w:pPr>
              <w:numPr>
                <w:ilvl w:val="0"/>
                <w:numId w:val="8"/>
              </w:numPr>
              <w:ind w:hanging="360"/>
            </w:pPr>
            <w:r>
              <w:t>Summation of performance from quarterly monitoring (including expenditure breakdown) to include detailed demographic and geographic breakdown of service users.</w:t>
            </w:r>
          </w:p>
          <w:p w:rsidR="004C24E3" w:rsidRDefault="00F56660">
            <w:pPr>
              <w:numPr>
                <w:ilvl w:val="0"/>
                <w:numId w:val="8"/>
              </w:numPr>
              <w:ind w:hanging="360"/>
            </w:pPr>
            <w:r>
              <w:lastRenderedPageBreak/>
              <w:t xml:space="preserve">Emerging trends and patterns observed </w:t>
            </w:r>
          </w:p>
          <w:p w:rsidR="004C24E3" w:rsidRDefault="00F56660">
            <w:pPr>
              <w:numPr>
                <w:ilvl w:val="0"/>
                <w:numId w:val="8"/>
              </w:numPr>
              <w:ind w:hanging="360"/>
            </w:pPr>
            <w:r>
              <w:t>How the need is being met</w:t>
            </w:r>
          </w:p>
          <w:p w:rsidR="004C24E3" w:rsidRDefault="00F56660">
            <w:pPr>
              <w:numPr>
                <w:ilvl w:val="0"/>
                <w:numId w:val="8"/>
              </w:numPr>
              <w:ind w:hanging="360"/>
            </w:pPr>
            <w:r>
              <w:t>What has gone well</w:t>
            </w:r>
          </w:p>
          <w:p w:rsidR="004C24E3" w:rsidRDefault="00F56660">
            <w:pPr>
              <w:numPr>
                <w:ilvl w:val="0"/>
                <w:numId w:val="8"/>
              </w:numPr>
              <w:ind w:hanging="360"/>
            </w:pPr>
            <w:r>
              <w:t>What hasn’t developed as expected</w:t>
            </w:r>
          </w:p>
          <w:p w:rsidR="004C24E3" w:rsidRDefault="00F56660">
            <w:pPr>
              <w:numPr>
                <w:ilvl w:val="0"/>
                <w:numId w:val="8"/>
              </w:numPr>
              <w:ind w:hanging="360"/>
            </w:pPr>
            <w:r>
              <w:t>Service development plans for the coming year</w:t>
            </w:r>
          </w:p>
          <w:p w:rsidR="004C24E3" w:rsidRDefault="00F56660">
            <w:pPr>
              <w:numPr>
                <w:ilvl w:val="0"/>
                <w:numId w:val="8"/>
              </w:numPr>
              <w:ind w:hanging="360"/>
            </w:pPr>
            <w:r>
              <w:t>Service user satisfaction and involvement in service development</w:t>
            </w:r>
          </w:p>
          <w:p w:rsidR="004C24E3" w:rsidRDefault="00F56660">
            <w:pPr>
              <w:numPr>
                <w:ilvl w:val="0"/>
                <w:numId w:val="8"/>
              </w:numPr>
              <w:ind w:hanging="360"/>
            </w:pPr>
            <w:r>
              <w:t>Confirmation of clinical governance arrangements</w:t>
            </w:r>
          </w:p>
          <w:p w:rsidR="004C24E3" w:rsidRDefault="00F56660">
            <w:pPr>
              <w:numPr>
                <w:ilvl w:val="0"/>
                <w:numId w:val="8"/>
              </w:numPr>
              <w:ind w:hanging="360"/>
            </w:pPr>
            <w:r>
              <w:t>Serious Untoward Incidents and the learning from them</w:t>
            </w:r>
          </w:p>
          <w:p w:rsidR="004C24E3" w:rsidRDefault="00F56660">
            <w:pPr>
              <w:numPr>
                <w:ilvl w:val="0"/>
                <w:numId w:val="8"/>
              </w:numPr>
              <w:ind w:hanging="360"/>
            </w:pPr>
            <w:r>
              <w:t>Evidence of risk assessment and contingency planning review</w:t>
            </w:r>
          </w:p>
          <w:p w:rsidR="004C24E3" w:rsidRDefault="00F56660">
            <w:pPr>
              <w:numPr>
                <w:ilvl w:val="0"/>
                <w:numId w:val="8"/>
              </w:numPr>
              <w:ind w:hanging="360"/>
            </w:pPr>
            <w:r>
              <w:t>Summary of annual Equality Impact Assessment</w:t>
            </w:r>
          </w:p>
          <w:p w:rsidR="004C24E3" w:rsidRDefault="00F56660">
            <w:pPr>
              <w:numPr>
                <w:ilvl w:val="0"/>
                <w:numId w:val="8"/>
              </w:numPr>
              <w:ind w:hanging="360"/>
            </w:pPr>
            <w:r>
              <w:t>Evidence of continued information governance compliance</w:t>
            </w:r>
          </w:p>
          <w:p w:rsidR="004C24E3" w:rsidRDefault="00F56660">
            <w:pPr>
              <w:numPr>
                <w:ilvl w:val="0"/>
                <w:numId w:val="8"/>
              </w:numPr>
              <w:ind w:hanging="360"/>
            </w:pPr>
            <w:r>
              <w:t>Evidence of compliance with new regulatory and policy developments</w:t>
            </w:r>
          </w:p>
          <w:p w:rsidR="004C24E3" w:rsidRDefault="00F56660">
            <w:pPr>
              <w:numPr>
                <w:ilvl w:val="0"/>
                <w:numId w:val="8"/>
              </w:numPr>
              <w:ind w:hanging="360"/>
            </w:pPr>
            <w:r>
              <w:t xml:space="preserve">Evidence of continued improvement, economy and efficiency </w:t>
            </w:r>
          </w:p>
          <w:p w:rsidR="004C24E3" w:rsidRDefault="004C24E3">
            <w:pPr>
              <w:contextualSpacing w:val="0"/>
            </w:pPr>
          </w:p>
          <w:p w:rsidR="004C24E3" w:rsidRDefault="00F56660">
            <w:pPr>
              <w:contextualSpacing w:val="0"/>
            </w:pPr>
            <w:r>
              <w:rPr>
                <w:color w:val="00B050"/>
              </w:rPr>
              <w:t>6.3 Service Development</w:t>
            </w:r>
          </w:p>
          <w:p w:rsidR="004C24E3" w:rsidRDefault="004C24E3">
            <w:pPr>
              <w:contextualSpacing w:val="0"/>
            </w:pPr>
          </w:p>
          <w:p w:rsidR="004C24E3" w:rsidRDefault="00F56660">
            <w:pPr>
              <w:contextualSpacing w:val="0"/>
            </w:pPr>
            <w:r>
              <w:rPr>
                <w:color w:val="00B050"/>
              </w:rPr>
              <w:t>6.3.1 Service Objectives (in detail)</w:t>
            </w:r>
          </w:p>
          <w:p w:rsidR="004C24E3" w:rsidRDefault="004C24E3">
            <w:pPr>
              <w:contextualSpacing w:val="0"/>
            </w:pPr>
          </w:p>
          <w:p w:rsidR="004C24E3" w:rsidRDefault="00F56660">
            <w:pPr>
              <w:contextualSpacing w:val="0"/>
            </w:pPr>
            <w:r>
              <w:t xml:space="preserve">Objectives for each year will be discussed and agreed annually between the provider and commissioners. Service objectives are considered to be the steps necessary to achieve the overarching vision, outcomes and performance objective within the specification over the contract duration. They also present an opportunity to take account of changing trends and emerging issues. </w:t>
            </w:r>
          </w:p>
          <w:p w:rsidR="004C24E3" w:rsidRDefault="004C24E3">
            <w:pPr>
              <w:contextualSpacing w:val="0"/>
            </w:pPr>
          </w:p>
          <w:p w:rsidR="004C24E3" w:rsidRDefault="00F56660">
            <w:pPr>
              <w:contextualSpacing w:val="0"/>
            </w:pPr>
            <w:r>
              <w:t>The provider will develop its own SMART service development plan based on the service objectives agreed for the year which it will implement as part of its continuous development. The provider will share the SMART service development plan with commissioners and report on its progress on a quarterly basis.</w:t>
            </w:r>
          </w:p>
          <w:p w:rsidR="004C24E3" w:rsidRDefault="004C24E3">
            <w:pPr>
              <w:contextualSpacing w:val="0"/>
            </w:pPr>
          </w:p>
          <w:p w:rsidR="004C24E3" w:rsidRDefault="00F56660">
            <w:pPr>
              <w:contextualSpacing w:val="0"/>
            </w:pPr>
            <w:r>
              <w:t xml:space="preserve">Commissioners will monitor progress towards the service objectives as part of routine quarterly contract monitoring. </w:t>
            </w:r>
          </w:p>
          <w:p w:rsidR="004C24E3" w:rsidRDefault="004C24E3">
            <w:pPr>
              <w:contextualSpacing w:val="0"/>
            </w:pPr>
          </w:p>
          <w:p w:rsidR="004C24E3" w:rsidRDefault="00F56660">
            <w:pPr>
              <w:contextualSpacing w:val="0"/>
            </w:pPr>
            <w:r>
              <w:t>Service objectives for Year 1 are anticipated to be:-</w:t>
            </w:r>
          </w:p>
          <w:p w:rsidR="004C24E3" w:rsidRDefault="004C24E3">
            <w:pPr>
              <w:contextualSpacing w:val="0"/>
            </w:pPr>
          </w:p>
          <w:tbl>
            <w:tblPr>
              <w:tblStyle w:val="ab"/>
              <w:tblW w:w="1804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562"/>
              <w:gridCol w:w="17480"/>
            </w:tblGrid>
            <w:tr w:rsidR="004C24E3" w:rsidTr="004C24E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62" w:type="dxa"/>
                  <w:tcBorders>
                    <w:top w:val="single" w:sz="4" w:space="0" w:color="BFBFBF"/>
                    <w:left w:val="single" w:sz="4" w:space="0" w:color="BFBFBF"/>
                    <w:bottom w:val="single" w:sz="4" w:space="0" w:color="BFBFBF"/>
                    <w:right w:val="single" w:sz="4" w:space="0" w:color="BFBFBF"/>
                  </w:tcBorders>
                </w:tcPr>
                <w:p w:rsidR="004C24E3" w:rsidRDefault="00F56660">
                  <w:pPr>
                    <w:contextualSpacing w:val="0"/>
                  </w:pPr>
                  <w:r>
                    <w:t>(i)</w:t>
                  </w:r>
                </w:p>
              </w:tc>
              <w:tc>
                <w:tcPr>
                  <w:tcW w:w="17480" w:type="dxa"/>
                  <w:tcBorders>
                    <w:top w:val="single" w:sz="4" w:space="0" w:color="BFBFBF"/>
                    <w:left w:val="single" w:sz="4" w:space="0" w:color="BFBFBF"/>
                    <w:bottom w:val="single" w:sz="4" w:space="0" w:color="BFBFBF"/>
                    <w:right w:val="single" w:sz="4" w:space="0" w:color="BFBFBF"/>
                  </w:tcBorders>
                </w:tcPr>
                <w:p w:rsidR="004C24E3" w:rsidRDefault="004C24E3">
                  <w:pPr>
                    <w:contextualSpacing w:val="0"/>
                    <w:cnfStyle w:val="000000100000" w:firstRow="0" w:lastRow="0" w:firstColumn="0" w:lastColumn="0" w:oddVBand="0" w:evenVBand="0" w:oddHBand="1" w:evenHBand="0" w:firstRowFirstColumn="0" w:firstRowLastColumn="0" w:lastRowFirstColumn="0" w:lastRowLastColumn="0"/>
                  </w:pPr>
                </w:p>
                <w:p w:rsidR="004C24E3" w:rsidRDefault="00F56660">
                  <w:pPr>
                    <w:contextualSpacing w:val="0"/>
                    <w:cnfStyle w:val="000000100000" w:firstRow="0" w:lastRow="0" w:firstColumn="0" w:lastColumn="0" w:oddVBand="0" w:evenVBand="0" w:oddHBand="1" w:evenHBand="0" w:firstRowFirstColumn="0" w:firstRowLastColumn="0" w:lastRowFirstColumn="0" w:lastRowLastColumn="0"/>
                  </w:pPr>
                  <w:r>
                    <w:t>Complete service integration and transformation</w:t>
                  </w:r>
                </w:p>
                <w:p w:rsidR="004C24E3" w:rsidRDefault="004C24E3">
                  <w:pPr>
                    <w:contextualSpacing w:val="0"/>
                    <w:cnfStyle w:val="000000100000" w:firstRow="0" w:lastRow="0" w:firstColumn="0" w:lastColumn="0" w:oddVBand="0" w:evenVBand="0" w:oddHBand="1" w:evenHBand="0" w:firstRowFirstColumn="0" w:firstRowLastColumn="0" w:lastRowFirstColumn="0" w:lastRowLastColumn="0"/>
                  </w:pPr>
                </w:p>
              </w:tc>
            </w:tr>
            <w:tr w:rsidR="004C24E3" w:rsidTr="004C24E3">
              <w:tc>
                <w:tcPr>
                  <w:cnfStyle w:val="000010000000" w:firstRow="0" w:lastRow="0" w:firstColumn="0" w:lastColumn="0" w:oddVBand="1" w:evenVBand="0" w:oddHBand="0" w:evenHBand="0" w:firstRowFirstColumn="0" w:firstRowLastColumn="0" w:lastRowFirstColumn="0" w:lastRowLastColumn="0"/>
                  <w:tcW w:w="562" w:type="dxa"/>
                  <w:tcBorders>
                    <w:top w:val="single" w:sz="4" w:space="0" w:color="BFBFBF"/>
                    <w:left w:val="single" w:sz="4" w:space="0" w:color="BFBFBF"/>
                    <w:bottom w:val="single" w:sz="4" w:space="0" w:color="BFBFBF"/>
                    <w:right w:val="single" w:sz="4" w:space="0" w:color="BFBFBF"/>
                  </w:tcBorders>
                </w:tcPr>
                <w:p w:rsidR="004C24E3" w:rsidRDefault="00F56660">
                  <w:pPr>
                    <w:contextualSpacing w:val="0"/>
                  </w:pPr>
                  <w:r>
                    <w:t>(ii)</w:t>
                  </w:r>
                </w:p>
              </w:tc>
              <w:tc>
                <w:tcPr>
                  <w:tcW w:w="17480" w:type="dxa"/>
                  <w:tcBorders>
                    <w:top w:val="single" w:sz="4" w:space="0" w:color="BFBFBF"/>
                    <w:left w:val="single" w:sz="4" w:space="0" w:color="BFBFBF"/>
                    <w:bottom w:val="single" w:sz="4" w:space="0" w:color="BFBFBF"/>
                    <w:right w:val="single" w:sz="4" w:space="0" w:color="BFBFBF"/>
                  </w:tcBorders>
                </w:tcPr>
                <w:p w:rsidR="004C24E3" w:rsidRDefault="00F56660">
                  <w:pPr>
                    <w:contextualSpacing w:val="0"/>
                    <w:cnfStyle w:val="000000000000" w:firstRow="0" w:lastRow="0" w:firstColumn="0" w:lastColumn="0" w:oddVBand="0" w:evenVBand="0" w:oddHBand="0" w:evenHBand="0" w:firstRowFirstColumn="0" w:firstRowLastColumn="0" w:lastRowFirstColumn="0" w:lastRowLastColumn="0"/>
                  </w:pPr>
                  <w:r>
                    <w:t>Achieve minimum activity levels</w:t>
                  </w:r>
                </w:p>
              </w:tc>
            </w:tr>
            <w:tr w:rsidR="004C24E3" w:rsidTr="004C24E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62" w:type="dxa"/>
                  <w:tcBorders>
                    <w:top w:val="single" w:sz="4" w:space="0" w:color="BFBFBF"/>
                    <w:left w:val="single" w:sz="4" w:space="0" w:color="BFBFBF"/>
                    <w:bottom w:val="single" w:sz="4" w:space="0" w:color="BFBFBF"/>
                    <w:right w:val="single" w:sz="4" w:space="0" w:color="BFBFBF"/>
                  </w:tcBorders>
                </w:tcPr>
                <w:p w:rsidR="004C24E3" w:rsidRDefault="00F56660">
                  <w:pPr>
                    <w:contextualSpacing w:val="0"/>
                  </w:pPr>
                  <w:r>
                    <w:t>(iii)</w:t>
                  </w:r>
                </w:p>
              </w:tc>
              <w:tc>
                <w:tcPr>
                  <w:tcW w:w="17480" w:type="dxa"/>
                  <w:tcBorders>
                    <w:top w:val="single" w:sz="4" w:space="0" w:color="BFBFBF"/>
                    <w:left w:val="single" w:sz="4" w:space="0" w:color="BFBFBF"/>
                    <w:bottom w:val="single" w:sz="4" w:space="0" w:color="BFBFBF"/>
                    <w:right w:val="single" w:sz="4" w:space="0" w:color="BFBFBF"/>
                  </w:tcBorders>
                </w:tcPr>
                <w:p w:rsidR="004C24E3" w:rsidRDefault="004C24E3">
                  <w:pPr>
                    <w:contextualSpacing w:val="0"/>
                    <w:cnfStyle w:val="000000100000" w:firstRow="0" w:lastRow="0" w:firstColumn="0" w:lastColumn="0" w:oddVBand="0" w:evenVBand="0" w:oddHBand="1" w:evenHBand="0" w:firstRowFirstColumn="0" w:firstRowLastColumn="0" w:lastRowFirstColumn="0" w:lastRowLastColumn="0"/>
                  </w:pPr>
                </w:p>
                <w:p w:rsidR="004C24E3" w:rsidRDefault="00F56660">
                  <w:pPr>
                    <w:contextualSpacing w:val="0"/>
                    <w:cnfStyle w:val="000000100000" w:firstRow="0" w:lastRow="0" w:firstColumn="0" w:lastColumn="0" w:oddVBand="0" w:evenVBand="0" w:oddHBand="1" w:evenHBand="0" w:firstRowFirstColumn="0" w:firstRowLastColumn="0" w:lastRowFirstColumn="0" w:lastRowLastColumn="0"/>
                  </w:pPr>
                  <w:r>
                    <w:t>Establish baselines for performance monitoring in Year 2 onwards</w:t>
                  </w:r>
                </w:p>
                <w:p w:rsidR="004C24E3" w:rsidRDefault="004C24E3">
                  <w:pPr>
                    <w:contextualSpacing w:val="0"/>
                    <w:cnfStyle w:val="000000100000" w:firstRow="0" w:lastRow="0" w:firstColumn="0" w:lastColumn="0" w:oddVBand="0" w:evenVBand="0" w:oddHBand="1" w:evenHBand="0" w:firstRowFirstColumn="0" w:firstRowLastColumn="0" w:lastRowFirstColumn="0" w:lastRowLastColumn="0"/>
                  </w:pPr>
                </w:p>
              </w:tc>
            </w:tr>
          </w:tbl>
          <w:p w:rsidR="004C24E3" w:rsidRDefault="004C24E3">
            <w:pPr>
              <w:contextualSpacing w:val="0"/>
            </w:pPr>
          </w:p>
          <w:p w:rsidR="004C24E3" w:rsidRDefault="004C24E3">
            <w:pPr>
              <w:contextualSpacing w:val="0"/>
            </w:pPr>
          </w:p>
          <w:p w:rsidR="004C24E3" w:rsidRDefault="00F56660">
            <w:pPr>
              <w:contextualSpacing w:val="0"/>
            </w:pPr>
            <w:r>
              <w:rPr>
                <w:color w:val="00B050"/>
              </w:rPr>
              <w:t xml:space="preserve">6.3.2 Annual service development plan </w:t>
            </w:r>
          </w:p>
          <w:p w:rsidR="004C24E3" w:rsidRDefault="004C24E3">
            <w:pPr>
              <w:contextualSpacing w:val="0"/>
            </w:pPr>
          </w:p>
          <w:p w:rsidR="004C24E3" w:rsidRDefault="00F56660">
            <w:pPr>
              <w:contextualSpacing w:val="0"/>
            </w:pPr>
            <w:r>
              <w:t>The service will develop and implement a SMART service development plan based upon annual service objectives agreed by both provider and commissioners (see section 5.3 for details).</w:t>
            </w:r>
          </w:p>
          <w:p w:rsidR="004C24E3" w:rsidRDefault="004C24E3">
            <w:pPr>
              <w:contextualSpacing w:val="0"/>
            </w:pPr>
          </w:p>
          <w:p w:rsidR="004C24E3" w:rsidRDefault="004C24E3">
            <w:pPr>
              <w:contextualSpacing w:val="0"/>
            </w:pPr>
          </w:p>
          <w:p w:rsidR="004C24E3" w:rsidRDefault="00F56660">
            <w:pPr>
              <w:contextualSpacing w:val="0"/>
            </w:pPr>
            <w:r>
              <w:rPr>
                <w:color w:val="00B050"/>
              </w:rPr>
              <w:lastRenderedPageBreak/>
              <w:t>6.4 Other information provision</w:t>
            </w:r>
          </w:p>
          <w:p w:rsidR="004C24E3" w:rsidRDefault="004C24E3">
            <w:pPr>
              <w:contextualSpacing w:val="0"/>
            </w:pPr>
          </w:p>
          <w:p w:rsidR="004C24E3" w:rsidRDefault="00F56660">
            <w:pPr>
              <w:contextualSpacing w:val="0"/>
            </w:pPr>
            <w:r>
              <w:t xml:space="preserve">The provider must share all inspections, national/local audit reports and service user/staff surveys relevant to the service. </w:t>
            </w:r>
          </w:p>
          <w:p w:rsidR="004C24E3" w:rsidRDefault="004C24E3">
            <w:pPr>
              <w:contextualSpacing w:val="0"/>
            </w:pPr>
          </w:p>
          <w:p w:rsidR="004C24E3" w:rsidRDefault="00F56660">
            <w:pPr>
              <w:contextualSpacing w:val="0"/>
            </w:pPr>
            <w:r>
              <w:t>The provider must notify the commissioner if any clinician’s professional registration lapses, is suspended, removed or conditions added; or the clinician has a hearing with the Professional Regulatory Body.</w:t>
            </w:r>
          </w:p>
          <w:p w:rsidR="004C24E3" w:rsidRDefault="004C24E3">
            <w:pPr>
              <w:contextualSpacing w:val="0"/>
            </w:pPr>
          </w:p>
          <w:p w:rsidR="004C24E3" w:rsidRDefault="00F56660">
            <w:pPr>
              <w:contextualSpacing w:val="0"/>
            </w:pPr>
            <w:r>
              <w:t>The provider will make available a breakdown of expenditure through its open book reporting.</w:t>
            </w:r>
          </w:p>
          <w:p w:rsidR="004C24E3" w:rsidRDefault="004C24E3">
            <w:pPr>
              <w:contextualSpacing w:val="0"/>
            </w:pPr>
          </w:p>
        </w:tc>
      </w:tr>
      <w:tr w:rsidR="004C24E3" w:rsidTr="004C24E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64" w:type="dxa"/>
            <w:shd w:val="clear" w:color="auto" w:fill="CCCCCC"/>
          </w:tcPr>
          <w:p w:rsidR="004C24E3" w:rsidRDefault="004C24E3">
            <w:pPr>
              <w:contextualSpacing w:val="0"/>
            </w:pPr>
          </w:p>
          <w:p w:rsidR="004C24E3" w:rsidRDefault="00F56660">
            <w:pPr>
              <w:contextualSpacing w:val="0"/>
              <w:rPr>
                <w:b/>
                <w:color w:val="FF0000"/>
              </w:rPr>
            </w:pPr>
            <w:r>
              <w:rPr>
                <w:b/>
                <w:color w:val="FF0000"/>
              </w:rPr>
              <w:t>7.0 Provider Premises</w:t>
            </w:r>
          </w:p>
          <w:p w:rsidR="004C24E3" w:rsidRDefault="004C24E3">
            <w:pPr>
              <w:contextualSpacing w:val="0"/>
            </w:pPr>
          </w:p>
        </w:tc>
      </w:tr>
      <w:tr w:rsidR="004C24E3">
        <w:tc>
          <w:tcPr>
            <w:cnfStyle w:val="000010000000" w:firstRow="0" w:lastRow="0" w:firstColumn="0" w:lastColumn="0" w:oddVBand="1" w:evenVBand="0" w:oddHBand="0" w:evenHBand="0" w:firstRowFirstColumn="0" w:firstRowLastColumn="0" w:lastRowFirstColumn="0" w:lastRowLastColumn="0"/>
            <w:tcW w:w="9464" w:type="dxa"/>
          </w:tcPr>
          <w:p w:rsidR="004C24E3" w:rsidRDefault="004C24E3">
            <w:pPr>
              <w:contextualSpacing w:val="0"/>
            </w:pPr>
          </w:p>
          <w:p w:rsidR="004C24E3" w:rsidRDefault="00F56660">
            <w:pPr>
              <w:contextualSpacing w:val="0"/>
            </w:pPr>
            <w:r>
              <w:t xml:space="preserve">The provider will determine the premises from which the service will be delivered. </w:t>
            </w:r>
          </w:p>
          <w:p w:rsidR="004C24E3" w:rsidRDefault="004C24E3">
            <w:pPr>
              <w:contextualSpacing w:val="0"/>
            </w:pPr>
          </w:p>
          <w:p w:rsidR="004C24E3" w:rsidRDefault="00F56660">
            <w:pPr>
              <w:contextualSpacing w:val="0"/>
            </w:pPr>
            <w:r>
              <w:t xml:space="preserve">Premises must be in line with all nationally applicable standards and be suitable to deliver effective care and health outcomes. </w:t>
            </w:r>
          </w:p>
          <w:p w:rsidR="004C24E3" w:rsidRDefault="004C24E3">
            <w:pPr>
              <w:contextualSpacing w:val="0"/>
            </w:pPr>
          </w:p>
          <w:p w:rsidR="004C24E3" w:rsidRDefault="00F56660">
            <w:pPr>
              <w:contextualSpacing w:val="0"/>
            </w:pPr>
            <w:r>
              <w:t>Suitable premises are those which:-</w:t>
            </w:r>
          </w:p>
          <w:p w:rsidR="004C24E3" w:rsidRDefault="004C24E3">
            <w:pPr>
              <w:contextualSpacing w:val="0"/>
              <w:jc w:val="both"/>
            </w:pPr>
          </w:p>
          <w:p w:rsidR="004C24E3" w:rsidRDefault="00F56660">
            <w:pPr>
              <w:numPr>
                <w:ilvl w:val="0"/>
                <w:numId w:val="12"/>
              </w:numPr>
              <w:ind w:hanging="360"/>
            </w:pPr>
            <w:r>
              <w:t>Age appropriate and where children, young people and families feel welcome, comfortable, safe and cause as little disruption to family life as possible</w:t>
            </w:r>
          </w:p>
          <w:p w:rsidR="004C24E3" w:rsidRDefault="00F56660">
            <w:pPr>
              <w:numPr>
                <w:ilvl w:val="0"/>
                <w:numId w:val="12"/>
              </w:numPr>
              <w:ind w:hanging="360"/>
            </w:pPr>
            <w:r>
              <w:t>provide a safe and secure environment which protects service users, staff, visitors and their property, and the physical assets of the organisation</w:t>
            </w:r>
          </w:p>
          <w:p w:rsidR="004C24E3" w:rsidRDefault="00F56660">
            <w:pPr>
              <w:numPr>
                <w:ilvl w:val="0"/>
                <w:numId w:val="12"/>
              </w:numPr>
              <w:ind w:hanging="360"/>
            </w:pPr>
            <w:r>
              <w:t>maintain privacy and confidentiality</w:t>
            </w:r>
          </w:p>
          <w:p w:rsidR="004C24E3" w:rsidRDefault="00F56660">
            <w:pPr>
              <w:numPr>
                <w:ilvl w:val="0"/>
                <w:numId w:val="12"/>
              </w:numPr>
              <w:ind w:hanging="360"/>
            </w:pPr>
            <w:r>
              <w:t>provide an appropriate space for the effective and safe delivery of interventions</w:t>
            </w:r>
          </w:p>
          <w:p w:rsidR="004C24E3" w:rsidRDefault="00F56660">
            <w:pPr>
              <w:numPr>
                <w:ilvl w:val="0"/>
                <w:numId w:val="12"/>
              </w:numPr>
              <w:ind w:hanging="360"/>
            </w:pPr>
            <w:r>
              <w:t>offer high levels of cleanliness in clinical and nonclinical areas that meet relevant national standards</w:t>
            </w:r>
          </w:p>
          <w:p w:rsidR="004C24E3" w:rsidRDefault="00F56660">
            <w:pPr>
              <w:numPr>
                <w:ilvl w:val="0"/>
                <w:numId w:val="12"/>
              </w:numPr>
              <w:ind w:hanging="360"/>
            </w:pPr>
            <w:r>
              <w:t>accessible to all, including those with physical disabilities</w:t>
            </w:r>
          </w:p>
          <w:p w:rsidR="004C24E3" w:rsidRDefault="00F56660">
            <w:pPr>
              <w:numPr>
                <w:ilvl w:val="0"/>
                <w:numId w:val="12"/>
              </w:numPr>
              <w:ind w:hanging="360"/>
            </w:pPr>
            <w:r>
              <w:t>easily accessible via public transport and on foot</w:t>
            </w:r>
          </w:p>
          <w:p w:rsidR="004C24E3" w:rsidRDefault="00F56660">
            <w:pPr>
              <w:numPr>
                <w:ilvl w:val="0"/>
                <w:numId w:val="12"/>
              </w:numPr>
              <w:ind w:hanging="360"/>
            </w:pPr>
            <w:r>
              <w:t>Services should meet the ‘You’re Welcome’ quality criteria</w:t>
            </w:r>
          </w:p>
          <w:p w:rsidR="004C24E3" w:rsidRDefault="00FD655A">
            <w:pPr>
              <w:contextualSpacing w:val="0"/>
            </w:pPr>
            <w:hyperlink r:id="rId62">
              <w:r w:rsidR="00F56660">
                <w:rPr>
                  <w:color w:val="0563C1"/>
                  <w:u w:val="single"/>
                </w:rPr>
                <w:t>https://www.gov.uk/government/publications/quality-criteria-for-young-people-friendly-health-services</w:t>
              </w:r>
            </w:hyperlink>
            <w:r w:rsidR="00F56660">
              <w:t xml:space="preserve"> </w:t>
            </w:r>
          </w:p>
          <w:p w:rsidR="004C24E3" w:rsidRDefault="004C24E3">
            <w:pPr>
              <w:contextualSpacing w:val="0"/>
            </w:pPr>
          </w:p>
          <w:p w:rsidR="004C24E3" w:rsidRDefault="00F56660">
            <w:pPr>
              <w:contextualSpacing w:val="0"/>
            </w:pPr>
            <w:r>
              <w:t>The Provider will be responsible for all rent, maintenance and cleanliness costs.</w:t>
            </w:r>
          </w:p>
          <w:p w:rsidR="004C24E3" w:rsidRDefault="004C24E3">
            <w:pPr>
              <w:contextualSpacing w:val="0"/>
            </w:pPr>
          </w:p>
          <w:p w:rsidR="004C24E3" w:rsidRDefault="004C24E3">
            <w:pPr>
              <w:contextualSpacing w:val="0"/>
            </w:pPr>
          </w:p>
        </w:tc>
      </w:tr>
      <w:tr w:rsidR="004C24E3" w:rsidTr="004C24E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64" w:type="dxa"/>
            <w:shd w:val="clear" w:color="auto" w:fill="CCCCCC"/>
          </w:tcPr>
          <w:p w:rsidR="004C24E3" w:rsidRDefault="004C24E3">
            <w:pPr>
              <w:contextualSpacing w:val="0"/>
            </w:pPr>
          </w:p>
          <w:p w:rsidR="004C24E3" w:rsidRDefault="00F56660">
            <w:pPr>
              <w:contextualSpacing w:val="0"/>
              <w:rPr>
                <w:b/>
                <w:color w:val="FF0000"/>
              </w:rPr>
            </w:pPr>
            <w:r>
              <w:rPr>
                <w:b/>
                <w:color w:val="FF0000"/>
              </w:rPr>
              <w:t>8.0 Charges</w:t>
            </w:r>
          </w:p>
          <w:p w:rsidR="004C24E3" w:rsidRDefault="004C24E3">
            <w:pPr>
              <w:contextualSpacing w:val="0"/>
            </w:pPr>
          </w:p>
        </w:tc>
      </w:tr>
      <w:tr w:rsidR="004C24E3">
        <w:tc>
          <w:tcPr>
            <w:cnfStyle w:val="000010000000" w:firstRow="0" w:lastRow="0" w:firstColumn="0" w:lastColumn="0" w:oddVBand="1" w:evenVBand="0" w:oddHBand="0" w:evenHBand="0" w:firstRowFirstColumn="0" w:firstRowLastColumn="0" w:lastRowFirstColumn="0" w:lastRowLastColumn="0"/>
            <w:tcW w:w="9464" w:type="dxa"/>
          </w:tcPr>
          <w:p w:rsidR="004C24E3" w:rsidRDefault="004C24E3">
            <w:pPr>
              <w:contextualSpacing w:val="0"/>
            </w:pPr>
          </w:p>
          <w:p w:rsidR="004C24E3" w:rsidRDefault="00F56660">
            <w:pPr>
              <w:contextualSpacing w:val="0"/>
            </w:pPr>
            <w:r>
              <w:rPr>
                <w:color w:val="00CC66"/>
              </w:rPr>
              <w:t>8.1 Maximum budget</w:t>
            </w:r>
          </w:p>
          <w:p w:rsidR="004C24E3" w:rsidRDefault="004C24E3">
            <w:pPr>
              <w:contextualSpacing w:val="0"/>
            </w:pPr>
          </w:p>
          <w:tbl>
            <w:tblPr>
              <w:tblStyle w:val="ac"/>
              <w:tblW w:w="38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0"/>
              <w:gridCol w:w="1276"/>
              <w:gridCol w:w="1276"/>
            </w:tblGrid>
            <w:tr w:rsidR="004C24E3">
              <w:trPr>
                <w:trHeight w:val="420"/>
              </w:trPr>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C24E3" w:rsidRDefault="00F56660">
                  <w:pPr>
                    <w:contextualSpacing w:val="0"/>
                    <w:jc w:val="center"/>
                  </w:pPr>
                  <w:r>
                    <w:t>Year 1</w:t>
                  </w: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C24E3" w:rsidRDefault="00F56660">
                  <w:pPr>
                    <w:contextualSpacing w:val="0"/>
                    <w:jc w:val="center"/>
                  </w:pPr>
                  <w:r>
                    <w:t>Year 2</w:t>
                  </w: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C24E3" w:rsidRDefault="00F56660">
                  <w:pPr>
                    <w:contextualSpacing w:val="0"/>
                    <w:jc w:val="center"/>
                  </w:pPr>
                  <w:r>
                    <w:t xml:space="preserve">Year 3 </w:t>
                  </w:r>
                </w:p>
              </w:tc>
            </w:tr>
            <w:tr w:rsidR="004C24E3">
              <w:trPr>
                <w:trHeight w:val="360"/>
              </w:trPr>
              <w:tc>
                <w:tcPr>
                  <w:tcW w:w="1271" w:type="dxa"/>
                  <w:tcBorders>
                    <w:top w:val="single" w:sz="4" w:space="0" w:color="000000"/>
                    <w:left w:val="single" w:sz="4" w:space="0" w:color="000000"/>
                    <w:bottom w:val="single" w:sz="4" w:space="0" w:color="000000"/>
                    <w:right w:val="single" w:sz="4" w:space="0" w:color="000000"/>
                  </w:tcBorders>
                  <w:vAlign w:val="bottom"/>
                </w:tcPr>
                <w:p w:rsidR="004C24E3" w:rsidRDefault="00F56660">
                  <w:pPr>
                    <w:contextualSpacing w:val="0"/>
                    <w:jc w:val="right"/>
                  </w:pPr>
                  <w:r>
                    <w:t>£740,652</w:t>
                  </w:r>
                </w:p>
              </w:tc>
              <w:tc>
                <w:tcPr>
                  <w:tcW w:w="1276" w:type="dxa"/>
                  <w:tcBorders>
                    <w:top w:val="single" w:sz="4" w:space="0" w:color="000000"/>
                    <w:left w:val="single" w:sz="4" w:space="0" w:color="000000"/>
                    <w:bottom w:val="single" w:sz="4" w:space="0" w:color="000000"/>
                    <w:right w:val="single" w:sz="4" w:space="0" w:color="000000"/>
                  </w:tcBorders>
                  <w:vAlign w:val="bottom"/>
                </w:tcPr>
                <w:p w:rsidR="004C24E3" w:rsidRDefault="00F56660">
                  <w:pPr>
                    <w:contextualSpacing w:val="0"/>
                    <w:jc w:val="center"/>
                  </w:pPr>
                  <w:r>
                    <w:t>£740,652</w:t>
                  </w:r>
                </w:p>
              </w:tc>
              <w:tc>
                <w:tcPr>
                  <w:tcW w:w="1276" w:type="dxa"/>
                  <w:tcBorders>
                    <w:top w:val="single" w:sz="4" w:space="0" w:color="000000"/>
                    <w:left w:val="single" w:sz="4" w:space="0" w:color="000000"/>
                    <w:bottom w:val="single" w:sz="4" w:space="0" w:color="000000"/>
                    <w:right w:val="single" w:sz="4" w:space="0" w:color="000000"/>
                  </w:tcBorders>
                  <w:vAlign w:val="bottom"/>
                </w:tcPr>
                <w:p w:rsidR="004C24E3" w:rsidRDefault="00F56660">
                  <w:pPr>
                    <w:contextualSpacing w:val="0"/>
                    <w:jc w:val="center"/>
                  </w:pPr>
                  <w:r>
                    <w:t>£740,652</w:t>
                  </w:r>
                </w:p>
              </w:tc>
            </w:tr>
          </w:tbl>
          <w:p w:rsidR="004C24E3" w:rsidRDefault="004C24E3">
            <w:pPr>
              <w:contextualSpacing w:val="0"/>
            </w:pPr>
          </w:p>
          <w:p w:rsidR="004C24E3" w:rsidRDefault="00F56660">
            <w:pPr>
              <w:contextualSpacing w:val="0"/>
            </w:pPr>
            <w:r>
              <w:rPr>
                <w:color w:val="00CC66"/>
              </w:rPr>
              <w:t>8.2 Budget breakdown</w:t>
            </w:r>
          </w:p>
          <w:p w:rsidR="004C24E3" w:rsidRDefault="004C24E3">
            <w:pPr>
              <w:contextualSpacing w:val="0"/>
            </w:pPr>
          </w:p>
          <w:p w:rsidR="004C24E3" w:rsidRDefault="00F56660">
            <w:pPr>
              <w:contextualSpacing w:val="0"/>
            </w:pPr>
            <w:r>
              <w:t>The budget is comprised of three contributions:</w:t>
            </w:r>
          </w:p>
          <w:p w:rsidR="004C24E3" w:rsidRDefault="00F56660">
            <w:pPr>
              <w:contextualSpacing w:val="0"/>
            </w:pPr>
            <w:r>
              <w:t xml:space="preserve">£240,000 pa from Cambridgeshire and Peterborough NHS CCG </w:t>
            </w:r>
          </w:p>
          <w:p w:rsidR="004C24E3" w:rsidRDefault="00F56660">
            <w:pPr>
              <w:contextualSpacing w:val="0"/>
            </w:pPr>
            <w:r>
              <w:t>£280,652 pa from Cambridgeshire County Council (of which £40k is specifically for mental health literacy workforce development training)</w:t>
            </w:r>
          </w:p>
          <w:p w:rsidR="004C24E3" w:rsidRDefault="00F56660">
            <w:pPr>
              <w:contextualSpacing w:val="0"/>
            </w:pPr>
            <w:r>
              <w:t>£220,000 pa from Peterborough City Council (of which none is specifically for mental health literacy workforce development training)</w:t>
            </w:r>
          </w:p>
          <w:p w:rsidR="004C24E3" w:rsidRDefault="004C24E3">
            <w:pPr>
              <w:contextualSpacing w:val="0"/>
            </w:pPr>
          </w:p>
          <w:p w:rsidR="004C24E3" w:rsidRDefault="00F56660">
            <w:pPr>
              <w:contextualSpacing w:val="0"/>
            </w:pPr>
            <w:r>
              <w:t>The £240,000 contribution from Cambridgeshire and Peterborough NHS CCG is strictly limited to fund provision for children and young people up to their 18th birthday. It cannot be used to fund provision for those aged 18 or above. The CCG funding contribution is allocated 75% to Cambridgeshire and 25% Peterborough.</w:t>
            </w:r>
          </w:p>
          <w:p w:rsidR="004C24E3" w:rsidRDefault="004C24E3">
            <w:pPr>
              <w:contextualSpacing w:val="0"/>
            </w:pPr>
          </w:p>
          <w:p w:rsidR="004C24E3" w:rsidRDefault="00F56660">
            <w:pPr>
              <w:contextualSpacing w:val="0"/>
            </w:pPr>
            <w:r>
              <w:t>Therefore the total budget is split on a c.60-40 basis across Cambridgeshire and Peterborough:</w:t>
            </w:r>
          </w:p>
          <w:p w:rsidR="004C24E3" w:rsidRDefault="00F56660">
            <w:pPr>
              <w:numPr>
                <w:ilvl w:val="0"/>
                <w:numId w:val="5"/>
              </w:numPr>
              <w:ind w:hanging="360"/>
            </w:pPr>
            <w:r>
              <w:t>Cambridgeshire £460,652 (comprised £240,652 Local Authority funding (all ages),  £40,000 LA funding for mental health literacy workforce development training and £180,000 CCG funding (up to 18th birthday)</w:t>
            </w:r>
          </w:p>
          <w:p w:rsidR="004C24E3" w:rsidRDefault="00F56660">
            <w:pPr>
              <w:numPr>
                <w:ilvl w:val="0"/>
                <w:numId w:val="5"/>
              </w:numPr>
              <w:ind w:hanging="360"/>
            </w:pPr>
            <w:r>
              <w:t>Peterborough £280,000 (comprised £220,000 Local Authority funding and £60,000 CCG funding)</w:t>
            </w:r>
          </w:p>
          <w:p w:rsidR="004C24E3" w:rsidRDefault="004C24E3">
            <w:pPr>
              <w:contextualSpacing w:val="0"/>
            </w:pPr>
          </w:p>
          <w:p w:rsidR="004C24E3" w:rsidRDefault="004C24E3">
            <w:pPr>
              <w:contextualSpacing w:val="0"/>
            </w:pPr>
          </w:p>
          <w:p w:rsidR="004C24E3" w:rsidRDefault="00F56660">
            <w:pPr>
              <w:contextualSpacing w:val="0"/>
            </w:pPr>
            <w:r>
              <w:rPr>
                <w:color w:val="00CC66"/>
              </w:rPr>
              <w:t>8.3 Costs and Charges</w:t>
            </w:r>
          </w:p>
          <w:p w:rsidR="004C24E3" w:rsidRDefault="004C24E3">
            <w:pPr>
              <w:contextualSpacing w:val="0"/>
            </w:pPr>
          </w:p>
          <w:p w:rsidR="004C24E3" w:rsidRDefault="00F56660">
            <w:pPr>
              <w:contextualSpacing w:val="0"/>
            </w:pPr>
            <w:r>
              <w:t>All costs and charges incurred through delivery of this specification are to be met by the provider. This includes (but is not limited to):-</w:t>
            </w:r>
          </w:p>
          <w:p w:rsidR="004C24E3" w:rsidRDefault="004C24E3">
            <w:pPr>
              <w:contextualSpacing w:val="0"/>
            </w:pPr>
          </w:p>
          <w:p w:rsidR="004C24E3" w:rsidRDefault="00F56660">
            <w:pPr>
              <w:numPr>
                <w:ilvl w:val="0"/>
                <w:numId w:val="24"/>
              </w:numPr>
              <w:ind w:hanging="360"/>
            </w:pPr>
            <w:r>
              <w:t>Translation and interpretation services</w:t>
            </w:r>
          </w:p>
          <w:p w:rsidR="004C24E3" w:rsidRDefault="00F56660">
            <w:pPr>
              <w:numPr>
                <w:ilvl w:val="0"/>
                <w:numId w:val="24"/>
              </w:numPr>
              <w:ind w:hanging="360"/>
            </w:pPr>
            <w:r>
              <w:t>Property, rent and maintenance</w:t>
            </w:r>
          </w:p>
          <w:p w:rsidR="004C24E3" w:rsidRDefault="004C24E3">
            <w:pPr>
              <w:contextualSpacing w:val="0"/>
            </w:pPr>
          </w:p>
        </w:tc>
      </w:tr>
      <w:tr w:rsidR="004C24E3" w:rsidTr="004C24E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64" w:type="dxa"/>
            <w:shd w:val="clear" w:color="auto" w:fill="B7B7B7"/>
          </w:tcPr>
          <w:p w:rsidR="004C24E3" w:rsidRDefault="004C24E3">
            <w:pPr>
              <w:contextualSpacing w:val="0"/>
            </w:pPr>
          </w:p>
          <w:p w:rsidR="004C24E3" w:rsidRDefault="00F56660">
            <w:pPr>
              <w:contextualSpacing w:val="0"/>
              <w:rPr>
                <w:b/>
                <w:color w:val="FF0000"/>
              </w:rPr>
            </w:pPr>
            <w:r>
              <w:rPr>
                <w:b/>
                <w:color w:val="FF0000"/>
              </w:rPr>
              <w:t>9.0 Required Insurances</w:t>
            </w:r>
          </w:p>
          <w:p w:rsidR="004C24E3" w:rsidRDefault="004C24E3">
            <w:pPr>
              <w:contextualSpacing w:val="0"/>
            </w:pPr>
          </w:p>
        </w:tc>
      </w:tr>
      <w:tr w:rsidR="004C24E3" w:rsidTr="004C24E3">
        <w:tc>
          <w:tcPr>
            <w:cnfStyle w:val="000010000000" w:firstRow="0" w:lastRow="0" w:firstColumn="0" w:lastColumn="0" w:oddVBand="1" w:evenVBand="0" w:oddHBand="0" w:evenHBand="0" w:firstRowFirstColumn="0" w:firstRowLastColumn="0" w:lastRowFirstColumn="0" w:lastRowLastColumn="0"/>
            <w:tcW w:w="9464" w:type="dxa"/>
            <w:tcBorders>
              <w:bottom w:val="single" w:sz="4" w:space="0" w:color="A5A5A5"/>
            </w:tcBorders>
          </w:tcPr>
          <w:p w:rsidR="004C24E3" w:rsidRDefault="004C24E3">
            <w:pPr>
              <w:contextualSpacing w:val="0"/>
            </w:pPr>
          </w:p>
          <w:p w:rsidR="004C24E3" w:rsidRDefault="00F56660">
            <w:pPr>
              <w:contextualSpacing w:val="0"/>
            </w:pPr>
            <w:r>
              <w:rPr>
                <w:color w:val="339966"/>
              </w:rPr>
              <w:t>The following insurances are required:</w:t>
            </w:r>
          </w:p>
          <w:p w:rsidR="004C24E3" w:rsidRDefault="004C24E3">
            <w:pPr>
              <w:contextualSpacing w:val="0"/>
            </w:pPr>
          </w:p>
          <w:p w:rsidR="004C24E3" w:rsidRDefault="00F56660">
            <w:pPr>
              <w:numPr>
                <w:ilvl w:val="0"/>
                <w:numId w:val="9"/>
              </w:numPr>
              <w:ind w:hanging="360"/>
            </w:pPr>
            <w:r>
              <w:t>Public Liability of £5 million</w:t>
            </w:r>
          </w:p>
          <w:p w:rsidR="004C24E3" w:rsidRDefault="00F56660">
            <w:pPr>
              <w:numPr>
                <w:ilvl w:val="0"/>
                <w:numId w:val="9"/>
              </w:numPr>
              <w:ind w:hanging="360"/>
            </w:pPr>
            <w:r>
              <w:t xml:space="preserve">Employers Liability of £10 million </w:t>
            </w:r>
          </w:p>
          <w:p w:rsidR="004C24E3" w:rsidRDefault="00F56660">
            <w:pPr>
              <w:numPr>
                <w:ilvl w:val="0"/>
                <w:numId w:val="9"/>
              </w:numPr>
              <w:ind w:hanging="360"/>
            </w:pPr>
            <w:r>
              <w:t xml:space="preserve">Professional Indemnity </w:t>
            </w:r>
            <w:r>
              <w:rPr>
                <w:u w:val="single"/>
              </w:rPr>
              <w:t>or</w:t>
            </w:r>
            <w:r>
              <w:t xml:space="preserve"> Medical Malpractice of £2 million if the tenderer’s Professional Indemnity insurance does not specifically cover working as a therapist </w:t>
            </w:r>
          </w:p>
          <w:p w:rsidR="004C24E3" w:rsidRDefault="004C24E3">
            <w:pPr>
              <w:ind w:left="720"/>
              <w:contextualSpacing w:val="0"/>
            </w:pPr>
          </w:p>
          <w:p w:rsidR="004C24E3" w:rsidRDefault="004C24E3">
            <w:pPr>
              <w:contextualSpacing w:val="0"/>
            </w:pPr>
          </w:p>
        </w:tc>
      </w:tr>
    </w:tbl>
    <w:p w:rsidR="004C24E3" w:rsidRDefault="004C24E3">
      <w:pPr>
        <w:rPr>
          <w:rFonts w:ascii="Calibri" w:eastAsia="Calibri" w:hAnsi="Calibri" w:cs="Calibri"/>
          <w:sz w:val="22"/>
          <w:szCs w:val="22"/>
        </w:rPr>
      </w:pPr>
    </w:p>
    <w:p w:rsidR="004C24E3" w:rsidRDefault="004C24E3">
      <w:pPr>
        <w:jc w:val="center"/>
        <w:rPr>
          <w:rFonts w:ascii="Calibri" w:eastAsia="Calibri" w:hAnsi="Calibri" w:cs="Calibri"/>
          <w:sz w:val="22"/>
          <w:szCs w:val="22"/>
        </w:rPr>
      </w:pPr>
    </w:p>
    <w:p w:rsidR="004C24E3" w:rsidRDefault="004C24E3">
      <w:pPr>
        <w:rPr>
          <w:rFonts w:ascii="Calibri" w:eastAsia="Calibri" w:hAnsi="Calibri" w:cs="Calibri"/>
          <w:sz w:val="22"/>
          <w:szCs w:val="22"/>
        </w:rPr>
      </w:pPr>
    </w:p>
    <w:p w:rsidR="004C24E3" w:rsidRDefault="004C24E3">
      <w:pPr>
        <w:rPr>
          <w:rFonts w:ascii="Calibri" w:eastAsia="Calibri" w:hAnsi="Calibri" w:cs="Calibri"/>
          <w:sz w:val="22"/>
          <w:szCs w:val="22"/>
        </w:rPr>
      </w:pPr>
    </w:p>
    <w:p w:rsidR="004C24E3" w:rsidRDefault="004C24E3">
      <w:pPr>
        <w:rPr>
          <w:rFonts w:ascii="Calibri" w:eastAsia="Calibri" w:hAnsi="Calibri" w:cs="Calibri"/>
          <w:sz w:val="22"/>
          <w:szCs w:val="22"/>
        </w:rPr>
      </w:pPr>
    </w:p>
    <w:p w:rsidR="004C24E3" w:rsidRDefault="004C24E3">
      <w:pPr>
        <w:rPr>
          <w:rFonts w:ascii="Calibri" w:eastAsia="Calibri" w:hAnsi="Calibri" w:cs="Calibri"/>
          <w:sz w:val="22"/>
          <w:szCs w:val="22"/>
        </w:rPr>
      </w:pPr>
    </w:p>
    <w:p w:rsidR="004C24E3" w:rsidRDefault="004C24E3">
      <w:pPr>
        <w:rPr>
          <w:rFonts w:ascii="Calibri" w:eastAsia="Calibri" w:hAnsi="Calibri" w:cs="Calibri"/>
          <w:sz w:val="22"/>
          <w:szCs w:val="22"/>
        </w:rPr>
      </w:pPr>
    </w:p>
    <w:p w:rsidR="004C24E3" w:rsidRDefault="004C24E3">
      <w:pPr>
        <w:rPr>
          <w:rFonts w:ascii="Calibri" w:eastAsia="Calibri" w:hAnsi="Calibri" w:cs="Calibri"/>
          <w:sz w:val="22"/>
          <w:szCs w:val="22"/>
        </w:rPr>
      </w:pPr>
    </w:p>
    <w:p w:rsidR="004C24E3" w:rsidRDefault="004C24E3">
      <w:pPr>
        <w:rPr>
          <w:rFonts w:ascii="Calibri" w:eastAsia="Calibri" w:hAnsi="Calibri" w:cs="Calibri"/>
          <w:b/>
        </w:rPr>
      </w:pPr>
    </w:p>
    <w:p w:rsidR="004C24E3" w:rsidRDefault="004C24E3">
      <w:pPr>
        <w:rPr>
          <w:rFonts w:ascii="Calibri" w:eastAsia="Calibri" w:hAnsi="Calibri" w:cs="Calibri"/>
          <w:b/>
        </w:rPr>
      </w:pPr>
    </w:p>
    <w:p w:rsidR="004C24E3" w:rsidRDefault="004C24E3">
      <w:pPr>
        <w:rPr>
          <w:rFonts w:ascii="Calibri" w:eastAsia="Calibri" w:hAnsi="Calibri" w:cs="Calibri"/>
          <w:b/>
        </w:rPr>
      </w:pPr>
    </w:p>
    <w:p w:rsidR="004C24E3" w:rsidRDefault="004C24E3">
      <w:pPr>
        <w:rPr>
          <w:rFonts w:ascii="Calibri" w:eastAsia="Calibri" w:hAnsi="Calibri" w:cs="Calibri"/>
          <w:b/>
        </w:rPr>
      </w:pPr>
    </w:p>
    <w:p w:rsidR="004C24E3" w:rsidRDefault="004C24E3">
      <w:pPr>
        <w:rPr>
          <w:rFonts w:ascii="Calibri" w:eastAsia="Calibri" w:hAnsi="Calibri" w:cs="Calibri"/>
          <w:b/>
        </w:rPr>
      </w:pPr>
    </w:p>
    <w:p w:rsidR="004C24E3" w:rsidRDefault="004C24E3">
      <w:pPr>
        <w:rPr>
          <w:rFonts w:ascii="Calibri" w:eastAsia="Calibri" w:hAnsi="Calibri" w:cs="Calibri"/>
          <w:b/>
        </w:rPr>
      </w:pPr>
    </w:p>
    <w:p w:rsidR="004C24E3" w:rsidRDefault="004C24E3">
      <w:pPr>
        <w:rPr>
          <w:rFonts w:ascii="Calibri" w:eastAsia="Calibri" w:hAnsi="Calibri" w:cs="Calibri"/>
          <w:b/>
        </w:rPr>
      </w:pPr>
    </w:p>
    <w:p w:rsidR="004C24E3" w:rsidRDefault="004C24E3">
      <w:pPr>
        <w:rPr>
          <w:rFonts w:ascii="Calibri" w:eastAsia="Calibri" w:hAnsi="Calibri" w:cs="Calibri"/>
          <w:b/>
        </w:rPr>
      </w:pPr>
    </w:p>
    <w:p w:rsidR="004C24E3" w:rsidRDefault="004C24E3">
      <w:pPr>
        <w:rPr>
          <w:rFonts w:ascii="Calibri" w:eastAsia="Calibri" w:hAnsi="Calibri" w:cs="Calibri"/>
          <w:b/>
        </w:rPr>
      </w:pPr>
    </w:p>
    <w:p w:rsidR="004C24E3" w:rsidRDefault="004C24E3">
      <w:pPr>
        <w:rPr>
          <w:rFonts w:ascii="Calibri" w:eastAsia="Calibri" w:hAnsi="Calibri" w:cs="Calibri"/>
          <w:b/>
        </w:rPr>
      </w:pPr>
    </w:p>
    <w:p w:rsidR="004C24E3" w:rsidRDefault="004C24E3">
      <w:pPr>
        <w:rPr>
          <w:rFonts w:ascii="Calibri" w:eastAsia="Calibri" w:hAnsi="Calibri" w:cs="Calibri"/>
          <w:b/>
        </w:rPr>
      </w:pPr>
    </w:p>
    <w:p w:rsidR="004C24E3" w:rsidRDefault="004C24E3">
      <w:pPr>
        <w:rPr>
          <w:rFonts w:ascii="Calibri" w:eastAsia="Calibri" w:hAnsi="Calibri" w:cs="Calibri"/>
          <w:b/>
        </w:rPr>
      </w:pPr>
    </w:p>
    <w:p w:rsidR="004C24E3" w:rsidRDefault="004C24E3">
      <w:pPr>
        <w:rPr>
          <w:rFonts w:ascii="Calibri" w:eastAsia="Calibri" w:hAnsi="Calibri" w:cs="Calibri"/>
          <w:b/>
        </w:rPr>
      </w:pPr>
    </w:p>
    <w:p w:rsidR="004C24E3" w:rsidRDefault="004C24E3">
      <w:pPr>
        <w:rPr>
          <w:rFonts w:ascii="Calibri" w:eastAsia="Calibri" w:hAnsi="Calibri" w:cs="Calibri"/>
          <w:b/>
        </w:rPr>
      </w:pPr>
    </w:p>
    <w:p w:rsidR="004C24E3" w:rsidRDefault="004C24E3">
      <w:pPr>
        <w:rPr>
          <w:rFonts w:ascii="Calibri" w:eastAsia="Calibri" w:hAnsi="Calibri" w:cs="Calibri"/>
          <w:b/>
        </w:rPr>
      </w:pPr>
    </w:p>
    <w:p w:rsidR="004C24E3" w:rsidRDefault="004C24E3">
      <w:pPr>
        <w:rPr>
          <w:rFonts w:ascii="Calibri" w:eastAsia="Calibri" w:hAnsi="Calibri" w:cs="Calibri"/>
          <w:b/>
        </w:rPr>
      </w:pPr>
    </w:p>
    <w:p w:rsidR="004C24E3" w:rsidRDefault="004C24E3">
      <w:pPr>
        <w:rPr>
          <w:rFonts w:ascii="Calibri" w:eastAsia="Calibri" w:hAnsi="Calibri" w:cs="Calibri"/>
          <w:b/>
        </w:rPr>
      </w:pPr>
    </w:p>
    <w:p w:rsidR="004C24E3" w:rsidRDefault="004C24E3">
      <w:pPr>
        <w:rPr>
          <w:rFonts w:ascii="Calibri" w:eastAsia="Calibri" w:hAnsi="Calibri" w:cs="Calibri"/>
          <w:b/>
        </w:rPr>
      </w:pPr>
    </w:p>
    <w:p w:rsidR="004C24E3" w:rsidRDefault="004C24E3">
      <w:pPr>
        <w:rPr>
          <w:rFonts w:ascii="Calibri" w:eastAsia="Calibri" w:hAnsi="Calibri" w:cs="Calibri"/>
          <w:b/>
        </w:rPr>
      </w:pPr>
    </w:p>
    <w:p w:rsidR="004C24E3" w:rsidRDefault="004C24E3">
      <w:pPr>
        <w:rPr>
          <w:rFonts w:ascii="Calibri" w:eastAsia="Calibri" w:hAnsi="Calibri" w:cs="Calibri"/>
          <w:b/>
        </w:rPr>
      </w:pPr>
    </w:p>
    <w:p w:rsidR="004C24E3" w:rsidRDefault="00F56660">
      <w:pPr>
        <w:rPr>
          <w:rFonts w:ascii="Calibri" w:eastAsia="Calibri" w:hAnsi="Calibri" w:cs="Calibri"/>
          <w:b/>
        </w:rPr>
      </w:pPr>
      <w:r>
        <w:rPr>
          <w:rFonts w:ascii="Calibri" w:eastAsia="Calibri" w:hAnsi="Calibri" w:cs="Calibri"/>
          <w:b/>
        </w:rPr>
        <w:t xml:space="preserve">Specification Appendices </w:t>
      </w:r>
    </w:p>
    <w:p w:rsidR="004C24E3" w:rsidRDefault="004C24E3">
      <w:pPr>
        <w:rPr>
          <w:rFonts w:ascii="Calibri" w:eastAsia="Calibri" w:hAnsi="Calibri" w:cs="Calibri"/>
          <w:b/>
        </w:rPr>
      </w:pPr>
    </w:p>
    <w:p w:rsidR="004C24E3" w:rsidRDefault="004C24E3">
      <w:pPr>
        <w:rPr>
          <w:rFonts w:ascii="Calibri" w:eastAsia="Calibri" w:hAnsi="Calibri" w:cs="Calibri"/>
          <w:b/>
        </w:rPr>
      </w:pPr>
    </w:p>
    <w:tbl>
      <w:tblPr>
        <w:tblStyle w:val="ae"/>
        <w:tblW w:w="90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35"/>
        <w:gridCol w:w="4535"/>
      </w:tblGrid>
      <w:tr w:rsidR="004C24E3">
        <w:tc>
          <w:tcPr>
            <w:tcW w:w="4535" w:type="dxa"/>
            <w:tcMar>
              <w:top w:w="100" w:type="dxa"/>
              <w:left w:w="100" w:type="dxa"/>
              <w:bottom w:w="100" w:type="dxa"/>
              <w:right w:w="100" w:type="dxa"/>
            </w:tcMar>
          </w:tcPr>
          <w:p w:rsidR="004C24E3" w:rsidRDefault="00F56660">
            <w:pPr>
              <w:rPr>
                <w:rFonts w:ascii="Calibri" w:eastAsia="Calibri" w:hAnsi="Calibri" w:cs="Calibri"/>
                <w:b/>
              </w:rPr>
            </w:pPr>
            <w:r>
              <w:rPr>
                <w:rFonts w:ascii="Calibri" w:eastAsia="Calibri" w:hAnsi="Calibri" w:cs="Calibri"/>
                <w:b/>
                <w:sz w:val="22"/>
                <w:szCs w:val="22"/>
              </w:rPr>
              <w:t>Specification Appendix 1</w:t>
            </w:r>
          </w:p>
        </w:tc>
        <w:tc>
          <w:tcPr>
            <w:tcW w:w="4535" w:type="dxa"/>
            <w:tcMar>
              <w:top w:w="100" w:type="dxa"/>
              <w:left w:w="100" w:type="dxa"/>
              <w:bottom w:w="100" w:type="dxa"/>
              <w:right w:w="100" w:type="dxa"/>
            </w:tcMar>
          </w:tcPr>
          <w:p w:rsidR="004C24E3" w:rsidRDefault="00F56660">
            <w:pPr>
              <w:rPr>
                <w:rFonts w:ascii="Calibri" w:eastAsia="Calibri" w:hAnsi="Calibri" w:cs="Calibri"/>
                <w:b/>
                <w:sz w:val="22"/>
                <w:szCs w:val="22"/>
              </w:rPr>
            </w:pPr>
            <w:r>
              <w:rPr>
                <w:rFonts w:ascii="Calibri" w:eastAsia="Calibri" w:hAnsi="Calibri" w:cs="Calibri"/>
                <w:sz w:val="22"/>
                <w:szCs w:val="22"/>
              </w:rPr>
              <w:t xml:space="preserve">The Mental Health of Children and Young People in Cambridgeshire &amp; Peterborough: A Summary of Needs (January 2017) (Cambridgeshire County Council/Peterborough City Council - Public Health. </w:t>
            </w:r>
          </w:p>
        </w:tc>
      </w:tr>
      <w:tr w:rsidR="004C24E3">
        <w:tc>
          <w:tcPr>
            <w:tcW w:w="4535" w:type="dxa"/>
            <w:tcMar>
              <w:top w:w="100" w:type="dxa"/>
              <w:left w:w="100" w:type="dxa"/>
              <w:bottom w:w="100" w:type="dxa"/>
              <w:right w:w="100" w:type="dxa"/>
            </w:tcMar>
          </w:tcPr>
          <w:p w:rsidR="004C24E3" w:rsidRDefault="00F56660">
            <w:pPr>
              <w:rPr>
                <w:rFonts w:ascii="Calibri" w:eastAsia="Calibri" w:hAnsi="Calibri" w:cs="Calibri"/>
                <w:b/>
              </w:rPr>
            </w:pPr>
            <w:r>
              <w:rPr>
                <w:rFonts w:ascii="Calibri" w:eastAsia="Calibri" w:hAnsi="Calibri" w:cs="Calibri"/>
                <w:b/>
                <w:sz w:val="22"/>
                <w:szCs w:val="22"/>
              </w:rPr>
              <w:t>Specification Appendix 2</w:t>
            </w:r>
          </w:p>
        </w:tc>
        <w:tc>
          <w:tcPr>
            <w:tcW w:w="4535" w:type="dxa"/>
            <w:tcMar>
              <w:top w:w="100" w:type="dxa"/>
              <w:left w:w="100" w:type="dxa"/>
              <w:bottom w:w="100" w:type="dxa"/>
              <w:right w:w="100" w:type="dxa"/>
            </w:tcMar>
          </w:tcPr>
          <w:p w:rsidR="004C24E3" w:rsidRDefault="00F56660">
            <w:pPr>
              <w:rPr>
                <w:rFonts w:ascii="Calibri" w:eastAsia="Calibri" w:hAnsi="Calibri" w:cs="Calibri"/>
                <w:b/>
              </w:rPr>
            </w:pPr>
            <w:r>
              <w:rPr>
                <w:rFonts w:ascii="Calibri" w:eastAsia="Calibri" w:hAnsi="Calibri" w:cs="Calibri"/>
                <w:sz w:val="22"/>
                <w:szCs w:val="22"/>
              </w:rPr>
              <w:t xml:space="preserve">National Institute for Health Research: Collaboration for Leadership in Applied Health Research and Care East of England. Identifying Priorities to inform the Transformation of Mental Health Services for Children and Young People in the East of England. </w:t>
            </w:r>
          </w:p>
        </w:tc>
      </w:tr>
      <w:tr w:rsidR="004C24E3">
        <w:tc>
          <w:tcPr>
            <w:tcW w:w="4535" w:type="dxa"/>
            <w:tcMar>
              <w:top w:w="100" w:type="dxa"/>
              <w:left w:w="100" w:type="dxa"/>
              <w:bottom w:w="100" w:type="dxa"/>
              <w:right w:w="100" w:type="dxa"/>
            </w:tcMar>
          </w:tcPr>
          <w:p w:rsidR="004C24E3" w:rsidRDefault="00F56660">
            <w:pPr>
              <w:rPr>
                <w:rFonts w:ascii="Calibri" w:eastAsia="Calibri" w:hAnsi="Calibri" w:cs="Calibri"/>
                <w:b/>
              </w:rPr>
            </w:pPr>
            <w:r>
              <w:rPr>
                <w:rFonts w:ascii="Calibri" w:eastAsia="Calibri" w:hAnsi="Calibri" w:cs="Calibri"/>
                <w:b/>
                <w:sz w:val="22"/>
                <w:szCs w:val="22"/>
              </w:rPr>
              <w:t>Specification Appendix 3</w:t>
            </w:r>
          </w:p>
        </w:tc>
        <w:tc>
          <w:tcPr>
            <w:tcW w:w="4535" w:type="dxa"/>
            <w:tcMar>
              <w:top w:w="100" w:type="dxa"/>
              <w:left w:w="100" w:type="dxa"/>
              <w:bottom w:w="100" w:type="dxa"/>
              <w:right w:w="100" w:type="dxa"/>
            </w:tcMar>
          </w:tcPr>
          <w:p w:rsidR="004C24E3" w:rsidRDefault="00F56660">
            <w:pPr>
              <w:rPr>
                <w:rFonts w:ascii="Calibri" w:eastAsia="Calibri" w:hAnsi="Calibri" w:cs="Calibri"/>
                <w:sz w:val="22"/>
                <w:szCs w:val="22"/>
              </w:rPr>
            </w:pPr>
            <w:r>
              <w:rPr>
                <w:rFonts w:ascii="Calibri" w:eastAsia="Calibri" w:hAnsi="Calibri" w:cs="Calibri"/>
                <w:sz w:val="22"/>
                <w:szCs w:val="22"/>
              </w:rPr>
              <w:t xml:space="preserve">Families First Peterborough &amp; Pinpoint Peterborough: Getting Help Report 2017. </w:t>
            </w:r>
          </w:p>
          <w:p w:rsidR="004C24E3" w:rsidRDefault="004C24E3">
            <w:pPr>
              <w:rPr>
                <w:rFonts w:ascii="Calibri" w:eastAsia="Calibri" w:hAnsi="Calibri" w:cs="Calibri"/>
                <w:sz w:val="22"/>
                <w:szCs w:val="22"/>
              </w:rPr>
            </w:pPr>
          </w:p>
        </w:tc>
      </w:tr>
      <w:tr w:rsidR="004C24E3">
        <w:tc>
          <w:tcPr>
            <w:tcW w:w="4535" w:type="dxa"/>
            <w:tcMar>
              <w:top w:w="100" w:type="dxa"/>
              <w:left w:w="100" w:type="dxa"/>
              <w:bottom w:w="100" w:type="dxa"/>
              <w:right w:w="100" w:type="dxa"/>
            </w:tcMar>
          </w:tcPr>
          <w:p w:rsidR="004C24E3" w:rsidRDefault="00F56660">
            <w:pPr>
              <w:rPr>
                <w:rFonts w:ascii="Calibri" w:eastAsia="Calibri" w:hAnsi="Calibri" w:cs="Calibri"/>
                <w:b/>
              </w:rPr>
            </w:pPr>
            <w:r>
              <w:rPr>
                <w:rFonts w:ascii="Calibri" w:eastAsia="Calibri" w:hAnsi="Calibri" w:cs="Calibri"/>
                <w:b/>
                <w:sz w:val="22"/>
                <w:szCs w:val="22"/>
              </w:rPr>
              <w:t>Specification Appendix 4</w:t>
            </w:r>
          </w:p>
        </w:tc>
        <w:tc>
          <w:tcPr>
            <w:tcW w:w="4535" w:type="dxa"/>
            <w:tcMar>
              <w:top w:w="100" w:type="dxa"/>
              <w:left w:w="100" w:type="dxa"/>
              <w:bottom w:w="100" w:type="dxa"/>
              <w:right w:w="100" w:type="dxa"/>
            </w:tcMar>
          </w:tcPr>
          <w:p w:rsidR="004C24E3" w:rsidRDefault="00F56660">
            <w:pPr>
              <w:rPr>
                <w:rFonts w:ascii="Calibri" w:eastAsia="Calibri" w:hAnsi="Calibri" w:cs="Calibri"/>
                <w:sz w:val="22"/>
                <w:szCs w:val="22"/>
              </w:rPr>
            </w:pPr>
            <w:r>
              <w:rPr>
                <w:rFonts w:ascii="Calibri" w:eastAsia="Calibri" w:hAnsi="Calibri" w:cs="Calibri"/>
                <w:sz w:val="22"/>
                <w:szCs w:val="22"/>
              </w:rPr>
              <w:t>Monitoring Workbook</w:t>
            </w:r>
          </w:p>
          <w:p w:rsidR="004C24E3" w:rsidRDefault="004C24E3">
            <w:pPr>
              <w:rPr>
                <w:rFonts w:ascii="Calibri" w:eastAsia="Calibri" w:hAnsi="Calibri" w:cs="Calibri"/>
                <w:sz w:val="22"/>
                <w:szCs w:val="22"/>
              </w:rPr>
            </w:pPr>
          </w:p>
          <w:p w:rsidR="004C24E3" w:rsidRDefault="004C24E3">
            <w:pPr>
              <w:rPr>
                <w:rFonts w:ascii="Calibri" w:eastAsia="Calibri" w:hAnsi="Calibri" w:cs="Calibri"/>
                <w:sz w:val="22"/>
                <w:szCs w:val="22"/>
              </w:rPr>
            </w:pPr>
          </w:p>
        </w:tc>
      </w:tr>
      <w:tr w:rsidR="004C24E3">
        <w:tc>
          <w:tcPr>
            <w:tcW w:w="4535" w:type="dxa"/>
            <w:tcMar>
              <w:top w:w="100" w:type="dxa"/>
              <w:left w:w="100" w:type="dxa"/>
              <w:bottom w:w="100" w:type="dxa"/>
              <w:right w:w="100" w:type="dxa"/>
            </w:tcMar>
          </w:tcPr>
          <w:p w:rsidR="004C24E3" w:rsidRDefault="00F56660">
            <w:pPr>
              <w:rPr>
                <w:rFonts w:ascii="Calibri" w:eastAsia="Calibri" w:hAnsi="Calibri" w:cs="Calibri"/>
                <w:b/>
                <w:sz w:val="22"/>
                <w:szCs w:val="22"/>
              </w:rPr>
            </w:pPr>
            <w:r>
              <w:rPr>
                <w:rFonts w:ascii="Calibri" w:eastAsia="Calibri" w:hAnsi="Calibri" w:cs="Calibri"/>
                <w:b/>
                <w:sz w:val="22"/>
                <w:szCs w:val="22"/>
              </w:rPr>
              <w:lastRenderedPageBreak/>
              <w:t>Specification Appendix 5</w:t>
            </w:r>
          </w:p>
        </w:tc>
        <w:tc>
          <w:tcPr>
            <w:tcW w:w="4535" w:type="dxa"/>
            <w:tcMar>
              <w:top w:w="100" w:type="dxa"/>
              <w:left w:w="100" w:type="dxa"/>
              <w:bottom w:w="100" w:type="dxa"/>
              <w:right w:w="100" w:type="dxa"/>
            </w:tcMar>
          </w:tcPr>
          <w:p w:rsidR="004C24E3" w:rsidRDefault="00F56660">
            <w:pPr>
              <w:jc w:val="left"/>
              <w:rPr>
                <w:rFonts w:ascii="Calibri" w:eastAsia="Calibri" w:hAnsi="Calibri" w:cs="Calibri"/>
                <w:sz w:val="22"/>
                <w:szCs w:val="22"/>
              </w:rPr>
            </w:pPr>
            <w:r>
              <w:rPr>
                <w:rFonts w:ascii="Calibri" w:eastAsia="Calibri" w:hAnsi="Calibri" w:cs="Calibri"/>
                <w:sz w:val="22"/>
                <w:szCs w:val="22"/>
              </w:rPr>
              <w:t xml:space="preserve"> Joint Technical Definitions of Performance Activity and NHS Contract Technical Guidance</w:t>
            </w:r>
          </w:p>
          <w:p w:rsidR="004C24E3" w:rsidRDefault="004C24E3">
            <w:pPr>
              <w:jc w:val="left"/>
              <w:rPr>
                <w:rFonts w:ascii="Calibri" w:eastAsia="Calibri" w:hAnsi="Calibri" w:cs="Calibri"/>
                <w:sz w:val="22"/>
                <w:szCs w:val="22"/>
              </w:rPr>
            </w:pPr>
          </w:p>
          <w:p w:rsidR="004C24E3" w:rsidRDefault="004C24E3">
            <w:pPr>
              <w:jc w:val="left"/>
              <w:rPr>
                <w:rFonts w:ascii="Calibri" w:eastAsia="Calibri" w:hAnsi="Calibri" w:cs="Calibri"/>
                <w:sz w:val="22"/>
                <w:szCs w:val="22"/>
              </w:rPr>
            </w:pPr>
          </w:p>
        </w:tc>
      </w:tr>
      <w:tr w:rsidR="004C24E3">
        <w:tc>
          <w:tcPr>
            <w:tcW w:w="4535" w:type="dxa"/>
            <w:tcMar>
              <w:top w:w="100" w:type="dxa"/>
              <w:left w:w="100" w:type="dxa"/>
              <w:bottom w:w="100" w:type="dxa"/>
              <w:right w:w="100" w:type="dxa"/>
            </w:tcMar>
          </w:tcPr>
          <w:p w:rsidR="004C24E3" w:rsidRDefault="00F56660">
            <w:pPr>
              <w:rPr>
                <w:rFonts w:ascii="Calibri" w:eastAsia="Calibri" w:hAnsi="Calibri" w:cs="Calibri"/>
                <w:b/>
                <w:sz w:val="22"/>
                <w:szCs w:val="22"/>
              </w:rPr>
            </w:pPr>
            <w:r>
              <w:rPr>
                <w:rFonts w:ascii="Calibri" w:eastAsia="Calibri" w:hAnsi="Calibri" w:cs="Calibri"/>
                <w:b/>
                <w:sz w:val="22"/>
                <w:szCs w:val="22"/>
              </w:rPr>
              <w:t>Specification Appendix 6</w:t>
            </w:r>
          </w:p>
        </w:tc>
        <w:tc>
          <w:tcPr>
            <w:tcW w:w="4535" w:type="dxa"/>
            <w:tcMar>
              <w:top w:w="100" w:type="dxa"/>
              <w:left w:w="100" w:type="dxa"/>
              <w:bottom w:w="100" w:type="dxa"/>
              <w:right w:w="100" w:type="dxa"/>
            </w:tcMar>
          </w:tcPr>
          <w:p w:rsidR="004C24E3" w:rsidRDefault="00F56660">
            <w:pPr>
              <w:jc w:val="left"/>
              <w:rPr>
                <w:rFonts w:ascii="Calibri" w:eastAsia="Calibri" w:hAnsi="Calibri" w:cs="Calibri"/>
                <w:sz w:val="22"/>
                <w:szCs w:val="22"/>
                <w:highlight w:val="white"/>
              </w:rPr>
            </w:pPr>
            <w:r>
              <w:rPr>
                <w:rFonts w:ascii="Calibri" w:eastAsia="Calibri" w:hAnsi="Calibri" w:cs="Calibri"/>
                <w:sz w:val="22"/>
                <w:szCs w:val="22"/>
                <w:highlight w:val="white"/>
              </w:rPr>
              <w:t>6.0 Healthwatch Consultation with Young People (SEXYOUALITY)</w:t>
            </w:r>
          </w:p>
          <w:p w:rsidR="004C24E3" w:rsidRDefault="004C24E3">
            <w:pPr>
              <w:jc w:val="left"/>
              <w:rPr>
                <w:rFonts w:ascii="Calibri" w:eastAsia="Calibri" w:hAnsi="Calibri" w:cs="Calibri"/>
                <w:sz w:val="22"/>
                <w:szCs w:val="22"/>
                <w:highlight w:val="white"/>
              </w:rPr>
            </w:pPr>
          </w:p>
          <w:p w:rsidR="004C24E3" w:rsidRDefault="00F56660">
            <w:pPr>
              <w:jc w:val="left"/>
              <w:rPr>
                <w:rFonts w:ascii="Calibri" w:eastAsia="Calibri" w:hAnsi="Calibri" w:cs="Calibri"/>
                <w:sz w:val="22"/>
                <w:szCs w:val="22"/>
                <w:highlight w:val="white"/>
              </w:rPr>
            </w:pPr>
            <w:r>
              <w:rPr>
                <w:rFonts w:ascii="Calibri" w:eastAsia="Calibri" w:hAnsi="Calibri" w:cs="Calibri"/>
                <w:sz w:val="22"/>
                <w:szCs w:val="22"/>
                <w:highlight w:val="white"/>
              </w:rPr>
              <w:t xml:space="preserve">6.1 Healthwatch Consultation with Young People( Spring Common Academy -Special Needs School, Huntingdon) </w:t>
            </w:r>
          </w:p>
          <w:p w:rsidR="004C24E3" w:rsidRDefault="004C24E3">
            <w:pPr>
              <w:jc w:val="left"/>
              <w:rPr>
                <w:rFonts w:ascii="Calibri" w:eastAsia="Calibri" w:hAnsi="Calibri" w:cs="Calibri"/>
                <w:sz w:val="22"/>
                <w:szCs w:val="22"/>
                <w:highlight w:val="white"/>
              </w:rPr>
            </w:pPr>
          </w:p>
          <w:p w:rsidR="004C24E3" w:rsidRDefault="00F56660">
            <w:pPr>
              <w:jc w:val="left"/>
              <w:rPr>
                <w:rFonts w:ascii="Calibri" w:eastAsia="Calibri" w:hAnsi="Calibri" w:cs="Calibri"/>
                <w:sz w:val="22"/>
                <w:szCs w:val="22"/>
                <w:highlight w:val="white"/>
              </w:rPr>
            </w:pPr>
            <w:r>
              <w:rPr>
                <w:rFonts w:ascii="Calibri" w:eastAsia="Calibri" w:hAnsi="Calibri" w:cs="Calibri"/>
                <w:sz w:val="22"/>
                <w:szCs w:val="22"/>
                <w:highlight w:val="white"/>
              </w:rPr>
              <w:t>6.2 Healthwatch Consultation with Young People (Voyager Academy)</w:t>
            </w:r>
          </w:p>
          <w:p w:rsidR="004C24E3" w:rsidRDefault="004C24E3">
            <w:pPr>
              <w:jc w:val="left"/>
              <w:rPr>
                <w:rFonts w:ascii="Calibri" w:eastAsia="Calibri" w:hAnsi="Calibri" w:cs="Calibri"/>
                <w:color w:val="1F497D"/>
                <w:sz w:val="22"/>
                <w:szCs w:val="22"/>
                <w:highlight w:val="white"/>
              </w:rPr>
            </w:pPr>
          </w:p>
          <w:p w:rsidR="004C24E3" w:rsidRDefault="004C24E3">
            <w:pPr>
              <w:jc w:val="left"/>
              <w:rPr>
                <w:rFonts w:ascii="Calibri" w:eastAsia="Calibri" w:hAnsi="Calibri" w:cs="Calibri"/>
                <w:color w:val="1F497D"/>
                <w:sz w:val="22"/>
                <w:szCs w:val="22"/>
                <w:highlight w:val="white"/>
              </w:rPr>
            </w:pPr>
          </w:p>
        </w:tc>
      </w:tr>
      <w:tr w:rsidR="004C24E3">
        <w:tc>
          <w:tcPr>
            <w:tcW w:w="4535" w:type="dxa"/>
            <w:tcMar>
              <w:top w:w="100" w:type="dxa"/>
              <w:left w:w="100" w:type="dxa"/>
              <w:bottom w:w="100" w:type="dxa"/>
              <w:right w:w="100" w:type="dxa"/>
            </w:tcMar>
          </w:tcPr>
          <w:p w:rsidR="004C24E3" w:rsidRDefault="00F56660">
            <w:pPr>
              <w:rPr>
                <w:rFonts w:ascii="Calibri" w:eastAsia="Calibri" w:hAnsi="Calibri" w:cs="Calibri"/>
                <w:b/>
                <w:sz w:val="22"/>
                <w:szCs w:val="22"/>
              </w:rPr>
            </w:pPr>
            <w:r>
              <w:rPr>
                <w:rFonts w:ascii="Calibri" w:eastAsia="Calibri" w:hAnsi="Calibri" w:cs="Calibri"/>
                <w:b/>
                <w:sz w:val="22"/>
                <w:szCs w:val="22"/>
              </w:rPr>
              <w:t>Specification Appendix 7</w:t>
            </w:r>
          </w:p>
        </w:tc>
        <w:tc>
          <w:tcPr>
            <w:tcW w:w="4535" w:type="dxa"/>
            <w:tcMar>
              <w:top w:w="100" w:type="dxa"/>
              <w:left w:w="100" w:type="dxa"/>
              <w:bottom w:w="100" w:type="dxa"/>
              <w:right w:w="100" w:type="dxa"/>
            </w:tcMar>
          </w:tcPr>
          <w:p w:rsidR="004C24E3" w:rsidRDefault="00F56660">
            <w:pPr>
              <w:jc w:val="left"/>
              <w:rPr>
                <w:rFonts w:ascii="Calibri" w:eastAsia="Calibri" w:hAnsi="Calibri" w:cs="Calibri"/>
                <w:color w:val="222222"/>
                <w:sz w:val="22"/>
                <w:szCs w:val="22"/>
                <w:highlight w:val="white"/>
              </w:rPr>
            </w:pPr>
            <w:r>
              <w:rPr>
                <w:rFonts w:ascii="Calibri" w:eastAsia="Calibri" w:hAnsi="Calibri" w:cs="Calibri"/>
                <w:color w:val="222222"/>
                <w:sz w:val="22"/>
                <w:szCs w:val="22"/>
                <w:highlight w:val="white"/>
              </w:rPr>
              <w:t xml:space="preserve">Cambridgeshire and Peterborough Local Transformation Plan (LTP) for Children and Young People’s Emotional/Mental Health and Wellbeing. Refreshed 2016/2017 </w:t>
            </w:r>
          </w:p>
          <w:p w:rsidR="004C24E3" w:rsidRDefault="004C24E3">
            <w:pPr>
              <w:jc w:val="left"/>
              <w:rPr>
                <w:rFonts w:ascii="Calibri" w:eastAsia="Calibri" w:hAnsi="Calibri" w:cs="Calibri"/>
                <w:color w:val="222222"/>
                <w:sz w:val="22"/>
                <w:szCs w:val="22"/>
                <w:highlight w:val="white"/>
              </w:rPr>
            </w:pPr>
          </w:p>
        </w:tc>
      </w:tr>
    </w:tbl>
    <w:p w:rsidR="004C24E3" w:rsidRDefault="004C24E3">
      <w:pPr>
        <w:rPr>
          <w:rFonts w:ascii="Calibri" w:eastAsia="Calibri" w:hAnsi="Calibri" w:cs="Calibri"/>
          <w:b/>
        </w:rPr>
      </w:pPr>
    </w:p>
    <w:p w:rsidR="004C24E3" w:rsidRDefault="004C24E3">
      <w:pPr>
        <w:rPr>
          <w:rFonts w:ascii="Calibri" w:eastAsia="Calibri" w:hAnsi="Calibri" w:cs="Calibri"/>
          <w:b/>
          <w:sz w:val="22"/>
          <w:szCs w:val="22"/>
        </w:rPr>
      </w:pPr>
    </w:p>
    <w:p w:rsidR="004C24E3" w:rsidRDefault="004C24E3">
      <w:pPr>
        <w:rPr>
          <w:rFonts w:ascii="Calibri" w:eastAsia="Calibri" w:hAnsi="Calibri" w:cs="Calibri"/>
          <w:sz w:val="22"/>
          <w:szCs w:val="22"/>
        </w:rPr>
      </w:pPr>
    </w:p>
    <w:p w:rsidR="004C24E3" w:rsidRDefault="004C24E3">
      <w:pPr>
        <w:rPr>
          <w:rFonts w:ascii="Calibri" w:eastAsia="Calibri" w:hAnsi="Calibri" w:cs="Calibri"/>
          <w:sz w:val="22"/>
          <w:szCs w:val="22"/>
        </w:rPr>
      </w:pPr>
    </w:p>
    <w:p w:rsidR="004C24E3" w:rsidRDefault="004C24E3">
      <w:pPr>
        <w:rPr>
          <w:rFonts w:ascii="Calibri" w:eastAsia="Calibri" w:hAnsi="Calibri" w:cs="Calibri"/>
          <w:sz w:val="22"/>
          <w:szCs w:val="22"/>
        </w:rPr>
      </w:pPr>
    </w:p>
    <w:sectPr w:rsidR="004C24E3">
      <w:headerReference w:type="default" r:id="rId63"/>
      <w:footerReference w:type="default" r:id="rId64"/>
      <w:pgSz w:w="11906" w:h="16838"/>
      <w:pgMar w:top="1134" w:right="1418" w:bottom="1134" w:left="1418"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655A" w:rsidRDefault="00FD655A">
      <w:r>
        <w:separator/>
      </w:r>
    </w:p>
  </w:endnote>
  <w:endnote w:type="continuationSeparator" w:id="0">
    <w:p w:rsidR="00FD655A" w:rsidRDefault="00FD6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4E3" w:rsidRDefault="00F56660">
    <w:pPr>
      <w:tabs>
        <w:tab w:val="center" w:pos="4153"/>
        <w:tab w:val="right" w:pos="8306"/>
      </w:tabs>
      <w:jc w:val="right"/>
    </w:pPr>
    <w:r>
      <w:fldChar w:fldCharType="begin"/>
    </w:r>
    <w:r>
      <w:instrText>PAGE</w:instrText>
    </w:r>
    <w:r>
      <w:fldChar w:fldCharType="separate"/>
    </w:r>
    <w:r w:rsidR="00E07EAE">
      <w:rPr>
        <w:noProof/>
      </w:rPr>
      <w:t>1</w:t>
    </w:r>
    <w:r>
      <w:fldChar w:fldCharType="end"/>
    </w:r>
  </w:p>
  <w:p w:rsidR="004C24E3" w:rsidRDefault="004C24E3">
    <w:pPr>
      <w:jc w:val="left"/>
    </w:pPr>
  </w:p>
  <w:p w:rsidR="004C24E3" w:rsidRDefault="004C24E3">
    <w:pPr>
      <w:spacing w:after="72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655A" w:rsidRDefault="00FD655A">
      <w:r>
        <w:separator/>
      </w:r>
    </w:p>
  </w:footnote>
  <w:footnote w:type="continuationSeparator" w:id="0">
    <w:p w:rsidR="00FD655A" w:rsidRDefault="00FD655A">
      <w:r>
        <w:continuationSeparator/>
      </w:r>
    </w:p>
  </w:footnote>
  <w:footnote w:id="1">
    <w:p w:rsidR="004C24E3" w:rsidRDefault="00F56660">
      <w:pPr>
        <w:rPr>
          <w:sz w:val="20"/>
          <w:szCs w:val="20"/>
        </w:rPr>
      </w:pPr>
      <w:r>
        <w:rPr>
          <w:vertAlign w:val="superscript"/>
        </w:rPr>
        <w:footnoteRef/>
      </w:r>
      <w:r>
        <w:rPr>
          <w:sz w:val="20"/>
          <w:szCs w:val="20"/>
        </w:rPr>
        <w:t xml:space="preserve"> CYP IAPT Values and Standards Subgroup - CYP IAPT National Service Development Group, CAMHS Press (2014)  </w:t>
      </w:r>
    </w:p>
  </w:footnote>
  <w:footnote w:id="2">
    <w:p w:rsidR="004C24E3" w:rsidRDefault="00F56660">
      <w:pPr>
        <w:rPr>
          <w:sz w:val="20"/>
          <w:szCs w:val="20"/>
        </w:rPr>
      </w:pPr>
      <w:r>
        <w:rPr>
          <w:vertAlign w:val="superscript"/>
        </w:rPr>
        <w:footnoteRef/>
      </w:r>
      <w:r>
        <w:rPr>
          <w:sz w:val="20"/>
          <w:szCs w:val="20"/>
        </w:rPr>
        <w:t xml:space="preserve"> Howarth, E., Vainre, M., Lombardo, C., Humphrey, A., Anderson, J., Hanafiah, A., Jones, P. (2016). Identifying priorities for CAMHS transformation: Preliminary results from a regional Delphi Study. Unpublished results.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4E3" w:rsidRDefault="00F56660">
    <w:pPr>
      <w:tabs>
        <w:tab w:val="center" w:pos="4320"/>
        <w:tab w:val="right" w:pos="8640"/>
      </w:tabs>
      <w:spacing w:before="720"/>
      <w:jc w:val="center"/>
      <w:rPr>
        <w:rFonts w:ascii="Calibri" w:eastAsia="Calibri" w:hAnsi="Calibri" w:cs="Calibri"/>
        <w:color w:val="FF0000"/>
        <w:sz w:val="22"/>
        <w:szCs w:val="22"/>
      </w:rPr>
    </w:pPr>
    <w:r>
      <w:rPr>
        <w:rFonts w:ascii="Calibri" w:eastAsia="Calibri" w:hAnsi="Calibri" w:cs="Calibri"/>
        <w:b/>
        <w:sz w:val="22"/>
        <w:szCs w:val="22"/>
      </w:rPr>
      <w:t>2017/18</w:t>
    </w:r>
  </w:p>
  <w:p w:rsidR="004C24E3" w:rsidRDefault="00F56660">
    <w:pPr>
      <w:tabs>
        <w:tab w:val="center" w:pos="4320"/>
        <w:tab w:val="right" w:pos="8640"/>
      </w:tabs>
      <w:jc w:val="center"/>
      <w:rPr>
        <w:rFonts w:ascii="Calibri" w:eastAsia="Calibri" w:hAnsi="Calibri" w:cs="Calibri"/>
        <w:sz w:val="22"/>
        <w:szCs w:val="22"/>
      </w:rPr>
    </w:pPr>
    <w:r>
      <w:rPr>
        <w:rFonts w:ascii="Calibri" w:eastAsia="Calibri" w:hAnsi="Calibri" w:cs="Calibri"/>
        <w:b/>
        <w:sz w:val="22"/>
        <w:szCs w:val="22"/>
      </w:rPr>
      <w:t>PUBLIC HEALTH SERVICES SPECIFICATION</w:t>
    </w:r>
  </w:p>
  <w:p w:rsidR="004C24E3" w:rsidRDefault="004C24E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46CCB"/>
    <w:multiLevelType w:val="multilevel"/>
    <w:tmpl w:val="F8A44932"/>
    <w:lvl w:ilvl="0">
      <w:start w:val="1"/>
      <w:numFmt w:val="lowerRoman"/>
      <w:lvlText w:val="%1."/>
      <w:lvlJc w:val="righ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
    <w:nsid w:val="04F14C5E"/>
    <w:multiLevelType w:val="multilevel"/>
    <w:tmpl w:val="DB98FDA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nsid w:val="0A173A4C"/>
    <w:multiLevelType w:val="multilevel"/>
    <w:tmpl w:val="755258F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3">
    <w:nsid w:val="0B822021"/>
    <w:multiLevelType w:val="multilevel"/>
    <w:tmpl w:val="ABF2EBF4"/>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4">
    <w:nsid w:val="15DF3D47"/>
    <w:multiLevelType w:val="multilevel"/>
    <w:tmpl w:val="FE662AEE"/>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5">
    <w:nsid w:val="218E7998"/>
    <w:multiLevelType w:val="multilevel"/>
    <w:tmpl w:val="F8F0A15E"/>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6">
    <w:nsid w:val="25DB7954"/>
    <w:multiLevelType w:val="multilevel"/>
    <w:tmpl w:val="AEB03F88"/>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7">
    <w:nsid w:val="26507909"/>
    <w:multiLevelType w:val="multilevel"/>
    <w:tmpl w:val="2ADCA26C"/>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8">
    <w:nsid w:val="28D65927"/>
    <w:multiLevelType w:val="multilevel"/>
    <w:tmpl w:val="E4CABAF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9">
    <w:nsid w:val="2CFD2A37"/>
    <w:multiLevelType w:val="multilevel"/>
    <w:tmpl w:val="847624BC"/>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0">
    <w:nsid w:val="31A70E66"/>
    <w:multiLevelType w:val="multilevel"/>
    <w:tmpl w:val="0A303D0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nsid w:val="31B40780"/>
    <w:multiLevelType w:val="multilevel"/>
    <w:tmpl w:val="BFF6F14C"/>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2">
    <w:nsid w:val="3F8177C3"/>
    <w:multiLevelType w:val="multilevel"/>
    <w:tmpl w:val="93268B08"/>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3">
    <w:nsid w:val="41867E04"/>
    <w:multiLevelType w:val="multilevel"/>
    <w:tmpl w:val="5D2E316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4">
    <w:nsid w:val="42C3798B"/>
    <w:multiLevelType w:val="multilevel"/>
    <w:tmpl w:val="36F2363E"/>
    <w:lvl w:ilvl="0">
      <w:start w:val="2"/>
      <w:numFmt w:val="bullet"/>
      <w:lvlText w:val="-"/>
      <w:lvlJc w:val="left"/>
      <w:pPr>
        <w:ind w:left="1500" w:firstLine="2640"/>
      </w:pPr>
      <w:rPr>
        <w:rFonts w:ascii="Arial" w:eastAsia="Arial" w:hAnsi="Arial" w:cs="Arial"/>
      </w:rPr>
    </w:lvl>
    <w:lvl w:ilvl="1">
      <w:start w:val="1"/>
      <w:numFmt w:val="bullet"/>
      <w:lvlText w:val="o"/>
      <w:lvlJc w:val="left"/>
      <w:pPr>
        <w:ind w:left="2220" w:firstLine="4080"/>
      </w:pPr>
      <w:rPr>
        <w:rFonts w:ascii="Arial" w:eastAsia="Arial" w:hAnsi="Arial" w:cs="Arial"/>
      </w:rPr>
    </w:lvl>
    <w:lvl w:ilvl="2">
      <w:start w:val="1"/>
      <w:numFmt w:val="bullet"/>
      <w:lvlText w:val="▪"/>
      <w:lvlJc w:val="left"/>
      <w:pPr>
        <w:ind w:left="2940" w:firstLine="5520"/>
      </w:pPr>
      <w:rPr>
        <w:rFonts w:ascii="Arial" w:eastAsia="Arial" w:hAnsi="Arial" w:cs="Arial"/>
      </w:rPr>
    </w:lvl>
    <w:lvl w:ilvl="3">
      <w:start w:val="1"/>
      <w:numFmt w:val="bullet"/>
      <w:lvlText w:val="●"/>
      <w:lvlJc w:val="left"/>
      <w:pPr>
        <w:ind w:left="3660" w:firstLine="6960"/>
      </w:pPr>
      <w:rPr>
        <w:rFonts w:ascii="Arial" w:eastAsia="Arial" w:hAnsi="Arial" w:cs="Arial"/>
      </w:rPr>
    </w:lvl>
    <w:lvl w:ilvl="4">
      <w:start w:val="1"/>
      <w:numFmt w:val="bullet"/>
      <w:lvlText w:val="o"/>
      <w:lvlJc w:val="left"/>
      <w:pPr>
        <w:ind w:left="4380" w:firstLine="8400"/>
      </w:pPr>
      <w:rPr>
        <w:rFonts w:ascii="Arial" w:eastAsia="Arial" w:hAnsi="Arial" w:cs="Arial"/>
      </w:rPr>
    </w:lvl>
    <w:lvl w:ilvl="5">
      <w:start w:val="1"/>
      <w:numFmt w:val="bullet"/>
      <w:lvlText w:val="▪"/>
      <w:lvlJc w:val="left"/>
      <w:pPr>
        <w:ind w:left="5100" w:firstLine="9840"/>
      </w:pPr>
      <w:rPr>
        <w:rFonts w:ascii="Arial" w:eastAsia="Arial" w:hAnsi="Arial" w:cs="Arial"/>
      </w:rPr>
    </w:lvl>
    <w:lvl w:ilvl="6">
      <w:start w:val="1"/>
      <w:numFmt w:val="bullet"/>
      <w:lvlText w:val="●"/>
      <w:lvlJc w:val="left"/>
      <w:pPr>
        <w:ind w:left="5820" w:firstLine="11280"/>
      </w:pPr>
      <w:rPr>
        <w:rFonts w:ascii="Arial" w:eastAsia="Arial" w:hAnsi="Arial" w:cs="Arial"/>
      </w:rPr>
    </w:lvl>
    <w:lvl w:ilvl="7">
      <w:start w:val="1"/>
      <w:numFmt w:val="bullet"/>
      <w:lvlText w:val="o"/>
      <w:lvlJc w:val="left"/>
      <w:pPr>
        <w:ind w:left="6540" w:firstLine="12720"/>
      </w:pPr>
      <w:rPr>
        <w:rFonts w:ascii="Arial" w:eastAsia="Arial" w:hAnsi="Arial" w:cs="Arial"/>
      </w:rPr>
    </w:lvl>
    <w:lvl w:ilvl="8">
      <w:start w:val="1"/>
      <w:numFmt w:val="bullet"/>
      <w:lvlText w:val="▪"/>
      <w:lvlJc w:val="left"/>
      <w:pPr>
        <w:ind w:left="7260" w:firstLine="14160"/>
      </w:pPr>
      <w:rPr>
        <w:rFonts w:ascii="Arial" w:eastAsia="Arial" w:hAnsi="Arial" w:cs="Arial"/>
      </w:rPr>
    </w:lvl>
  </w:abstractNum>
  <w:abstractNum w:abstractNumId="15">
    <w:nsid w:val="446F1B40"/>
    <w:multiLevelType w:val="multilevel"/>
    <w:tmpl w:val="19A8BF0A"/>
    <w:lvl w:ilvl="0">
      <w:start w:val="1"/>
      <w:numFmt w:val="decimal"/>
      <w:lvlText w:val="%1"/>
      <w:lvlJc w:val="left"/>
      <w:pPr>
        <w:ind w:left="360" w:firstLine="360"/>
      </w:pPr>
    </w:lvl>
    <w:lvl w:ilvl="1">
      <w:start w:val="1"/>
      <w:numFmt w:val="decimal"/>
      <w:lvlText w:val="%1.%2"/>
      <w:lvlJc w:val="left"/>
      <w:pPr>
        <w:ind w:left="360" w:firstLine="360"/>
      </w:pPr>
    </w:lvl>
    <w:lvl w:ilvl="2">
      <w:start w:val="1"/>
      <w:numFmt w:val="decimal"/>
      <w:lvlText w:val="%1.%2.%3"/>
      <w:lvlJc w:val="left"/>
      <w:pPr>
        <w:ind w:left="720" w:firstLine="720"/>
      </w:pPr>
    </w:lvl>
    <w:lvl w:ilvl="3">
      <w:start w:val="1"/>
      <w:numFmt w:val="decimal"/>
      <w:lvlText w:val="%1.%2.%3.%4"/>
      <w:lvlJc w:val="left"/>
      <w:pPr>
        <w:ind w:left="720" w:firstLine="720"/>
      </w:pPr>
    </w:lvl>
    <w:lvl w:ilvl="4">
      <w:start w:val="1"/>
      <w:numFmt w:val="decimal"/>
      <w:lvlText w:val="%1.%2.%3.%4.%5"/>
      <w:lvlJc w:val="left"/>
      <w:pPr>
        <w:ind w:left="1080" w:firstLine="1080"/>
      </w:pPr>
    </w:lvl>
    <w:lvl w:ilvl="5">
      <w:start w:val="1"/>
      <w:numFmt w:val="decimal"/>
      <w:lvlText w:val="%1.%2.%3.%4.%5.%6"/>
      <w:lvlJc w:val="left"/>
      <w:pPr>
        <w:ind w:left="1080" w:firstLine="1080"/>
      </w:pPr>
    </w:lvl>
    <w:lvl w:ilvl="6">
      <w:start w:val="1"/>
      <w:numFmt w:val="decimal"/>
      <w:lvlText w:val="%1.%2.%3.%4.%5.%6.%7"/>
      <w:lvlJc w:val="left"/>
      <w:pPr>
        <w:ind w:left="1440" w:firstLine="1440"/>
      </w:pPr>
    </w:lvl>
    <w:lvl w:ilvl="7">
      <w:start w:val="1"/>
      <w:numFmt w:val="decimal"/>
      <w:lvlText w:val="%1.%2.%3.%4.%5.%6.%7.%8"/>
      <w:lvlJc w:val="left"/>
      <w:pPr>
        <w:ind w:left="1440" w:firstLine="1440"/>
      </w:pPr>
    </w:lvl>
    <w:lvl w:ilvl="8">
      <w:start w:val="1"/>
      <w:numFmt w:val="decimal"/>
      <w:lvlText w:val="%1.%2.%3.%4.%5.%6.%7.%8.%9"/>
      <w:lvlJc w:val="left"/>
      <w:pPr>
        <w:ind w:left="1800" w:firstLine="1800"/>
      </w:pPr>
    </w:lvl>
  </w:abstractNum>
  <w:abstractNum w:abstractNumId="16">
    <w:nsid w:val="45BB4CB0"/>
    <w:multiLevelType w:val="multilevel"/>
    <w:tmpl w:val="97947EC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7">
    <w:nsid w:val="47E97751"/>
    <w:multiLevelType w:val="multilevel"/>
    <w:tmpl w:val="4EA4505C"/>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8">
    <w:nsid w:val="4CDF50E9"/>
    <w:multiLevelType w:val="multilevel"/>
    <w:tmpl w:val="834C6C0C"/>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9">
    <w:nsid w:val="4DA16CF4"/>
    <w:multiLevelType w:val="multilevel"/>
    <w:tmpl w:val="159C77B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0">
    <w:nsid w:val="4EBF2CEF"/>
    <w:multiLevelType w:val="multilevel"/>
    <w:tmpl w:val="EBEC803C"/>
    <w:lvl w:ilvl="0">
      <w:start w:val="1"/>
      <w:numFmt w:val="bullet"/>
      <w:lvlText w:val="●"/>
      <w:lvlJc w:val="left"/>
      <w:pPr>
        <w:ind w:left="780" w:firstLine="1200"/>
      </w:pPr>
      <w:rPr>
        <w:rFonts w:ascii="Arial" w:eastAsia="Arial" w:hAnsi="Arial" w:cs="Arial"/>
      </w:rPr>
    </w:lvl>
    <w:lvl w:ilvl="1">
      <w:start w:val="1"/>
      <w:numFmt w:val="bullet"/>
      <w:lvlText w:val="o"/>
      <w:lvlJc w:val="left"/>
      <w:pPr>
        <w:ind w:left="1500" w:firstLine="2640"/>
      </w:pPr>
      <w:rPr>
        <w:rFonts w:ascii="Arial" w:eastAsia="Arial" w:hAnsi="Arial" w:cs="Arial"/>
      </w:rPr>
    </w:lvl>
    <w:lvl w:ilvl="2">
      <w:start w:val="1"/>
      <w:numFmt w:val="bullet"/>
      <w:lvlText w:val="▪"/>
      <w:lvlJc w:val="left"/>
      <w:pPr>
        <w:ind w:left="2220" w:firstLine="4080"/>
      </w:pPr>
      <w:rPr>
        <w:rFonts w:ascii="Arial" w:eastAsia="Arial" w:hAnsi="Arial" w:cs="Arial"/>
      </w:rPr>
    </w:lvl>
    <w:lvl w:ilvl="3">
      <w:start w:val="1"/>
      <w:numFmt w:val="bullet"/>
      <w:lvlText w:val="●"/>
      <w:lvlJc w:val="left"/>
      <w:pPr>
        <w:ind w:left="2940" w:firstLine="5520"/>
      </w:pPr>
      <w:rPr>
        <w:rFonts w:ascii="Arial" w:eastAsia="Arial" w:hAnsi="Arial" w:cs="Arial"/>
      </w:rPr>
    </w:lvl>
    <w:lvl w:ilvl="4">
      <w:start w:val="1"/>
      <w:numFmt w:val="bullet"/>
      <w:lvlText w:val="o"/>
      <w:lvlJc w:val="left"/>
      <w:pPr>
        <w:ind w:left="3660" w:firstLine="6960"/>
      </w:pPr>
      <w:rPr>
        <w:rFonts w:ascii="Arial" w:eastAsia="Arial" w:hAnsi="Arial" w:cs="Arial"/>
      </w:rPr>
    </w:lvl>
    <w:lvl w:ilvl="5">
      <w:start w:val="1"/>
      <w:numFmt w:val="bullet"/>
      <w:lvlText w:val="▪"/>
      <w:lvlJc w:val="left"/>
      <w:pPr>
        <w:ind w:left="4380" w:firstLine="8400"/>
      </w:pPr>
      <w:rPr>
        <w:rFonts w:ascii="Arial" w:eastAsia="Arial" w:hAnsi="Arial" w:cs="Arial"/>
      </w:rPr>
    </w:lvl>
    <w:lvl w:ilvl="6">
      <w:start w:val="1"/>
      <w:numFmt w:val="bullet"/>
      <w:lvlText w:val="●"/>
      <w:lvlJc w:val="left"/>
      <w:pPr>
        <w:ind w:left="5100" w:firstLine="9840"/>
      </w:pPr>
      <w:rPr>
        <w:rFonts w:ascii="Arial" w:eastAsia="Arial" w:hAnsi="Arial" w:cs="Arial"/>
      </w:rPr>
    </w:lvl>
    <w:lvl w:ilvl="7">
      <w:start w:val="1"/>
      <w:numFmt w:val="bullet"/>
      <w:lvlText w:val="o"/>
      <w:lvlJc w:val="left"/>
      <w:pPr>
        <w:ind w:left="5820" w:firstLine="11280"/>
      </w:pPr>
      <w:rPr>
        <w:rFonts w:ascii="Arial" w:eastAsia="Arial" w:hAnsi="Arial" w:cs="Arial"/>
      </w:rPr>
    </w:lvl>
    <w:lvl w:ilvl="8">
      <w:start w:val="1"/>
      <w:numFmt w:val="bullet"/>
      <w:lvlText w:val="▪"/>
      <w:lvlJc w:val="left"/>
      <w:pPr>
        <w:ind w:left="6540" w:firstLine="12720"/>
      </w:pPr>
      <w:rPr>
        <w:rFonts w:ascii="Arial" w:eastAsia="Arial" w:hAnsi="Arial" w:cs="Arial"/>
      </w:rPr>
    </w:lvl>
  </w:abstractNum>
  <w:abstractNum w:abstractNumId="21">
    <w:nsid w:val="503E2B47"/>
    <w:multiLevelType w:val="multilevel"/>
    <w:tmpl w:val="FD80B8E6"/>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22">
    <w:nsid w:val="59CC3250"/>
    <w:multiLevelType w:val="multilevel"/>
    <w:tmpl w:val="A2787BF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
    <w:nsid w:val="5F3F3CC3"/>
    <w:multiLevelType w:val="multilevel"/>
    <w:tmpl w:val="9178481C"/>
    <w:lvl w:ilvl="0">
      <w:start w:val="1"/>
      <w:numFmt w:val="bullet"/>
      <w:lvlText w:val="●"/>
      <w:lvlJc w:val="left"/>
      <w:pPr>
        <w:ind w:left="780" w:firstLine="1200"/>
      </w:pPr>
      <w:rPr>
        <w:rFonts w:ascii="Arial" w:eastAsia="Arial" w:hAnsi="Arial" w:cs="Arial"/>
      </w:rPr>
    </w:lvl>
    <w:lvl w:ilvl="1">
      <w:start w:val="1"/>
      <w:numFmt w:val="bullet"/>
      <w:lvlText w:val="o"/>
      <w:lvlJc w:val="left"/>
      <w:pPr>
        <w:ind w:left="1500" w:firstLine="2640"/>
      </w:pPr>
      <w:rPr>
        <w:rFonts w:ascii="Arial" w:eastAsia="Arial" w:hAnsi="Arial" w:cs="Arial"/>
      </w:rPr>
    </w:lvl>
    <w:lvl w:ilvl="2">
      <w:start w:val="1"/>
      <w:numFmt w:val="bullet"/>
      <w:lvlText w:val="▪"/>
      <w:lvlJc w:val="left"/>
      <w:pPr>
        <w:ind w:left="2220" w:firstLine="4080"/>
      </w:pPr>
      <w:rPr>
        <w:rFonts w:ascii="Arial" w:eastAsia="Arial" w:hAnsi="Arial" w:cs="Arial"/>
      </w:rPr>
    </w:lvl>
    <w:lvl w:ilvl="3">
      <w:start w:val="1"/>
      <w:numFmt w:val="bullet"/>
      <w:lvlText w:val="●"/>
      <w:lvlJc w:val="left"/>
      <w:pPr>
        <w:ind w:left="2940" w:firstLine="5520"/>
      </w:pPr>
      <w:rPr>
        <w:rFonts w:ascii="Arial" w:eastAsia="Arial" w:hAnsi="Arial" w:cs="Arial"/>
      </w:rPr>
    </w:lvl>
    <w:lvl w:ilvl="4">
      <w:start w:val="1"/>
      <w:numFmt w:val="bullet"/>
      <w:lvlText w:val="o"/>
      <w:lvlJc w:val="left"/>
      <w:pPr>
        <w:ind w:left="3660" w:firstLine="6960"/>
      </w:pPr>
      <w:rPr>
        <w:rFonts w:ascii="Arial" w:eastAsia="Arial" w:hAnsi="Arial" w:cs="Arial"/>
      </w:rPr>
    </w:lvl>
    <w:lvl w:ilvl="5">
      <w:start w:val="1"/>
      <w:numFmt w:val="bullet"/>
      <w:lvlText w:val="▪"/>
      <w:lvlJc w:val="left"/>
      <w:pPr>
        <w:ind w:left="4380" w:firstLine="8400"/>
      </w:pPr>
      <w:rPr>
        <w:rFonts w:ascii="Arial" w:eastAsia="Arial" w:hAnsi="Arial" w:cs="Arial"/>
      </w:rPr>
    </w:lvl>
    <w:lvl w:ilvl="6">
      <w:start w:val="1"/>
      <w:numFmt w:val="bullet"/>
      <w:lvlText w:val="●"/>
      <w:lvlJc w:val="left"/>
      <w:pPr>
        <w:ind w:left="5100" w:firstLine="9840"/>
      </w:pPr>
      <w:rPr>
        <w:rFonts w:ascii="Arial" w:eastAsia="Arial" w:hAnsi="Arial" w:cs="Arial"/>
      </w:rPr>
    </w:lvl>
    <w:lvl w:ilvl="7">
      <w:start w:val="1"/>
      <w:numFmt w:val="bullet"/>
      <w:lvlText w:val="o"/>
      <w:lvlJc w:val="left"/>
      <w:pPr>
        <w:ind w:left="5820" w:firstLine="11280"/>
      </w:pPr>
      <w:rPr>
        <w:rFonts w:ascii="Arial" w:eastAsia="Arial" w:hAnsi="Arial" w:cs="Arial"/>
      </w:rPr>
    </w:lvl>
    <w:lvl w:ilvl="8">
      <w:start w:val="1"/>
      <w:numFmt w:val="bullet"/>
      <w:lvlText w:val="▪"/>
      <w:lvlJc w:val="left"/>
      <w:pPr>
        <w:ind w:left="6540" w:firstLine="12720"/>
      </w:pPr>
      <w:rPr>
        <w:rFonts w:ascii="Arial" w:eastAsia="Arial" w:hAnsi="Arial" w:cs="Arial"/>
      </w:rPr>
    </w:lvl>
  </w:abstractNum>
  <w:abstractNum w:abstractNumId="24">
    <w:nsid w:val="72B02BB4"/>
    <w:multiLevelType w:val="multilevel"/>
    <w:tmpl w:val="A36E4D64"/>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25">
    <w:nsid w:val="733D4AE7"/>
    <w:multiLevelType w:val="multilevel"/>
    <w:tmpl w:val="AE6CFD26"/>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26">
    <w:nsid w:val="744A1215"/>
    <w:multiLevelType w:val="multilevel"/>
    <w:tmpl w:val="D6DEA34C"/>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27">
    <w:nsid w:val="7A513F04"/>
    <w:multiLevelType w:val="multilevel"/>
    <w:tmpl w:val="931E5D6E"/>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num w:numId="1">
    <w:abstractNumId w:val="2"/>
  </w:num>
  <w:num w:numId="2">
    <w:abstractNumId w:val="25"/>
  </w:num>
  <w:num w:numId="3">
    <w:abstractNumId w:val="7"/>
  </w:num>
  <w:num w:numId="4">
    <w:abstractNumId w:val="14"/>
  </w:num>
  <w:num w:numId="5">
    <w:abstractNumId w:val="6"/>
  </w:num>
  <w:num w:numId="6">
    <w:abstractNumId w:val="23"/>
  </w:num>
  <w:num w:numId="7">
    <w:abstractNumId w:val="24"/>
  </w:num>
  <w:num w:numId="8">
    <w:abstractNumId w:val="13"/>
  </w:num>
  <w:num w:numId="9">
    <w:abstractNumId w:val="27"/>
  </w:num>
  <w:num w:numId="10">
    <w:abstractNumId w:val="22"/>
  </w:num>
  <w:num w:numId="11">
    <w:abstractNumId w:val="10"/>
  </w:num>
  <w:num w:numId="12">
    <w:abstractNumId w:val="11"/>
  </w:num>
  <w:num w:numId="13">
    <w:abstractNumId w:val="21"/>
  </w:num>
  <w:num w:numId="14">
    <w:abstractNumId w:val="26"/>
  </w:num>
  <w:num w:numId="15">
    <w:abstractNumId w:val="1"/>
  </w:num>
  <w:num w:numId="16">
    <w:abstractNumId w:val="5"/>
  </w:num>
  <w:num w:numId="17">
    <w:abstractNumId w:val="3"/>
  </w:num>
  <w:num w:numId="18">
    <w:abstractNumId w:val="15"/>
  </w:num>
  <w:num w:numId="19">
    <w:abstractNumId w:val="20"/>
  </w:num>
  <w:num w:numId="20">
    <w:abstractNumId w:val="0"/>
  </w:num>
  <w:num w:numId="21">
    <w:abstractNumId w:val="19"/>
  </w:num>
  <w:num w:numId="22">
    <w:abstractNumId w:val="18"/>
  </w:num>
  <w:num w:numId="23">
    <w:abstractNumId w:val="16"/>
  </w:num>
  <w:num w:numId="24">
    <w:abstractNumId w:val="17"/>
  </w:num>
  <w:num w:numId="25">
    <w:abstractNumId w:val="8"/>
  </w:num>
  <w:num w:numId="26">
    <w:abstractNumId w:val="12"/>
  </w:num>
  <w:num w:numId="27">
    <w:abstractNumId w:val="4"/>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4E3"/>
    <w:rsid w:val="004C24E3"/>
    <w:rsid w:val="00E07EAE"/>
    <w:rsid w:val="00F17223"/>
    <w:rsid w:val="00F56660"/>
    <w:rsid w:val="00FD65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04C9B4-FCCE-45EF-B50A-B752661D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4"/>
        <w:szCs w:val="24"/>
        <w:lang w:val="en-GB" w:eastAsia="en-GB"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outlineLvl w:val="0"/>
    </w:pPr>
    <w:rPr>
      <w:b/>
      <w:u w:val="single"/>
    </w:rPr>
  </w:style>
  <w:style w:type="paragraph" w:styleId="Heading2">
    <w:name w:val="heading 2"/>
    <w:basedOn w:val="Normal"/>
    <w:next w:val="Normal"/>
    <w:pPr>
      <w:keepNext/>
      <w:keepLines/>
      <w:ind w:left="720" w:hanging="720"/>
      <w:outlineLvl w:val="1"/>
    </w:pPr>
    <w:rPr>
      <w:b/>
    </w:rPr>
  </w:style>
  <w:style w:type="paragraph" w:styleId="Heading3">
    <w:name w:val="heading 3"/>
    <w:basedOn w:val="Normal"/>
    <w:next w:val="Normal"/>
    <w:pPr>
      <w:keepNext/>
      <w:keepLines/>
      <w:outlineLvl w:val="2"/>
    </w:pPr>
  </w:style>
  <w:style w:type="paragraph" w:styleId="Heading4">
    <w:name w:val="heading 4"/>
    <w:basedOn w:val="Normal"/>
    <w:next w:val="Normal"/>
    <w:pPr>
      <w:keepNext/>
      <w:keepLines/>
      <w:outlineLvl w:val="3"/>
    </w:pPr>
  </w:style>
  <w:style w:type="paragraph" w:styleId="Heading5">
    <w:name w:val="heading 5"/>
    <w:basedOn w:val="Normal"/>
    <w:next w:val="Normal"/>
    <w:pPr>
      <w:keepNext/>
      <w:keepLines/>
      <w:outlineLvl w:val="4"/>
    </w:pPr>
  </w:style>
  <w:style w:type="paragraph" w:styleId="Heading6">
    <w:name w:val="heading 6"/>
    <w:basedOn w:val="Normal"/>
    <w:next w:val="Normal"/>
    <w:pPr>
      <w:keepNext/>
      <w:keepLines/>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300"/>
    </w:pPr>
    <w:rPr>
      <w:color w:val="17365D"/>
      <w:sz w:val="52"/>
      <w:szCs w:val="52"/>
    </w:rPr>
  </w:style>
  <w:style w:type="paragraph" w:styleId="Subtitle">
    <w:name w:val="Subtitle"/>
    <w:basedOn w:val="Normal"/>
    <w:next w:val="Normal"/>
    <w:pPr>
      <w:keepNext/>
      <w:keepLines/>
    </w:pPr>
    <w:rPr>
      <w:i/>
      <w:color w:val="4F81BD"/>
    </w:rPr>
  </w:style>
  <w:style w:type="table" w:customStyle="1" w:styleId="a">
    <w:basedOn w:val="TableNormal"/>
    <w:pPr>
      <w:contextualSpacing/>
      <w:jc w:val="left"/>
    </w:pPr>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pPr>
      <w:contextualSpacing/>
      <w:jc w:val="left"/>
    </w:pPr>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tblStylePr w:type="firstRow">
      <w:pPr>
        <w:contextualSpacing/>
      </w:pPr>
      <w:rPr>
        <w:color w:val="000000"/>
      </w:rPr>
      <w:tblPr/>
      <w:tcPr>
        <w:tcMar>
          <w:top w:w="0" w:type="nil"/>
          <w:left w:w="115" w:type="dxa"/>
          <w:bottom w:w="0" w:type="nil"/>
          <w:right w:w="115" w:type="dxa"/>
        </w:tcMar>
      </w:tcPr>
    </w:tblStylePr>
  </w:style>
  <w:style w:type="table" w:customStyle="1" w:styleId="a2">
    <w:basedOn w:val="TableNormal"/>
    <w:pPr>
      <w:contextualSpacing/>
      <w:jc w:val="left"/>
    </w:pPr>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tblStylePr w:type="firstRow">
      <w:pPr>
        <w:contextualSpacing/>
      </w:pPr>
      <w:rPr>
        <w:b/>
        <w:color w:val="FFFFFF"/>
      </w:rPr>
      <w:tblPr/>
      <w:tcPr>
        <w:shd w:val="clear" w:color="auto" w:fill="A5A5A5"/>
        <w:tcMar>
          <w:top w:w="0" w:type="nil"/>
          <w:left w:w="115" w:type="dxa"/>
          <w:bottom w:w="0" w:type="nil"/>
          <w:right w:w="115" w:type="dxa"/>
        </w:tcMar>
      </w:tcPr>
    </w:tblStylePr>
    <w:tblStylePr w:type="lastRow">
      <w:pPr>
        <w:contextualSpacing/>
      </w:pPr>
      <w:rPr>
        <w:b/>
      </w:rPr>
      <w:tblPr/>
      <w:tcPr>
        <w:tcBorders>
          <w:top w:val="single" w:sz="4" w:space="0" w:color="A5A5A5"/>
        </w:tcBorders>
        <w:shd w:val="clear" w:color="auto" w:fill="FFFFFF"/>
        <w:tcMar>
          <w:top w:w="0" w:type="nil"/>
          <w:left w:w="115" w:type="dxa"/>
          <w:bottom w:w="0" w:type="nil"/>
          <w:right w:w="115" w:type="dxa"/>
        </w:tcMar>
      </w:tcPr>
    </w:tblStylePr>
    <w:tblStylePr w:type="firstCol">
      <w:pPr>
        <w:contextualSpacing/>
      </w:pPr>
      <w:rPr>
        <w:b/>
      </w:rPr>
      <w:tblPr/>
      <w:tcPr>
        <w:tcBorders>
          <w:right w:val="nil"/>
        </w:tcBorders>
        <w:shd w:val="clear" w:color="auto" w:fill="FFFFFF"/>
        <w:tcMar>
          <w:top w:w="0" w:type="nil"/>
          <w:left w:w="115" w:type="dxa"/>
          <w:bottom w:w="0" w:type="nil"/>
          <w:right w:w="115" w:type="dxa"/>
        </w:tcMar>
      </w:tcPr>
    </w:tblStylePr>
    <w:tblStylePr w:type="lastCol">
      <w:pPr>
        <w:contextualSpacing/>
      </w:pPr>
      <w:rPr>
        <w:b/>
      </w:rPr>
      <w:tblPr/>
      <w:tcPr>
        <w:tcBorders>
          <w:left w:val="nil"/>
        </w:tcBorders>
        <w:shd w:val="clear" w:color="auto" w:fill="FFFFFF"/>
        <w:tcMar>
          <w:top w:w="0" w:type="nil"/>
          <w:left w:w="115" w:type="dxa"/>
          <w:bottom w:w="0" w:type="nil"/>
          <w:right w:w="115" w:type="dxa"/>
        </w:tcMar>
      </w:tcPr>
    </w:tblStylePr>
    <w:tblStylePr w:type="band1Vert">
      <w:pPr>
        <w:contextualSpacing/>
      </w:pPr>
      <w:tblPr/>
      <w:tcPr>
        <w:tcBorders>
          <w:left w:val="single" w:sz="4" w:space="0" w:color="A5A5A5"/>
          <w:right w:val="single" w:sz="4" w:space="0" w:color="A5A5A5"/>
        </w:tcBorders>
        <w:tcMar>
          <w:top w:w="0" w:type="nil"/>
          <w:left w:w="115" w:type="dxa"/>
          <w:bottom w:w="0" w:type="nil"/>
          <w:right w:w="115" w:type="dxa"/>
        </w:tcMar>
      </w:tcPr>
    </w:tblStylePr>
    <w:tblStylePr w:type="band1Horz">
      <w:pPr>
        <w:contextualSpacing/>
      </w:pPr>
      <w:tblPr/>
      <w:tcPr>
        <w:tcBorders>
          <w:top w:val="single" w:sz="4" w:space="0" w:color="A5A5A5"/>
          <w:bottom w:val="single" w:sz="4" w:space="0" w:color="A5A5A5"/>
          <w:insideH w:val="nil"/>
        </w:tcBorders>
        <w:tcMar>
          <w:top w:w="0" w:type="nil"/>
          <w:left w:w="115" w:type="dxa"/>
          <w:bottom w:w="0" w:type="nil"/>
          <w:right w:w="115" w:type="dxa"/>
        </w:tcMar>
      </w:tcPr>
    </w:tblStylePr>
    <w:tblStylePr w:type="neCell">
      <w:pPr>
        <w:contextualSpacing/>
      </w:pPr>
      <w:tblPr/>
      <w:tcPr>
        <w:tcBorders>
          <w:left w:val="nil"/>
          <w:bottom w:val="nil"/>
        </w:tcBorders>
        <w:tcMar>
          <w:top w:w="0" w:type="nil"/>
          <w:left w:w="115" w:type="dxa"/>
          <w:bottom w:w="0" w:type="nil"/>
          <w:right w:w="115" w:type="dxa"/>
        </w:tcMar>
      </w:tcPr>
    </w:tblStylePr>
    <w:tblStylePr w:type="nwCell">
      <w:pPr>
        <w:contextualSpacing/>
      </w:pPr>
      <w:tblPr/>
      <w:tcPr>
        <w:tcBorders>
          <w:bottom w:val="nil"/>
          <w:right w:val="nil"/>
        </w:tcBorders>
        <w:tcMar>
          <w:top w:w="0" w:type="nil"/>
          <w:left w:w="115" w:type="dxa"/>
          <w:bottom w:w="0" w:type="nil"/>
          <w:right w:w="115" w:type="dxa"/>
        </w:tcMar>
      </w:tcPr>
    </w:tblStylePr>
    <w:tblStylePr w:type="seCell">
      <w:pPr>
        <w:contextualSpacing/>
      </w:pPr>
      <w:tblPr/>
      <w:tcPr>
        <w:tcBorders>
          <w:top w:val="single" w:sz="4" w:space="0" w:color="A5A5A5"/>
          <w:left w:val="nil"/>
        </w:tcBorders>
        <w:tcMar>
          <w:top w:w="0" w:type="nil"/>
          <w:left w:w="115" w:type="dxa"/>
          <w:bottom w:w="0" w:type="nil"/>
          <w:right w:w="115" w:type="dxa"/>
        </w:tcMar>
      </w:tcPr>
    </w:tblStylePr>
    <w:tblStylePr w:type="swCell">
      <w:pPr>
        <w:contextualSpacing/>
      </w:pPr>
      <w:tblPr/>
      <w:tcPr>
        <w:tcBorders>
          <w:top w:val="single" w:sz="4" w:space="0" w:color="A5A5A5"/>
          <w:right w:val="nil"/>
        </w:tcBorders>
        <w:tcMar>
          <w:top w:w="0" w:type="nil"/>
          <w:left w:w="115" w:type="dxa"/>
          <w:bottom w:w="0" w:type="nil"/>
          <w:right w:w="115" w:type="dxa"/>
        </w:tcMar>
      </w:tcPr>
    </w:tblStylePr>
  </w:style>
  <w:style w:type="table" w:customStyle="1" w:styleId="a3">
    <w:basedOn w:val="TableNormal"/>
    <w:pPr>
      <w:contextualSpacing/>
      <w:jc w:val="left"/>
    </w:pPr>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tblStylePr w:type="firstRow">
      <w:pPr>
        <w:contextualSpacing/>
      </w:pPr>
      <w:rPr>
        <w:b/>
        <w:color w:val="FFFFFF"/>
      </w:rPr>
      <w:tblPr/>
      <w:tcPr>
        <w:shd w:val="clear" w:color="auto" w:fill="A5A5A5"/>
        <w:tcMar>
          <w:top w:w="0" w:type="nil"/>
          <w:left w:w="115" w:type="dxa"/>
          <w:bottom w:w="0" w:type="nil"/>
          <w:right w:w="115" w:type="dxa"/>
        </w:tcMar>
      </w:tcPr>
    </w:tblStylePr>
    <w:tblStylePr w:type="lastRow">
      <w:pPr>
        <w:contextualSpacing/>
      </w:pPr>
      <w:rPr>
        <w:b/>
      </w:rPr>
      <w:tblPr/>
      <w:tcPr>
        <w:tcBorders>
          <w:top w:val="single" w:sz="4" w:space="0" w:color="A5A5A5"/>
        </w:tcBorders>
        <w:shd w:val="clear" w:color="auto" w:fill="FFFFFF"/>
        <w:tcMar>
          <w:top w:w="0" w:type="nil"/>
          <w:left w:w="115" w:type="dxa"/>
          <w:bottom w:w="0" w:type="nil"/>
          <w:right w:w="115" w:type="dxa"/>
        </w:tcMar>
      </w:tcPr>
    </w:tblStylePr>
    <w:tblStylePr w:type="firstCol">
      <w:pPr>
        <w:contextualSpacing/>
      </w:pPr>
      <w:rPr>
        <w:b/>
      </w:rPr>
      <w:tblPr/>
      <w:tcPr>
        <w:tcBorders>
          <w:right w:val="nil"/>
        </w:tcBorders>
        <w:shd w:val="clear" w:color="auto" w:fill="FFFFFF"/>
        <w:tcMar>
          <w:top w:w="0" w:type="nil"/>
          <w:left w:w="115" w:type="dxa"/>
          <w:bottom w:w="0" w:type="nil"/>
          <w:right w:w="115" w:type="dxa"/>
        </w:tcMar>
      </w:tcPr>
    </w:tblStylePr>
    <w:tblStylePr w:type="lastCol">
      <w:pPr>
        <w:contextualSpacing/>
      </w:pPr>
      <w:rPr>
        <w:b/>
      </w:rPr>
      <w:tblPr/>
      <w:tcPr>
        <w:tcBorders>
          <w:left w:val="nil"/>
        </w:tcBorders>
        <w:shd w:val="clear" w:color="auto" w:fill="FFFFFF"/>
        <w:tcMar>
          <w:top w:w="0" w:type="nil"/>
          <w:left w:w="115" w:type="dxa"/>
          <w:bottom w:w="0" w:type="nil"/>
          <w:right w:w="115" w:type="dxa"/>
        </w:tcMar>
      </w:tcPr>
    </w:tblStylePr>
    <w:tblStylePr w:type="band1Vert">
      <w:pPr>
        <w:contextualSpacing/>
      </w:pPr>
      <w:tblPr/>
      <w:tcPr>
        <w:tcBorders>
          <w:left w:val="single" w:sz="4" w:space="0" w:color="A5A5A5"/>
          <w:right w:val="single" w:sz="4" w:space="0" w:color="A5A5A5"/>
        </w:tcBorders>
        <w:tcMar>
          <w:top w:w="0" w:type="nil"/>
          <w:left w:w="115" w:type="dxa"/>
          <w:bottom w:w="0" w:type="nil"/>
          <w:right w:w="115" w:type="dxa"/>
        </w:tcMar>
      </w:tcPr>
    </w:tblStylePr>
    <w:tblStylePr w:type="band1Horz">
      <w:pPr>
        <w:contextualSpacing/>
      </w:pPr>
      <w:tblPr/>
      <w:tcPr>
        <w:tcBorders>
          <w:top w:val="single" w:sz="4" w:space="0" w:color="A5A5A5"/>
          <w:bottom w:val="single" w:sz="4" w:space="0" w:color="A5A5A5"/>
          <w:insideH w:val="nil"/>
        </w:tcBorders>
        <w:tcMar>
          <w:top w:w="0" w:type="nil"/>
          <w:left w:w="115" w:type="dxa"/>
          <w:bottom w:w="0" w:type="nil"/>
          <w:right w:w="115" w:type="dxa"/>
        </w:tcMar>
      </w:tcPr>
    </w:tblStylePr>
    <w:tblStylePr w:type="neCell">
      <w:pPr>
        <w:contextualSpacing/>
      </w:pPr>
      <w:tblPr/>
      <w:tcPr>
        <w:tcBorders>
          <w:left w:val="nil"/>
          <w:bottom w:val="nil"/>
        </w:tcBorders>
        <w:tcMar>
          <w:top w:w="0" w:type="nil"/>
          <w:left w:w="115" w:type="dxa"/>
          <w:bottom w:w="0" w:type="nil"/>
          <w:right w:w="115" w:type="dxa"/>
        </w:tcMar>
      </w:tcPr>
    </w:tblStylePr>
    <w:tblStylePr w:type="nwCell">
      <w:pPr>
        <w:contextualSpacing/>
      </w:pPr>
      <w:tblPr/>
      <w:tcPr>
        <w:tcBorders>
          <w:bottom w:val="nil"/>
          <w:right w:val="nil"/>
        </w:tcBorders>
        <w:tcMar>
          <w:top w:w="0" w:type="nil"/>
          <w:left w:w="115" w:type="dxa"/>
          <w:bottom w:w="0" w:type="nil"/>
          <w:right w:w="115" w:type="dxa"/>
        </w:tcMar>
      </w:tcPr>
    </w:tblStylePr>
    <w:tblStylePr w:type="seCell">
      <w:pPr>
        <w:contextualSpacing/>
      </w:pPr>
      <w:tblPr/>
      <w:tcPr>
        <w:tcBorders>
          <w:top w:val="single" w:sz="4" w:space="0" w:color="A5A5A5"/>
          <w:left w:val="nil"/>
        </w:tcBorders>
        <w:tcMar>
          <w:top w:w="0" w:type="nil"/>
          <w:left w:w="115" w:type="dxa"/>
          <w:bottom w:w="0" w:type="nil"/>
          <w:right w:w="115" w:type="dxa"/>
        </w:tcMar>
      </w:tcPr>
    </w:tblStylePr>
    <w:tblStylePr w:type="swCell">
      <w:pPr>
        <w:contextualSpacing/>
      </w:pPr>
      <w:tblPr/>
      <w:tcPr>
        <w:tcBorders>
          <w:top w:val="single" w:sz="4" w:space="0" w:color="A5A5A5"/>
          <w:right w:val="nil"/>
        </w:tcBorders>
        <w:tcMar>
          <w:top w:w="0" w:type="nil"/>
          <w:left w:w="115" w:type="dxa"/>
          <w:bottom w:w="0" w:type="nil"/>
          <w:right w:w="115" w:type="dxa"/>
        </w:tcMar>
      </w:tcPr>
    </w:tblStyle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pPr>
      <w:contextualSpacing/>
      <w:jc w:val="left"/>
    </w:pPr>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customStyle="1" w:styleId="a9">
    <w:basedOn w:val="TableNormal"/>
    <w:pPr>
      <w:contextualSpacing/>
      <w:jc w:val="left"/>
    </w:pPr>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a">
    <w:basedOn w:val="TableNormal"/>
    <w:pPr>
      <w:contextualSpacing/>
      <w:jc w:val="left"/>
    </w:pPr>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b">
    <w:basedOn w:val="TableNormal"/>
    <w:pPr>
      <w:contextualSpacing/>
      <w:jc w:val="left"/>
    </w:pPr>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tblStylePr w:type="firstRow">
      <w:pPr>
        <w:contextualSpacing/>
      </w:pPr>
      <w:rPr>
        <w:b/>
      </w:rPr>
      <w:tblPr/>
      <w:tcPr>
        <w:tcMar>
          <w:top w:w="0" w:type="nil"/>
          <w:left w:w="115" w:type="dxa"/>
          <w:bottom w:w="0" w:type="nil"/>
          <w:right w:w="115" w:type="dxa"/>
        </w:tcMar>
      </w:tcPr>
    </w:tblStylePr>
    <w:tblStylePr w:type="lastRow">
      <w:pPr>
        <w:contextualSpacing/>
      </w:pPr>
      <w:rPr>
        <w:b/>
      </w:rPr>
      <w:tblPr/>
      <w:tcPr>
        <w:tcBorders>
          <w:top w:val="single" w:sz="4" w:space="0" w:color="BFBFBF"/>
        </w:tcBorders>
        <w:tcMar>
          <w:top w:w="0" w:type="nil"/>
          <w:left w:w="115" w:type="dxa"/>
          <w:bottom w:w="0" w:type="nil"/>
          <w:right w:w="115" w:type="dxa"/>
        </w:tcMar>
      </w:tcPr>
    </w:tblStylePr>
    <w:tblStylePr w:type="firstCol">
      <w:pPr>
        <w:contextualSpacing/>
      </w:pPr>
      <w:rPr>
        <w:b/>
      </w:rPr>
      <w:tblPr/>
      <w:tcPr>
        <w:tcMar>
          <w:top w:w="0" w:type="nil"/>
          <w:left w:w="115" w:type="dxa"/>
          <w:bottom w:w="0" w:type="nil"/>
          <w:right w:w="115" w:type="dxa"/>
        </w:tcMar>
      </w:tcPr>
    </w:tblStylePr>
    <w:tblStylePr w:type="lastCol">
      <w:pPr>
        <w:contextualSpacing/>
      </w:pPr>
      <w:rPr>
        <w:b/>
      </w:rPr>
      <w:tblPr/>
      <w:tcPr>
        <w:tcMar>
          <w:top w:w="0" w:type="nil"/>
          <w:left w:w="115" w:type="dxa"/>
          <w:bottom w:w="0" w:type="nil"/>
          <w:right w:w="115" w:type="dxa"/>
        </w:tcMar>
      </w:tcPr>
    </w:tblStylePr>
    <w:tblStylePr w:type="band1Vert">
      <w:pPr>
        <w:contextualSpacing/>
      </w:pPr>
      <w:tblPr/>
      <w:tcPr>
        <w:shd w:val="clear" w:color="auto" w:fill="F2F2F2"/>
        <w:tcMar>
          <w:top w:w="0" w:type="nil"/>
          <w:left w:w="115" w:type="dxa"/>
          <w:bottom w:w="0" w:type="nil"/>
          <w:right w:w="115" w:type="dxa"/>
        </w:tcMar>
      </w:tcPr>
    </w:tblStylePr>
    <w:tblStylePr w:type="band1Horz">
      <w:pPr>
        <w:contextualSpacing/>
      </w:pPr>
      <w:tblPr/>
      <w:tcPr>
        <w:shd w:val="clear" w:color="auto" w:fill="F2F2F2"/>
        <w:tcMar>
          <w:top w:w="0" w:type="nil"/>
          <w:left w:w="115" w:type="dxa"/>
          <w:bottom w:w="0" w:type="nil"/>
          <w:right w:w="115" w:type="dxa"/>
        </w:tcMar>
      </w:tcPr>
    </w:tblStylePr>
  </w:style>
  <w:style w:type="table" w:customStyle="1" w:styleId="ac">
    <w:basedOn w:val="TableNormal"/>
    <w:pPr>
      <w:contextualSpacing/>
      <w:jc w:val="left"/>
    </w:pPr>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d">
    <w:basedOn w:val="TableNormal"/>
    <w:pPr>
      <w:contextualSpacing/>
      <w:jc w:val="left"/>
    </w:pPr>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tblStylePr w:type="firstRow">
      <w:pPr>
        <w:contextualSpacing/>
      </w:pPr>
      <w:rPr>
        <w:b/>
        <w:color w:val="FFFFFF"/>
      </w:rPr>
      <w:tblPr/>
      <w:tcPr>
        <w:shd w:val="clear" w:color="auto" w:fill="A5A5A5"/>
        <w:tcMar>
          <w:top w:w="0" w:type="nil"/>
          <w:left w:w="115" w:type="dxa"/>
          <w:bottom w:w="0" w:type="nil"/>
          <w:right w:w="115" w:type="dxa"/>
        </w:tcMar>
      </w:tcPr>
    </w:tblStylePr>
    <w:tblStylePr w:type="lastRow">
      <w:pPr>
        <w:contextualSpacing/>
      </w:pPr>
      <w:rPr>
        <w:b/>
      </w:rPr>
      <w:tblPr/>
      <w:tcPr>
        <w:tcBorders>
          <w:top w:val="single" w:sz="4" w:space="0" w:color="A5A5A5"/>
        </w:tcBorders>
        <w:shd w:val="clear" w:color="auto" w:fill="FFFFFF"/>
        <w:tcMar>
          <w:top w:w="0" w:type="nil"/>
          <w:left w:w="115" w:type="dxa"/>
          <w:bottom w:w="0" w:type="nil"/>
          <w:right w:w="115" w:type="dxa"/>
        </w:tcMar>
      </w:tcPr>
    </w:tblStylePr>
    <w:tblStylePr w:type="firstCol">
      <w:pPr>
        <w:contextualSpacing/>
      </w:pPr>
      <w:rPr>
        <w:b/>
      </w:rPr>
      <w:tblPr/>
      <w:tcPr>
        <w:tcBorders>
          <w:right w:val="nil"/>
        </w:tcBorders>
        <w:shd w:val="clear" w:color="auto" w:fill="FFFFFF"/>
        <w:tcMar>
          <w:top w:w="0" w:type="nil"/>
          <w:left w:w="115" w:type="dxa"/>
          <w:bottom w:w="0" w:type="nil"/>
          <w:right w:w="115" w:type="dxa"/>
        </w:tcMar>
      </w:tcPr>
    </w:tblStylePr>
    <w:tblStylePr w:type="lastCol">
      <w:pPr>
        <w:contextualSpacing/>
      </w:pPr>
      <w:rPr>
        <w:b/>
      </w:rPr>
      <w:tblPr/>
      <w:tcPr>
        <w:tcBorders>
          <w:left w:val="nil"/>
        </w:tcBorders>
        <w:shd w:val="clear" w:color="auto" w:fill="FFFFFF"/>
        <w:tcMar>
          <w:top w:w="0" w:type="nil"/>
          <w:left w:w="115" w:type="dxa"/>
          <w:bottom w:w="0" w:type="nil"/>
          <w:right w:w="115" w:type="dxa"/>
        </w:tcMar>
      </w:tcPr>
    </w:tblStylePr>
    <w:tblStylePr w:type="band1Vert">
      <w:pPr>
        <w:contextualSpacing/>
      </w:pPr>
      <w:tblPr/>
      <w:tcPr>
        <w:tcBorders>
          <w:left w:val="single" w:sz="4" w:space="0" w:color="A5A5A5"/>
          <w:right w:val="single" w:sz="4" w:space="0" w:color="A5A5A5"/>
        </w:tcBorders>
        <w:tcMar>
          <w:top w:w="0" w:type="nil"/>
          <w:left w:w="115" w:type="dxa"/>
          <w:bottom w:w="0" w:type="nil"/>
          <w:right w:w="115" w:type="dxa"/>
        </w:tcMar>
      </w:tcPr>
    </w:tblStylePr>
    <w:tblStylePr w:type="band1Horz">
      <w:pPr>
        <w:contextualSpacing/>
      </w:pPr>
      <w:tblPr/>
      <w:tcPr>
        <w:tcBorders>
          <w:top w:val="single" w:sz="4" w:space="0" w:color="A5A5A5"/>
          <w:bottom w:val="single" w:sz="4" w:space="0" w:color="A5A5A5"/>
          <w:insideH w:val="nil"/>
        </w:tcBorders>
        <w:tcMar>
          <w:top w:w="0" w:type="nil"/>
          <w:left w:w="115" w:type="dxa"/>
          <w:bottom w:w="0" w:type="nil"/>
          <w:right w:w="115" w:type="dxa"/>
        </w:tcMar>
      </w:tcPr>
    </w:tblStylePr>
    <w:tblStylePr w:type="neCell">
      <w:pPr>
        <w:contextualSpacing/>
      </w:pPr>
      <w:tblPr/>
      <w:tcPr>
        <w:tcBorders>
          <w:left w:val="nil"/>
          <w:bottom w:val="nil"/>
        </w:tcBorders>
        <w:tcMar>
          <w:top w:w="0" w:type="nil"/>
          <w:left w:w="115" w:type="dxa"/>
          <w:bottom w:w="0" w:type="nil"/>
          <w:right w:w="115" w:type="dxa"/>
        </w:tcMar>
      </w:tcPr>
    </w:tblStylePr>
    <w:tblStylePr w:type="nwCell">
      <w:pPr>
        <w:contextualSpacing/>
      </w:pPr>
      <w:tblPr/>
      <w:tcPr>
        <w:tcBorders>
          <w:bottom w:val="nil"/>
          <w:right w:val="nil"/>
        </w:tcBorders>
        <w:tcMar>
          <w:top w:w="0" w:type="nil"/>
          <w:left w:w="115" w:type="dxa"/>
          <w:bottom w:w="0" w:type="nil"/>
          <w:right w:w="115" w:type="dxa"/>
        </w:tcMar>
      </w:tcPr>
    </w:tblStylePr>
    <w:tblStylePr w:type="seCell">
      <w:pPr>
        <w:contextualSpacing/>
      </w:pPr>
      <w:tblPr/>
      <w:tcPr>
        <w:tcBorders>
          <w:top w:val="single" w:sz="4" w:space="0" w:color="A5A5A5"/>
          <w:left w:val="nil"/>
        </w:tcBorders>
        <w:tcMar>
          <w:top w:w="0" w:type="nil"/>
          <w:left w:w="115" w:type="dxa"/>
          <w:bottom w:w="0" w:type="nil"/>
          <w:right w:w="115" w:type="dxa"/>
        </w:tcMar>
      </w:tcPr>
    </w:tblStylePr>
    <w:tblStylePr w:type="swCell">
      <w:pPr>
        <w:contextualSpacing/>
      </w:pPr>
      <w:tblPr/>
      <w:tcPr>
        <w:tcBorders>
          <w:top w:val="single" w:sz="4" w:space="0" w:color="A5A5A5"/>
          <w:right w:val="nil"/>
        </w:tcBorders>
        <w:tcMar>
          <w:top w:w="0" w:type="nil"/>
          <w:left w:w="115" w:type="dxa"/>
          <w:bottom w:w="0" w:type="nil"/>
          <w:right w:w="115" w:type="dxa"/>
        </w:tcMar>
      </w:tcPr>
    </w:tblStylePr>
  </w:style>
  <w:style w:type="table" w:customStyle="1" w:styleId="ae">
    <w:basedOn w:val="TableNormal"/>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37302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cambridgeshire.gov.uk/info/20004/health_and_keeping_well/537/health_improvement/10" TargetMode="External"/><Relationship Id="rId18" Type="http://schemas.openxmlformats.org/officeDocument/2006/relationships/hyperlink" Target="https://www.peterborough.gov.uk/upload/www.peterborough.gov.uk/healthcare/public-health/HealthAndWellbeingStrategy-Draft-July2016.pdf?inline=true" TargetMode="External"/><Relationship Id="rId26" Type="http://schemas.openxmlformats.org/officeDocument/2006/relationships/hyperlink" Target="http://www.healthwatchcambridgeshire.co.uk/sites/default/files/myownmind_final.pdf" TargetMode="External"/><Relationship Id="rId39" Type="http://schemas.openxmlformats.org/officeDocument/2006/relationships/image" Target="media/image3.png"/><Relationship Id="rId21" Type="http://schemas.openxmlformats.org/officeDocument/2006/relationships/hyperlink" Target="https://www.england.nhs.uk/wp-content/uploads/2014/12/delvr-with-delvrng-well.pdf" TargetMode="External"/><Relationship Id="rId34" Type="http://schemas.openxmlformats.org/officeDocument/2006/relationships/hyperlink" Target="https://www.peterborough.gov.uk/upload/www.peterborough.gov.uk/healthcare/public-health/ChildrenAndYoungPeopleJSNA-June2015.pdf?inline=true" TargetMode="External"/><Relationship Id="rId42" Type="http://schemas.openxmlformats.org/officeDocument/2006/relationships/hyperlink" Target="https://www.gov.uk/government/uploads/system/uploads/attachement_data/file/351629/Annual_report_2013_1.pdf" TargetMode="External"/><Relationship Id="rId47" Type="http://schemas.openxmlformats.org/officeDocument/2006/relationships/hyperlink" Target="http://www.nice.org/uk/guidance" TargetMode="External"/><Relationship Id="rId50" Type="http://schemas.openxmlformats.org/officeDocument/2006/relationships/hyperlink" Target="https://www.nice.org.uk/guidance/cg90" TargetMode="External"/><Relationship Id="rId55" Type="http://schemas.openxmlformats.org/officeDocument/2006/relationships/hyperlink" Target="https://www.nice.org.uk/guidance/qs48" TargetMode="External"/><Relationship Id="rId63" Type="http://schemas.openxmlformats.org/officeDocument/2006/relationships/header" Target="header1.xml"/><Relationship Id="rId7" Type="http://schemas.openxmlformats.org/officeDocument/2006/relationships/hyperlink" Target="http://cambridgeshireinsight.org.uk/jsna" TargetMode="External"/><Relationship Id="rId2" Type="http://schemas.openxmlformats.org/officeDocument/2006/relationships/styles" Target="styles.xml"/><Relationship Id="rId16" Type="http://schemas.openxmlformats.org/officeDocument/2006/relationships/hyperlink" Target="http://www.cambridgeshire.gov.uk/info/20004/health_and_keeping_well/548/cambridgeshire_health_and_wellbeing_board" TargetMode="External"/><Relationship Id="rId20" Type="http://schemas.openxmlformats.org/officeDocument/2006/relationships/hyperlink" Target="http://cambridgeshireinsight.org.uk/health/healthtopics/mh/suicide" TargetMode="External"/><Relationship Id="rId29" Type="http://schemas.openxmlformats.org/officeDocument/2006/relationships/hyperlink" Target="http://www.healthwatchcambridgeshire.co.uk/sites/default/files/myownmind_final.pdf" TargetMode="External"/><Relationship Id="rId41" Type="http://schemas.openxmlformats.org/officeDocument/2006/relationships/hyperlink" Target="https://www.ucl.ac.uk/ebpu/docs/publication_files/Guide_COOP_Book010414.pdf" TargetMode="External"/><Relationship Id="rId54" Type="http://schemas.openxmlformats.org/officeDocument/2006/relationships/hyperlink" Target="http://www.nice.ork.uk/guidance/ph28" TargetMode="External"/><Relationship Id="rId62" Type="http://schemas.openxmlformats.org/officeDocument/2006/relationships/hyperlink" Target="https://www.gov.uk/government/publications/quality-criteria-for-young-people-friendly-health-servic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ambridgeshireandpeterboroughccg.nhs.uk/STP/emotional-health-and-wellbeing.htm" TargetMode="External"/><Relationship Id="rId24" Type="http://schemas.openxmlformats.org/officeDocument/2006/relationships/hyperlink" Target="http://www.healthwatchcambridgeshire.co.uk/sites/default/files/thriving_report_final.pdf" TargetMode="External"/><Relationship Id="rId32" Type="http://schemas.openxmlformats.org/officeDocument/2006/relationships/hyperlink" Target="http://www.healthwatchpeterborough.co.uk/news/healthwatch-peterboroughs-young-people-and-mental-health-report" TargetMode="External"/><Relationship Id="rId37" Type="http://schemas.openxmlformats.org/officeDocument/2006/relationships/image" Target="media/image2.png"/><Relationship Id="rId40" Type="http://schemas.openxmlformats.org/officeDocument/2006/relationships/hyperlink" Target="http://www.keep-your-head.com" TargetMode="External"/><Relationship Id="rId45" Type="http://schemas.openxmlformats.org/officeDocument/2006/relationships/hyperlink" Target="https://www.nice.org.uk/guidance/cg16/chapter/1-guidance" TargetMode="External"/><Relationship Id="rId53" Type="http://schemas.openxmlformats.org/officeDocument/2006/relationships/hyperlink" Target="http://www.nice.ork.uk/guidance/ph28" TargetMode="External"/><Relationship Id="rId58" Type="http://schemas.openxmlformats.org/officeDocument/2006/relationships/hyperlink" Target="https://www.nice.org.uk/guidance/cg159?unlid=2922230212016242297" TargetMode="External"/><Relationship Id="rId66"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cambridgeshire.gov.uk/info/20004/health_and_keeping_well/548/cambridgeshire_health_and_wellbeing_board" TargetMode="External"/><Relationship Id="rId23" Type="http://schemas.openxmlformats.org/officeDocument/2006/relationships/hyperlink" Target="http://www.healthwatchcambridgeshire.co.uk/sites/default/files/thriving_report_final.pdf" TargetMode="External"/><Relationship Id="rId28" Type="http://schemas.openxmlformats.org/officeDocument/2006/relationships/hyperlink" Target="http://www.healthwatchcambridgeshire.co.uk/sites/default/files/myownmind_final.pdf" TargetMode="External"/><Relationship Id="rId36" Type="http://schemas.openxmlformats.org/officeDocument/2006/relationships/image" Target="media/image1.png"/><Relationship Id="rId49" Type="http://schemas.openxmlformats.org/officeDocument/2006/relationships/hyperlink" Target="https://www.nice.org.uk/guidance/ph12" TargetMode="External"/><Relationship Id="rId57" Type="http://schemas.openxmlformats.org/officeDocument/2006/relationships/hyperlink" Target="https://www.nice.org.uk/guidance/qs34" TargetMode="External"/><Relationship Id="rId61" Type="http://schemas.openxmlformats.org/officeDocument/2006/relationships/hyperlink" Target="http://www.who.int/mediacentre/factsheets/fs220/en" TargetMode="External"/><Relationship Id="rId10" Type="http://schemas.openxmlformats.org/officeDocument/2006/relationships/hyperlink" Target="http://www.cambridgeshireandpeterboroughccg.nhs.uk/easysiteweb/getresource.axd?assetid=5578&amp;type=0&amp;servicetype=1" TargetMode="External"/><Relationship Id="rId19" Type="http://schemas.openxmlformats.org/officeDocument/2006/relationships/hyperlink" Target="https://www.peterborough.gov.uk/upload/www.peterborough.gov.uk/healthcare/public-health/HealthAndWellbeingStrategy-Draft-July2016.pdf?inline=true" TargetMode="External"/><Relationship Id="rId31" Type="http://schemas.openxmlformats.org/officeDocument/2006/relationships/hyperlink" Target="http://www.healthwatchpeterborough.co.uk/news/healthwatch-peterboroughs-young-people-and-mental-health-report" TargetMode="External"/><Relationship Id="rId44" Type="http://schemas.openxmlformats.org/officeDocument/2006/relationships/hyperlink" Target="https://www.gov.uk/government/publications/talking-therapies-a-4-year-plan-of-action" TargetMode="External"/><Relationship Id="rId52" Type="http://schemas.openxmlformats.org/officeDocument/2006/relationships/hyperlink" Target="https://www.nice.org.uk/guidance/ph20/chapter/1-recommendations" TargetMode="External"/><Relationship Id="rId60" Type="http://schemas.openxmlformats.org/officeDocument/2006/relationships/hyperlink" Target="http://www.who.int/mediacentre/factsheets/fs220/en"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fitforfuture.org.uk/2016/11/23/1050/" TargetMode="External"/><Relationship Id="rId14" Type="http://schemas.openxmlformats.org/officeDocument/2006/relationships/hyperlink" Target="http://www.cambridgeshire.gov.uk/info/20004/health_and_keeping_well/548/cambridgeshire_health_and_wellbeing_board" TargetMode="External"/><Relationship Id="rId22" Type="http://schemas.openxmlformats.org/officeDocument/2006/relationships/hyperlink" Target="http://www.healthwatchcambridgeshire.co.uk/sites/default/files/thriving_report_final.pdf" TargetMode="External"/><Relationship Id="rId27" Type="http://schemas.openxmlformats.org/officeDocument/2006/relationships/hyperlink" Target="http://www.healthwatchcambridgeshire.co.uk/sites/default/files/myownmind_final.pdf" TargetMode="External"/><Relationship Id="rId30" Type="http://schemas.openxmlformats.org/officeDocument/2006/relationships/hyperlink" Target="http://www.healthwatchpeterborough.co.uk/news/healthwatch-peterboroughs-young-people-and-mental-health-report" TargetMode="External"/><Relationship Id="rId35" Type="http://schemas.openxmlformats.org/officeDocument/2006/relationships/hyperlink" Target="http://www.phoutcomes.info/" TargetMode="External"/><Relationship Id="rId43" Type="http://schemas.openxmlformats.org/officeDocument/2006/relationships/hyperlink" Target="https://www.gov.uk/government/publications/talking-therapies-a-4-year-plan-of-action" TargetMode="External"/><Relationship Id="rId48" Type="http://schemas.openxmlformats.org/officeDocument/2006/relationships/hyperlink" Target="http://www.nice.org/uk/guidance/ph4" TargetMode="External"/><Relationship Id="rId56" Type="http://schemas.openxmlformats.org/officeDocument/2006/relationships/hyperlink" Target="https://www.nice.org.uk/guidance/qs31" TargetMode="External"/><Relationship Id="rId64" Type="http://schemas.openxmlformats.org/officeDocument/2006/relationships/footer" Target="footer1.xml"/><Relationship Id="rId8" Type="http://schemas.openxmlformats.org/officeDocument/2006/relationships/hyperlink" Target="https://www.peterborough.gov.uk/healthcare/public-health/JSNA/" TargetMode="External"/><Relationship Id="rId51" Type="http://schemas.openxmlformats.org/officeDocument/2006/relationships/hyperlink" Target="https://www.nice.org.uk/guidance/ph17" TargetMode="External"/><Relationship Id="rId3" Type="http://schemas.openxmlformats.org/officeDocument/2006/relationships/settings" Target="settings.xml"/><Relationship Id="rId12" Type="http://schemas.openxmlformats.org/officeDocument/2006/relationships/hyperlink" Target="http://www.cambridgeshire.gov.uk/info/20004/health_and_keeping_well/537/health_improvement/10" TargetMode="External"/><Relationship Id="rId17" Type="http://schemas.openxmlformats.org/officeDocument/2006/relationships/hyperlink" Target="https://www.peterborough.gov.uk/upload/www.peterborough.gov.uk/healthcare/public-health/HealthAndWellbeingStrategy-Draft-July2016.pdf?inline=true" TargetMode="External"/><Relationship Id="rId25" Type="http://schemas.openxmlformats.org/officeDocument/2006/relationships/hyperlink" Target="http://www.healthwatchcambridgeshire.co.uk/sites/default/files/thriving_report_final.pdf" TargetMode="External"/><Relationship Id="rId33" Type="http://schemas.openxmlformats.org/officeDocument/2006/relationships/hyperlink" Target="http://cambridgeshireinsight.org.uk/joint-strategic-needs-assessment/current-jsna-reports" TargetMode="External"/><Relationship Id="rId38" Type="http://schemas.openxmlformats.org/officeDocument/2006/relationships/hyperlink" Target="http://www.implementingthrive.org" TargetMode="External"/><Relationship Id="rId46" Type="http://schemas.openxmlformats.org/officeDocument/2006/relationships/hyperlink" Target="http://www.nice.org.uk/" TargetMode="External"/><Relationship Id="rId59" Type="http://schemas.openxmlformats.org/officeDocument/2006/relationships/hyperlink" Target="https://www.nice.org.uk/guidance/cg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31</Pages>
  <Words>10736</Words>
  <Characters>61198</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Peterborough City Council</Company>
  <LinksUpToDate>false</LinksUpToDate>
  <CharactersWithSpaces>71791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Stott Wayne</dc:creator>
  <cp:lastModifiedBy>Stott Wayne</cp:lastModifiedBy>
  <cp:revision>3</cp:revision>
  <dcterms:created xsi:type="dcterms:W3CDTF">2017-04-11T13:59:00Z</dcterms:created>
  <dcterms:modified xsi:type="dcterms:W3CDTF">2017-04-13T19:09:00Z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0cacc6dd-c86a-4856-9451-cfc021b2333b</vt:lpwstr>
  </property>
  <property fmtid="{D5CDD505-2E9C-101B-9397-08002B2CF9AE}" pid="3" name="SercoClassification">
    <vt:lpwstr>Not a Serco document (No visible marking)</vt:lpwstr>
  </property>
</Properties>
</file>