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91F0E" w14:textId="4DCD33CD" w:rsidR="00EB5CB4" w:rsidRPr="00683854" w:rsidRDefault="00EB5CB4" w:rsidP="001F1297">
      <w:pPr>
        <w:ind w:left="720" w:firstLine="720"/>
        <w:jc w:val="both"/>
        <w:rPr>
          <w:b/>
          <w:sz w:val="36"/>
          <w:szCs w:val="36"/>
          <w:u w:val="single"/>
        </w:rPr>
      </w:pPr>
      <w:r w:rsidRPr="00683854">
        <w:rPr>
          <w:b/>
          <w:sz w:val="36"/>
          <w:szCs w:val="36"/>
          <w:u w:val="single"/>
        </w:rPr>
        <w:t>Newborough and Borough Fen Parish Council</w:t>
      </w:r>
    </w:p>
    <w:p w14:paraId="408EC57F" w14:textId="7434D116" w:rsidR="00683854" w:rsidRDefault="00683854" w:rsidP="00683854">
      <w:pPr>
        <w:autoSpaceDE w:val="0"/>
        <w:autoSpaceDN w:val="0"/>
        <w:adjustRightInd w:val="0"/>
        <w:jc w:val="center"/>
        <w:rPr>
          <w:rFonts w:cs="Arial"/>
          <w:bCs/>
          <w:color w:val="000000"/>
        </w:rPr>
      </w:pPr>
      <w:r w:rsidRPr="0089144E">
        <w:rPr>
          <w:rFonts w:cs="Arial"/>
          <w:bCs/>
          <w:color w:val="000000"/>
        </w:rPr>
        <w:t xml:space="preserve">Clerk: Irene </w:t>
      </w:r>
      <w:proofErr w:type="spellStart"/>
      <w:r w:rsidRPr="0089144E">
        <w:rPr>
          <w:rFonts w:cs="Arial"/>
          <w:bCs/>
          <w:color w:val="000000"/>
        </w:rPr>
        <w:t>Healiss</w:t>
      </w:r>
      <w:proofErr w:type="spellEnd"/>
    </w:p>
    <w:p w14:paraId="5CA8E561" w14:textId="2946245E" w:rsidR="00683854" w:rsidRPr="0089144E" w:rsidRDefault="00683854" w:rsidP="00683854">
      <w:pPr>
        <w:autoSpaceDE w:val="0"/>
        <w:autoSpaceDN w:val="0"/>
        <w:adjustRightInd w:val="0"/>
        <w:jc w:val="center"/>
        <w:rPr>
          <w:rFonts w:cs="Arial"/>
          <w:bCs/>
          <w:color w:val="000000"/>
        </w:rPr>
      </w:pPr>
      <w:r>
        <w:rPr>
          <w:rFonts w:cs="Arial"/>
          <w:bCs/>
          <w:color w:val="000000"/>
        </w:rPr>
        <w:t>5 Blenheim Road, Ramsey, PE261AL</w:t>
      </w:r>
    </w:p>
    <w:p w14:paraId="5674AD07" w14:textId="02EDE8DE" w:rsidR="00683854" w:rsidRPr="0089144E" w:rsidRDefault="00683854" w:rsidP="00683854">
      <w:pPr>
        <w:autoSpaceDE w:val="0"/>
        <w:autoSpaceDN w:val="0"/>
        <w:adjustRightInd w:val="0"/>
        <w:jc w:val="center"/>
        <w:rPr>
          <w:rFonts w:cs="Arial"/>
          <w:bCs/>
          <w:color w:val="000000"/>
        </w:rPr>
      </w:pPr>
      <w:r w:rsidRPr="0089144E">
        <w:rPr>
          <w:rFonts w:cs="Arial"/>
          <w:bCs/>
          <w:color w:val="000000"/>
        </w:rPr>
        <w:t>07388584591</w:t>
      </w:r>
    </w:p>
    <w:p w14:paraId="11F93592" w14:textId="72A9989E" w:rsidR="001F1297" w:rsidRPr="00683854" w:rsidRDefault="00917EA1" w:rsidP="00683854">
      <w:pPr>
        <w:autoSpaceDE w:val="0"/>
        <w:autoSpaceDN w:val="0"/>
        <w:adjustRightInd w:val="0"/>
        <w:jc w:val="center"/>
        <w:rPr>
          <w:rFonts w:cs="Arial"/>
          <w:bCs/>
          <w:color w:val="000000"/>
        </w:rPr>
      </w:pPr>
      <w:hyperlink r:id="rId5" w:history="1">
        <w:r w:rsidR="00683854" w:rsidRPr="0089144E">
          <w:rPr>
            <w:rStyle w:val="Hyperlink"/>
            <w:rFonts w:cs="Arial"/>
            <w:bCs/>
            <w:u w:val="none"/>
          </w:rPr>
          <w:t>clerk@newboroughandboroughfen-pc.gov.uk</w:t>
        </w:r>
      </w:hyperlink>
    </w:p>
    <w:p w14:paraId="57285B24" w14:textId="15FCCD64" w:rsidR="00C737CB" w:rsidRPr="00683854" w:rsidRDefault="00EB5CB4" w:rsidP="00683854">
      <w:pPr>
        <w:jc w:val="center"/>
        <w:rPr>
          <w:b/>
          <w:sz w:val="32"/>
          <w:szCs w:val="32"/>
          <w:u w:val="single"/>
        </w:rPr>
      </w:pPr>
      <w:r w:rsidRPr="00683854">
        <w:rPr>
          <w:b/>
          <w:sz w:val="32"/>
          <w:szCs w:val="32"/>
          <w:u w:val="single"/>
        </w:rPr>
        <w:t>Tender</w:t>
      </w:r>
      <w:r w:rsidR="00A75649" w:rsidRPr="00683854">
        <w:rPr>
          <w:b/>
          <w:sz w:val="32"/>
          <w:szCs w:val="32"/>
          <w:u w:val="single"/>
        </w:rPr>
        <w:t xml:space="preserve">ing </w:t>
      </w:r>
      <w:r w:rsidRPr="00683854">
        <w:rPr>
          <w:b/>
          <w:sz w:val="32"/>
          <w:szCs w:val="32"/>
          <w:u w:val="single"/>
        </w:rPr>
        <w:t xml:space="preserve"> for </w:t>
      </w:r>
      <w:proofErr w:type="spellStart"/>
      <w:r w:rsidRPr="00683854">
        <w:rPr>
          <w:b/>
          <w:sz w:val="32"/>
          <w:szCs w:val="32"/>
          <w:u w:val="single"/>
        </w:rPr>
        <w:t>Fernie</w:t>
      </w:r>
      <w:proofErr w:type="spellEnd"/>
      <w:r w:rsidRPr="00683854">
        <w:rPr>
          <w:b/>
          <w:sz w:val="32"/>
          <w:szCs w:val="32"/>
          <w:u w:val="single"/>
        </w:rPr>
        <w:t xml:space="preserve"> Close Project </w:t>
      </w:r>
      <w:r w:rsidR="00A75649" w:rsidRPr="00683854">
        <w:rPr>
          <w:b/>
          <w:sz w:val="32"/>
          <w:szCs w:val="32"/>
          <w:u w:val="single"/>
        </w:rPr>
        <w:t>-</w:t>
      </w:r>
      <w:r w:rsidR="00C737CB" w:rsidRPr="00683854">
        <w:rPr>
          <w:b/>
          <w:sz w:val="32"/>
          <w:szCs w:val="32"/>
          <w:u w:val="single"/>
        </w:rPr>
        <w:t xml:space="preserve">Supporting </w:t>
      </w:r>
      <w:r w:rsidRPr="00683854">
        <w:rPr>
          <w:b/>
          <w:sz w:val="32"/>
          <w:szCs w:val="32"/>
          <w:u w:val="single"/>
        </w:rPr>
        <w:t>S</w:t>
      </w:r>
      <w:r w:rsidR="00C737CB" w:rsidRPr="00683854">
        <w:rPr>
          <w:b/>
          <w:sz w:val="32"/>
          <w:szCs w:val="32"/>
          <w:u w:val="single"/>
        </w:rPr>
        <w:t>tatement</w:t>
      </w:r>
    </w:p>
    <w:p w14:paraId="423D65BF" w14:textId="474A9C3C" w:rsidR="007169C5" w:rsidRDefault="00FA45A6" w:rsidP="00C737CB">
      <w:pPr>
        <w:jc w:val="both"/>
      </w:pPr>
      <w:r>
        <w:t xml:space="preserve">Newborough and Borough Fen Parish Council are in the process of renovating its playing field in </w:t>
      </w:r>
      <w:proofErr w:type="spellStart"/>
      <w:r>
        <w:t>Fernie</w:t>
      </w:r>
      <w:proofErr w:type="spellEnd"/>
      <w:r>
        <w:t xml:space="preserve"> Close, Newborough</w:t>
      </w:r>
      <w:r w:rsidR="001F1297">
        <w:t xml:space="preserve">, </w:t>
      </w:r>
      <w:r>
        <w:t>Cambridgeshir</w:t>
      </w:r>
      <w:r w:rsidR="00604F11">
        <w:t>e</w:t>
      </w:r>
      <w:r>
        <w:t>. Newborough is a medium size</w:t>
      </w:r>
      <w:r w:rsidR="001F1297">
        <w:t>d</w:t>
      </w:r>
      <w:r>
        <w:t xml:space="preserve"> Village with a population of </w:t>
      </w:r>
      <w:r w:rsidR="00D51E9A">
        <w:t>1475</w:t>
      </w:r>
      <w:r>
        <w:t xml:space="preserve"> residents</w:t>
      </w:r>
      <w:r w:rsidR="00D51E9A">
        <w:t>, together with Borough Fen</w:t>
      </w:r>
      <w:r>
        <w:t xml:space="preserve">. </w:t>
      </w:r>
      <w:r w:rsidR="005A3AE2">
        <w:t>Following a period of consultation</w:t>
      </w:r>
      <w:r w:rsidR="00D51E9A">
        <w:t>,</w:t>
      </w:r>
      <w:r w:rsidR="005A3AE2">
        <w:t xml:space="preserve"> the young people from the village have prioritised the equipment listed below. </w:t>
      </w:r>
      <w:r>
        <w:t xml:space="preserve">We invite you to tender a quotation for the supply and installation of the equipment listed in the brief. </w:t>
      </w:r>
    </w:p>
    <w:p w14:paraId="487518EB" w14:textId="452FAFE4" w:rsidR="00FA45A6" w:rsidRDefault="00FA45A6" w:rsidP="00C737CB">
      <w:pPr>
        <w:jc w:val="both"/>
      </w:pPr>
      <w:r>
        <w:t xml:space="preserve">Your tender should </w:t>
      </w:r>
      <w:r w:rsidR="00BE1289">
        <w:t>include: -</w:t>
      </w:r>
    </w:p>
    <w:p w14:paraId="4F49C29E" w14:textId="77777777" w:rsidR="005A3AE2" w:rsidRDefault="005A3AE2" w:rsidP="005A3AE2">
      <w:pPr>
        <w:pStyle w:val="ListParagraph"/>
        <w:numPr>
          <w:ilvl w:val="0"/>
          <w:numId w:val="5"/>
        </w:numPr>
        <w:jc w:val="both"/>
      </w:pPr>
      <w:r>
        <w:t>The items of equipment described and shown below or equipment you supply to the same specifications.</w:t>
      </w:r>
    </w:p>
    <w:p w14:paraId="5BBBF9AB" w14:textId="77777777" w:rsidR="00FA45A6" w:rsidRDefault="005A3AE2" w:rsidP="005A3AE2">
      <w:pPr>
        <w:pStyle w:val="ListParagraph"/>
        <w:numPr>
          <w:ilvl w:val="0"/>
          <w:numId w:val="5"/>
        </w:numPr>
        <w:jc w:val="both"/>
      </w:pPr>
      <w:r>
        <w:t xml:space="preserve">The price of </w:t>
      </w:r>
      <w:r w:rsidR="00C737CB">
        <w:t xml:space="preserve">Individual </w:t>
      </w:r>
      <w:r>
        <w:t>pieces of equipment.</w:t>
      </w:r>
    </w:p>
    <w:p w14:paraId="5565FFE5" w14:textId="77777777" w:rsidR="005A3AE2" w:rsidRDefault="005A3AE2" w:rsidP="005A3AE2">
      <w:pPr>
        <w:pStyle w:val="ListParagraph"/>
        <w:numPr>
          <w:ilvl w:val="0"/>
          <w:numId w:val="5"/>
        </w:numPr>
        <w:jc w:val="both"/>
      </w:pPr>
      <w:r>
        <w:t>Installation cost</w:t>
      </w:r>
    </w:p>
    <w:p w14:paraId="4516C7D0" w14:textId="77777777" w:rsidR="005A3AE2" w:rsidRDefault="005A3AE2" w:rsidP="005A3AE2">
      <w:pPr>
        <w:pStyle w:val="ListParagraph"/>
        <w:numPr>
          <w:ilvl w:val="0"/>
          <w:numId w:val="5"/>
        </w:numPr>
        <w:jc w:val="both"/>
      </w:pPr>
      <w:r>
        <w:t>Time frame from starting installation to completion</w:t>
      </w:r>
    </w:p>
    <w:p w14:paraId="15FC4551" w14:textId="77777777" w:rsidR="000534C1" w:rsidRDefault="000534C1" w:rsidP="005A3AE2">
      <w:pPr>
        <w:pStyle w:val="ListParagraph"/>
        <w:numPr>
          <w:ilvl w:val="0"/>
          <w:numId w:val="5"/>
        </w:numPr>
        <w:jc w:val="both"/>
      </w:pPr>
      <w:r>
        <w:t>Lead time from tender acceptance to project commencement</w:t>
      </w:r>
    </w:p>
    <w:p w14:paraId="09FBE43C" w14:textId="77777777" w:rsidR="005A3AE2" w:rsidRDefault="005A3AE2" w:rsidP="005A3AE2">
      <w:pPr>
        <w:pStyle w:val="ListParagraph"/>
        <w:numPr>
          <w:ilvl w:val="0"/>
          <w:numId w:val="5"/>
        </w:numPr>
        <w:jc w:val="both"/>
      </w:pPr>
      <w:r>
        <w:t>Safety and security of the site during works</w:t>
      </w:r>
    </w:p>
    <w:p w14:paraId="1F6F80EE" w14:textId="77777777" w:rsidR="005A3AE2" w:rsidRDefault="005A3AE2" w:rsidP="005A3AE2">
      <w:pPr>
        <w:pStyle w:val="ListParagraph"/>
        <w:numPr>
          <w:ilvl w:val="0"/>
          <w:numId w:val="5"/>
        </w:numPr>
        <w:jc w:val="both"/>
      </w:pPr>
      <w:r>
        <w:t>Cost of installing “Grass Form” or similar ground cover over a suitable area around individual or grouped equipment</w:t>
      </w:r>
    </w:p>
    <w:p w14:paraId="13B1E79B" w14:textId="77777777" w:rsidR="005A3AE2" w:rsidRDefault="005A3AE2" w:rsidP="005A3AE2">
      <w:pPr>
        <w:pStyle w:val="ListParagraph"/>
        <w:numPr>
          <w:ilvl w:val="0"/>
          <w:numId w:val="5"/>
        </w:numPr>
        <w:jc w:val="both"/>
      </w:pPr>
      <w:r>
        <w:t>Details of warranty for each piece or collection of supplied equipment</w:t>
      </w:r>
    </w:p>
    <w:p w14:paraId="2B0EE12E" w14:textId="77777777" w:rsidR="005A3AE2" w:rsidRDefault="005A3AE2" w:rsidP="005A3AE2">
      <w:pPr>
        <w:pStyle w:val="ListParagraph"/>
        <w:numPr>
          <w:ilvl w:val="0"/>
          <w:numId w:val="5"/>
        </w:numPr>
        <w:jc w:val="both"/>
      </w:pPr>
      <w:r>
        <w:t>Details of service schedules or requirements to validate warranty including relevant terms and conditions of warranty</w:t>
      </w:r>
      <w:r w:rsidR="00403742">
        <w:t xml:space="preserve"> for all or individual pieces of equipment</w:t>
      </w:r>
    </w:p>
    <w:p w14:paraId="74E15A34" w14:textId="77777777" w:rsidR="00403742" w:rsidRDefault="00403742" w:rsidP="005A3AE2">
      <w:pPr>
        <w:pStyle w:val="ListParagraph"/>
        <w:numPr>
          <w:ilvl w:val="0"/>
          <w:numId w:val="5"/>
        </w:numPr>
        <w:jc w:val="both"/>
      </w:pPr>
      <w:r>
        <w:t>Life expectancy of the equipment in all categories</w:t>
      </w:r>
    </w:p>
    <w:p w14:paraId="044E7B73" w14:textId="0FE4BC15" w:rsidR="005A3AE2" w:rsidRDefault="000534C1" w:rsidP="005A3AE2">
      <w:pPr>
        <w:pStyle w:val="ListParagraph"/>
        <w:numPr>
          <w:ilvl w:val="0"/>
          <w:numId w:val="5"/>
        </w:numPr>
        <w:jc w:val="both"/>
      </w:pPr>
      <w:r>
        <w:t xml:space="preserve">Evidence of at least three other installations that have been done within </w:t>
      </w:r>
      <w:r w:rsidR="00F834DA">
        <w:t>20-mile</w:t>
      </w:r>
      <w:r>
        <w:t xml:space="preserve"> radius that can be inspected and testimonies sought</w:t>
      </w:r>
      <w:r w:rsidR="00122303">
        <w:t>.</w:t>
      </w:r>
    </w:p>
    <w:p w14:paraId="51E2964F" w14:textId="5B1191A3" w:rsidR="000534C1" w:rsidRDefault="000534C1" w:rsidP="000534C1">
      <w:pPr>
        <w:jc w:val="both"/>
      </w:pPr>
      <w:r>
        <w:t xml:space="preserve">In </w:t>
      </w:r>
      <w:r w:rsidR="00BE1289">
        <w:t>addition,</w:t>
      </w:r>
      <w:r>
        <w:t xml:space="preserve"> you are required to </w:t>
      </w:r>
      <w:r w:rsidR="00BE1289">
        <w:t>supply: -</w:t>
      </w:r>
    </w:p>
    <w:p w14:paraId="7CAD42FE" w14:textId="77777777" w:rsidR="000534C1" w:rsidRDefault="000534C1" w:rsidP="000534C1">
      <w:pPr>
        <w:pStyle w:val="ListParagraph"/>
        <w:numPr>
          <w:ilvl w:val="0"/>
          <w:numId w:val="6"/>
        </w:numPr>
        <w:jc w:val="both"/>
      </w:pPr>
      <w:r>
        <w:t>Evidence of VAT registration</w:t>
      </w:r>
    </w:p>
    <w:p w14:paraId="1DEFF280" w14:textId="0E846835" w:rsidR="000534C1" w:rsidRDefault="000534C1" w:rsidP="000534C1">
      <w:pPr>
        <w:pStyle w:val="ListParagraph"/>
        <w:numPr>
          <w:ilvl w:val="0"/>
          <w:numId w:val="6"/>
        </w:numPr>
        <w:jc w:val="both"/>
      </w:pPr>
      <w:r>
        <w:t xml:space="preserve">Copy of </w:t>
      </w:r>
      <w:r w:rsidR="00BE1289">
        <w:t>third-party</w:t>
      </w:r>
      <w:r>
        <w:t xml:space="preserve"> insurance liability</w:t>
      </w:r>
    </w:p>
    <w:p w14:paraId="1936E574" w14:textId="77777777" w:rsidR="000534C1" w:rsidRDefault="000534C1" w:rsidP="000534C1">
      <w:pPr>
        <w:pStyle w:val="ListParagraph"/>
        <w:numPr>
          <w:ilvl w:val="0"/>
          <w:numId w:val="6"/>
        </w:numPr>
        <w:jc w:val="both"/>
      </w:pPr>
      <w:r>
        <w:t>Copy of risk assessment of prospective works</w:t>
      </w:r>
    </w:p>
    <w:p w14:paraId="6A0D5B85" w14:textId="77777777" w:rsidR="000534C1" w:rsidRDefault="000534C1" w:rsidP="000534C1">
      <w:pPr>
        <w:pStyle w:val="ListParagraph"/>
        <w:numPr>
          <w:ilvl w:val="0"/>
          <w:numId w:val="6"/>
        </w:numPr>
        <w:jc w:val="both"/>
      </w:pPr>
      <w:r>
        <w:t>Copy of risk assessment regarding equipment use</w:t>
      </w:r>
    </w:p>
    <w:p w14:paraId="1D7CE8FE" w14:textId="52BE4112" w:rsidR="000534C1" w:rsidRDefault="000534C1" w:rsidP="000534C1">
      <w:pPr>
        <w:pStyle w:val="ListParagraph"/>
        <w:numPr>
          <w:ilvl w:val="0"/>
          <w:numId w:val="6"/>
        </w:numPr>
        <w:jc w:val="both"/>
      </w:pPr>
      <w:r>
        <w:t>Copy of COSHH assessment for the prospective works</w:t>
      </w:r>
    </w:p>
    <w:p w14:paraId="67D32ACD" w14:textId="71032408" w:rsidR="00FF3815" w:rsidRDefault="00FF3815" w:rsidP="000534C1">
      <w:pPr>
        <w:pStyle w:val="ListParagraph"/>
        <w:numPr>
          <w:ilvl w:val="0"/>
          <w:numId w:val="6"/>
        </w:numPr>
        <w:jc w:val="both"/>
      </w:pPr>
      <w:r>
        <w:t>Waste Management Licence</w:t>
      </w:r>
    </w:p>
    <w:p w14:paraId="5C030C6C" w14:textId="77777777" w:rsidR="000C4FCC" w:rsidRDefault="000C4FCC" w:rsidP="000534C1">
      <w:pPr>
        <w:jc w:val="both"/>
      </w:pPr>
      <w:r>
        <w:lastRenderedPageBreak/>
        <w:t>All tender applicants are invited to view the prospective location of the works to carry out a survey. Please contact the Clerk by email as listed below.</w:t>
      </w:r>
      <w:r w:rsidR="00403742">
        <w:t xml:space="preserve"> There is sufficient access to the field for plant and machinery. However, personal viewing is recommended.</w:t>
      </w:r>
    </w:p>
    <w:p w14:paraId="4F5C0A99" w14:textId="77777777" w:rsidR="00A75649" w:rsidRPr="00683854" w:rsidRDefault="000C4FCC" w:rsidP="000534C1">
      <w:pPr>
        <w:jc w:val="both"/>
        <w:rPr>
          <w:b/>
          <w:bCs/>
        </w:rPr>
      </w:pPr>
      <w:r>
        <w:t xml:space="preserve">Any further clarification of the required works can be obtained by contacting the </w:t>
      </w:r>
      <w:r w:rsidR="00A75649">
        <w:t>C</w:t>
      </w:r>
      <w:r>
        <w:t>lerk in the first instance.</w:t>
      </w:r>
    </w:p>
    <w:p w14:paraId="389F3FA4" w14:textId="3906817D" w:rsidR="000534C1" w:rsidRDefault="000534C1" w:rsidP="000534C1">
      <w:pPr>
        <w:jc w:val="both"/>
      </w:pPr>
      <w:r>
        <w:t xml:space="preserve">All tenders are required to be submitted to the Parish Clerk by </w:t>
      </w:r>
      <w:r w:rsidR="00715E15">
        <w:t xml:space="preserve">  </w:t>
      </w:r>
      <w:r w:rsidR="00683854" w:rsidRPr="007A0B20">
        <w:rPr>
          <w:b/>
          <w:bCs/>
          <w:sz w:val="24"/>
          <w:szCs w:val="24"/>
        </w:rPr>
        <w:t>Friday 4</w:t>
      </w:r>
      <w:r w:rsidR="00683854" w:rsidRPr="007A0B20">
        <w:rPr>
          <w:b/>
          <w:bCs/>
          <w:sz w:val="24"/>
          <w:szCs w:val="24"/>
          <w:vertAlign w:val="superscript"/>
        </w:rPr>
        <w:t>th</w:t>
      </w:r>
      <w:r w:rsidR="00683854" w:rsidRPr="007A0B20">
        <w:rPr>
          <w:b/>
          <w:bCs/>
          <w:sz w:val="24"/>
          <w:szCs w:val="24"/>
        </w:rPr>
        <w:t xml:space="preserve"> September 2020</w:t>
      </w:r>
      <w:r w:rsidR="00715E15">
        <w:t xml:space="preserve">  </w:t>
      </w:r>
      <w:r w:rsidR="007F23BD" w:rsidRPr="007F23BD">
        <w:t xml:space="preserve"> at the address below</w:t>
      </w:r>
      <w:r w:rsidR="000C4FCC" w:rsidRPr="007F23BD">
        <w:t xml:space="preserve">. Tenders are to be </w:t>
      </w:r>
      <w:r w:rsidR="00A75649" w:rsidRPr="007F23BD">
        <w:t xml:space="preserve">posted </w:t>
      </w:r>
      <w:r w:rsidR="000C4FCC" w:rsidRPr="007F23BD">
        <w:t>in sealed envelopes</w:t>
      </w:r>
      <w:r w:rsidR="00A75649" w:rsidRPr="007F23BD">
        <w:t xml:space="preserve"> (not emailed please) in order to com</w:t>
      </w:r>
      <w:r w:rsidR="00A75649">
        <w:t>ply with the Parish Council financial regulations</w:t>
      </w:r>
      <w:r w:rsidR="000C4FCC">
        <w:t xml:space="preserve">. The tenders will be opened </w:t>
      </w:r>
      <w:r w:rsidR="00683854">
        <w:t xml:space="preserve">and then discussed </w:t>
      </w:r>
      <w:r w:rsidR="000C4FCC">
        <w:t xml:space="preserve">at the </w:t>
      </w:r>
      <w:r w:rsidR="00683854">
        <w:t>arranged</w:t>
      </w:r>
      <w:r w:rsidR="000C4FCC">
        <w:t xml:space="preserve"> Parish Council Meeting</w:t>
      </w:r>
      <w:r w:rsidR="00683854">
        <w:t xml:space="preserve"> on Monday 7</w:t>
      </w:r>
      <w:r w:rsidR="00683854" w:rsidRPr="00683854">
        <w:rPr>
          <w:vertAlign w:val="superscript"/>
        </w:rPr>
        <w:t>th</w:t>
      </w:r>
      <w:r w:rsidR="00683854">
        <w:t xml:space="preserve"> September 2020</w:t>
      </w:r>
      <w:r w:rsidR="00403742">
        <w:t xml:space="preserve"> commencing at 7.15pm</w:t>
      </w:r>
      <w:r w:rsidR="00683854">
        <w:t>.</w:t>
      </w:r>
      <w:r w:rsidR="00A75649">
        <w:t xml:space="preserve"> </w:t>
      </w:r>
    </w:p>
    <w:p w14:paraId="29705399" w14:textId="4D312318" w:rsidR="00A75649" w:rsidRDefault="00DF5F9E" w:rsidP="007F23BD">
      <w:pPr>
        <w:jc w:val="both"/>
      </w:pPr>
      <w:r>
        <w:t>If guidance is required, a</w:t>
      </w:r>
      <w:r w:rsidR="00A75649">
        <w:t xml:space="preserve"> copy of</w:t>
      </w:r>
      <w:r>
        <w:t xml:space="preserve"> Parish Council Financial Regulations </w:t>
      </w:r>
      <w:r w:rsidR="00A75649">
        <w:t>are available at</w:t>
      </w:r>
      <w:r>
        <w:t>:-</w:t>
      </w:r>
      <w:hyperlink r:id="rId6" w:history="1">
        <w:r w:rsidRPr="00750954">
          <w:rPr>
            <w:rStyle w:val="Hyperlink"/>
          </w:rPr>
          <w:t>https://newboroughandboroughfenpc.org.uk/</w:t>
        </w:r>
      </w:hyperlink>
      <w:r w:rsidR="00A75649">
        <w:t xml:space="preserve">  </w:t>
      </w:r>
    </w:p>
    <w:p w14:paraId="50594853" w14:textId="77777777" w:rsidR="000534C1" w:rsidRPr="00A75649" w:rsidRDefault="000534C1" w:rsidP="000534C1">
      <w:pPr>
        <w:jc w:val="both"/>
        <w:rPr>
          <w:u w:val="single"/>
        </w:rPr>
      </w:pPr>
      <w:r w:rsidRPr="00A75649">
        <w:rPr>
          <w:u w:val="single"/>
        </w:rPr>
        <w:t xml:space="preserve">The lead manager for the project is Mrs Irene </w:t>
      </w:r>
      <w:proofErr w:type="spellStart"/>
      <w:r w:rsidRPr="00A75649">
        <w:rPr>
          <w:u w:val="single"/>
        </w:rPr>
        <w:t>Healiss</w:t>
      </w:r>
      <w:proofErr w:type="spellEnd"/>
      <w:r w:rsidRPr="00A75649">
        <w:rPr>
          <w:u w:val="single"/>
        </w:rPr>
        <w:t xml:space="preserve"> (Parish Clerk)</w:t>
      </w:r>
    </w:p>
    <w:p w14:paraId="0FA6E1F7" w14:textId="7DCAF698" w:rsidR="00BE1289" w:rsidRDefault="00403742" w:rsidP="000534C1">
      <w:pPr>
        <w:jc w:val="both"/>
      </w:pPr>
      <w:r w:rsidRPr="00B24D97">
        <w:t>Address</w:t>
      </w:r>
      <w:r w:rsidR="00B24D97">
        <w:t>:</w:t>
      </w:r>
      <w:r w:rsidR="00F834DA">
        <w:t>-</w:t>
      </w:r>
      <w:r w:rsidR="00B24D97" w:rsidRPr="00B24D97">
        <w:t xml:space="preserve"> </w:t>
      </w:r>
    </w:p>
    <w:p w14:paraId="0C387883" w14:textId="517BA647" w:rsidR="00403742" w:rsidRPr="00B24D97" w:rsidRDefault="00B24D97" w:rsidP="000534C1">
      <w:pPr>
        <w:jc w:val="both"/>
      </w:pPr>
      <w:r w:rsidRPr="00B24D97">
        <w:t>5 Blenheim Road, Ramsey PE261AL</w:t>
      </w:r>
    </w:p>
    <w:p w14:paraId="6D7403B1" w14:textId="0F988BAC" w:rsidR="00403742" w:rsidRPr="00B24D97" w:rsidRDefault="00403742" w:rsidP="000534C1">
      <w:pPr>
        <w:jc w:val="both"/>
      </w:pPr>
      <w:r w:rsidRPr="00B24D97">
        <w:t>Email</w:t>
      </w:r>
      <w:r w:rsidR="00B24D97" w:rsidRPr="00B24D97">
        <w:t>: clerk@newboroughandboroughfen-pc.gov.uk</w:t>
      </w:r>
    </w:p>
    <w:p w14:paraId="16BE8FCB" w14:textId="5E6993AB" w:rsidR="00403742" w:rsidRDefault="00403742" w:rsidP="000534C1">
      <w:pPr>
        <w:jc w:val="both"/>
      </w:pPr>
      <w:r w:rsidRPr="00B24D97">
        <w:t>Mob:</w:t>
      </w:r>
      <w:r w:rsidR="00B24D97">
        <w:t xml:space="preserve"> 07388584591</w:t>
      </w:r>
    </w:p>
    <w:p w14:paraId="1352E89B" w14:textId="6827A835" w:rsidR="001F2F84" w:rsidRPr="001F2F84" w:rsidRDefault="001F2F84" w:rsidP="000534C1">
      <w:pPr>
        <w:jc w:val="both"/>
        <w:rPr>
          <w:b/>
          <w:bCs/>
          <w:u w:val="single"/>
        </w:rPr>
      </w:pPr>
      <w:r w:rsidRPr="001F2F84">
        <w:rPr>
          <w:b/>
          <w:bCs/>
          <w:u w:val="single"/>
        </w:rPr>
        <w:t>Access</w:t>
      </w:r>
      <w:r>
        <w:rPr>
          <w:b/>
          <w:bCs/>
          <w:u w:val="single"/>
        </w:rPr>
        <w:t xml:space="preserve"> to the site</w:t>
      </w:r>
    </w:p>
    <w:p w14:paraId="7212A18A" w14:textId="7CEA33DE" w:rsidR="001F2F84" w:rsidRDefault="00FA45A6" w:rsidP="00C737CB">
      <w:pPr>
        <w:jc w:val="both"/>
      </w:pPr>
      <w:r>
        <w:t>The playing field has access from a road. The village is on the edge of the fens and therefore is subject to land movement. It is essential that</w:t>
      </w:r>
      <w:r w:rsidR="00C737CB">
        <w:t>,</w:t>
      </w:r>
      <w:r>
        <w:t xml:space="preserve"> should you wish to tender for the project</w:t>
      </w:r>
      <w:r w:rsidR="00C737CB">
        <w:t>,</w:t>
      </w:r>
      <w:r>
        <w:t xml:space="preserve"> you make an appointment to survey the field before submission to ensure accuracy and appropriate installation </w:t>
      </w:r>
      <w:r w:rsidR="00C737CB">
        <w:t>procedures are employed and access is suitable for your plant and machinery.</w:t>
      </w:r>
      <w:r w:rsidR="00A75649">
        <w:t xml:space="preserve"> </w:t>
      </w:r>
      <w:r w:rsidR="00604F11">
        <w:t>For information, the playing field is 1.95 acres in size.</w:t>
      </w:r>
    </w:p>
    <w:p w14:paraId="0FE77CBE" w14:textId="00A68D1C" w:rsidR="001F2F84" w:rsidRPr="001F2F84" w:rsidRDefault="001F2F84" w:rsidP="00C737CB">
      <w:pPr>
        <w:jc w:val="both"/>
        <w:rPr>
          <w:b/>
          <w:bCs/>
          <w:u w:val="single"/>
        </w:rPr>
      </w:pPr>
      <w:r w:rsidRPr="001F2F84">
        <w:rPr>
          <w:b/>
          <w:bCs/>
          <w:u w:val="single"/>
        </w:rPr>
        <w:t>Equipment</w:t>
      </w:r>
    </w:p>
    <w:p w14:paraId="2801AEEB" w14:textId="44CE9C8F" w:rsidR="00A75649" w:rsidRDefault="00C737CB" w:rsidP="00C737CB">
      <w:pPr>
        <w:jc w:val="both"/>
      </w:pPr>
      <w:r>
        <w:t xml:space="preserve">It is recognised that </w:t>
      </w:r>
      <w:r w:rsidR="00B227A8">
        <w:t xml:space="preserve">it may </w:t>
      </w:r>
      <w:r>
        <w:t xml:space="preserve">not be possible for individual companies to supply </w:t>
      </w:r>
      <w:r w:rsidR="004021BC">
        <w:t>all</w:t>
      </w:r>
      <w:r>
        <w:t xml:space="preserve"> the equipment range. Should this be the case please quote for what you can supply</w:t>
      </w:r>
      <w:r w:rsidR="00B227A8">
        <w:t xml:space="preserve"> and install</w:t>
      </w:r>
      <w:r>
        <w:t>.</w:t>
      </w:r>
    </w:p>
    <w:p w14:paraId="4E448E8A" w14:textId="61DC7EF8" w:rsidR="00A75649" w:rsidRDefault="001F2F84" w:rsidP="00C737CB">
      <w:pPr>
        <w:jc w:val="both"/>
      </w:pPr>
      <w:r>
        <w:t>The product ranges offered by varying</w:t>
      </w:r>
      <w:r w:rsidR="00C737CB">
        <w:t xml:space="preserve"> </w:t>
      </w:r>
      <w:r w:rsidR="00A75649">
        <w:t>companies</w:t>
      </w:r>
      <w:r>
        <w:t xml:space="preserve"> also</w:t>
      </w:r>
      <w:r w:rsidR="00C737CB">
        <w:t xml:space="preserve"> may differ in style and size. It is requested that each item of equipment quoted for carries an adequate description, catalogue number and image.</w:t>
      </w:r>
    </w:p>
    <w:p w14:paraId="2EF7D77D" w14:textId="324D1227" w:rsidR="00C737CB" w:rsidRDefault="00C737CB" w:rsidP="00C737CB">
      <w:pPr>
        <w:jc w:val="both"/>
      </w:pPr>
      <w:r>
        <w:t xml:space="preserve">The equipment listing in this information document will be in </w:t>
      </w:r>
      <w:r w:rsidR="00557419">
        <w:t xml:space="preserve">five </w:t>
      </w:r>
      <w:r w:rsidR="00F834DA">
        <w:t>categories.</w:t>
      </w:r>
    </w:p>
    <w:p w14:paraId="7512AD8D" w14:textId="77777777" w:rsidR="00557419" w:rsidRDefault="00557419" w:rsidP="00403742">
      <w:pPr>
        <w:pStyle w:val="ListParagraph"/>
        <w:numPr>
          <w:ilvl w:val="0"/>
          <w:numId w:val="7"/>
        </w:numPr>
        <w:jc w:val="both"/>
      </w:pPr>
      <w:r>
        <w:t>Play equipment</w:t>
      </w:r>
    </w:p>
    <w:p w14:paraId="6898DD93" w14:textId="77777777" w:rsidR="00557419" w:rsidRDefault="00557419" w:rsidP="00403742">
      <w:pPr>
        <w:pStyle w:val="ListParagraph"/>
        <w:numPr>
          <w:ilvl w:val="0"/>
          <w:numId w:val="7"/>
        </w:numPr>
        <w:jc w:val="both"/>
      </w:pPr>
      <w:r>
        <w:t>Exercise equipment</w:t>
      </w:r>
    </w:p>
    <w:p w14:paraId="4B794B36" w14:textId="77777777" w:rsidR="00557419" w:rsidRDefault="00557419" w:rsidP="00403742">
      <w:pPr>
        <w:pStyle w:val="ListParagraph"/>
        <w:numPr>
          <w:ilvl w:val="0"/>
          <w:numId w:val="7"/>
        </w:numPr>
        <w:jc w:val="both"/>
      </w:pPr>
      <w:r>
        <w:t>Recreation</w:t>
      </w:r>
    </w:p>
    <w:p w14:paraId="0747254C" w14:textId="77777777" w:rsidR="00557419" w:rsidRDefault="00557419" w:rsidP="00403742">
      <w:pPr>
        <w:pStyle w:val="ListParagraph"/>
        <w:numPr>
          <w:ilvl w:val="0"/>
          <w:numId w:val="7"/>
        </w:numPr>
        <w:jc w:val="both"/>
      </w:pPr>
      <w:r>
        <w:t>Seating</w:t>
      </w:r>
    </w:p>
    <w:p w14:paraId="66316340" w14:textId="77777777" w:rsidR="004021BC" w:rsidRDefault="00557419" w:rsidP="00C737CB">
      <w:pPr>
        <w:pStyle w:val="ListParagraph"/>
        <w:numPr>
          <w:ilvl w:val="0"/>
          <w:numId w:val="7"/>
        </w:numPr>
        <w:jc w:val="both"/>
      </w:pPr>
      <w:r>
        <w:t>Shelters</w:t>
      </w:r>
    </w:p>
    <w:p w14:paraId="4E7652C2" w14:textId="77777777" w:rsidR="004021BC" w:rsidRDefault="004021BC" w:rsidP="004021BC">
      <w:pPr>
        <w:pStyle w:val="ListParagraph"/>
        <w:jc w:val="both"/>
      </w:pPr>
    </w:p>
    <w:p w14:paraId="5CCF5807" w14:textId="6B3795AF" w:rsidR="00C737CB" w:rsidRDefault="001D2760" w:rsidP="004021BC">
      <w:pPr>
        <w:pStyle w:val="ListParagraph"/>
        <w:jc w:val="both"/>
      </w:pPr>
      <w:r>
        <w:lastRenderedPageBreak/>
        <w:t>(</w:t>
      </w:r>
      <w:r w:rsidR="00557419">
        <w:t>All images are for guidance only</w:t>
      </w:r>
      <w:r w:rsidR="00A75649">
        <w:t xml:space="preserve"> – please see below</w:t>
      </w:r>
      <w:r>
        <w:t>)</w:t>
      </w:r>
    </w:p>
    <w:p w14:paraId="3FCF0D00" w14:textId="6D3B0917" w:rsidR="000B72A5" w:rsidRDefault="00B227A8" w:rsidP="00C737CB">
      <w:pPr>
        <w:jc w:val="both"/>
      </w:pPr>
      <w:r>
        <w:t xml:space="preserve">Should you require further information please do not hesitate to contact </w:t>
      </w:r>
      <w:r w:rsidR="00403742">
        <w:t>the Clerk of the Council</w:t>
      </w:r>
      <w:r>
        <w:t>.</w:t>
      </w:r>
    </w:p>
    <w:p w14:paraId="1B74973D" w14:textId="24111E95" w:rsidR="00C737CB" w:rsidRDefault="00403742" w:rsidP="00C737CB">
      <w:pPr>
        <w:jc w:val="both"/>
      </w:pPr>
      <w:r>
        <w:t>The tenders will be judged upon the “value for money” criteria and not acceptance of the cheapest</w:t>
      </w:r>
      <w:r w:rsidR="00BD6603">
        <w:t xml:space="preserve">. Considered criteria will </w:t>
      </w:r>
      <w:r w:rsidR="00E02FE9">
        <w:t>be: -</w:t>
      </w:r>
    </w:p>
    <w:p w14:paraId="62DACC42" w14:textId="77777777" w:rsidR="00403742" w:rsidRDefault="00403742" w:rsidP="00403742">
      <w:pPr>
        <w:pStyle w:val="ListParagraph"/>
        <w:numPr>
          <w:ilvl w:val="0"/>
          <w:numId w:val="8"/>
        </w:numPr>
        <w:jc w:val="both"/>
      </w:pPr>
      <w:r>
        <w:t>Cost of supply and installation of the play equipment</w:t>
      </w:r>
    </w:p>
    <w:p w14:paraId="7EDAFCA7" w14:textId="77777777" w:rsidR="00403742" w:rsidRDefault="00403742" w:rsidP="00403742">
      <w:pPr>
        <w:pStyle w:val="ListParagraph"/>
        <w:numPr>
          <w:ilvl w:val="0"/>
          <w:numId w:val="8"/>
        </w:numPr>
        <w:jc w:val="both"/>
      </w:pPr>
      <w:r>
        <w:t>Ongoing maintenance costs</w:t>
      </w:r>
    </w:p>
    <w:p w14:paraId="321B9C76" w14:textId="77777777" w:rsidR="00403742" w:rsidRDefault="00403742" w:rsidP="00403742">
      <w:pPr>
        <w:pStyle w:val="ListParagraph"/>
        <w:numPr>
          <w:ilvl w:val="0"/>
          <w:numId w:val="8"/>
        </w:numPr>
        <w:jc w:val="both"/>
      </w:pPr>
      <w:r>
        <w:t>Length of warranty and warranty conditions</w:t>
      </w:r>
    </w:p>
    <w:p w14:paraId="684E3634" w14:textId="080ADEC7" w:rsidR="001D2760" w:rsidRDefault="00403742" w:rsidP="00403742">
      <w:pPr>
        <w:pStyle w:val="ListParagraph"/>
        <w:numPr>
          <w:ilvl w:val="0"/>
          <w:numId w:val="8"/>
        </w:numPr>
        <w:jc w:val="both"/>
      </w:pPr>
      <w:r>
        <w:t xml:space="preserve">Understanding of the nature of Fen </w:t>
      </w:r>
      <w:r w:rsidR="001D2760">
        <w:t xml:space="preserve">geographical characteristics for installation and </w:t>
      </w:r>
      <w:r w:rsidR="000B72A5">
        <w:t>long-term</w:t>
      </w:r>
      <w:r w:rsidR="001D2760">
        <w:t xml:space="preserve"> utilisation</w:t>
      </w:r>
    </w:p>
    <w:p w14:paraId="1B8252D7" w14:textId="77777777" w:rsidR="001D2760" w:rsidRDefault="001D2760" w:rsidP="00403742">
      <w:pPr>
        <w:pStyle w:val="ListParagraph"/>
        <w:numPr>
          <w:ilvl w:val="0"/>
          <w:numId w:val="8"/>
        </w:numPr>
        <w:jc w:val="both"/>
      </w:pPr>
      <w:r>
        <w:t>Service requirements</w:t>
      </w:r>
    </w:p>
    <w:p w14:paraId="71B0D5CC" w14:textId="77777777" w:rsidR="001D2760" w:rsidRDefault="001D2760" w:rsidP="00403742">
      <w:pPr>
        <w:pStyle w:val="ListParagraph"/>
        <w:numPr>
          <w:ilvl w:val="0"/>
          <w:numId w:val="8"/>
        </w:numPr>
        <w:jc w:val="both"/>
      </w:pPr>
      <w:r>
        <w:t>Installation schedules</w:t>
      </w:r>
    </w:p>
    <w:p w14:paraId="2806EF31" w14:textId="77777777" w:rsidR="001D2760" w:rsidRDefault="001D2760" w:rsidP="00403742">
      <w:pPr>
        <w:pStyle w:val="ListParagraph"/>
        <w:numPr>
          <w:ilvl w:val="0"/>
          <w:numId w:val="8"/>
        </w:numPr>
        <w:jc w:val="both"/>
      </w:pPr>
      <w:r>
        <w:t>Lead in times</w:t>
      </w:r>
    </w:p>
    <w:p w14:paraId="25562014" w14:textId="77777777" w:rsidR="00A75649" w:rsidRDefault="001D2760" w:rsidP="00A75649">
      <w:pPr>
        <w:pStyle w:val="ListParagraph"/>
        <w:numPr>
          <w:ilvl w:val="0"/>
          <w:numId w:val="8"/>
        </w:numPr>
        <w:jc w:val="both"/>
      </w:pPr>
      <w:r>
        <w:t xml:space="preserve">Testimonies </w:t>
      </w:r>
    </w:p>
    <w:p w14:paraId="3F57DDB7" w14:textId="0CD8B1B8" w:rsidR="00452090" w:rsidRDefault="00452090" w:rsidP="00A75649">
      <w:pPr>
        <w:pStyle w:val="ListParagraph"/>
        <w:numPr>
          <w:ilvl w:val="0"/>
          <w:numId w:val="8"/>
        </w:numPr>
        <w:jc w:val="both"/>
      </w:pPr>
      <w:r>
        <w:t>Equipment proposed in the tender matches closely to the items listed below.</w:t>
      </w:r>
    </w:p>
    <w:p w14:paraId="702684C8" w14:textId="10C0DB8E" w:rsidR="004021BC" w:rsidRDefault="004021BC" w:rsidP="004021BC">
      <w:pPr>
        <w:pStyle w:val="ListParagraph"/>
        <w:jc w:val="both"/>
      </w:pPr>
    </w:p>
    <w:p w14:paraId="3F6E9677" w14:textId="77777777" w:rsidR="004021BC" w:rsidRPr="007A0B20" w:rsidRDefault="004021BC" w:rsidP="004021BC">
      <w:pPr>
        <w:pStyle w:val="Heading2"/>
        <w:shd w:val="clear" w:color="auto" w:fill="FFFFFF"/>
        <w:spacing w:before="0"/>
        <w:rPr>
          <w:rFonts w:asciiTheme="minorHAnsi" w:hAnsiTheme="minorHAnsi" w:cstheme="minorHAnsi"/>
          <w:b/>
          <w:bCs/>
          <w:color w:val="auto"/>
          <w:sz w:val="22"/>
          <w:szCs w:val="22"/>
          <w:u w:val="single"/>
        </w:rPr>
      </w:pPr>
      <w:r w:rsidRPr="007A0B20">
        <w:rPr>
          <w:rFonts w:asciiTheme="minorHAnsi" w:hAnsiTheme="minorHAnsi" w:cstheme="minorHAnsi"/>
          <w:b/>
          <w:bCs/>
          <w:color w:val="auto"/>
          <w:sz w:val="22"/>
          <w:szCs w:val="22"/>
          <w:u w:val="single"/>
        </w:rPr>
        <w:t>Disabled access</w:t>
      </w:r>
    </w:p>
    <w:p w14:paraId="26992B05" w14:textId="73EAD781" w:rsidR="004021BC" w:rsidRDefault="004021BC" w:rsidP="004021BC">
      <w:pPr>
        <w:pStyle w:val="NormalWeb"/>
        <w:shd w:val="clear" w:color="auto" w:fill="FFFFFF"/>
        <w:spacing w:before="0" w:beforeAutospacing="0"/>
        <w:rPr>
          <w:rFonts w:asciiTheme="minorHAnsi" w:hAnsiTheme="minorHAnsi" w:cstheme="minorHAnsi"/>
          <w:color w:val="212529"/>
        </w:rPr>
      </w:pPr>
      <w:r w:rsidRPr="004021BC">
        <w:rPr>
          <w:rFonts w:asciiTheme="minorHAnsi" w:hAnsiTheme="minorHAnsi" w:cstheme="minorHAnsi"/>
          <w:color w:val="212529"/>
        </w:rPr>
        <w:t>The Disability Discrimination Act requires reasonable provision f</w:t>
      </w:r>
      <w:r>
        <w:rPr>
          <w:rFonts w:asciiTheme="minorHAnsi" w:hAnsiTheme="minorHAnsi" w:cstheme="minorHAnsi"/>
          <w:color w:val="212529"/>
        </w:rPr>
        <w:t xml:space="preserve">or those with </w:t>
      </w:r>
      <w:r w:rsidRPr="004021BC">
        <w:rPr>
          <w:rFonts w:asciiTheme="minorHAnsi" w:hAnsiTheme="minorHAnsi" w:cstheme="minorHAnsi"/>
          <w:color w:val="212529"/>
        </w:rPr>
        <w:t>disab</w:t>
      </w:r>
      <w:r>
        <w:rPr>
          <w:rFonts w:asciiTheme="minorHAnsi" w:hAnsiTheme="minorHAnsi" w:cstheme="minorHAnsi"/>
          <w:color w:val="212529"/>
        </w:rPr>
        <w:t>ilities</w:t>
      </w:r>
      <w:r w:rsidRPr="004021BC">
        <w:rPr>
          <w:rFonts w:asciiTheme="minorHAnsi" w:hAnsiTheme="minorHAnsi" w:cstheme="minorHAnsi"/>
          <w:color w:val="212529"/>
        </w:rPr>
        <w:t>. This means that not only should gates be suitable for wheelchairs but also that these should be able to get to the play area unhindered (</w:t>
      </w:r>
      <w:proofErr w:type="spellStart"/>
      <w:r w:rsidRPr="004021BC">
        <w:rPr>
          <w:rFonts w:asciiTheme="minorHAnsi" w:hAnsiTheme="minorHAnsi" w:cstheme="minorHAnsi"/>
          <w:color w:val="212529"/>
        </w:rPr>
        <w:t>ie</w:t>
      </w:r>
      <w:proofErr w:type="spellEnd"/>
      <w:r w:rsidRPr="004021BC">
        <w:rPr>
          <w:rFonts w:asciiTheme="minorHAnsi" w:hAnsiTheme="minorHAnsi" w:cstheme="minorHAnsi"/>
          <w:color w:val="212529"/>
        </w:rPr>
        <w:t xml:space="preserve"> hard standing paths etc</w:t>
      </w:r>
      <w:r>
        <w:rPr>
          <w:rFonts w:asciiTheme="minorHAnsi" w:hAnsiTheme="minorHAnsi" w:cstheme="minorHAnsi"/>
          <w:color w:val="212529"/>
        </w:rPr>
        <w:t xml:space="preserve">) </w:t>
      </w:r>
    </w:p>
    <w:p w14:paraId="108F29A1" w14:textId="0C795AB3" w:rsidR="004021BC" w:rsidRPr="004021BC" w:rsidRDefault="004021BC" w:rsidP="004021BC">
      <w:pPr>
        <w:pStyle w:val="NormalWeb"/>
        <w:shd w:val="clear" w:color="auto" w:fill="FFFFFF"/>
        <w:spacing w:before="0" w:beforeAutospacing="0"/>
        <w:rPr>
          <w:rFonts w:asciiTheme="minorHAnsi" w:hAnsiTheme="minorHAnsi" w:cstheme="minorHAnsi"/>
        </w:rPr>
      </w:pPr>
      <w:r>
        <w:rPr>
          <w:rFonts w:cstheme="minorHAnsi"/>
          <w:color w:val="212529"/>
          <w:shd w:val="clear" w:color="auto" w:fill="FFFFFF"/>
        </w:rPr>
        <w:t xml:space="preserve">The </w:t>
      </w:r>
      <w:r w:rsidRPr="004021BC">
        <w:rPr>
          <w:rFonts w:asciiTheme="minorHAnsi" w:hAnsiTheme="minorHAnsi" w:cstheme="minorHAnsi"/>
          <w:color w:val="212529"/>
          <w:shd w:val="clear" w:color="auto" w:fill="FFFFFF"/>
        </w:rPr>
        <w:t>Disability Discrimination Act</w:t>
      </w:r>
      <w:r>
        <w:rPr>
          <w:rFonts w:cstheme="minorHAnsi"/>
          <w:color w:val="212529"/>
          <w:shd w:val="clear" w:color="auto" w:fill="FFFFFF"/>
        </w:rPr>
        <w:t xml:space="preserve"> h</w:t>
      </w:r>
      <w:r w:rsidRPr="004021BC">
        <w:rPr>
          <w:rFonts w:asciiTheme="minorHAnsi" w:hAnsiTheme="minorHAnsi" w:cstheme="minorHAnsi"/>
          <w:color w:val="212529"/>
          <w:shd w:val="clear" w:color="auto" w:fill="FFFFFF"/>
        </w:rPr>
        <w:t>as made it illegal to treat disabled persons less favourably since December 1996. The Act came into full force from October 2004</w:t>
      </w:r>
      <w:r>
        <w:rPr>
          <w:rFonts w:cstheme="minorHAnsi"/>
          <w:color w:val="212529"/>
          <w:shd w:val="clear" w:color="auto" w:fill="FFFFFF"/>
        </w:rPr>
        <w:t>and</w:t>
      </w:r>
      <w:r w:rsidRPr="004021BC">
        <w:rPr>
          <w:rFonts w:asciiTheme="minorHAnsi" w:hAnsiTheme="minorHAnsi" w:cstheme="minorHAnsi"/>
          <w:color w:val="212529"/>
          <w:shd w:val="clear" w:color="auto" w:fill="FFFFFF"/>
        </w:rPr>
        <w:t xml:space="preserve"> has been largely supplemented by the Equality Act 2010</w:t>
      </w:r>
      <w:r>
        <w:rPr>
          <w:rFonts w:cstheme="minorHAnsi"/>
          <w:color w:val="212529"/>
          <w:shd w:val="clear" w:color="auto" w:fill="FFFFFF"/>
        </w:rPr>
        <w:t>.</w:t>
      </w:r>
    </w:p>
    <w:p w14:paraId="1DA143D4" w14:textId="062DA32C" w:rsidR="00A75649" w:rsidRPr="004021BC" w:rsidRDefault="004021BC" w:rsidP="004021BC">
      <w:pPr>
        <w:pStyle w:val="NormalWeb"/>
        <w:shd w:val="clear" w:color="auto" w:fill="FFFFFF"/>
        <w:spacing w:before="0" w:beforeAutospacing="0"/>
        <w:rPr>
          <w:rFonts w:asciiTheme="minorHAnsi" w:hAnsiTheme="minorHAnsi" w:cstheme="minorHAnsi"/>
          <w:color w:val="212529"/>
          <w:shd w:val="clear" w:color="auto" w:fill="FFFFFF"/>
        </w:rPr>
      </w:pPr>
      <w:r w:rsidRPr="004021BC">
        <w:rPr>
          <w:rFonts w:asciiTheme="minorHAnsi" w:hAnsiTheme="minorHAnsi" w:cstheme="minorHAnsi"/>
          <w:color w:val="212529"/>
          <w:shd w:val="clear" w:color="auto" w:fill="FFFFFF"/>
        </w:rPr>
        <w:t>The Equality Act requires reasonable provision to be made for equal opportunities for disabled people except where it affects the safety of others. The Act also applies to places where children play (play areas, games area etc). It is illegal to treat disabled persons any less favourably than non-disabled persons.</w:t>
      </w:r>
      <w:r>
        <w:rPr>
          <w:rFonts w:asciiTheme="minorHAnsi" w:hAnsiTheme="minorHAnsi" w:cstheme="minorHAnsi"/>
          <w:color w:val="212529"/>
          <w:shd w:val="clear" w:color="auto" w:fill="FFFFFF"/>
        </w:rPr>
        <w:t xml:space="preserve">  </w:t>
      </w:r>
      <w:r>
        <w:rPr>
          <w:rFonts w:cstheme="minorHAnsi"/>
          <w:color w:val="212529"/>
          <w:shd w:val="clear" w:color="auto" w:fill="FFFFFF"/>
        </w:rPr>
        <w:t xml:space="preserve">With this in mind, please </w:t>
      </w:r>
      <w:r w:rsidR="00D45CAF">
        <w:rPr>
          <w:rFonts w:cstheme="minorHAnsi"/>
          <w:color w:val="212529"/>
          <w:shd w:val="clear" w:color="auto" w:fill="FFFFFF"/>
        </w:rPr>
        <w:t>confirm</w:t>
      </w:r>
      <w:r>
        <w:rPr>
          <w:rFonts w:cstheme="minorHAnsi"/>
          <w:color w:val="212529"/>
          <w:shd w:val="clear" w:color="auto" w:fill="FFFFFF"/>
        </w:rPr>
        <w:t xml:space="preserve"> that equipment items 1,2 and 3 are considered as suitable for dual use.</w:t>
      </w:r>
    </w:p>
    <w:p w14:paraId="0238F957" w14:textId="636895A7" w:rsidR="000B72A5" w:rsidRPr="00557419" w:rsidRDefault="00557419" w:rsidP="00C737CB">
      <w:pPr>
        <w:jc w:val="both"/>
        <w:rPr>
          <w:b/>
          <w:sz w:val="36"/>
          <w:szCs w:val="36"/>
        </w:rPr>
      </w:pPr>
      <w:r w:rsidRPr="00557419">
        <w:rPr>
          <w:b/>
          <w:sz w:val="36"/>
          <w:szCs w:val="36"/>
        </w:rPr>
        <w:t>Play Equipment</w:t>
      </w:r>
    </w:p>
    <w:p w14:paraId="714C828F" w14:textId="4D9D0D42" w:rsidR="00557419" w:rsidRDefault="00557419" w:rsidP="00557419">
      <w:pPr>
        <w:pStyle w:val="ListParagraph"/>
        <w:numPr>
          <w:ilvl w:val="0"/>
          <w:numId w:val="1"/>
        </w:numPr>
        <w:jc w:val="both"/>
      </w:pPr>
      <w:r>
        <w:t xml:space="preserve">Basket swing with a </w:t>
      </w:r>
      <w:r w:rsidR="00E02FE9">
        <w:t>two-seat</w:t>
      </w:r>
      <w:r>
        <w:t xml:space="preserve"> flat swing extensio</w:t>
      </w:r>
      <w:r w:rsidR="00E02FE9">
        <w:t xml:space="preserve">n </w:t>
      </w:r>
      <w:r w:rsidR="00EC262F">
        <w:t>and</w:t>
      </w:r>
      <w:r>
        <w:t xml:space="preserve"> a steel frame.</w:t>
      </w:r>
    </w:p>
    <w:p w14:paraId="1F39AC33" w14:textId="77777777" w:rsidR="00557419" w:rsidRDefault="00557419" w:rsidP="00557419">
      <w:pPr>
        <w:jc w:val="both"/>
      </w:pPr>
      <w:r>
        <w:rPr>
          <w:noProof/>
          <w:lang w:eastAsia="en-GB"/>
        </w:rPr>
        <w:drawing>
          <wp:inline distT="0" distB="0" distL="0" distR="0" wp14:anchorId="0712700C" wp14:editId="017D53B8">
            <wp:extent cx="2711450" cy="1909953"/>
            <wp:effectExtent l="0" t="0" r="0" b="0"/>
            <wp:docPr id="1" name="Picture 1" descr="https://tse3.mm.bing.net/th?id=OIP.xGC6URCVd9wVGgfXb3NM_AAAAA&amp;pid=Api&amp;P=0&amp;w=254&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xGC6URCVd9wVGgfXb3NM_AAAAA&amp;pid=Api&amp;P=0&amp;w=254&amp;h=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325" cy="1923953"/>
                    </a:xfrm>
                    <a:prstGeom prst="rect">
                      <a:avLst/>
                    </a:prstGeom>
                    <a:noFill/>
                    <a:ln>
                      <a:noFill/>
                    </a:ln>
                  </pic:spPr>
                </pic:pic>
              </a:graphicData>
            </a:graphic>
          </wp:inline>
        </w:drawing>
      </w:r>
    </w:p>
    <w:p w14:paraId="028FEAEF" w14:textId="39970817" w:rsidR="00557419" w:rsidRDefault="00557419" w:rsidP="00557419">
      <w:pPr>
        <w:pStyle w:val="ListParagraph"/>
        <w:numPr>
          <w:ilvl w:val="0"/>
          <w:numId w:val="1"/>
        </w:numPr>
        <w:jc w:val="both"/>
      </w:pPr>
      <w:r>
        <w:lastRenderedPageBreak/>
        <w:t>Surf Rider</w:t>
      </w:r>
      <w:r w:rsidR="000B72A5">
        <w:t>.</w:t>
      </w:r>
    </w:p>
    <w:p w14:paraId="66349476" w14:textId="77777777" w:rsidR="00557419" w:rsidRDefault="00557419" w:rsidP="00557419">
      <w:pPr>
        <w:jc w:val="both"/>
      </w:pPr>
      <w:r>
        <w:rPr>
          <w:noProof/>
          <w:lang w:eastAsia="en-GB"/>
        </w:rPr>
        <w:drawing>
          <wp:inline distT="0" distB="0" distL="0" distR="0" wp14:anchorId="52DEFA9C" wp14:editId="08103A29">
            <wp:extent cx="2781300" cy="2022764"/>
            <wp:effectExtent l="0" t="0" r="0" b="0"/>
            <wp:docPr id="2" name="Picture 2" descr="https://tse2.mm.bing.net/th?id=OIP.0US0PeLvLuJjT3eY3LU-WQHaFX&amp;pid=Api&amp;P=0&amp;w=238&amp;h=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2.mm.bing.net/th?id=OIP.0US0PeLvLuJjT3eY3LU-WQHaFX&amp;pid=Api&amp;P=0&amp;w=238&amp;h=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623" cy="2027363"/>
                    </a:xfrm>
                    <a:prstGeom prst="rect">
                      <a:avLst/>
                    </a:prstGeom>
                    <a:noFill/>
                    <a:ln>
                      <a:noFill/>
                    </a:ln>
                  </pic:spPr>
                </pic:pic>
              </a:graphicData>
            </a:graphic>
          </wp:inline>
        </w:drawing>
      </w:r>
    </w:p>
    <w:p w14:paraId="59374FC1" w14:textId="77777777" w:rsidR="000B72A5" w:rsidRDefault="000B72A5" w:rsidP="000B72A5">
      <w:pPr>
        <w:tabs>
          <w:tab w:val="left" w:pos="4970"/>
        </w:tabs>
        <w:jc w:val="both"/>
      </w:pPr>
    </w:p>
    <w:p w14:paraId="0A305135" w14:textId="48E2A314" w:rsidR="00557419" w:rsidRDefault="00557419" w:rsidP="000B72A5">
      <w:pPr>
        <w:pStyle w:val="ListParagraph"/>
        <w:numPr>
          <w:ilvl w:val="0"/>
          <w:numId w:val="1"/>
        </w:numPr>
        <w:jc w:val="both"/>
      </w:pPr>
      <w:r>
        <w:t>Rocking Swing with a steel frame</w:t>
      </w:r>
      <w:r w:rsidR="000B72A5">
        <w:t>.</w:t>
      </w:r>
    </w:p>
    <w:p w14:paraId="707E238F" w14:textId="77777777" w:rsidR="007F23BD" w:rsidRDefault="00557419" w:rsidP="00C737CB">
      <w:pPr>
        <w:jc w:val="both"/>
      </w:pPr>
      <w:r>
        <w:rPr>
          <w:noProof/>
          <w:lang w:eastAsia="en-GB"/>
        </w:rPr>
        <w:drawing>
          <wp:inline distT="0" distB="0" distL="0" distR="0" wp14:anchorId="0CEBB661" wp14:editId="467B4A06">
            <wp:extent cx="2432050" cy="2432050"/>
            <wp:effectExtent l="0" t="0" r="6350" b="6350"/>
            <wp:docPr id="3074" name="Picture 2" descr=" J44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 J442-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050" cy="2432050"/>
                    </a:xfrm>
                    <a:prstGeom prst="rect">
                      <a:avLst/>
                    </a:prstGeom>
                    <a:noFill/>
                  </pic:spPr>
                </pic:pic>
              </a:graphicData>
            </a:graphic>
          </wp:inline>
        </w:drawing>
      </w:r>
    </w:p>
    <w:p w14:paraId="4747D964" w14:textId="3737BDEE" w:rsidR="00C737CB" w:rsidRPr="007F23BD" w:rsidRDefault="00557419" w:rsidP="00C737CB">
      <w:pPr>
        <w:jc w:val="both"/>
      </w:pPr>
      <w:r w:rsidRPr="00557419">
        <w:rPr>
          <w:b/>
          <w:sz w:val="36"/>
          <w:szCs w:val="36"/>
        </w:rPr>
        <w:t>Exercise Equipment</w:t>
      </w:r>
    </w:p>
    <w:p w14:paraId="2A6B9B36" w14:textId="0679FBCE" w:rsidR="00557419" w:rsidRDefault="00DF1236" w:rsidP="00DF1236">
      <w:pPr>
        <w:pStyle w:val="ListParagraph"/>
        <w:numPr>
          <w:ilvl w:val="0"/>
          <w:numId w:val="2"/>
        </w:numPr>
        <w:jc w:val="both"/>
      </w:pPr>
      <w:r>
        <w:t>C</w:t>
      </w:r>
      <w:r w:rsidR="004021BC">
        <w:t>r</w:t>
      </w:r>
      <w:r>
        <w:t>azy bars/Monkey bars, steel construction</w:t>
      </w:r>
      <w:r w:rsidR="000B72A5">
        <w:t>.</w:t>
      </w:r>
    </w:p>
    <w:p w14:paraId="6D3B95EC" w14:textId="4B85A0DE" w:rsidR="00DF1236" w:rsidRDefault="00DF1236" w:rsidP="00DF1236">
      <w:pPr>
        <w:jc w:val="both"/>
      </w:pPr>
      <w:r>
        <w:rPr>
          <w:noProof/>
          <w:lang w:eastAsia="en-GB"/>
        </w:rPr>
        <w:drawing>
          <wp:inline distT="0" distB="0" distL="0" distR="0" wp14:anchorId="72CC9701" wp14:editId="1734469D">
            <wp:extent cx="2686050" cy="2339102"/>
            <wp:effectExtent l="0" t="0" r="0" b="4445"/>
            <wp:docPr id="3" name="Picture 3" descr="https://tse1.mm.bing.net/th?id=OIP.ddr-0nw4VgOBl7SgYfLAvAAAAA&amp;pid=Api&amp;P=0&amp;w=192&amp;h=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ddr-0nw4VgOBl7SgYfLAvAAAAA&amp;pid=Api&amp;P=0&amp;w=192&amp;h=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1099" cy="2360916"/>
                    </a:xfrm>
                    <a:prstGeom prst="rect">
                      <a:avLst/>
                    </a:prstGeom>
                    <a:noFill/>
                    <a:ln>
                      <a:noFill/>
                    </a:ln>
                  </pic:spPr>
                </pic:pic>
              </a:graphicData>
            </a:graphic>
          </wp:inline>
        </w:drawing>
      </w:r>
    </w:p>
    <w:p w14:paraId="21F37041" w14:textId="7AE903CF" w:rsidR="00DF1236" w:rsidRDefault="00DF1236" w:rsidP="00DF1236">
      <w:pPr>
        <w:pStyle w:val="ListParagraph"/>
        <w:numPr>
          <w:ilvl w:val="0"/>
          <w:numId w:val="2"/>
        </w:numPr>
        <w:jc w:val="both"/>
      </w:pPr>
      <w:r>
        <w:lastRenderedPageBreak/>
        <w:t>Climbing Wall with net, steel construction</w:t>
      </w:r>
      <w:r w:rsidR="000B72A5">
        <w:t>.</w:t>
      </w:r>
    </w:p>
    <w:p w14:paraId="4823FD3E" w14:textId="36BE3680" w:rsidR="00DF5F9E" w:rsidRDefault="00DF1236" w:rsidP="000B72A5">
      <w:pPr>
        <w:jc w:val="both"/>
      </w:pPr>
      <w:r>
        <w:rPr>
          <w:noProof/>
          <w:lang w:eastAsia="en-GB"/>
        </w:rPr>
        <w:drawing>
          <wp:inline distT="0" distB="0" distL="0" distR="0" wp14:anchorId="37D65E6E" wp14:editId="4A6C586D">
            <wp:extent cx="2863850" cy="2219486"/>
            <wp:effectExtent l="0" t="0" r="0" b="9525"/>
            <wp:docPr id="7170" name="Picture 2" descr="https://s3.eu-west-1.amazonaws.com/s3.kompan.redhost.dk/prod/aesir-dam-viewports/FSW216_CAD1_EN-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https://s3.eu-west-1.amazonaws.com/s3.kompan.redhost.dk/prod/aesir-dam-viewports/FSW216_CAD1_EN-6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106" cy="2267734"/>
                    </a:xfrm>
                    <a:prstGeom prst="rect">
                      <a:avLst/>
                    </a:prstGeom>
                    <a:noFill/>
                  </pic:spPr>
                </pic:pic>
              </a:graphicData>
            </a:graphic>
          </wp:inline>
        </w:drawing>
      </w:r>
    </w:p>
    <w:p w14:paraId="39E4349D" w14:textId="310FD9D1" w:rsidR="00C737CB" w:rsidRDefault="00DF1236" w:rsidP="00B24D97">
      <w:pPr>
        <w:pStyle w:val="ListParagraph"/>
        <w:numPr>
          <w:ilvl w:val="0"/>
          <w:numId w:val="2"/>
        </w:numPr>
        <w:jc w:val="both"/>
      </w:pPr>
      <w:r>
        <w:t>Free Runner, steel construction. Please quote for a single and double version.</w:t>
      </w:r>
    </w:p>
    <w:p w14:paraId="02C33871" w14:textId="77777777" w:rsidR="00DF1236" w:rsidRDefault="00DF1236" w:rsidP="00DF1236">
      <w:pPr>
        <w:jc w:val="both"/>
      </w:pPr>
      <w:r>
        <w:rPr>
          <w:noProof/>
          <w:lang w:eastAsia="en-GB"/>
        </w:rPr>
        <w:drawing>
          <wp:inline distT="0" distB="0" distL="0" distR="0" wp14:anchorId="09447A63" wp14:editId="724BFBBB">
            <wp:extent cx="2794215" cy="2336800"/>
            <wp:effectExtent l="0" t="0" r="6350" b="6350"/>
            <wp:docPr id="4" name="Picture 4" descr="https://tse4.mm.bing.net/th?id=OIP.TG3JFfUQtVAmiY1ZwcEfTwHaGL&amp;pid=Api&amp;P=0&amp;w=225&amp;h=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TG3JFfUQtVAmiY1ZwcEfTwHaGL&amp;pid=Api&amp;P=0&amp;w=225&amp;h=1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7017" cy="2347506"/>
                    </a:xfrm>
                    <a:prstGeom prst="rect">
                      <a:avLst/>
                    </a:prstGeom>
                    <a:noFill/>
                    <a:ln>
                      <a:noFill/>
                    </a:ln>
                  </pic:spPr>
                </pic:pic>
              </a:graphicData>
            </a:graphic>
          </wp:inline>
        </w:drawing>
      </w:r>
    </w:p>
    <w:p w14:paraId="1658EC85" w14:textId="77777777" w:rsidR="00C737CB" w:rsidRDefault="00DF1236" w:rsidP="00C737CB">
      <w:pPr>
        <w:jc w:val="both"/>
        <w:rPr>
          <w:b/>
          <w:sz w:val="36"/>
          <w:szCs w:val="36"/>
        </w:rPr>
      </w:pPr>
      <w:r w:rsidRPr="00DF1236">
        <w:rPr>
          <w:b/>
          <w:sz w:val="36"/>
          <w:szCs w:val="36"/>
        </w:rPr>
        <w:t>Recreational</w:t>
      </w:r>
    </w:p>
    <w:p w14:paraId="6C7656E6" w14:textId="79422DEE" w:rsidR="00DF1236" w:rsidRDefault="00C430DD" w:rsidP="00DF1236">
      <w:pPr>
        <w:pStyle w:val="ListParagraph"/>
        <w:numPr>
          <w:ilvl w:val="0"/>
          <w:numId w:val="3"/>
        </w:numPr>
        <w:jc w:val="both"/>
      </w:pPr>
      <w:r>
        <w:t xml:space="preserve">3 x </w:t>
      </w:r>
      <w:r w:rsidR="00DF1236">
        <w:t xml:space="preserve">Steel </w:t>
      </w:r>
      <w:r>
        <w:t xml:space="preserve">(steel and composite) </w:t>
      </w:r>
      <w:r w:rsidR="00DF1236">
        <w:t>construction picnic tables</w:t>
      </w:r>
      <w:r>
        <w:t xml:space="preserve">. Suitable for </w:t>
      </w:r>
      <w:r w:rsidR="000B72A5">
        <w:t>wheelchair</w:t>
      </w:r>
      <w:r>
        <w:t xml:space="preserve"> use.</w:t>
      </w:r>
    </w:p>
    <w:p w14:paraId="12F0A952" w14:textId="77777777" w:rsidR="00C430DD" w:rsidRPr="00DF1236" w:rsidRDefault="00C430DD" w:rsidP="00C430DD">
      <w:pPr>
        <w:jc w:val="both"/>
      </w:pPr>
      <w:r>
        <w:rPr>
          <w:noProof/>
          <w:lang w:eastAsia="en-GB"/>
        </w:rPr>
        <w:drawing>
          <wp:inline distT="0" distB="0" distL="0" distR="0" wp14:anchorId="62F74A7E" wp14:editId="22A9F2B6">
            <wp:extent cx="3321050" cy="2342213"/>
            <wp:effectExtent l="0" t="0" r="0" b="1270"/>
            <wp:docPr id="5" name="Picture 5" descr="https://tse4.mm.bing.net/th?id=OIP.3Suvy9EBVa4Ge41grVGOZQHaFN&amp;pid=Api&amp;P=0&amp;w=228&amp;h=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3Suvy9EBVa4Ge41grVGOZQHaFN&amp;pid=Api&amp;P=0&amp;w=228&amp;h=1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6946" cy="2360477"/>
                    </a:xfrm>
                    <a:prstGeom prst="rect">
                      <a:avLst/>
                    </a:prstGeom>
                    <a:noFill/>
                    <a:ln>
                      <a:noFill/>
                    </a:ln>
                  </pic:spPr>
                </pic:pic>
              </a:graphicData>
            </a:graphic>
          </wp:inline>
        </w:drawing>
      </w:r>
    </w:p>
    <w:p w14:paraId="0A983D28" w14:textId="77777777" w:rsidR="004021BC" w:rsidRDefault="004021BC" w:rsidP="00C737CB">
      <w:pPr>
        <w:jc w:val="both"/>
        <w:rPr>
          <w:b/>
          <w:sz w:val="36"/>
          <w:szCs w:val="36"/>
        </w:rPr>
      </w:pPr>
    </w:p>
    <w:p w14:paraId="4F1BB237" w14:textId="632481E6" w:rsidR="00C430DD" w:rsidRPr="00C430DD" w:rsidRDefault="00C430DD" w:rsidP="00C737CB">
      <w:pPr>
        <w:jc w:val="both"/>
        <w:rPr>
          <w:b/>
          <w:sz w:val="36"/>
          <w:szCs w:val="36"/>
        </w:rPr>
      </w:pPr>
      <w:r w:rsidRPr="00C430DD">
        <w:rPr>
          <w:b/>
          <w:sz w:val="36"/>
          <w:szCs w:val="36"/>
        </w:rPr>
        <w:t>Seating</w:t>
      </w:r>
    </w:p>
    <w:p w14:paraId="7490C09E" w14:textId="77777777" w:rsidR="00C430DD" w:rsidRDefault="00C430DD" w:rsidP="00C430DD">
      <w:pPr>
        <w:pStyle w:val="ListParagraph"/>
        <w:numPr>
          <w:ilvl w:val="0"/>
          <w:numId w:val="3"/>
        </w:numPr>
        <w:jc w:val="both"/>
      </w:pPr>
      <w:r>
        <w:t>4 x Steel (steel/composite) construction park type benches with backs.</w:t>
      </w:r>
    </w:p>
    <w:p w14:paraId="703A6907" w14:textId="77777777" w:rsidR="00C430DD" w:rsidRDefault="00C430DD" w:rsidP="00C430DD">
      <w:pPr>
        <w:jc w:val="both"/>
      </w:pPr>
      <w:r>
        <w:rPr>
          <w:noProof/>
          <w:lang w:eastAsia="en-GB"/>
        </w:rPr>
        <w:drawing>
          <wp:inline distT="0" distB="0" distL="0" distR="0" wp14:anchorId="2882F2D6" wp14:editId="4F2E8119">
            <wp:extent cx="4040606" cy="2476500"/>
            <wp:effectExtent l="0" t="0" r="0" b="0"/>
            <wp:docPr id="6" name="Picture 6" descr="https://tse3.mm.bing.net/th?id=OIP.yOrzQ5JmxMAPnEMLDRjcoQHaEh&amp;pid=Api&amp;P=0&amp;w=273&amp;h=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3.mm.bing.net/th?id=OIP.yOrzQ5JmxMAPnEMLDRjcoQHaEh&amp;pid=Api&amp;P=0&amp;w=273&amp;h=1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7274" cy="2486716"/>
                    </a:xfrm>
                    <a:prstGeom prst="rect">
                      <a:avLst/>
                    </a:prstGeom>
                    <a:noFill/>
                    <a:ln>
                      <a:noFill/>
                    </a:ln>
                  </pic:spPr>
                </pic:pic>
              </a:graphicData>
            </a:graphic>
          </wp:inline>
        </w:drawing>
      </w:r>
    </w:p>
    <w:p w14:paraId="0A2686ED" w14:textId="77777777" w:rsidR="00A24E69" w:rsidRDefault="00A24E69" w:rsidP="00C430DD">
      <w:pPr>
        <w:jc w:val="both"/>
        <w:rPr>
          <w:b/>
          <w:sz w:val="36"/>
          <w:szCs w:val="36"/>
        </w:rPr>
      </w:pPr>
    </w:p>
    <w:p w14:paraId="17C3D147" w14:textId="74F89097" w:rsidR="00C430DD" w:rsidRDefault="00C430DD" w:rsidP="00C430DD">
      <w:pPr>
        <w:jc w:val="both"/>
        <w:rPr>
          <w:b/>
          <w:sz w:val="36"/>
          <w:szCs w:val="36"/>
        </w:rPr>
      </w:pPr>
      <w:r w:rsidRPr="00C430DD">
        <w:rPr>
          <w:b/>
          <w:sz w:val="36"/>
          <w:szCs w:val="36"/>
        </w:rPr>
        <w:t>Youth Shelters</w:t>
      </w:r>
    </w:p>
    <w:p w14:paraId="4E4046E4" w14:textId="307B2824" w:rsidR="00C430DD" w:rsidRDefault="00C430DD" w:rsidP="00C430DD">
      <w:pPr>
        <w:pStyle w:val="ListParagraph"/>
        <w:numPr>
          <w:ilvl w:val="0"/>
          <w:numId w:val="4"/>
        </w:numPr>
        <w:jc w:val="both"/>
      </w:pPr>
      <w:r>
        <w:t>Steel and composite youth shelter</w:t>
      </w:r>
      <w:r w:rsidR="000B72A5">
        <w:t>, w</w:t>
      </w:r>
      <w:r>
        <w:t xml:space="preserve">ith two to three sides filled in but an open front. Must have seating incorporated. Optional </w:t>
      </w:r>
      <w:r w:rsidR="000B72A5">
        <w:t>tabletops</w:t>
      </w:r>
      <w:r>
        <w:t>. Suitable for up to 10 youths.</w:t>
      </w:r>
    </w:p>
    <w:p w14:paraId="12EC7837" w14:textId="77777777" w:rsidR="001B0957" w:rsidRDefault="00C430DD" w:rsidP="00C430DD">
      <w:pPr>
        <w:jc w:val="both"/>
      </w:pPr>
      <w:r>
        <w:rPr>
          <w:noProof/>
          <w:lang w:eastAsia="en-GB"/>
        </w:rPr>
        <w:drawing>
          <wp:inline distT="0" distB="0" distL="0" distR="0" wp14:anchorId="2CB6FEFC" wp14:editId="1FB1D00E">
            <wp:extent cx="3590192" cy="2698750"/>
            <wp:effectExtent l="0" t="0" r="0" b="6350"/>
            <wp:docPr id="7" name="Picture 7" descr="https://tse3.mm.bing.net/th?id=OIP.EcJDs6m_WOgdLAMVg1aLgwHaFj&amp;pid=Api&amp;P=0&amp;w=235&amp;h=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3.mm.bing.net/th?id=OIP.EcJDs6m_WOgdLAMVg1aLgwHaFj&amp;pid=Api&amp;P=0&amp;w=235&amp;h=1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2079" cy="2715203"/>
                    </a:xfrm>
                    <a:prstGeom prst="rect">
                      <a:avLst/>
                    </a:prstGeom>
                    <a:noFill/>
                    <a:ln>
                      <a:noFill/>
                    </a:ln>
                  </pic:spPr>
                </pic:pic>
              </a:graphicData>
            </a:graphic>
          </wp:inline>
        </w:drawing>
      </w:r>
    </w:p>
    <w:p w14:paraId="14CC923A" w14:textId="77777777" w:rsidR="00403742" w:rsidRPr="00C430DD" w:rsidRDefault="00403742" w:rsidP="00C430DD">
      <w:pPr>
        <w:jc w:val="both"/>
      </w:pPr>
    </w:p>
    <w:sectPr w:rsidR="00403742" w:rsidRPr="00C43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3D87"/>
    <w:multiLevelType w:val="hybridMultilevel"/>
    <w:tmpl w:val="BC4C3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40378"/>
    <w:multiLevelType w:val="hybridMultilevel"/>
    <w:tmpl w:val="D9C4F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055B8"/>
    <w:multiLevelType w:val="hybridMultilevel"/>
    <w:tmpl w:val="931AC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77E1B"/>
    <w:multiLevelType w:val="hybridMultilevel"/>
    <w:tmpl w:val="4A8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86FD4"/>
    <w:multiLevelType w:val="hybridMultilevel"/>
    <w:tmpl w:val="95CAE57A"/>
    <w:lvl w:ilvl="0" w:tplc="D4623A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B6799A"/>
    <w:multiLevelType w:val="hybridMultilevel"/>
    <w:tmpl w:val="1EDC6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1E4215"/>
    <w:multiLevelType w:val="hybridMultilevel"/>
    <w:tmpl w:val="C2FC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55A9C"/>
    <w:multiLevelType w:val="hybridMultilevel"/>
    <w:tmpl w:val="942E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73072"/>
    <w:multiLevelType w:val="hybridMultilevel"/>
    <w:tmpl w:val="1A0A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8"/>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5A6"/>
    <w:rsid w:val="000324FF"/>
    <w:rsid w:val="000534C1"/>
    <w:rsid w:val="000B72A5"/>
    <w:rsid w:val="000C4FCC"/>
    <w:rsid w:val="00122303"/>
    <w:rsid w:val="00142E22"/>
    <w:rsid w:val="0014425E"/>
    <w:rsid w:val="001B0957"/>
    <w:rsid w:val="001D2760"/>
    <w:rsid w:val="001F1297"/>
    <w:rsid w:val="001F2F84"/>
    <w:rsid w:val="00310C5D"/>
    <w:rsid w:val="004021BC"/>
    <w:rsid w:val="00403742"/>
    <w:rsid w:val="00452090"/>
    <w:rsid w:val="00557419"/>
    <w:rsid w:val="005A3AE2"/>
    <w:rsid w:val="00604F11"/>
    <w:rsid w:val="00683854"/>
    <w:rsid w:val="00694407"/>
    <w:rsid w:val="006A4C87"/>
    <w:rsid w:val="006F00AC"/>
    <w:rsid w:val="00715E15"/>
    <w:rsid w:val="007169C5"/>
    <w:rsid w:val="007A0B20"/>
    <w:rsid w:val="007F23BD"/>
    <w:rsid w:val="008D4F5E"/>
    <w:rsid w:val="00917EA1"/>
    <w:rsid w:val="00A064A3"/>
    <w:rsid w:val="00A1253C"/>
    <w:rsid w:val="00A24E69"/>
    <w:rsid w:val="00A75649"/>
    <w:rsid w:val="00B227A8"/>
    <w:rsid w:val="00B24D97"/>
    <w:rsid w:val="00B66D06"/>
    <w:rsid w:val="00BD6603"/>
    <w:rsid w:val="00BE1289"/>
    <w:rsid w:val="00C430DD"/>
    <w:rsid w:val="00C737CB"/>
    <w:rsid w:val="00D45CAF"/>
    <w:rsid w:val="00D51E9A"/>
    <w:rsid w:val="00DF1236"/>
    <w:rsid w:val="00DF5F9E"/>
    <w:rsid w:val="00E02FE9"/>
    <w:rsid w:val="00EB5CB4"/>
    <w:rsid w:val="00EC262F"/>
    <w:rsid w:val="00F834DA"/>
    <w:rsid w:val="00FA45A6"/>
    <w:rsid w:val="00FF3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4E57"/>
  <w15:docId w15:val="{E7DFEE96-13A4-4B7B-A78A-FBECA6D5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4021BC"/>
    <w:pPr>
      <w:keepNext/>
      <w:spacing w:before="40" w:after="0" w:line="240" w:lineRule="auto"/>
      <w:outlineLvl w:val="1"/>
    </w:pPr>
    <w:rPr>
      <w:rFonts w:ascii="Calibri Light" w:eastAsia="Times New Roman" w:hAnsi="Calibri Light" w:cs="Calibri Light"/>
      <w:color w:val="2F5496"/>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419"/>
    <w:pPr>
      <w:ind w:left="720"/>
      <w:contextualSpacing/>
    </w:pPr>
  </w:style>
  <w:style w:type="paragraph" w:styleId="BalloonText">
    <w:name w:val="Balloon Text"/>
    <w:basedOn w:val="Normal"/>
    <w:link w:val="BalloonTextChar"/>
    <w:uiPriority w:val="99"/>
    <w:semiHidden/>
    <w:unhideWhenUsed/>
    <w:rsid w:val="00557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419"/>
    <w:rPr>
      <w:rFonts w:ascii="Tahoma" w:hAnsi="Tahoma" w:cs="Tahoma"/>
      <w:sz w:val="16"/>
      <w:szCs w:val="16"/>
    </w:rPr>
  </w:style>
  <w:style w:type="character" w:styleId="Hyperlink">
    <w:name w:val="Hyperlink"/>
    <w:basedOn w:val="DefaultParagraphFont"/>
    <w:uiPriority w:val="99"/>
    <w:unhideWhenUsed/>
    <w:rsid w:val="00452090"/>
    <w:rPr>
      <w:color w:val="0000FF" w:themeColor="hyperlink"/>
      <w:u w:val="single"/>
    </w:rPr>
  </w:style>
  <w:style w:type="character" w:styleId="UnresolvedMention">
    <w:name w:val="Unresolved Mention"/>
    <w:basedOn w:val="DefaultParagraphFont"/>
    <w:uiPriority w:val="99"/>
    <w:semiHidden/>
    <w:unhideWhenUsed/>
    <w:rsid w:val="00A75649"/>
    <w:rPr>
      <w:color w:val="605E5C"/>
      <w:shd w:val="clear" w:color="auto" w:fill="E1DFDD"/>
    </w:rPr>
  </w:style>
  <w:style w:type="character" w:customStyle="1" w:styleId="Heading2Char">
    <w:name w:val="Heading 2 Char"/>
    <w:basedOn w:val="DefaultParagraphFont"/>
    <w:link w:val="Heading2"/>
    <w:uiPriority w:val="9"/>
    <w:semiHidden/>
    <w:rsid w:val="004021BC"/>
    <w:rPr>
      <w:rFonts w:ascii="Calibri Light" w:eastAsia="Times New Roman" w:hAnsi="Calibri Light" w:cs="Calibri Light"/>
      <w:color w:val="2F5496"/>
      <w:sz w:val="26"/>
      <w:szCs w:val="26"/>
      <w:lang w:eastAsia="en-GB"/>
    </w:rPr>
  </w:style>
  <w:style w:type="paragraph" w:styleId="NormalWeb">
    <w:name w:val="Normal (Web)"/>
    <w:basedOn w:val="Normal"/>
    <w:uiPriority w:val="99"/>
    <w:unhideWhenUsed/>
    <w:rsid w:val="004021BC"/>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3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ewboroughandboroughfenpc.org.uk/" TargetMode="External"/><Relationship Id="rId11" Type="http://schemas.openxmlformats.org/officeDocument/2006/relationships/image" Target="media/image5.png"/><Relationship Id="rId5" Type="http://schemas.openxmlformats.org/officeDocument/2006/relationships/hyperlink" Target="mailto:clerk@newboroughandboroughfen-pc.gov.uk"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Newborough and Borough Fen Parish Council</cp:lastModifiedBy>
  <cp:revision>40</cp:revision>
  <cp:lastPrinted>2020-07-15T09:42:00Z</cp:lastPrinted>
  <dcterms:created xsi:type="dcterms:W3CDTF">2020-02-20T12:02:00Z</dcterms:created>
  <dcterms:modified xsi:type="dcterms:W3CDTF">2020-07-28T10:16:00Z</dcterms:modified>
</cp:coreProperties>
</file>