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014061D9"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6F84C725" w14:textId="279C538D" w:rsidR="00F52BE8" w:rsidRPr="00AF1ACB" w:rsidRDefault="00B73295" w:rsidP="00F52BE8">
      <w:pPr>
        <w:jc w:val="center"/>
        <w:rPr>
          <w:rFonts w:cs="Arial"/>
          <w:b/>
          <w:color w:val="000000" w:themeColor="text1"/>
          <w:u w:val="single"/>
        </w:rPr>
      </w:pPr>
      <w:r>
        <w:rPr>
          <w:rFonts w:cs="Arial"/>
          <w:b/>
          <w:color w:val="000000" w:themeColor="text1"/>
          <w:u w:val="single"/>
        </w:rPr>
        <w:t>R</w:t>
      </w:r>
      <w:r w:rsidR="00AF1ACB" w:rsidRPr="00AF1ACB">
        <w:rPr>
          <w:rFonts w:cs="Arial"/>
          <w:b/>
          <w:color w:val="000000" w:themeColor="text1"/>
          <w:u w:val="single"/>
        </w:rPr>
        <w:t xml:space="preserve">eview </w:t>
      </w:r>
      <w:proofErr w:type="gramStart"/>
      <w:r>
        <w:rPr>
          <w:rFonts w:cs="Arial"/>
          <w:b/>
          <w:color w:val="000000" w:themeColor="text1"/>
          <w:u w:val="single"/>
        </w:rPr>
        <w:t>O</w:t>
      </w:r>
      <w:r w:rsidR="00AF1ACB" w:rsidRPr="00AF1ACB">
        <w:rPr>
          <w:rFonts w:cs="Arial"/>
          <w:b/>
          <w:color w:val="000000" w:themeColor="text1"/>
          <w:u w:val="single"/>
        </w:rPr>
        <w:t>f</w:t>
      </w:r>
      <w:proofErr w:type="gramEnd"/>
      <w:r w:rsidR="00AF1ACB" w:rsidRPr="00AF1ACB">
        <w:rPr>
          <w:rFonts w:cs="Arial"/>
          <w:b/>
          <w:color w:val="000000" w:themeColor="text1"/>
          <w:u w:val="single"/>
        </w:rPr>
        <w:t xml:space="preserve"> </w:t>
      </w:r>
      <w:r>
        <w:rPr>
          <w:rFonts w:cs="Arial"/>
          <w:b/>
          <w:color w:val="000000" w:themeColor="text1"/>
          <w:u w:val="single"/>
        </w:rPr>
        <w:t>P</w:t>
      </w:r>
      <w:r w:rsidR="00AF1ACB" w:rsidRPr="00AF1ACB">
        <w:rPr>
          <w:rFonts w:cs="Arial"/>
          <w:b/>
          <w:color w:val="000000" w:themeColor="text1"/>
          <w:u w:val="single"/>
        </w:rPr>
        <w:t xml:space="preserve">ossessions </w:t>
      </w:r>
      <w:r>
        <w:rPr>
          <w:rFonts w:cs="Arial"/>
          <w:b/>
          <w:color w:val="000000" w:themeColor="text1"/>
          <w:u w:val="single"/>
        </w:rPr>
        <w:t>R</w:t>
      </w:r>
      <w:r w:rsidR="00AF1ACB" w:rsidRPr="00AF1ACB">
        <w:rPr>
          <w:rFonts w:cs="Arial"/>
          <w:b/>
          <w:color w:val="000000" w:themeColor="text1"/>
          <w:u w:val="single"/>
        </w:rPr>
        <w:t xml:space="preserve">egime (known as Schedule 4) </w:t>
      </w:r>
      <w:r>
        <w:rPr>
          <w:rFonts w:cs="Arial"/>
          <w:b/>
          <w:color w:val="000000" w:themeColor="text1"/>
          <w:u w:val="single"/>
        </w:rPr>
        <w:t>F</w:t>
      </w:r>
      <w:r w:rsidR="00AF1ACB" w:rsidRPr="00AF1ACB">
        <w:rPr>
          <w:rFonts w:cs="Arial"/>
          <w:b/>
          <w:color w:val="000000" w:themeColor="text1"/>
          <w:u w:val="single"/>
        </w:rPr>
        <w:t xml:space="preserve">or </w:t>
      </w:r>
      <w:proofErr w:type="spellStart"/>
      <w:r w:rsidR="00AF1ACB" w:rsidRPr="00AF1ACB">
        <w:rPr>
          <w:rFonts w:cs="Arial"/>
          <w:b/>
          <w:color w:val="000000" w:themeColor="text1"/>
          <w:u w:val="single"/>
        </w:rPr>
        <w:t>PR23</w:t>
      </w:r>
      <w:proofErr w:type="spellEnd"/>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1E523405" w14:textId="77777777" w:rsidR="00B73295" w:rsidRDefault="00F52BE8" w:rsidP="00B73295">
      <w:pPr>
        <w:spacing w:after="0" w:line="360" w:lineRule="auto"/>
        <w:rPr>
          <w:rFonts w:cs="Arial"/>
          <w:b/>
          <w:color w:val="FF0000"/>
          <w:u w:val="single"/>
        </w:rPr>
      </w:pPr>
      <w:proofErr w:type="spellStart"/>
      <w:r w:rsidRPr="00034159">
        <w:rPr>
          <w:rFonts w:cs="Arial"/>
          <w:b/>
          <w:u w:val="single"/>
        </w:rPr>
        <w:t>CPV</w:t>
      </w:r>
      <w:proofErr w:type="spellEnd"/>
      <w:r w:rsidRPr="00034159">
        <w:rPr>
          <w:rFonts w:cs="Arial"/>
          <w:b/>
          <w:u w:val="single"/>
        </w:rPr>
        <w:t xml:space="preserve"> Code: </w:t>
      </w:r>
      <w:r w:rsidR="00B73295">
        <w:rPr>
          <w:rFonts w:cs="Arial"/>
          <w:b/>
          <w:u w:val="single"/>
        </w:rPr>
        <w:t>73200000</w:t>
      </w:r>
    </w:p>
    <w:p w14:paraId="610DAFD3" w14:textId="7347E8CA" w:rsidR="00F52BE8" w:rsidRPr="00034159" w:rsidRDefault="00F52BE8" w:rsidP="00F52BE8">
      <w:pPr>
        <w:spacing w:after="0" w:line="360" w:lineRule="auto"/>
        <w:rPr>
          <w:rFonts w:cs="Arial"/>
          <w:b/>
        </w:rPr>
      </w:pPr>
      <w:r>
        <w:rPr>
          <w:rFonts w:cs="Arial"/>
          <w:b/>
          <w:u w:val="single"/>
        </w:rPr>
        <w:t xml:space="preserve">Tender Reference: </w:t>
      </w:r>
      <w:r w:rsidR="0051724B" w:rsidRPr="0051724B">
        <w:rPr>
          <w:rFonts w:cs="Arial"/>
          <w:b/>
          <w:u w:val="single"/>
        </w:rPr>
        <w:t>ORR/CT/21-09</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0900EA5A"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to invite proposals for</w:t>
      </w:r>
      <w:r w:rsidR="00FE18B6">
        <w:rPr>
          <w:rFonts w:cs="Arial"/>
          <w:b/>
          <w:color w:val="FF0000"/>
        </w:rPr>
        <w:t xml:space="preserve"> </w:t>
      </w:r>
      <w:r w:rsidR="00FE18B6" w:rsidRPr="00FE18B6">
        <w:rPr>
          <w:rFonts w:cs="Arial"/>
          <w:bCs/>
        </w:rPr>
        <w:t>consultancy support</w:t>
      </w:r>
      <w:r w:rsidR="00FE18B6" w:rsidRPr="00FE18B6">
        <w:rPr>
          <w:rFonts w:cs="Arial"/>
          <w:b/>
        </w:rPr>
        <w:t xml:space="preserve"> </w:t>
      </w:r>
      <w:r w:rsidRPr="00034159">
        <w:rPr>
          <w:rFonts w:cs="Arial"/>
          <w:color w:val="000000"/>
        </w:rPr>
        <w:t>for</w:t>
      </w:r>
      <w:r>
        <w:rPr>
          <w:rFonts w:cs="Arial"/>
          <w:color w:val="000000"/>
        </w:rPr>
        <w:t xml:space="preserve"> the Office of Rail and Road (ORR)</w:t>
      </w:r>
      <w:r w:rsidR="00FE18B6">
        <w:rPr>
          <w:rFonts w:cs="Arial"/>
          <w:color w:val="000000"/>
        </w:rPr>
        <w:t xml:space="preserve"> in respect of its review of possessions regime for PR23</w:t>
      </w:r>
      <w:r>
        <w:rPr>
          <w:rFonts w:cs="Arial"/>
          <w:color w:val="000000"/>
        </w:rPr>
        <w:t>.</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480405E4"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D62C4CF" w14:textId="77777777" w:rsidR="00F52BE8" w:rsidRPr="007E2FBB" w:rsidRDefault="00F52BE8" w:rsidP="00F52BE8">
      <w:pPr>
        <w:tabs>
          <w:tab w:val="left" w:pos="720"/>
        </w:tabs>
        <w:spacing w:after="0"/>
        <w:rPr>
          <w:rFonts w:cs="Arial"/>
          <w:szCs w:val="24"/>
        </w:rPr>
      </w:pPr>
    </w:p>
    <w:p w14:paraId="31250FE4"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75DF7DBC" w14:textId="77777777" w:rsidR="00F52BE8" w:rsidRPr="007E2FBB" w:rsidRDefault="00F52BE8" w:rsidP="00F52BE8">
      <w:pPr>
        <w:tabs>
          <w:tab w:val="left" w:pos="720"/>
        </w:tabs>
        <w:spacing w:after="0"/>
        <w:rPr>
          <w:rFonts w:cs="Arial"/>
          <w:szCs w:val="24"/>
        </w:rPr>
      </w:pPr>
    </w:p>
    <w:p w14:paraId="19E78252"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 xml:space="preserve">Secure improved performance, including efficiency, </w:t>
      </w:r>
      <w:proofErr w:type="gramStart"/>
      <w:r w:rsidRPr="007E2FBB">
        <w:rPr>
          <w:rFonts w:cs="Arial"/>
          <w:szCs w:val="24"/>
        </w:rPr>
        <w:t>safety</w:t>
      </w:r>
      <w:proofErr w:type="gramEnd"/>
      <w:r w:rsidRPr="007E2FBB">
        <w:rPr>
          <w:rFonts w:cs="Arial"/>
          <w:szCs w:val="24"/>
        </w:rPr>
        <w:t xml:space="preserve"> and sustainability, from the strategic road network, for the benefit of road users and the public, through proportionate, risk-based monitoring, increased transparency, enforcement and robust advice on future performance requirements.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52BE8" w:rsidRPr="0036077E" w14:paraId="7DC6446B" w14:textId="77777777" w:rsidTr="00182C94">
        <w:trPr>
          <w:trHeight w:val="454"/>
        </w:trPr>
        <w:tc>
          <w:tcPr>
            <w:tcW w:w="9356"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182C94">
        <w:trPr>
          <w:trHeight w:val="760"/>
        </w:trPr>
        <w:tc>
          <w:tcPr>
            <w:tcW w:w="9356" w:type="dxa"/>
            <w:tcBorders>
              <w:bottom w:val="single" w:sz="4" w:space="0" w:color="auto"/>
            </w:tcBorders>
            <w:shd w:val="clear" w:color="auto" w:fill="auto"/>
          </w:tcPr>
          <w:p w14:paraId="52AFFA00" w14:textId="0C9748D7" w:rsidR="00AF1ACB" w:rsidRPr="00261AE3" w:rsidRDefault="00AF1ACB" w:rsidP="00261AE3">
            <w:pPr>
              <w:rPr>
                <w:rFonts w:cs="Arial"/>
                <w:bCs/>
                <w:color w:val="000000" w:themeColor="text1"/>
                <w:sz w:val="22"/>
                <w:szCs w:val="22"/>
              </w:rPr>
            </w:pPr>
            <w:r w:rsidRPr="00261AE3">
              <w:rPr>
                <w:rFonts w:cs="Arial"/>
                <w:bCs/>
                <w:color w:val="000000" w:themeColor="text1"/>
                <w:sz w:val="22"/>
                <w:szCs w:val="22"/>
              </w:rPr>
              <w:t xml:space="preserve">ORR is the economic regulator of </w:t>
            </w:r>
            <w:r w:rsidR="00261AE3" w:rsidRPr="00261AE3">
              <w:rPr>
                <w:rFonts w:cs="Arial"/>
                <w:bCs/>
                <w:color w:val="000000" w:themeColor="text1"/>
                <w:sz w:val="22"/>
                <w:szCs w:val="22"/>
              </w:rPr>
              <w:t>Britain’s</w:t>
            </w:r>
            <w:r w:rsidRPr="00261AE3">
              <w:rPr>
                <w:rFonts w:cs="Arial"/>
                <w:bCs/>
                <w:color w:val="000000" w:themeColor="text1"/>
                <w:sz w:val="22"/>
                <w:szCs w:val="22"/>
              </w:rPr>
              <w:t xml:space="preserve"> railway</w:t>
            </w:r>
            <w:r w:rsidR="00261AE3" w:rsidRPr="00261AE3">
              <w:rPr>
                <w:rFonts w:cs="Arial"/>
                <w:bCs/>
                <w:color w:val="000000" w:themeColor="text1"/>
                <w:sz w:val="22"/>
                <w:szCs w:val="22"/>
              </w:rPr>
              <w:t xml:space="preserve"> infrastructure.</w:t>
            </w:r>
            <w:r w:rsidRPr="00261AE3">
              <w:rPr>
                <w:rFonts w:cs="Arial"/>
                <w:bCs/>
                <w:color w:val="000000" w:themeColor="text1"/>
                <w:sz w:val="22"/>
                <w:szCs w:val="22"/>
              </w:rPr>
              <w:t xml:space="preserve"> </w:t>
            </w:r>
            <w:r w:rsidR="00261AE3" w:rsidRPr="00261AE3">
              <w:rPr>
                <w:rFonts w:cs="Arial"/>
                <w:sz w:val="22"/>
                <w:szCs w:val="22"/>
              </w:rPr>
              <w:t>We regulate Network Rail and other railway networks, including the Channel Tunnel and High Speed 1. We regulate Network Rail by conducting five-yearly reviews (“Periodic Reviews”) through which its funding is set along with what it must achieve within each control period. As part of the periodic review, we also decide any changes to the possessions regime for planned disruption (known as Schedule 4)</w:t>
            </w:r>
            <w:r w:rsidR="004875A3">
              <w:rPr>
                <w:rStyle w:val="FootnoteReference"/>
                <w:rFonts w:cs="Arial"/>
                <w:sz w:val="22"/>
                <w:szCs w:val="22"/>
              </w:rPr>
              <w:footnoteReference w:id="1"/>
            </w:r>
            <w:r w:rsidR="00261AE3" w:rsidRPr="00261AE3">
              <w:rPr>
                <w:rFonts w:cs="Arial"/>
                <w:sz w:val="22"/>
                <w:szCs w:val="22"/>
              </w:rPr>
              <w:t xml:space="preserve">. </w:t>
            </w:r>
          </w:p>
          <w:p w14:paraId="100A7764" w14:textId="77777777" w:rsidR="00261AE3" w:rsidRPr="00261AE3" w:rsidRDefault="00261AE3" w:rsidP="00261AE3">
            <w:pPr>
              <w:rPr>
                <w:rFonts w:cs="Arial"/>
                <w:bCs/>
                <w:color w:val="000000" w:themeColor="text1"/>
                <w:sz w:val="22"/>
                <w:szCs w:val="22"/>
              </w:rPr>
            </w:pPr>
            <w:r w:rsidRPr="00261AE3">
              <w:rPr>
                <w:rFonts w:cs="Arial"/>
                <w:bCs/>
                <w:color w:val="000000" w:themeColor="text1"/>
                <w:sz w:val="22"/>
                <w:szCs w:val="22"/>
              </w:rPr>
              <w:t>Schedule 4 is the portion of track access contracts that sets out the level of compensation Network Rail is required to pay train operators for delays, service changes or cancellations as the result of planned disruption on the network. This type of disruption occurs largely as the result of Network Rail taking temporary possession of the network to undertake planned engineering work, but also due to some other disruptive events such as severe weather.</w:t>
            </w:r>
          </w:p>
          <w:p w14:paraId="2E24397E" w14:textId="37D5DBA4" w:rsidR="00261AE3" w:rsidRDefault="00261AE3" w:rsidP="00261AE3">
            <w:pPr>
              <w:spacing w:after="160" w:line="259" w:lineRule="auto"/>
              <w:rPr>
                <w:rFonts w:cs="Arial"/>
                <w:bCs/>
                <w:color w:val="000000" w:themeColor="text1"/>
                <w:sz w:val="22"/>
                <w:szCs w:val="22"/>
              </w:rPr>
            </w:pPr>
            <w:r w:rsidRPr="00261AE3">
              <w:rPr>
                <w:rFonts w:cs="Arial"/>
                <w:bCs/>
                <w:color w:val="000000" w:themeColor="text1"/>
                <w:sz w:val="22"/>
                <w:szCs w:val="22"/>
              </w:rPr>
              <w:t>Under Schedule 4</w:t>
            </w:r>
            <w:r w:rsidR="004875A3">
              <w:rPr>
                <w:rFonts w:cs="Arial"/>
                <w:bCs/>
                <w:color w:val="000000" w:themeColor="text1"/>
                <w:sz w:val="22"/>
                <w:szCs w:val="22"/>
              </w:rPr>
              <w:t xml:space="preserve">, </w:t>
            </w:r>
            <w:r w:rsidRPr="00261AE3">
              <w:rPr>
                <w:rFonts w:cs="Arial"/>
                <w:bCs/>
                <w:color w:val="000000" w:themeColor="text1"/>
                <w:sz w:val="22"/>
                <w:szCs w:val="22"/>
              </w:rPr>
              <w:t xml:space="preserve">Network Rail pays compensation to rail operators for the additional costs and/or revenue loss caused by service disruption due to possessions. The majority of Schedule 4 payments are formulaic covering short term possessions (known as type 1). Operators can also claim actual revenue losses and/or costs for longer possessions, (types 2 and 3) and for sustained planned disruption over a long period of time. </w:t>
            </w:r>
            <w:r w:rsidR="00E534C2" w:rsidRPr="00E534C2">
              <w:rPr>
                <w:rFonts w:cs="Arial"/>
                <w:bCs/>
                <w:color w:val="000000" w:themeColor="text1"/>
                <w:sz w:val="22"/>
                <w:szCs w:val="22"/>
              </w:rPr>
              <w:t>Network Rail receives a discount on the amount of revenue loss payments it makes, the earlier it notifies operators about forthcoming possessions.</w:t>
            </w:r>
          </w:p>
          <w:p w14:paraId="62F243EF" w14:textId="10D30A72" w:rsidR="00E534C2" w:rsidRPr="00E534C2" w:rsidRDefault="00E534C2" w:rsidP="00E534C2">
            <w:pPr>
              <w:spacing w:after="160" w:line="259" w:lineRule="auto"/>
              <w:rPr>
                <w:rFonts w:cs="Arial"/>
                <w:bCs/>
                <w:color w:val="000000" w:themeColor="text1"/>
                <w:sz w:val="22"/>
                <w:szCs w:val="22"/>
              </w:rPr>
            </w:pPr>
            <w:r w:rsidRPr="00E534C2">
              <w:rPr>
                <w:rFonts w:cs="Arial"/>
                <w:bCs/>
                <w:color w:val="000000" w:themeColor="text1"/>
                <w:sz w:val="22"/>
                <w:szCs w:val="22"/>
              </w:rPr>
              <w:t>The Schedule 4 passenger regime is funded by an access charge supplement (ACS) paid by all franchised operators in return for full formulaic Schedule 4 compensation. Open access operators can pay an ACS and receive full Schedule 4 compensation, but currently none cho</w:t>
            </w:r>
            <w:r w:rsidR="00063A11">
              <w:rPr>
                <w:rFonts w:cs="Arial"/>
                <w:bCs/>
                <w:color w:val="000000" w:themeColor="text1"/>
                <w:sz w:val="22"/>
                <w:szCs w:val="22"/>
              </w:rPr>
              <w:t>o</w:t>
            </w:r>
            <w:r w:rsidRPr="00E534C2">
              <w:rPr>
                <w:rFonts w:cs="Arial"/>
                <w:bCs/>
                <w:color w:val="000000" w:themeColor="text1"/>
                <w:sz w:val="22"/>
                <w:szCs w:val="22"/>
              </w:rPr>
              <w:t xml:space="preserve">se to do so. </w:t>
            </w:r>
            <w:r w:rsidR="00BD564A">
              <w:rPr>
                <w:rFonts w:cs="Arial"/>
                <w:bCs/>
                <w:color w:val="000000" w:themeColor="text1"/>
                <w:sz w:val="22"/>
                <w:szCs w:val="22"/>
              </w:rPr>
              <w:t xml:space="preserve">Without paying the </w:t>
            </w:r>
            <w:r w:rsidR="00B93873">
              <w:rPr>
                <w:rFonts w:cs="Arial"/>
                <w:bCs/>
                <w:color w:val="000000" w:themeColor="text1"/>
                <w:sz w:val="22"/>
                <w:szCs w:val="22"/>
              </w:rPr>
              <w:t>A</w:t>
            </w:r>
            <w:r w:rsidR="00BD564A">
              <w:rPr>
                <w:rFonts w:cs="Arial"/>
                <w:bCs/>
                <w:color w:val="000000" w:themeColor="text1"/>
                <w:sz w:val="22"/>
                <w:szCs w:val="22"/>
              </w:rPr>
              <w:t>CS,</w:t>
            </w:r>
            <w:r w:rsidR="00B93873">
              <w:rPr>
                <w:rFonts w:cs="Arial"/>
                <w:bCs/>
                <w:color w:val="000000" w:themeColor="text1"/>
                <w:sz w:val="22"/>
                <w:szCs w:val="22"/>
              </w:rPr>
              <w:t xml:space="preserve"> </w:t>
            </w:r>
            <w:r w:rsidRPr="00E534C2">
              <w:rPr>
                <w:rFonts w:cs="Arial"/>
                <w:bCs/>
                <w:color w:val="000000" w:themeColor="text1"/>
                <w:sz w:val="22"/>
                <w:szCs w:val="22"/>
              </w:rPr>
              <w:t xml:space="preserve">open access operators can only claim for lengthy possessions (type 3) and for periods of sustained disruption. </w:t>
            </w:r>
          </w:p>
          <w:p w14:paraId="026BAB82" w14:textId="507C3393" w:rsidR="00261AE3" w:rsidRDefault="00E534C2" w:rsidP="00E534C2">
            <w:pPr>
              <w:rPr>
                <w:rFonts w:cs="Arial"/>
                <w:bCs/>
                <w:color w:val="000000" w:themeColor="text1"/>
                <w:sz w:val="22"/>
                <w:szCs w:val="22"/>
              </w:rPr>
            </w:pPr>
            <w:r w:rsidRPr="00E534C2">
              <w:rPr>
                <w:rFonts w:cs="Arial"/>
                <w:bCs/>
                <w:color w:val="000000" w:themeColor="text1"/>
                <w:sz w:val="22"/>
                <w:szCs w:val="22"/>
              </w:rPr>
              <w:t xml:space="preserve">Freight operators receive cost compensation based on the level of disruption and of the amount of notice given, and also for late cancelation of services. They can also claim actual losses for severe disruption. Freight Schedule 4 is funded out of Network Rail’s revenue requirement. Freight operators could receive higher payments in return for paying an ACS, but none currently do so. </w:t>
            </w:r>
          </w:p>
          <w:p w14:paraId="3C9C2638" w14:textId="2524DE79" w:rsidR="00E534C2" w:rsidRPr="00E534C2" w:rsidRDefault="00E534C2" w:rsidP="00E534C2">
            <w:pPr>
              <w:rPr>
                <w:rFonts w:cs="Arial"/>
                <w:bCs/>
                <w:color w:val="000000" w:themeColor="text1"/>
                <w:sz w:val="22"/>
                <w:szCs w:val="22"/>
              </w:rPr>
            </w:pPr>
            <w:r w:rsidRPr="00E534C2">
              <w:rPr>
                <w:rFonts w:cs="Arial"/>
                <w:bCs/>
                <w:color w:val="000000" w:themeColor="text1"/>
                <w:sz w:val="22"/>
                <w:szCs w:val="22"/>
              </w:rPr>
              <w:t xml:space="preserve">Schedule 4 has </w:t>
            </w:r>
            <w:r w:rsidR="004875A3">
              <w:rPr>
                <w:rFonts w:cs="Arial"/>
                <w:bCs/>
                <w:color w:val="000000" w:themeColor="text1"/>
                <w:sz w:val="22"/>
                <w:szCs w:val="22"/>
              </w:rPr>
              <w:t>three</w:t>
            </w:r>
            <w:r w:rsidRPr="00E534C2">
              <w:rPr>
                <w:rFonts w:cs="Arial"/>
                <w:bCs/>
                <w:color w:val="000000" w:themeColor="text1"/>
                <w:sz w:val="22"/>
                <w:szCs w:val="22"/>
              </w:rPr>
              <w:t xml:space="preserve"> main purposes: </w:t>
            </w:r>
          </w:p>
          <w:p w14:paraId="57444B19" w14:textId="1A2884B1" w:rsidR="00E534C2" w:rsidRDefault="00E534C2" w:rsidP="00376DC3">
            <w:pPr>
              <w:pStyle w:val="ListParagraph"/>
              <w:numPr>
                <w:ilvl w:val="0"/>
                <w:numId w:val="32"/>
              </w:numPr>
              <w:rPr>
                <w:rFonts w:cs="Arial"/>
                <w:bCs/>
                <w:color w:val="000000" w:themeColor="text1"/>
                <w:sz w:val="22"/>
                <w:szCs w:val="22"/>
              </w:rPr>
            </w:pPr>
            <w:r w:rsidRPr="00E534C2">
              <w:rPr>
                <w:rFonts w:cs="Arial"/>
                <w:bCs/>
                <w:color w:val="000000" w:themeColor="text1"/>
                <w:sz w:val="22"/>
                <w:szCs w:val="22"/>
              </w:rPr>
              <w:t xml:space="preserve">to provide compensation to passenger and freight operators for revenue loss and additional costs incurred as the result of disruption to services; </w:t>
            </w:r>
          </w:p>
          <w:p w14:paraId="4F7C71B5" w14:textId="7A83BF32" w:rsidR="00E534C2" w:rsidRDefault="00E534C2" w:rsidP="00376DC3">
            <w:pPr>
              <w:pStyle w:val="ListParagraph"/>
              <w:numPr>
                <w:ilvl w:val="0"/>
                <w:numId w:val="32"/>
              </w:numPr>
              <w:rPr>
                <w:rFonts w:cs="Arial"/>
                <w:bCs/>
                <w:color w:val="000000" w:themeColor="text1"/>
                <w:sz w:val="22"/>
                <w:szCs w:val="22"/>
              </w:rPr>
            </w:pPr>
            <w:r w:rsidRPr="00E534C2">
              <w:rPr>
                <w:rFonts w:cs="Arial"/>
                <w:bCs/>
                <w:color w:val="000000" w:themeColor="text1"/>
                <w:sz w:val="22"/>
                <w:szCs w:val="22"/>
              </w:rPr>
              <w:t xml:space="preserve">to act as an incentive on Network Rail to plan possessions efficiently, </w:t>
            </w:r>
            <w:proofErr w:type="gramStart"/>
            <w:r w:rsidRPr="00E534C2">
              <w:rPr>
                <w:rFonts w:cs="Arial"/>
                <w:bCs/>
                <w:color w:val="000000" w:themeColor="text1"/>
                <w:sz w:val="22"/>
                <w:szCs w:val="22"/>
              </w:rPr>
              <w:t>so as</w:t>
            </w:r>
            <w:r>
              <w:rPr>
                <w:rFonts w:cs="Arial"/>
                <w:bCs/>
                <w:color w:val="000000" w:themeColor="text1"/>
                <w:sz w:val="22"/>
                <w:szCs w:val="22"/>
              </w:rPr>
              <w:t xml:space="preserve"> </w:t>
            </w:r>
            <w:r w:rsidRPr="00E534C2">
              <w:rPr>
                <w:rFonts w:cs="Arial"/>
                <w:bCs/>
                <w:color w:val="000000" w:themeColor="text1"/>
                <w:sz w:val="22"/>
                <w:szCs w:val="22"/>
              </w:rPr>
              <w:t>to</w:t>
            </w:r>
            <w:proofErr w:type="gramEnd"/>
            <w:r w:rsidRPr="00E534C2">
              <w:rPr>
                <w:rFonts w:cs="Arial"/>
                <w:bCs/>
                <w:color w:val="000000" w:themeColor="text1"/>
                <w:sz w:val="22"/>
                <w:szCs w:val="22"/>
              </w:rPr>
              <w:t xml:space="preserve"> minimi</w:t>
            </w:r>
            <w:r w:rsidR="00063A11">
              <w:rPr>
                <w:rFonts w:cs="Arial"/>
                <w:bCs/>
                <w:color w:val="000000" w:themeColor="text1"/>
                <w:sz w:val="22"/>
                <w:szCs w:val="22"/>
              </w:rPr>
              <w:t>s</w:t>
            </w:r>
            <w:r w:rsidRPr="00E534C2">
              <w:rPr>
                <w:rFonts w:cs="Arial"/>
                <w:bCs/>
                <w:color w:val="000000" w:themeColor="text1"/>
                <w:sz w:val="22"/>
                <w:szCs w:val="22"/>
              </w:rPr>
              <w:t>e disruption to operators, and final customers</w:t>
            </w:r>
            <w:r w:rsidR="004875A3">
              <w:rPr>
                <w:rFonts w:cs="Arial"/>
                <w:bCs/>
                <w:color w:val="000000" w:themeColor="text1"/>
                <w:sz w:val="22"/>
                <w:szCs w:val="22"/>
              </w:rPr>
              <w:t xml:space="preserve">; and, </w:t>
            </w:r>
          </w:p>
          <w:p w14:paraId="1E4EC393" w14:textId="6784DE88" w:rsidR="004875A3" w:rsidRDefault="004875A3" w:rsidP="00376DC3">
            <w:pPr>
              <w:pStyle w:val="ListParagraph"/>
              <w:numPr>
                <w:ilvl w:val="0"/>
                <w:numId w:val="32"/>
              </w:numPr>
              <w:rPr>
                <w:rFonts w:cs="Arial"/>
                <w:bCs/>
                <w:color w:val="000000" w:themeColor="text1"/>
                <w:sz w:val="22"/>
                <w:szCs w:val="22"/>
              </w:rPr>
            </w:pPr>
            <w:r>
              <w:rPr>
                <w:rFonts w:cs="Arial"/>
                <w:bCs/>
                <w:color w:val="000000" w:themeColor="text1"/>
                <w:sz w:val="22"/>
                <w:szCs w:val="22"/>
              </w:rPr>
              <w:t xml:space="preserve">to ensure that Network Rail and other industry parties have information about the impact of possessions on users of the railway. </w:t>
            </w:r>
          </w:p>
          <w:p w14:paraId="17341CC8" w14:textId="2C2802EF" w:rsidR="004875A3" w:rsidRPr="004875A3" w:rsidRDefault="004875A3" w:rsidP="004875A3">
            <w:pPr>
              <w:rPr>
                <w:rFonts w:cs="Arial"/>
                <w:bCs/>
                <w:color w:val="000000" w:themeColor="text1"/>
                <w:sz w:val="22"/>
                <w:szCs w:val="22"/>
              </w:rPr>
            </w:pPr>
            <w:r>
              <w:rPr>
                <w:rFonts w:cs="Arial"/>
                <w:bCs/>
                <w:color w:val="000000" w:themeColor="text1"/>
                <w:sz w:val="22"/>
                <w:szCs w:val="22"/>
              </w:rPr>
              <w:t>More widely, a key objective</w:t>
            </w:r>
            <w:r w:rsidR="00E73E79">
              <w:rPr>
                <w:rFonts w:cs="Arial"/>
                <w:bCs/>
                <w:color w:val="000000" w:themeColor="text1"/>
                <w:sz w:val="22"/>
                <w:szCs w:val="22"/>
              </w:rPr>
              <w:t xml:space="preserve"> is</w:t>
            </w:r>
            <w:r>
              <w:rPr>
                <w:rFonts w:cs="Arial"/>
                <w:bCs/>
                <w:color w:val="000000" w:themeColor="text1"/>
                <w:sz w:val="22"/>
                <w:szCs w:val="22"/>
              </w:rPr>
              <w:t xml:space="preserve"> to </w:t>
            </w:r>
            <w:r w:rsidR="00E73E79">
              <w:rPr>
                <w:rFonts w:cs="Arial"/>
                <w:bCs/>
                <w:color w:val="000000" w:themeColor="text1"/>
                <w:sz w:val="22"/>
                <w:szCs w:val="22"/>
              </w:rPr>
              <w:t xml:space="preserve">incentivise </w:t>
            </w:r>
            <w:r>
              <w:rPr>
                <w:rFonts w:cs="Arial"/>
                <w:bCs/>
                <w:color w:val="000000" w:themeColor="text1"/>
                <w:sz w:val="22"/>
                <w:szCs w:val="22"/>
              </w:rPr>
              <w:t xml:space="preserve">Network Rail and train operators </w:t>
            </w:r>
            <w:r w:rsidR="00E73E79">
              <w:rPr>
                <w:rFonts w:cs="Arial"/>
                <w:bCs/>
                <w:color w:val="000000" w:themeColor="text1"/>
                <w:sz w:val="22"/>
                <w:szCs w:val="22"/>
              </w:rPr>
              <w:t xml:space="preserve">to </w:t>
            </w:r>
            <w:r>
              <w:rPr>
                <w:rFonts w:cs="Arial"/>
                <w:bCs/>
                <w:color w:val="000000" w:themeColor="text1"/>
                <w:sz w:val="22"/>
                <w:szCs w:val="22"/>
              </w:rPr>
              <w:t xml:space="preserve">collaborate to manage planned disruptions effectively and minimise the impact on passengers. </w:t>
            </w:r>
          </w:p>
          <w:p w14:paraId="72E886AB" w14:textId="2ABD3FBE" w:rsidR="00D31538" w:rsidRDefault="00E534C2" w:rsidP="00E534C2">
            <w:pPr>
              <w:rPr>
                <w:rFonts w:cs="Arial"/>
                <w:bCs/>
                <w:color w:val="000000" w:themeColor="text1"/>
                <w:sz w:val="22"/>
                <w:szCs w:val="22"/>
              </w:rPr>
            </w:pPr>
            <w:r>
              <w:rPr>
                <w:rFonts w:cs="Arial"/>
                <w:bCs/>
                <w:color w:val="000000" w:themeColor="text1"/>
                <w:sz w:val="22"/>
                <w:szCs w:val="22"/>
              </w:rPr>
              <w:t xml:space="preserve">We completed our most recent periodic review in late 2018 (known as PR18). This review determined the possessions regimes, for the current control period </w:t>
            </w:r>
            <w:r w:rsidRPr="00E534C2">
              <w:rPr>
                <w:rFonts w:cs="Arial"/>
                <w:bCs/>
                <w:color w:val="000000" w:themeColor="text1"/>
                <w:sz w:val="22"/>
                <w:szCs w:val="22"/>
              </w:rPr>
              <w:t xml:space="preserve">(control period 6, or CP6, </w:t>
            </w:r>
            <w:r w:rsidRPr="00E534C2">
              <w:rPr>
                <w:rFonts w:cs="Arial"/>
                <w:bCs/>
                <w:color w:val="000000" w:themeColor="text1"/>
                <w:sz w:val="22"/>
                <w:szCs w:val="22"/>
              </w:rPr>
              <w:lastRenderedPageBreak/>
              <w:t>which runs from 1 April 2019 to 31 March 2024).</w:t>
            </w:r>
            <w:r>
              <w:rPr>
                <w:rFonts w:cs="Arial"/>
                <w:bCs/>
                <w:color w:val="000000" w:themeColor="text1"/>
                <w:sz w:val="22"/>
                <w:szCs w:val="22"/>
              </w:rPr>
              <w:t xml:space="preserve"> </w:t>
            </w:r>
            <w:r w:rsidR="00D31538">
              <w:rPr>
                <w:rFonts w:cs="Arial"/>
                <w:bCs/>
                <w:color w:val="000000" w:themeColor="text1"/>
                <w:sz w:val="22"/>
                <w:szCs w:val="22"/>
              </w:rPr>
              <w:t xml:space="preserve">The current view in the industry is that the </w:t>
            </w:r>
            <w:r w:rsidR="00E73E79">
              <w:rPr>
                <w:rFonts w:cs="Arial"/>
                <w:bCs/>
                <w:color w:val="000000" w:themeColor="text1"/>
                <w:sz w:val="22"/>
                <w:szCs w:val="22"/>
              </w:rPr>
              <w:t>Schedule 4</w:t>
            </w:r>
            <w:r w:rsidR="00D31538">
              <w:rPr>
                <w:rFonts w:cs="Arial"/>
                <w:bCs/>
                <w:color w:val="000000" w:themeColor="text1"/>
                <w:sz w:val="22"/>
                <w:szCs w:val="22"/>
              </w:rPr>
              <w:t xml:space="preserve"> works well and as intended, although stakeholders have raised </w:t>
            </w:r>
            <w:proofErr w:type="gramStart"/>
            <w:r w:rsidR="00D31538">
              <w:rPr>
                <w:rFonts w:cs="Arial"/>
                <w:bCs/>
                <w:color w:val="000000" w:themeColor="text1"/>
                <w:sz w:val="22"/>
                <w:szCs w:val="22"/>
              </w:rPr>
              <w:t>a number of</w:t>
            </w:r>
            <w:proofErr w:type="gramEnd"/>
            <w:r w:rsidR="00D31538">
              <w:rPr>
                <w:rFonts w:cs="Arial"/>
                <w:bCs/>
                <w:color w:val="000000" w:themeColor="text1"/>
                <w:sz w:val="22"/>
                <w:szCs w:val="22"/>
              </w:rPr>
              <w:t xml:space="preserve"> issues which relate to specific features or to the value of specific parameters of the regime. </w:t>
            </w:r>
          </w:p>
          <w:p w14:paraId="4DBB0BD5" w14:textId="48F0481F" w:rsidR="00E534C2" w:rsidRDefault="00E534C2" w:rsidP="00E534C2">
            <w:pPr>
              <w:rPr>
                <w:rFonts w:cs="Arial"/>
                <w:sz w:val="22"/>
                <w:szCs w:val="22"/>
              </w:rPr>
            </w:pPr>
            <w:r>
              <w:rPr>
                <w:rFonts w:cs="Arial"/>
                <w:bCs/>
                <w:color w:val="000000" w:themeColor="text1"/>
                <w:sz w:val="22"/>
                <w:szCs w:val="22"/>
              </w:rPr>
              <w:t>We are now preparing for the next periodic review,</w:t>
            </w:r>
            <w:r w:rsidR="00376DC3">
              <w:rPr>
                <w:rFonts w:cs="Arial"/>
                <w:bCs/>
                <w:color w:val="000000" w:themeColor="text1"/>
                <w:sz w:val="22"/>
                <w:szCs w:val="22"/>
              </w:rPr>
              <w:t xml:space="preserve"> covering the next control period (CP7, which runs from 1 April 2024 to 31 March 2029) and</w:t>
            </w:r>
            <w:r>
              <w:rPr>
                <w:rFonts w:cs="Arial"/>
                <w:bCs/>
                <w:color w:val="000000" w:themeColor="text1"/>
                <w:sz w:val="22"/>
                <w:szCs w:val="22"/>
              </w:rPr>
              <w:t xml:space="preserve"> due in late 2023 (known as PR23)</w:t>
            </w:r>
            <w:r w:rsidR="00B443AB">
              <w:rPr>
                <w:rFonts w:cs="Arial"/>
                <w:bCs/>
                <w:color w:val="000000" w:themeColor="text1"/>
                <w:sz w:val="22"/>
                <w:szCs w:val="22"/>
              </w:rPr>
              <w:t>,</w:t>
            </w:r>
            <w:r w:rsidR="00376DC3">
              <w:rPr>
                <w:rFonts w:cs="Arial"/>
                <w:bCs/>
                <w:color w:val="000000" w:themeColor="text1"/>
                <w:sz w:val="22"/>
                <w:szCs w:val="22"/>
              </w:rPr>
              <w:t xml:space="preserve"> and</w:t>
            </w:r>
            <w:r w:rsidR="00B443AB">
              <w:rPr>
                <w:rFonts w:cs="Arial"/>
                <w:bCs/>
                <w:color w:val="000000" w:themeColor="text1"/>
                <w:sz w:val="22"/>
                <w:szCs w:val="22"/>
              </w:rPr>
              <w:t xml:space="preserve"> for which we will review the possessions regime</w:t>
            </w:r>
            <w:r>
              <w:rPr>
                <w:rFonts w:cs="Arial"/>
                <w:bCs/>
                <w:color w:val="000000" w:themeColor="text1"/>
                <w:sz w:val="22"/>
                <w:szCs w:val="22"/>
              </w:rPr>
              <w:t xml:space="preserve">. PR23 </w:t>
            </w:r>
            <w:r w:rsidR="00E73E79">
              <w:rPr>
                <w:rFonts w:cs="Arial"/>
                <w:bCs/>
                <w:color w:val="000000" w:themeColor="text1"/>
                <w:sz w:val="22"/>
                <w:szCs w:val="22"/>
              </w:rPr>
              <w:t>will be</w:t>
            </w:r>
            <w:r>
              <w:rPr>
                <w:rFonts w:cs="Arial"/>
                <w:bCs/>
                <w:color w:val="000000" w:themeColor="text1"/>
                <w:sz w:val="22"/>
                <w:szCs w:val="22"/>
              </w:rPr>
              <w:t xml:space="preserve"> embedded in a much different context than PR18. In particular,</w:t>
            </w:r>
            <w:r w:rsidRPr="00795741">
              <w:rPr>
                <w:rFonts w:cs="Arial"/>
                <w:sz w:val="22"/>
                <w:szCs w:val="22"/>
              </w:rPr>
              <w:t xml:space="preserve"> </w:t>
            </w:r>
            <w:proofErr w:type="gramStart"/>
            <w:r w:rsidRPr="00795741">
              <w:rPr>
                <w:rFonts w:cs="Arial"/>
                <w:sz w:val="22"/>
                <w:szCs w:val="22"/>
              </w:rPr>
              <w:t>as</w:t>
            </w:r>
            <w:r w:rsidRPr="002001D6">
              <w:rPr>
                <w:rFonts w:cs="Arial"/>
                <w:sz w:val="22"/>
                <w:szCs w:val="22"/>
              </w:rPr>
              <w:t xml:space="preserve"> a result of</w:t>
            </w:r>
            <w:proofErr w:type="gramEnd"/>
            <w:r w:rsidRPr="002001D6">
              <w:rPr>
                <w:rFonts w:cs="Arial"/>
                <w:sz w:val="22"/>
                <w:szCs w:val="22"/>
              </w:rPr>
              <w:t xml:space="preserve"> the large drop in passenger numbers and revenues from March</w:t>
            </w:r>
            <w:r>
              <w:rPr>
                <w:rFonts w:cs="Arial"/>
                <w:sz w:val="22"/>
                <w:szCs w:val="22"/>
              </w:rPr>
              <w:t xml:space="preserve"> </w:t>
            </w:r>
            <w:r w:rsidRPr="002001D6">
              <w:rPr>
                <w:rFonts w:cs="Arial"/>
                <w:sz w:val="22"/>
                <w:szCs w:val="22"/>
              </w:rPr>
              <w:t>2020</w:t>
            </w:r>
            <w:r>
              <w:rPr>
                <w:rFonts w:cs="Arial"/>
                <w:sz w:val="22"/>
                <w:szCs w:val="22"/>
              </w:rPr>
              <w:t xml:space="preserve"> </w:t>
            </w:r>
            <w:r w:rsidRPr="002001D6">
              <w:rPr>
                <w:rFonts w:cs="Arial"/>
                <w:sz w:val="22"/>
                <w:szCs w:val="22"/>
              </w:rPr>
              <w:t>due to Covid-19, franchising authorities have replaced most franchise agreements with ‘concession’-style</w:t>
            </w:r>
            <w:r>
              <w:rPr>
                <w:rFonts w:cs="Arial"/>
                <w:sz w:val="22"/>
                <w:szCs w:val="22"/>
              </w:rPr>
              <w:t xml:space="preserve"> </w:t>
            </w:r>
            <w:r w:rsidRPr="002001D6">
              <w:rPr>
                <w:rFonts w:cs="Arial"/>
                <w:sz w:val="22"/>
                <w:szCs w:val="22"/>
              </w:rPr>
              <w:t>contracts</w:t>
            </w:r>
            <w:r>
              <w:rPr>
                <w:rStyle w:val="FootnoteReference"/>
                <w:rFonts w:cs="Arial"/>
                <w:sz w:val="22"/>
                <w:szCs w:val="22"/>
              </w:rPr>
              <w:footnoteReference w:id="2"/>
            </w:r>
            <w:r w:rsidR="00B71B40">
              <w:rPr>
                <w:rFonts w:cs="Arial"/>
                <w:sz w:val="22"/>
                <w:szCs w:val="22"/>
              </w:rPr>
              <w:t xml:space="preserve"> (we refer to these train operators as “</w:t>
            </w:r>
            <w:proofErr w:type="spellStart"/>
            <w:r w:rsidR="00B71B40">
              <w:rPr>
                <w:rFonts w:cs="Arial"/>
                <w:sz w:val="22"/>
                <w:szCs w:val="22"/>
              </w:rPr>
              <w:t>DfT</w:t>
            </w:r>
            <w:proofErr w:type="spellEnd"/>
            <w:r w:rsidR="00B71B40">
              <w:rPr>
                <w:rFonts w:cs="Arial"/>
                <w:sz w:val="22"/>
                <w:szCs w:val="22"/>
              </w:rPr>
              <w:t>-contracted operators”).</w:t>
            </w:r>
            <w:r>
              <w:rPr>
                <w:rFonts w:cs="Arial"/>
                <w:sz w:val="22"/>
                <w:szCs w:val="22"/>
              </w:rPr>
              <w:t xml:space="preserve"> </w:t>
            </w:r>
            <w:r w:rsidRPr="002001D6">
              <w:rPr>
                <w:rFonts w:cs="Arial"/>
                <w:sz w:val="22"/>
                <w:szCs w:val="22"/>
              </w:rPr>
              <w:t>Meanwhile, wider government rail reform is on</w:t>
            </w:r>
            <w:r>
              <w:rPr>
                <w:rFonts w:cs="Arial"/>
                <w:sz w:val="22"/>
                <w:szCs w:val="22"/>
              </w:rPr>
              <w:t>-</w:t>
            </w:r>
            <w:r w:rsidRPr="002001D6">
              <w:rPr>
                <w:rFonts w:cs="Arial"/>
                <w:sz w:val="22"/>
                <w:szCs w:val="22"/>
              </w:rPr>
              <w:t xml:space="preserve">going and </w:t>
            </w:r>
            <w:r w:rsidR="00B93873">
              <w:rPr>
                <w:rFonts w:cs="Arial"/>
                <w:sz w:val="22"/>
                <w:szCs w:val="22"/>
              </w:rPr>
              <w:t xml:space="preserve">will </w:t>
            </w:r>
            <w:r w:rsidRPr="002001D6">
              <w:rPr>
                <w:rFonts w:cs="Arial"/>
                <w:sz w:val="22"/>
                <w:szCs w:val="22"/>
              </w:rPr>
              <w:t>promote greater alignment of</w:t>
            </w:r>
            <w:r>
              <w:rPr>
                <w:rFonts w:cs="Arial"/>
                <w:sz w:val="22"/>
                <w:szCs w:val="22"/>
              </w:rPr>
              <w:t xml:space="preserve"> incentives and co-</w:t>
            </w:r>
            <w:r w:rsidRPr="002001D6">
              <w:rPr>
                <w:rFonts w:cs="Arial"/>
                <w:sz w:val="22"/>
                <w:szCs w:val="22"/>
              </w:rPr>
              <w:t>ordination between</w:t>
            </w:r>
            <w:r>
              <w:rPr>
                <w:rFonts w:cs="Arial"/>
                <w:sz w:val="22"/>
                <w:szCs w:val="22"/>
              </w:rPr>
              <w:t xml:space="preserve"> ‘track and train’</w:t>
            </w:r>
            <w:r w:rsidR="00D31538">
              <w:rPr>
                <w:rFonts w:cs="Arial"/>
                <w:sz w:val="22"/>
                <w:szCs w:val="22"/>
              </w:rPr>
              <w:t xml:space="preserve">, </w:t>
            </w:r>
            <w:proofErr w:type="gramStart"/>
            <w:r w:rsidR="00B93873">
              <w:rPr>
                <w:rFonts w:cs="Arial"/>
                <w:sz w:val="22"/>
                <w:szCs w:val="22"/>
              </w:rPr>
              <w:t>in particular</w:t>
            </w:r>
            <w:r w:rsidR="00D31538">
              <w:rPr>
                <w:rFonts w:cs="Arial"/>
                <w:sz w:val="22"/>
                <w:szCs w:val="22"/>
              </w:rPr>
              <w:t xml:space="preserve"> by</w:t>
            </w:r>
            <w:proofErr w:type="gramEnd"/>
            <w:r w:rsidR="00D31538">
              <w:rPr>
                <w:rFonts w:cs="Arial"/>
                <w:sz w:val="22"/>
                <w:szCs w:val="22"/>
              </w:rPr>
              <w:t xml:space="preserve"> creating </w:t>
            </w:r>
            <w:r w:rsidR="00B93873">
              <w:rPr>
                <w:rFonts w:cs="Arial"/>
                <w:sz w:val="22"/>
                <w:szCs w:val="22"/>
              </w:rPr>
              <w:t>Great British Railways</w:t>
            </w:r>
            <w:r w:rsidR="00B85BD8">
              <w:rPr>
                <w:rFonts w:cs="Arial"/>
                <w:sz w:val="22"/>
                <w:szCs w:val="22"/>
              </w:rPr>
              <w:t xml:space="preserve"> (GBR)</w:t>
            </w:r>
            <w:r w:rsidR="00B93873">
              <w:rPr>
                <w:rFonts w:cs="Arial"/>
                <w:sz w:val="22"/>
                <w:szCs w:val="22"/>
              </w:rPr>
              <w:t xml:space="preserve">, a single body </w:t>
            </w:r>
            <w:r w:rsidR="00376DC3">
              <w:rPr>
                <w:rFonts w:cs="Arial"/>
                <w:sz w:val="22"/>
                <w:szCs w:val="22"/>
              </w:rPr>
              <w:t>which integrates track and train</w:t>
            </w:r>
            <w:r w:rsidR="00B93873">
              <w:rPr>
                <w:rStyle w:val="FootnoteReference"/>
                <w:rFonts w:cs="Arial"/>
                <w:sz w:val="22"/>
                <w:szCs w:val="22"/>
              </w:rPr>
              <w:footnoteReference w:id="3"/>
            </w:r>
            <w:r>
              <w:rPr>
                <w:rFonts w:cs="Arial"/>
                <w:sz w:val="22"/>
                <w:szCs w:val="22"/>
              </w:rPr>
              <w:t>.</w:t>
            </w:r>
          </w:p>
          <w:p w14:paraId="16A23C97" w14:textId="4D9CEBE6" w:rsidR="00D0615F" w:rsidRDefault="00E534C2" w:rsidP="00D0615F">
            <w:pPr>
              <w:rPr>
                <w:rFonts w:cs="Arial"/>
                <w:bCs/>
                <w:color w:val="000000" w:themeColor="text1"/>
                <w:sz w:val="22"/>
                <w:szCs w:val="22"/>
              </w:rPr>
            </w:pPr>
            <w:r>
              <w:rPr>
                <w:rFonts w:cs="Arial"/>
                <w:bCs/>
                <w:color w:val="000000" w:themeColor="text1"/>
                <w:sz w:val="22"/>
                <w:szCs w:val="22"/>
              </w:rPr>
              <w:t>These changes raise a number of issues and questions</w:t>
            </w:r>
            <w:r w:rsidR="00481DE7">
              <w:rPr>
                <w:rFonts w:cs="Arial"/>
                <w:bCs/>
                <w:color w:val="000000" w:themeColor="text1"/>
                <w:sz w:val="22"/>
                <w:szCs w:val="22"/>
              </w:rPr>
              <w:t xml:space="preserve"> regarding Schedule 4</w:t>
            </w:r>
            <w:r>
              <w:rPr>
                <w:rFonts w:cs="Arial"/>
                <w:bCs/>
                <w:color w:val="000000" w:themeColor="text1"/>
                <w:sz w:val="22"/>
                <w:szCs w:val="22"/>
              </w:rPr>
              <w:t xml:space="preserve"> that we will need to consider when reviewing the possession</w:t>
            </w:r>
            <w:r w:rsidR="001C3C7B">
              <w:rPr>
                <w:rFonts w:cs="Arial"/>
                <w:bCs/>
                <w:color w:val="000000" w:themeColor="text1"/>
                <w:sz w:val="22"/>
                <w:szCs w:val="22"/>
              </w:rPr>
              <w:t>s</w:t>
            </w:r>
            <w:r>
              <w:rPr>
                <w:rFonts w:cs="Arial"/>
                <w:bCs/>
                <w:color w:val="000000" w:themeColor="text1"/>
                <w:sz w:val="22"/>
                <w:szCs w:val="22"/>
              </w:rPr>
              <w:t xml:space="preserve"> regime for PR2</w:t>
            </w:r>
            <w:r w:rsidR="001C3C7B">
              <w:rPr>
                <w:rFonts w:cs="Arial"/>
                <w:bCs/>
                <w:color w:val="000000" w:themeColor="text1"/>
                <w:sz w:val="22"/>
                <w:szCs w:val="22"/>
              </w:rPr>
              <w:t>3</w:t>
            </w:r>
            <w:r w:rsidR="00D0615F">
              <w:rPr>
                <w:rFonts w:cs="Arial"/>
                <w:bCs/>
                <w:color w:val="000000" w:themeColor="text1"/>
                <w:sz w:val="22"/>
                <w:szCs w:val="22"/>
              </w:rPr>
              <w:t xml:space="preserve">, </w:t>
            </w:r>
            <w:r w:rsidR="00376DC3">
              <w:rPr>
                <w:rFonts w:cs="Arial"/>
                <w:bCs/>
                <w:color w:val="000000" w:themeColor="text1"/>
                <w:sz w:val="22"/>
                <w:szCs w:val="22"/>
              </w:rPr>
              <w:t>notably in relation to</w:t>
            </w:r>
            <w:r w:rsidR="00D0615F">
              <w:rPr>
                <w:rFonts w:cs="Arial"/>
                <w:bCs/>
                <w:color w:val="000000" w:themeColor="text1"/>
                <w:sz w:val="22"/>
                <w:szCs w:val="22"/>
              </w:rPr>
              <w:t xml:space="preserve">: </w:t>
            </w:r>
          </w:p>
          <w:p w14:paraId="6468B887" w14:textId="7AE563AA" w:rsidR="00481DE7" w:rsidRPr="00481DE7" w:rsidRDefault="00F25E61" w:rsidP="00376DC3">
            <w:pPr>
              <w:pStyle w:val="ListParagraph"/>
              <w:numPr>
                <w:ilvl w:val="0"/>
                <w:numId w:val="32"/>
              </w:numPr>
              <w:rPr>
                <w:rFonts w:cs="Arial"/>
                <w:sz w:val="22"/>
                <w:szCs w:val="22"/>
              </w:rPr>
            </w:pPr>
            <w:r>
              <w:rPr>
                <w:rFonts w:cs="Arial"/>
                <w:b/>
                <w:color w:val="000000" w:themeColor="text1"/>
                <w:sz w:val="22"/>
                <w:szCs w:val="22"/>
              </w:rPr>
              <w:t xml:space="preserve">Relevance of Schedule 4 </w:t>
            </w:r>
            <w:r w:rsidR="000A5F09">
              <w:rPr>
                <w:rFonts w:cs="Arial"/>
                <w:b/>
                <w:color w:val="000000" w:themeColor="text1"/>
                <w:sz w:val="22"/>
                <w:szCs w:val="22"/>
              </w:rPr>
              <w:t>in a reformed railway</w:t>
            </w:r>
            <w:r w:rsidR="00D31538" w:rsidRPr="00D31538">
              <w:rPr>
                <w:rFonts w:cs="Arial"/>
                <w:b/>
                <w:color w:val="000000" w:themeColor="text1"/>
                <w:sz w:val="22"/>
                <w:szCs w:val="22"/>
              </w:rPr>
              <w:t>.</w:t>
            </w:r>
            <w:r w:rsidR="00D31538">
              <w:rPr>
                <w:rFonts w:cs="Arial"/>
                <w:bCs/>
                <w:color w:val="000000" w:themeColor="text1"/>
                <w:sz w:val="22"/>
                <w:szCs w:val="22"/>
              </w:rPr>
              <w:t xml:space="preserve"> </w:t>
            </w:r>
            <w:r w:rsidR="00376DC3">
              <w:rPr>
                <w:rFonts w:cs="Arial"/>
                <w:bCs/>
                <w:color w:val="000000" w:themeColor="text1"/>
                <w:sz w:val="22"/>
                <w:szCs w:val="22"/>
              </w:rPr>
              <w:t xml:space="preserve">Most </w:t>
            </w:r>
            <w:r w:rsidR="00D0615F">
              <w:rPr>
                <w:rFonts w:cs="Arial"/>
                <w:bCs/>
                <w:color w:val="000000" w:themeColor="text1"/>
                <w:sz w:val="22"/>
                <w:szCs w:val="22"/>
              </w:rPr>
              <w:t>train operators are now covered from revenue and cost risks</w:t>
            </w:r>
            <w:r w:rsidR="00376DC3">
              <w:rPr>
                <w:rFonts w:cs="Arial"/>
                <w:bCs/>
                <w:color w:val="000000" w:themeColor="text1"/>
                <w:sz w:val="22"/>
                <w:szCs w:val="22"/>
              </w:rPr>
              <w:t xml:space="preserve"> under the new “concession-style contracts”. </w:t>
            </w:r>
            <w:r w:rsidR="00D0615F">
              <w:rPr>
                <w:rFonts w:cs="Arial"/>
                <w:bCs/>
                <w:color w:val="000000" w:themeColor="text1"/>
                <w:sz w:val="22"/>
                <w:szCs w:val="22"/>
              </w:rPr>
              <w:t xml:space="preserve"> </w:t>
            </w:r>
            <w:r w:rsidR="00376DC3">
              <w:rPr>
                <w:rFonts w:cs="Arial"/>
                <w:bCs/>
                <w:color w:val="000000" w:themeColor="text1"/>
                <w:sz w:val="22"/>
                <w:szCs w:val="22"/>
              </w:rPr>
              <w:t xml:space="preserve">This means that there is potentially no longer a need </w:t>
            </w:r>
            <w:r w:rsidR="00D0615F">
              <w:rPr>
                <w:rFonts w:cs="Arial"/>
                <w:bCs/>
                <w:color w:val="000000" w:themeColor="text1"/>
                <w:sz w:val="22"/>
                <w:szCs w:val="22"/>
              </w:rPr>
              <w:t>for Schedule 4 compensation for these operators.</w:t>
            </w:r>
            <w:r w:rsidR="00D31538">
              <w:rPr>
                <w:rFonts w:cs="Arial"/>
                <w:bCs/>
                <w:color w:val="000000" w:themeColor="text1"/>
                <w:sz w:val="22"/>
                <w:szCs w:val="22"/>
              </w:rPr>
              <w:t xml:space="preserve"> In the longer term, one could also argue that, </w:t>
            </w:r>
            <w:r w:rsidR="00B85BD8">
              <w:rPr>
                <w:rFonts w:cs="Arial"/>
                <w:bCs/>
                <w:color w:val="000000" w:themeColor="text1"/>
                <w:sz w:val="22"/>
                <w:szCs w:val="22"/>
              </w:rPr>
              <w:t>with the creation of GBR</w:t>
            </w:r>
            <w:r w:rsidR="00D31538">
              <w:rPr>
                <w:rFonts w:cs="Arial"/>
                <w:bCs/>
                <w:color w:val="000000" w:themeColor="text1"/>
                <w:sz w:val="22"/>
                <w:szCs w:val="22"/>
              </w:rPr>
              <w:t xml:space="preserve"> which integrates these train operators with the infrastructure manager,</w:t>
            </w:r>
            <w:r w:rsidR="00D31538" w:rsidRPr="00D31538">
              <w:rPr>
                <w:rFonts w:cs="Arial"/>
                <w:bCs/>
                <w:color w:val="000000" w:themeColor="text1"/>
                <w:sz w:val="22"/>
                <w:szCs w:val="22"/>
              </w:rPr>
              <w:t xml:space="preserve"> the costs and benefits of different possessions strategies would be considered jointly by the </w:t>
            </w:r>
            <w:r w:rsidR="00B85BD8">
              <w:rPr>
                <w:rFonts w:cs="Arial"/>
                <w:bCs/>
                <w:color w:val="000000" w:themeColor="text1"/>
                <w:sz w:val="22"/>
                <w:szCs w:val="22"/>
              </w:rPr>
              <w:t>GBR</w:t>
            </w:r>
            <w:r w:rsidR="00D31538" w:rsidRPr="00D31538">
              <w:rPr>
                <w:rFonts w:cs="Arial"/>
                <w:bCs/>
                <w:color w:val="000000" w:themeColor="text1"/>
                <w:sz w:val="22"/>
                <w:szCs w:val="22"/>
              </w:rPr>
              <w:t xml:space="preserve"> without the need to specify compensation payments between infrastructure manager and operators through track access contracts.</w:t>
            </w:r>
            <w:r w:rsidR="00182C94">
              <w:rPr>
                <w:rFonts w:cs="Arial"/>
                <w:bCs/>
                <w:color w:val="000000" w:themeColor="text1"/>
                <w:sz w:val="22"/>
                <w:szCs w:val="22"/>
              </w:rPr>
              <w:t xml:space="preserve"> Whether a possessions regime </w:t>
            </w:r>
            <w:r w:rsidR="00182C94" w:rsidRPr="00FE18B6">
              <w:rPr>
                <w:rFonts w:cs="Arial"/>
                <w:bCs/>
                <w:i/>
                <w:iCs/>
                <w:color w:val="000000" w:themeColor="text1"/>
                <w:sz w:val="22"/>
                <w:szCs w:val="22"/>
              </w:rPr>
              <w:t xml:space="preserve">for </w:t>
            </w:r>
            <w:r w:rsidR="00376DC3" w:rsidRPr="00FE18B6">
              <w:rPr>
                <w:rFonts w:cs="Arial"/>
                <w:bCs/>
                <w:i/>
                <w:iCs/>
                <w:color w:val="000000" w:themeColor="text1"/>
                <w:sz w:val="22"/>
                <w:szCs w:val="22"/>
              </w:rPr>
              <w:t>these operators</w:t>
            </w:r>
            <w:r w:rsidR="00182C94">
              <w:rPr>
                <w:rFonts w:cs="Arial"/>
                <w:bCs/>
                <w:color w:val="000000" w:themeColor="text1"/>
                <w:sz w:val="22"/>
                <w:szCs w:val="22"/>
              </w:rPr>
              <w:t xml:space="preserve"> remains relevant in PR23 is therefore an open question. That said, </w:t>
            </w:r>
            <w:r w:rsidR="00D0615F" w:rsidRPr="00D31538">
              <w:rPr>
                <w:rFonts w:cs="Arial"/>
                <w:bCs/>
                <w:color w:val="000000" w:themeColor="text1"/>
                <w:sz w:val="22"/>
                <w:szCs w:val="22"/>
              </w:rPr>
              <w:t xml:space="preserve">open access operators and freight operators </w:t>
            </w:r>
            <w:r w:rsidR="00376DC3">
              <w:rPr>
                <w:rFonts w:cs="Arial"/>
                <w:bCs/>
                <w:color w:val="000000" w:themeColor="text1"/>
                <w:sz w:val="22"/>
                <w:szCs w:val="22"/>
              </w:rPr>
              <w:t xml:space="preserve">will </w:t>
            </w:r>
            <w:r w:rsidR="00182C94">
              <w:rPr>
                <w:rFonts w:cs="Arial"/>
                <w:bCs/>
                <w:color w:val="000000" w:themeColor="text1"/>
                <w:sz w:val="22"/>
                <w:szCs w:val="22"/>
              </w:rPr>
              <w:t>remain</w:t>
            </w:r>
            <w:r w:rsidR="00D0615F" w:rsidRPr="00D31538">
              <w:rPr>
                <w:rFonts w:cs="Arial"/>
                <w:bCs/>
                <w:color w:val="000000" w:themeColor="text1"/>
                <w:sz w:val="22"/>
                <w:szCs w:val="22"/>
              </w:rPr>
              <w:t xml:space="preserve"> exposed to </w:t>
            </w:r>
            <w:r w:rsidR="00182C94">
              <w:rPr>
                <w:rFonts w:cs="Arial"/>
                <w:bCs/>
                <w:color w:val="000000" w:themeColor="text1"/>
                <w:sz w:val="22"/>
                <w:szCs w:val="22"/>
              </w:rPr>
              <w:t xml:space="preserve">revenue and cost </w:t>
            </w:r>
            <w:r w:rsidR="00D0615F" w:rsidRPr="00D31538">
              <w:rPr>
                <w:rFonts w:cs="Arial"/>
                <w:bCs/>
                <w:color w:val="000000" w:themeColor="text1"/>
                <w:sz w:val="22"/>
                <w:szCs w:val="22"/>
              </w:rPr>
              <w:t>risks</w:t>
            </w:r>
            <w:r w:rsidR="00D31538" w:rsidRPr="00D31538">
              <w:rPr>
                <w:rFonts w:cs="Arial"/>
                <w:bCs/>
                <w:color w:val="000000" w:themeColor="text1"/>
                <w:sz w:val="22"/>
                <w:szCs w:val="22"/>
              </w:rPr>
              <w:t xml:space="preserve">, and will </w:t>
            </w:r>
            <w:r w:rsidR="00182C94">
              <w:rPr>
                <w:rFonts w:cs="Arial"/>
                <w:bCs/>
                <w:color w:val="000000" w:themeColor="text1"/>
                <w:sz w:val="22"/>
                <w:szCs w:val="22"/>
              </w:rPr>
              <w:t>continue to need</w:t>
            </w:r>
            <w:r w:rsidR="00D0615F" w:rsidRPr="00D31538">
              <w:rPr>
                <w:rFonts w:cs="Arial"/>
                <w:bCs/>
                <w:color w:val="000000" w:themeColor="text1"/>
                <w:sz w:val="22"/>
                <w:szCs w:val="22"/>
              </w:rPr>
              <w:t xml:space="preserve"> financial protection against the consequences of planned disruption</w:t>
            </w:r>
            <w:r w:rsidR="00182C94">
              <w:rPr>
                <w:rFonts w:cs="Arial"/>
                <w:bCs/>
                <w:color w:val="000000" w:themeColor="text1"/>
                <w:sz w:val="22"/>
                <w:szCs w:val="22"/>
              </w:rPr>
              <w:t>s</w:t>
            </w:r>
            <w:r w:rsidR="00D0615F" w:rsidRPr="00D31538">
              <w:rPr>
                <w:rFonts w:cs="Arial"/>
                <w:bCs/>
                <w:color w:val="000000" w:themeColor="text1"/>
                <w:sz w:val="22"/>
                <w:szCs w:val="22"/>
              </w:rPr>
              <w:t xml:space="preserve">. </w:t>
            </w:r>
          </w:p>
          <w:p w14:paraId="2940827B" w14:textId="04D393DA" w:rsidR="00481DE7" w:rsidRDefault="00F25E61" w:rsidP="00376DC3">
            <w:pPr>
              <w:pStyle w:val="ListParagraph"/>
              <w:numPr>
                <w:ilvl w:val="0"/>
                <w:numId w:val="32"/>
              </w:numPr>
              <w:rPr>
                <w:rFonts w:cs="Arial"/>
                <w:bCs/>
                <w:color w:val="000000" w:themeColor="text1"/>
                <w:sz w:val="22"/>
                <w:szCs w:val="22"/>
              </w:rPr>
            </w:pPr>
            <w:r>
              <w:rPr>
                <w:rFonts w:cs="Arial"/>
                <w:b/>
                <w:color w:val="000000" w:themeColor="text1"/>
                <w:sz w:val="22"/>
                <w:szCs w:val="22"/>
              </w:rPr>
              <w:t>Level of</w:t>
            </w:r>
            <w:r w:rsidR="00470E09">
              <w:rPr>
                <w:rFonts w:cs="Arial"/>
                <w:b/>
                <w:color w:val="000000" w:themeColor="text1"/>
                <w:sz w:val="22"/>
                <w:szCs w:val="22"/>
              </w:rPr>
              <w:t xml:space="preserve"> payments rates and</w:t>
            </w:r>
            <w:r>
              <w:rPr>
                <w:rFonts w:cs="Arial"/>
                <w:b/>
                <w:color w:val="000000" w:themeColor="text1"/>
                <w:sz w:val="22"/>
                <w:szCs w:val="22"/>
              </w:rPr>
              <w:t xml:space="preserve"> funding.</w:t>
            </w:r>
            <w:r w:rsidRPr="00D0615F">
              <w:rPr>
                <w:rFonts w:cs="Arial"/>
                <w:bCs/>
                <w:color w:val="000000" w:themeColor="text1"/>
                <w:sz w:val="22"/>
                <w:szCs w:val="22"/>
              </w:rPr>
              <w:t xml:space="preserve"> </w:t>
            </w:r>
            <w:r w:rsidR="00BD564A">
              <w:rPr>
                <w:rFonts w:cs="Arial"/>
                <w:bCs/>
                <w:color w:val="000000" w:themeColor="text1"/>
                <w:sz w:val="22"/>
                <w:szCs w:val="22"/>
              </w:rPr>
              <w:t>G</w:t>
            </w:r>
            <w:r w:rsidRPr="00D0615F">
              <w:rPr>
                <w:rFonts w:cs="Arial"/>
                <w:bCs/>
                <w:color w:val="000000" w:themeColor="text1"/>
                <w:sz w:val="22"/>
                <w:szCs w:val="22"/>
              </w:rPr>
              <w:t>iven the much lower than anticipated number of passengers on the network, and thereby expected revenue loss</w:t>
            </w:r>
            <w:r w:rsidR="00BD564A">
              <w:rPr>
                <w:rFonts w:cs="Arial"/>
                <w:bCs/>
                <w:color w:val="000000" w:themeColor="text1"/>
                <w:sz w:val="22"/>
                <w:szCs w:val="22"/>
              </w:rPr>
              <w:t>, current Schedule 4 payment rates are likely to be too high.</w:t>
            </w:r>
            <w:r w:rsidRPr="00D0615F">
              <w:rPr>
                <w:rFonts w:cs="Arial"/>
                <w:bCs/>
                <w:color w:val="000000" w:themeColor="text1"/>
                <w:sz w:val="22"/>
                <w:szCs w:val="22"/>
              </w:rPr>
              <w:t xml:space="preserve"> It is also possible that the access charge supplement payments (paid by franchised operators and which funds passenger Schedule 4) for CP6 will have turned out to be too high given the need for Network Rail to delay some of its planned engineering work during covid lockdowns.</w:t>
            </w:r>
            <w:r w:rsidR="00376DC3">
              <w:rPr>
                <w:rFonts w:cs="Arial"/>
                <w:bCs/>
                <w:color w:val="000000" w:themeColor="text1"/>
                <w:sz w:val="22"/>
                <w:szCs w:val="22"/>
              </w:rPr>
              <w:t xml:space="preserve"> We will therefore need to reconsider the appropriate payment rates and funding levels and channel for Schedule 4. </w:t>
            </w:r>
          </w:p>
          <w:p w14:paraId="3DD4B918" w14:textId="1316D521" w:rsidR="00481DE7" w:rsidRPr="00376DC3" w:rsidRDefault="00481DE7" w:rsidP="00376DC3">
            <w:pPr>
              <w:pStyle w:val="ListParagraph"/>
              <w:numPr>
                <w:ilvl w:val="0"/>
                <w:numId w:val="32"/>
              </w:numPr>
              <w:rPr>
                <w:rFonts w:cs="Arial"/>
                <w:bCs/>
                <w:color w:val="000000" w:themeColor="text1"/>
                <w:sz w:val="22"/>
                <w:szCs w:val="22"/>
              </w:rPr>
            </w:pPr>
            <w:r w:rsidRPr="00481DE7">
              <w:rPr>
                <w:rFonts w:cs="Arial"/>
                <w:b/>
                <w:color w:val="000000" w:themeColor="text1"/>
                <w:sz w:val="22"/>
                <w:szCs w:val="22"/>
              </w:rPr>
              <w:t>Resilience to uncertainty.</w:t>
            </w:r>
            <w:r w:rsidRPr="00481DE7">
              <w:rPr>
                <w:rFonts w:cs="Arial"/>
                <w:bCs/>
                <w:color w:val="000000" w:themeColor="text1"/>
                <w:sz w:val="22"/>
                <w:szCs w:val="22"/>
              </w:rPr>
              <w:t xml:space="preserve"> </w:t>
            </w:r>
            <w:r w:rsidRPr="00481DE7">
              <w:rPr>
                <w:rFonts w:cs="Arial"/>
                <w:sz w:val="22"/>
                <w:szCs w:val="22"/>
              </w:rPr>
              <w:t>There is on-going uncertainty about the future shape of the rail industry, both regarding user demand and structural reform</w:t>
            </w:r>
            <w:r w:rsidR="008F6734">
              <w:rPr>
                <w:rFonts w:cs="Arial"/>
                <w:sz w:val="22"/>
                <w:szCs w:val="22"/>
              </w:rPr>
              <w:t xml:space="preserve"> (e.g., transition and implementation pla</w:t>
            </w:r>
            <w:r w:rsidR="00B93873">
              <w:rPr>
                <w:rFonts w:cs="Arial"/>
                <w:sz w:val="22"/>
                <w:szCs w:val="22"/>
              </w:rPr>
              <w:t>ns for establishing Great British Railways</w:t>
            </w:r>
            <w:r w:rsidR="008F6734">
              <w:rPr>
                <w:rFonts w:cs="Arial"/>
                <w:sz w:val="22"/>
                <w:szCs w:val="22"/>
              </w:rPr>
              <w:t>)</w:t>
            </w:r>
            <w:r w:rsidR="000A5F09">
              <w:rPr>
                <w:rFonts w:cs="Arial"/>
                <w:sz w:val="22"/>
                <w:szCs w:val="22"/>
              </w:rPr>
              <w:t xml:space="preserve">, which will require us to build in sufficient flexibility in Schedule 4 to ensure that it remains resilient to these potential changes. </w:t>
            </w:r>
            <w:r w:rsidRPr="00481DE7">
              <w:rPr>
                <w:rFonts w:cs="Arial"/>
                <w:sz w:val="22"/>
                <w:szCs w:val="22"/>
              </w:rPr>
              <w:t xml:space="preserve"> </w:t>
            </w:r>
          </w:p>
          <w:p w14:paraId="5BFE9237" w14:textId="33DE8F6A" w:rsidR="00F52BE8" w:rsidRPr="00D0615F" w:rsidRDefault="00481DE7" w:rsidP="00D0615F">
            <w:pPr>
              <w:rPr>
                <w:rFonts w:cs="Arial"/>
                <w:bCs/>
                <w:color w:val="000000" w:themeColor="text1"/>
                <w:sz w:val="22"/>
                <w:szCs w:val="22"/>
              </w:rPr>
            </w:pPr>
            <w:r>
              <w:rPr>
                <w:rFonts w:cs="Arial"/>
                <w:bCs/>
                <w:color w:val="000000" w:themeColor="text1"/>
                <w:sz w:val="22"/>
                <w:szCs w:val="22"/>
              </w:rPr>
              <w:t xml:space="preserve">With these issues in mind, </w:t>
            </w:r>
            <w:r w:rsidR="00D0615F">
              <w:rPr>
                <w:rFonts w:cs="Arial"/>
                <w:bCs/>
                <w:color w:val="000000" w:themeColor="text1"/>
                <w:sz w:val="22"/>
                <w:szCs w:val="22"/>
              </w:rPr>
              <w:t xml:space="preserve">ORR’s Economics and Markets &amp; Strategy directorate, which is the organisation’s centre of expertise for economic and financial analysis of the railway, has commenced early </w:t>
            </w:r>
            <w:r w:rsidR="001C3C7B">
              <w:rPr>
                <w:rFonts w:cs="Arial"/>
                <w:bCs/>
                <w:color w:val="000000" w:themeColor="text1"/>
                <w:sz w:val="22"/>
                <w:szCs w:val="22"/>
              </w:rPr>
              <w:t xml:space="preserve">high-level </w:t>
            </w:r>
            <w:r w:rsidR="00D0615F">
              <w:rPr>
                <w:rFonts w:cs="Arial"/>
                <w:bCs/>
                <w:color w:val="000000" w:themeColor="text1"/>
                <w:sz w:val="22"/>
                <w:szCs w:val="22"/>
              </w:rPr>
              <w:t xml:space="preserve">policy thinking on how </w:t>
            </w:r>
            <w:r w:rsidR="000A5F09">
              <w:rPr>
                <w:rFonts w:cs="Arial"/>
                <w:bCs/>
                <w:color w:val="000000" w:themeColor="text1"/>
                <w:sz w:val="22"/>
                <w:szCs w:val="22"/>
              </w:rPr>
              <w:t>Schedule 4</w:t>
            </w:r>
            <w:r w:rsidR="00D0615F">
              <w:rPr>
                <w:rFonts w:cs="Arial"/>
                <w:bCs/>
                <w:color w:val="000000" w:themeColor="text1"/>
                <w:sz w:val="22"/>
                <w:szCs w:val="22"/>
              </w:rPr>
              <w:t xml:space="preserve"> </w:t>
            </w:r>
            <w:r w:rsidR="000A5F09">
              <w:rPr>
                <w:rFonts w:cs="Arial"/>
                <w:bCs/>
                <w:color w:val="000000" w:themeColor="text1"/>
                <w:sz w:val="22"/>
                <w:szCs w:val="22"/>
              </w:rPr>
              <w:t>could</w:t>
            </w:r>
            <w:r w:rsidR="00D0615F">
              <w:rPr>
                <w:rFonts w:cs="Arial"/>
                <w:bCs/>
                <w:color w:val="000000" w:themeColor="text1"/>
                <w:sz w:val="22"/>
                <w:szCs w:val="22"/>
              </w:rPr>
              <w:t xml:space="preserve"> evolve for PR23. It is </w:t>
            </w:r>
            <w:r w:rsidR="00D0615F">
              <w:rPr>
                <w:rFonts w:cs="Arial"/>
                <w:bCs/>
                <w:color w:val="000000" w:themeColor="text1"/>
                <w:sz w:val="22"/>
                <w:szCs w:val="22"/>
              </w:rPr>
              <w:lastRenderedPageBreak/>
              <w:t>seeking consultancy support to</w:t>
            </w:r>
            <w:r w:rsidR="00F04FB5">
              <w:rPr>
                <w:rFonts w:cs="Arial"/>
                <w:bCs/>
                <w:color w:val="000000" w:themeColor="text1"/>
                <w:sz w:val="22"/>
                <w:szCs w:val="22"/>
              </w:rPr>
              <w:t xml:space="preserve"> review the current possessions regime (for both freight and passenger operators) and</w:t>
            </w:r>
            <w:r w:rsidR="00D0615F">
              <w:rPr>
                <w:rFonts w:cs="Arial"/>
                <w:bCs/>
                <w:color w:val="000000" w:themeColor="text1"/>
                <w:sz w:val="22"/>
                <w:szCs w:val="22"/>
              </w:rPr>
              <w:t xml:space="preserve"> identify</w:t>
            </w:r>
            <w:r w:rsidR="000A5F09">
              <w:rPr>
                <w:rFonts w:cs="Arial"/>
                <w:bCs/>
                <w:color w:val="000000" w:themeColor="text1"/>
                <w:sz w:val="22"/>
                <w:szCs w:val="22"/>
              </w:rPr>
              <w:t>, design,</w:t>
            </w:r>
            <w:r w:rsidR="00D0615F">
              <w:rPr>
                <w:rFonts w:cs="Arial"/>
                <w:bCs/>
                <w:color w:val="000000" w:themeColor="text1"/>
                <w:sz w:val="22"/>
                <w:szCs w:val="22"/>
              </w:rPr>
              <w:t xml:space="preserve"> and assess options of </w:t>
            </w:r>
            <w:r w:rsidR="001C3C7B">
              <w:rPr>
                <w:rFonts w:cs="Arial"/>
                <w:bCs/>
                <w:color w:val="000000" w:themeColor="text1"/>
                <w:sz w:val="22"/>
                <w:szCs w:val="22"/>
              </w:rPr>
              <w:t>reform</w:t>
            </w:r>
            <w:r w:rsidR="000A5F09">
              <w:rPr>
                <w:rFonts w:cs="Arial"/>
                <w:bCs/>
                <w:color w:val="000000" w:themeColor="text1"/>
                <w:sz w:val="22"/>
                <w:szCs w:val="22"/>
              </w:rPr>
              <w:t xml:space="preserve"> for PR23</w:t>
            </w:r>
            <w:r w:rsidR="000A5F09">
              <w:rPr>
                <w:rStyle w:val="FootnoteReference"/>
                <w:rFonts w:cs="Arial"/>
                <w:bCs/>
                <w:color w:val="000000" w:themeColor="text1"/>
                <w:sz w:val="22"/>
                <w:szCs w:val="22"/>
              </w:rPr>
              <w:footnoteReference w:id="4"/>
            </w:r>
            <w:r w:rsidR="00F04FB5">
              <w:rPr>
                <w:rFonts w:cs="Arial"/>
                <w:bCs/>
                <w:color w:val="000000" w:themeColor="text1"/>
                <w:sz w:val="22"/>
                <w:szCs w:val="22"/>
              </w:rPr>
              <w:t>. This</w:t>
            </w:r>
            <w:r w:rsidR="00D0615F">
              <w:rPr>
                <w:rFonts w:cs="Arial"/>
                <w:bCs/>
                <w:color w:val="000000" w:themeColor="text1"/>
                <w:sz w:val="22"/>
                <w:szCs w:val="22"/>
              </w:rPr>
              <w:t xml:space="preserve"> </w:t>
            </w:r>
            <w:r w:rsidR="000A5F09">
              <w:rPr>
                <w:rFonts w:cs="Arial"/>
                <w:bCs/>
                <w:color w:val="000000" w:themeColor="text1"/>
                <w:sz w:val="22"/>
                <w:szCs w:val="22"/>
              </w:rPr>
              <w:t xml:space="preserve">project will inform our initial consultation in </w:t>
            </w:r>
            <w:r w:rsidR="00D0615F">
              <w:rPr>
                <w:rFonts w:cs="Arial"/>
                <w:bCs/>
                <w:color w:val="000000" w:themeColor="text1"/>
                <w:sz w:val="22"/>
                <w:szCs w:val="22"/>
              </w:rPr>
              <w:t xml:space="preserve">September 2021. </w:t>
            </w:r>
          </w:p>
        </w:tc>
      </w:tr>
      <w:tr w:rsidR="00F52BE8" w:rsidRPr="0036077E" w14:paraId="0D0F920E" w14:textId="77777777" w:rsidTr="00182C94">
        <w:trPr>
          <w:trHeight w:val="371"/>
        </w:trPr>
        <w:tc>
          <w:tcPr>
            <w:tcW w:w="9356"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00182C94">
        <w:trPr>
          <w:trHeight w:val="757"/>
        </w:trPr>
        <w:tc>
          <w:tcPr>
            <w:tcW w:w="9356" w:type="dxa"/>
            <w:tcBorders>
              <w:bottom w:val="single" w:sz="4" w:space="0" w:color="auto"/>
            </w:tcBorders>
            <w:shd w:val="clear" w:color="auto" w:fill="auto"/>
          </w:tcPr>
          <w:p w14:paraId="4BE38E98" w14:textId="57CAA6AC" w:rsidR="00440DDE" w:rsidRPr="008F6734" w:rsidRDefault="00440DDE" w:rsidP="00440DDE">
            <w:pPr>
              <w:rPr>
                <w:sz w:val="22"/>
                <w:szCs w:val="18"/>
              </w:rPr>
            </w:pPr>
            <w:r w:rsidRPr="008F6734">
              <w:rPr>
                <w:sz w:val="22"/>
                <w:szCs w:val="18"/>
              </w:rPr>
              <w:t xml:space="preserve">We have identified three options for the PR23 review of Schedule 4 and in the light of </w:t>
            </w:r>
            <w:proofErr w:type="spellStart"/>
            <w:r w:rsidRPr="008F6734">
              <w:rPr>
                <w:sz w:val="22"/>
                <w:szCs w:val="18"/>
              </w:rPr>
              <w:t>DfT</w:t>
            </w:r>
            <w:proofErr w:type="spellEnd"/>
            <w:r w:rsidRPr="008F6734">
              <w:rPr>
                <w:sz w:val="22"/>
                <w:szCs w:val="18"/>
              </w:rPr>
              <w:t xml:space="preserve"> Rail Reform.</w:t>
            </w:r>
          </w:p>
          <w:p w14:paraId="73E2454B" w14:textId="77777777" w:rsidR="00440DDE" w:rsidRPr="008F6734" w:rsidRDefault="00440DDE" w:rsidP="00440DDE">
            <w:pPr>
              <w:pStyle w:val="ListParagraph"/>
              <w:numPr>
                <w:ilvl w:val="0"/>
                <w:numId w:val="35"/>
              </w:numPr>
              <w:rPr>
                <w:sz w:val="22"/>
                <w:szCs w:val="18"/>
              </w:rPr>
            </w:pPr>
            <w:r w:rsidRPr="008F6734">
              <w:rPr>
                <w:b/>
                <w:bCs/>
                <w:sz w:val="22"/>
                <w:szCs w:val="18"/>
              </w:rPr>
              <w:t>Do minimum</w:t>
            </w:r>
            <w:r w:rsidRPr="008F6734">
              <w:rPr>
                <w:sz w:val="22"/>
                <w:szCs w:val="18"/>
              </w:rPr>
              <w:t xml:space="preserve">: this option would make no changes to the Schedule 4 framework. We would instead proceed to a standard recalibration of the regime for CP7. </w:t>
            </w:r>
          </w:p>
          <w:p w14:paraId="4A89338C" w14:textId="512CF8FE" w:rsidR="00440DDE" w:rsidRPr="0095595E" w:rsidRDefault="00440DDE" w:rsidP="00440DDE">
            <w:pPr>
              <w:pStyle w:val="ListParagraph"/>
              <w:numPr>
                <w:ilvl w:val="0"/>
                <w:numId w:val="35"/>
              </w:numPr>
              <w:rPr>
                <w:sz w:val="20"/>
                <w:szCs w:val="16"/>
              </w:rPr>
            </w:pPr>
            <w:r w:rsidRPr="008F6734">
              <w:rPr>
                <w:b/>
                <w:bCs/>
                <w:sz w:val="22"/>
                <w:szCs w:val="18"/>
              </w:rPr>
              <w:t>Incremental change</w:t>
            </w:r>
            <w:r w:rsidRPr="008F6734">
              <w:rPr>
                <w:sz w:val="22"/>
                <w:szCs w:val="18"/>
              </w:rPr>
              <w:t xml:space="preserve">: in addition to </w:t>
            </w:r>
            <w:proofErr w:type="gramStart"/>
            <w:r w:rsidRPr="008F6734">
              <w:rPr>
                <w:sz w:val="22"/>
                <w:szCs w:val="18"/>
              </w:rPr>
              <w:t>recalibration</w:t>
            </w:r>
            <w:proofErr w:type="gramEnd"/>
            <w:r w:rsidRPr="008F6734">
              <w:rPr>
                <w:sz w:val="22"/>
                <w:szCs w:val="18"/>
              </w:rPr>
              <w:t xml:space="preserve"> we would consider some incremental changes to the way the Schedule 4 mechanisms operates</w:t>
            </w:r>
            <w:r w:rsidR="00BD564A">
              <w:rPr>
                <w:sz w:val="22"/>
                <w:szCs w:val="18"/>
              </w:rPr>
              <w:t xml:space="preserve">, </w:t>
            </w:r>
            <w:r w:rsidR="00BD564A" w:rsidRPr="0095595E">
              <w:rPr>
                <w:sz w:val="22"/>
                <w:szCs w:val="18"/>
              </w:rPr>
              <w:t>in order to identify issues with the regime we have identified</w:t>
            </w:r>
            <w:r w:rsidRPr="0095595E">
              <w:rPr>
                <w:sz w:val="20"/>
                <w:szCs w:val="16"/>
              </w:rPr>
              <w:t>.</w:t>
            </w:r>
          </w:p>
          <w:p w14:paraId="0C8B71E1" w14:textId="48884690" w:rsidR="00440DDE" w:rsidRPr="008F6734" w:rsidRDefault="00440DDE" w:rsidP="00440DDE">
            <w:pPr>
              <w:pStyle w:val="ListParagraph"/>
              <w:numPr>
                <w:ilvl w:val="0"/>
                <w:numId w:val="35"/>
              </w:numPr>
              <w:rPr>
                <w:sz w:val="22"/>
                <w:szCs w:val="18"/>
              </w:rPr>
            </w:pPr>
            <w:r w:rsidRPr="008F6734">
              <w:rPr>
                <w:b/>
                <w:bCs/>
                <w:sz w:val="22"/>
                <w:szCs w:val="18"/>
              </w:rPr>
              <w:t>Incremental change plus rail reform</w:t>
            </w:r>
            <w:r w:rsidRPr="008F6734">
              <w:rPr>
                <w:sz w:val="22"/>
                <w:szCs w:val="18"/>
              </w:rPr>
              <w:t>: in addition to incremental changes, we would also consider the feasibility and relative merits of</w:t>
            </w:r>
            <w:r w:rsidR="008F6734">
              <w:rPr>
                <w:sz w:val="22"/>
                <w:szCs w:val="18"/>
              </w:rPr>
              <w:t xml:space="preserve"> proposing an opt-out mechanism</w:t>
            </w:r>
            <w:r w:rsidRPr="008F6734">
              <w:rPr>
                <w:sz w:val="22"/>
                <w:szCs w:val="18"/>
              </w:rPr>
              <w:t xml:space="preserve">, </w:t>
            </w:r>
            <w:r w:rsidR="004C208A">
              <w:rPr>
                <w:sz w:val="22"/>
                <w:szCs w:val="18"/>
              </w:rPr>
              <w:t>in response to</w:t>
            </w:r>
            <w:r w:rsidRPr="008F6734">
              <w:rPr>
                <w:sz w:val="22"/>
                <w:szCs w:val="18"/>
              </w:rPr>
              <w:t xml:space="preserve"> rail reform proposals. </w:t>
            </w:r>
          </w:p>
          <w:p w14:paraId="5C9C8D6B" w14:textId="59D85BA4" w:rsidR="00440DDE" w:rsidRPr="008F6734" w:rsidRDefault="00D17529" w:rsidP="00440DDE">
            <w:pPr>
              <w:rPr>
                <w:sz w:val="22"/>
                <w:szCs w:val="18"/>
              </w:rPr>
            </w:pPr>
            <w:r>
              <w:rPr>
                <w:sz w:val="22"/>
                <w:szCs w:val="18"/>
              </w:rPr>
              <w:t xml:space="preserve">We are minded to progress with the </w:t>
            </w:r>
            <w:r w:rsidR="00205D84">
              <w:rPr>
                <w:sz w:val="22"/>
                <w:szCs w:val="18"/>
              </w:rPr>
              <w:t>third option</w:t>
            </w:r>
            <w:r w:rsidR="00B71B40" w:rsidRPr="008F6734">
              <w:rPr>
                <w:sz w:val="22"/>
                <w:szCs w:val="18"/>
              </w:rPr>
              <w:t xml:space="preserve"> (incremental reform plus rail reform)</w:t>
            </w:r>
            <w:r w:rsidR="00440DDE" w:rsidRPr="008F6734">
              <w:rPr>
                <w:sz w:val="22"/>
                <w:szCs w:val="18"/>
              </w:rPr>
              <w:t xml:space="preserve">, although the other two options are not ruled out and should be analysed further. We require the consultant to conduct </w:t>
            </w:r>
            <w:r w:rsidR="00B71B40" w:rsidRPr="008F6734">
              <w:rPr>
                <w:sz w:val="22"/>
                <w:szCs w:val="18"/>
              </w:rPr>
              <w:t xml:space="preserve">a) </w:t>
            </w:r>
            <w:r w:rsidR="00440DDE" w:rsidRPr="008F6734">
              <w:rPr>
                <w:sz w:val="22"/>
                <w:szCs w:val="18"/>
              </w:rPr>
              <w:t xml:space="preserve">a </w:t>
            </w:r>
            <w:r w:rsidR="00205D84">
              <w:rPr>
                <w:sz w:val="22"/>
                <w:szCs w:val="18"/>
              </w:rPr>
              <w:t xml:space="preserve">review of Schedule 4 and a high-level </w:t>
            </w:r>
            <w:r w:rsidR="00440DDE" w:rsidRPr="008F6734">
              <w:rPr>
                <w:sz w:val="22"/>
                <w:szCs w:val="18"/>
              </w:rPr>
              <w:t xml:space="preserve">impact assessment of the three options set out above and, b) detailed work to design and assess options for incremental reform and </w:t>
            </w:r>
            <w:r w:rsidR="00E1754D">
              <w:rPr>
                <w:sz w:val="22"/>
                <w:szCs w:val="18"/>
              </w:rPr>
              <w:t>implementing a</w:t>
            </w:r>
            <w:r w:rsidR="00637F20">
              <w:rPr>
                <w:sz w:val="22"/>
                <w:szCs w:val="18"/>
              </w:rPr>
              <w:t>n</w:t>
            </w:r>
            <w:r w:rsidR="00E1754D">
              <w:rPr>
                <w:sz w:val="22"/>
                <w:szCs w:val="18"/>
              </w:rPr>
              <w:t xml:space="preserve"> opt-out mechanism to</w:t>
            </w:r>
            <w:r w:rsidR="00440DDE" w:rsidRPr="008F6734">
              <w:rPr>
                <w:sz w:val="22"/>
                <w:szCs w:val="18"/>
              </w:rPr>
              <w:t xml:space="preserve"> Schedule 4</w:t>
            </w:r>
            <w:r w:rsidR="0040709A">
              <w:rPr>
                <w:sz w:val="22"/>
                <w:szCs w:val="18"/>
              </w:rPr>
              <w:t>, and c) contribute to or lead optional stakeholder engagement sessions</w:t>
            </w:r>
            <w:r w:rsidR="00440DDE" w:rsidRPr="008F6734">
              <w:rPr>
                <w:sz w:val="22"/>
                <w:szCs w:val="18"/>
              </w:rPr>
              <w:t xml:space="preserve">.  </w:t>
            </w:r>
          </w:p>
          <w:p w14:paraId="7CEA230D" w14:textId="6C1E0992" w:rsidR="00440DDE" w:rsidRPr="008F6734" w:rsidRDefault="00440DDE" w:rsidP="00440DDE">
            <w:pPr>
              <w:rPr>
                <w:b/>
                <w:bCs/>
                <w:sz w:val="22"/>
                <w:szCs w:val="18"/>
              </w:rPr>
            </w:pPr>
            <w:r w:rsidRPr="008F6734">
              <w:rPr>
                <w:b/>
                <w:bCs/>
                <w:sz w:val="22"/>
                <w:szCs w:val="18"/>
              </w:rPr>
              <w:t xml:space="preserve">a) Conduct a review of </w:t>
            </w:r>
            <w:r w:rsidR="00B71B40" w:rsidRPr="008F6734">
              <w:rPr>
                <w:b/>
                <w:bCs/>
                <w:sz w:val="22"/>
                <w:szCs w:val="18"/>
              </w:rPr>
              <w:t>Schedule 4</w:t>
            </w:r>
            <w:r w:rsidRPr="008F6734">
              <w:rPr>
                <w:b/>
                <w:bCs/>
                <w:sz w:val="22"/>
                <w:szCs w:val="18"/>
              </w:rPr>
              <w:t xml:space="preserve"> and a high-level impact assessment of the three options set out above </w:t>
            </w:r>
          </w:p>
          <w:p w14:paraId="3D4F9A1E" w14:textId="1D2ED4E3" w:rsidR="00440DDE" w:rsidRPr="008F6734" w:rsidRDefault="00440DDE" w:rsidP="00440DDE">
            <w:pPr>
              <w:rPr>
                <w:rFonts w:cs="Arial"/>
                <w:bCs/>
                <w:color w:val="000000" w:themeColor="text1"/>
                <w:sz w:val="22"/>
                <w:szCs w:val="18"/>
              </w:rPr>
            </w:pPr>
            <w:r w:rsidRPr="008F6734">
              <w:rPr>
                <w:rFonts w:cs="Arial"/>
                <w:bCs/>
                <w:color w:val="000000" w:themeColor="text1"/>
                <w:sz w:val="22"/>
                <w:szCs w:val="18"/>
              </w:rPr>
              <w:t xml:space="preserve">The consultant will analyse and assess our three high level options set out above, building on more detailed work required below. This will include to: </w:t>
            </w:r>
          </w:p>
          <w:p w14:paraId="31D8360F" w14:textId="77777777" w:rsidR="00440DDE" w:rsidRPr="008F6734" w:rsidRDefault="00440DDE" w:rsidP="00440DDE">
            <w:pPr>
              <w:pStyle w:val="ListParagraph"/>
              <w:numPr>
                <w:ilvl w:val="0"/>
                <w:numId w:val="39"/>
              </w:numPr>
              <w:rPr>
                <w:rFonts w:cs="Arial"/>
                <w:bCs/>
                <w:color w:val="000000" w:themeColor="text1"/>
                <w:sz w:val="22"/>
                <w:szCs w:val="18"/>
              </w:rPr>
            </w:pPr>
            <w:r w:rsidRPr="008F6734">
              <w:rPr>
                <w:rFonts w:cs="Arial"/>
                <w:bCs/>
                <w:color w:val="000000" w:themeColor="text1"/>
                <w:sz w:val="22"/>
                <w:szCs w:val="18"/>
              </w:rPr>
              <w:t>Work with ORR to define the objectives of the possessions regime;</w:t>
            </w:r>
          </w:p>
          <w:p w14:paraId="4E9EAA06" w14:textId="77777777" w:rsidR="00440DDE" w:rsidRPr="008F6734" w:rsidRDefault="00440DDE" w:rsidP="00440DDE">
            <w:pPr>
              <w:pStyle w:val="ListParagraph"/>
              <w:rPr>
                <w:rFonts w:cs="Arial"/>
                <w:bCs/>
                <w:color w:val="000000" w:themeColor="text1"/>
                <w:sz w:val="22"/>
                <w:szCs w:val="18"/>
              </w:rPr>
            </w:pPr>
          </w:p>
          <w:p w14:paraId="37ED9A72" w14:textId="205BF9FE" w:rsidR="00440DDE" w:rsidRPr="008F6734" w:rsidRDefault="00440DDE" w:rsidP="00440DDE">
            <w:pPr>
              <w:pStyle w:val="ListParagraph"/>
              <w:numPr>
                <w:ilvl w:val="0"/>
                <w:numId w:val="39"/>
              </w:numPr>
              <w:rPr>
                <w:rFonts w:cs="Arial"/>
                <w:bCs/>
                <w:color w:val="000000" w:themeColor="text1"/>
                <w:sz w:val="22"/>
                <w:szCs w:val="18"/>
              </w:rPr>
            </w:pPr>
            <w:r w:rsidRPr="008F6734">
              <w:rPr>
                <w:rFonts w:cs="Arial"/>
                <w:bCs/>
                <w:color w:val="000000" w:themeColor="text1"/>
                <w:sz w:val="22"/>
                <w:szCs w:val="18"/>
              </w:rPr>
              <w:t>Review the possessions regime</w:t>
            </w:r>
            <w:r w:rsidR="00E1754D">
              <w:rPr>
                <w:rFonts w:cs="Arial"/>
                <w:bCs/>
                <w:color w:val="000000" w:themeColor="text1"/>
                <w:sz w:val="22"/>
                <w:szCs w:val="18"/>
              </w:rPr>
              <w:t>, including by referencing</w:t>
            </w:r>
            <w:r w:rsidRPr="008F6734">
              <w:rPr>
                <w:rFonts w:cs="Arial"/>
                <w:bCs/>
                <w:color w:val="000000" w:themeColor="text1"/>
                <w:sz w:val="22"/>
                <w:szCs w:val="18"/>
              </w:rPr>
              <w:t xml:space="preserve"> recent research undertaken</w:t>
            </w:r>
            <w:r w:rsidR="00E1754D">
              <w:rPr>
                <w:rFonts w:cs="Arial"/>
                <w:bCs/>
                <w:color w:val="000000" w:themeColor="text1"/>
                <w:sz w:val="22"/>
                <w:szCs w:val="18"/>
              </w:rPr>
              <w:t xml:space="preserve"> by ORR on train performance incentives</w:t>
            </w:r>
            <w:r w:rsidR="00BD564A">
              <w:rPr>
                <w:rFonts w:cs="Arial"/>
                <w:bCs/>
                <w:color w:val="000000" w:themeColor="text1"/>
                <w:sz w:val="22"/>
                <w:szCs w:val="18"/>
              </w:rPr>
              <w:t>, relevant to Schedule 4</w:t>
            </w:r>
            <w:r w:rsidR="008F6734">
              <w:rPr>
                <w:rStyle w:val="FootnoteReference"/>
                <w:rFonts w:cs="Arial"/>
                <w:bCs/>
                <w:color w:val="000000" w:themeColor="text1"/>
                <w:sz w:val="22"/>
                <w:szCs w:val="18"/>
              </w:rPr>
              <w:footnoteReference w:id="5"/>
            </w:r>
            <w:r w:rsidRPr="008F6734">
              <w:rPr>
                <w:rFonts w:cs="Arial"/>
                <w:bCs/>
                <w:color w:val="000000" w:themeColor="text1"/>
                <w:sz w:val="22"/>
                <w:szCs w:val="18"/>
              </w:rPr>
              <w:t xml:space="preserve">; </w:t>
            </w:r>
          </w:p>
          <w:p w14:paraId="314AE154" w14:textId="77777777" w:rsidR="00440DDE" w:rsidRPr="008F6734" w:rsidRDefault="00440DDE" w:rsidP="00440DDE">
            <w:pPr>
              <w:pStyle w:val="ListParagraph"/>
              <w:rPr>
                <w:rFonts w:cs="Arial"/>
                <w:bCs/>
                <w:color w:val="000000" w:themeColor="text1"/>
                <w:sz w:val="22"/>
                <w:szCs w:val="18"/>
              </w:rPr>
            </w:pPr>
          </w:p>
          <w:p w14:paraId="20B32C28" w14:textId="77777777" w:rsidR="00440DDE" w:rsidRPr="008F6734" w:rsidRDefault="00440DDE" w:rsidP="00440DDE">
            <w:pPr>
              <w:pStyle w:val="ListParagraph"/>
              <w:numPr>
                <w:ilvl w:val="0"/>
                <w:numId w:val="39"/>
              </w:numPr>
              <w:rPr>
                <w:rFonts w:cs="Arial"/>
                <w:bCs/>
                <w:color w:val="000000" w:themeColor="text1"/>
                <w:sz w:val="22"/>
                <w:szCs w:val="18"/>
              </w:rPr>
            </w:pPr>
            <w:r w:rsidRPr="008F6734">
              <w:rPr>
                <w:rFonts w:cs="Arial"/>
                <w:bCs/>
                <w:color w:val="000000" w:themeColor="text1"/>
                <w:sz w:val="22"/>
                <w:szCs w:val="18"/>
              </w:rPr>
              <w:t>Identify, analyse and summarise key policy issues;</w:t>
            </w:r>
          </w:p>
          <w:p w14:paraId="14B1CFCD" w14:textId="77777777" w:rsidR="00440DDE" w:rsidRPr="008F6734" w:rsidRDefault="00440DDE" w:rsidP="00440DDE">
            <w:pPr>
              <w:pStyle w:val="ListParagraph"/>
              <w:rPr>
                <w:rFonts w:cs="Arial"/>
                <w:bCs/>
                <w:color w:val="000000" w:themeColor="text1"/>
                <w:sz w:val="22"/>
                <w:szCs w:val="18"/>
              </w:rPr>
            </w:pPr>
          </w:p>
          <w:p w14:paraId="047DBA14" w14:textId="4AA5CEFC" w:rsidR="00440DDE" w:rsidRPr="008F6734" w:rsidRDefault="00440DDE" w:rsidP="00440DDE">
            <w:pPr>
              <w:pStyle w:val="ListParagraph"/>
              <w:numPr>
                <w:ilvl w:val="0"/>
                <w:numId w:val="39"/>
              </w:numPr>
              <w:rPr>
                <w:rFonts w:cs="Arial"/>
                <w:bCs/>
                <w:color w:val="000000" w:themeColor="text1"/>
                <w:sz w:val="22"/>
                <w:szCs w:val="18"/>
              </w:rPr>
            </w:pPr>
            <w:r w:rsidRPr="008F6734">
              <w:rPr>
                <w:rFonts w:cs="Arial"/>
                <w:bCs/>
                <w:color w:val="000000" w:themeColor="text1"/>
                <w:sz w:val="22"/>
                <w:szCs w:val="18"/>
              </w:rPr>
              <w:t xml:space="preserve">Define and design further the 3 high level options set out above (building on more detailed work required below); </w:t>
            </w:r>
          </w:p>
          <w:p w14:paraId="66583322" w14:textId="77777777" w:rsidR="00440DDE" w:rsidRPr="008F6734" w:rsidRDefault="00440DDE" w:rsidP="00440DDE">
            <w:pPr>
              <w:pStyle w:val="ListParagraph"/>
              <w:rPr>
                <w:rFonts w:cs="Arial"/>
                <w:bCs/>
                <w:color w:val="000000" w:themeColor="text1"/>
                <w:sz w:val="22"/>
                <w:szCs w:val="18"/>
              </w:rPr>
            </w:pPr>
          </w:p>
          <w:p w14:paraId="60AE7D16" w14:textId="3FFA27DE" w:rsidR="00440DDE" w:rsidRPr="008F6734" w:rsidRDefault="00440DDE" w:rsidP="00440DDE">
            <w:pPr>
              <w:pStyle w:val="ListParagraph"/>
              <w:numPr>
                <w:ilvl w:val="0"/>
                <w:numId w:val="39"/>
              </w:numPr>
              <w:rPr>
                <w:rFonts w:cs="Arial"/>
                <w:bCs/>
                <w:color w:val="000000" w:themeColor="text1"/>
                <w:sz w:val="22"/>
                <w:szCs w:val="18"/>
              </w:rPr>
            </w:pPr>
            <w:r w:rsidRPr="008F6734">
              <w:rPr>
                <w:rFonts w:cs="Arial"/>
                <w:bCs/>
                <w:color w:val="000000" w:themeColor="text1"/>
                <w:sz w:val="22"/>
                <w:szCs w:val="18"/>
              </w:rPr>
              <w:t>Evaluate how each option would operate with</w:t>
            </w:r>
            <w:r w:rsidR="00205D84">
              <w:rPr>
                <w:rFonts w:cs="Arial"/>
                <w:bCs/>
                <w:color w:val="000000" w:themeColor="text1"/>
                <w:sz w:val="22"/>
                <w:szCs w:val="18"/>
              </w:rPr>
              <w:t>in</w:t>
            </w:r>
            <w:r w:rsidRPr="008F6734">
              <w:rPr>
                <w:rFonts w:cs="Arial"/>
                <w:bCs/>
                <w:color w:val="000000" w:themeColor="text1"/>
                <w:sz w:val="22"/>
                <w:szCs w:val="18"/>
              </w:rPr>
              <w:t xml:space="preserve"> the broader industry structure, in particular with regards to ongoing uncertainty, changing status of </w:t>
            </w:r>
            <w:proofErr w:type="spellStart"/>
            <w:r w:rsidRPr="008F6734">
              <w:rPr>
                <w:rFonts w:cs="Arial"/>
                <w:bCs/>
                <w:color w:val="000000" w:themeColor="text1"/>
                <w:sz w:val="22"/>
                <w:szCs w:val="18"/>
              </w:rPr>
              <w:t>DfT</w:t>
            </w:r>
            <w:proofErr w:type="spellEnd"/>
            <w:r w:rsidRPr="008F6734">
              <w:rPr>
                <w:rFonts w:cs="Arial"/>
                <w:bCs/>
                <w:color w:val="000000" w:themeColor="text1"/>
                <w:sz w:val="22"/>
                <w:szCs w:val="18"/>
              </w:rPr>
              <w:t>-contracted train operators</w:t>
            </w:r>
            <w:r w:rsidR="00406891">
              <w:rPr>
                <w:rFonts w:cs="Arial"/>
                <w:bCs/>
                <w:color w:val="000000" w:themeColor="text1"/>
                <w:sz w:val="22"/>
                <w:szCs w:val="18"/>
              </w:rPr>
              <w:t xml:space="preserve">, and </w:t>
            </w:r>
            <w:r w:rsidR="00406891" w:rsidRPr="008F6734">
              <w:rPr>
                <w:rFonts w:cs="Arial"/>
                <w:bCs/>
                <w:color w:val="000000" w:themeColor="text1"/>
                <w:sz w:val="22"/>
                <w:szCs w:val="18"/>
              </w:rPr>
              <w:t xml:space="preserve">wider incentives in the </w:t>
            </w:r>
            <w:r w:rsidR="00406891">
              <w:rPr>
                <w:rFonts w:cs="Arial"/>
                <w:bCs/>
                <w:color w:val="000000" w:themeColor="text1"/>
                <w:sz w:val="22"/>
                <w:szCs w:val="18"/>
              </w:rPr>
              <w:t>industry</w:t>
            </w:r>
            <w:r w:rsidR="00205D84">
              <w:rPr>
                <w:rFonts w:cs="Arial"/>
                <w:bCs/>
                <w:color w:val="000000" w:themeColor="text1"/>
                <w:sz w:val="22"/>
                <w:szCs w:val="18"/>
              </w:rPr>
              <w:t>; and,</w:t>
            </w:r>
            <w:r w:rsidR="00406891">
              <w:rPr>
                <w:rFonts w:cs="Arial"/>
                <w:bCs/>
                <w:color w:val="000000" w:themeColor="text1"/>
                <w:sz w:val="22"/>
                <w:szCs w:val="18"/>
              </w:rPr>
              <w:t xml:space="preserve"> </w:t>
            </w:r>
            <w:r w:rsidRPr="008F6734">
              <w:rPr>
                <w:rFonts w:cs="Arial"/>
                <w:bCs/>
                <w:color w:val="000000" w:themeColor="text1"/>
                <w:sz w:val="22"/>
                <w:szCs w:val="18"/>
              </w:rPr>
              <w:t xml:space="preserve"> </w:t>
            </w:r>
          </w:p>
          <w:p w14:paraId="210197C0" w14:textId="77777777" w:rsidR="00440DDE" w:rsidRPr="008F6734" w:rsidRDefault="00440DDE" w:rsidP="00440DDE">
            <w:pPr>
              <w:pStyle w:val="ListParagraph"/>
              <w:rPr>
                <w:rFonts w:cs="Arial"/>
                <w:bCs/>
                <w:color w:val="000000" w:themeColor="text1"/>
                <w:sz w:val="22"/>
                <w:szCs w:val="18"/>
              </w:rPr>
            </w:pPr>
          </w:p>
          <w:p w14:paraId="552763A9" w14:textId="73858FC4" w:rsidR="00440DDE" w:rsidRPr="008F6734" w:rsidRDefault="00440DDE" w:rsidP="00440DDE">
            <w:pPr>
              <w:pStyle w:val="ListParagraph"/>
              <w:numPr>
                <w:ilvl w:val="0"/>
                <w:numId w:val="39"/>
              </w:numPr>
              <w:rPr>
                <w:rFonts w:cs="Arial"/>
                <w:bCs/>
                <w:color w:val="000000" w:themeColor="text1"/>
                <w:sz w:val="22"/>
                <w:szCs w:val="18"/>
              </w:rPr>
            </w:pPr>
            <w:r w:rsidRPr="008F6734">
              <w:rPr>
                <w:rFonts w:cs="Arial"/>
                <w:bCs/>
                <w:color w:val="000000" w:themeColor="text1"/>
                <w:sz w:val="22"/>
                <w:szCs w:val="18"/>
              </w:rPr>
              <w:lastRenderedPageBreak/>
              <w:t xml:space="preserve">Carry out a </w:t>
            </w:r>
            <w:r w:rsidR="00205D84">
              <w:rPr>
                <w:rFonts w:cs="Arial"/>
                <w:bCs/>
                <w:color w:val="000000" w:themeColor="text1"/>
                <w:sz w:val="22"/>
                <w:szCs w:val="18"/>
              </w:rPr>
              <w:t>high-level</w:t>
            </w:r>
            <w:r w:rsidRPr="008F6734">
              <w:rPr>
                <w:rFonts w:cs="Arial"/>
                <w:bCs/>
                <w:color w:val="000000" w:themeColor="text1"/>
                <w:sz w:val="22"/>
                <w:szCs w:val="18"/>
              </w:rPr>
              <w:t xml:space="preserve"> impact assessment for each option against set criteria. </w:t>
            </w:r>
          </w:p>
          <w:p w14:paraId="63272C19" w14:textId="2F07D3C3" w:rsidR="00440DDE" w:rsidRPr="008F6734" w:rsidRDefault="00440DDE" w:rsidP="00440DDE">
            <w:pPr>
              <w:rPr>
                <w:b/>
                <w:bCs/>
                <w:sz w:val="22"/>
                <w:szCs w:val="18"/>
              </w:rPr>
            </w:pPr>
            <w:r w:rsidRPr="008F6734">
              <w:rPr>
                <w:b/>
                <w:bCs/>
                <w:sz w:val="22"/>
                <w:szCs w:val="18"/>
              </w:rPr>
              <w:t xml:space="preserve">b) Conduct detailed work to design and assess options for incremental reform and for </w:t>
            </w:r>
            <w:r w:rsidR="00E1754D">
              <w:rPr>
                <w:b/>
                <w:bCs/>
                <w:sz w:val="22"/>
                <w:szCs w:val="18"/>
              </w:rPr>
              <w:t>implementing an opt-out mechanism to</w:t>
            </w:r>
            <w:r w:rsidRPr="008F6734">
              <w:rPr>
                <w:b/>
                <w:bCs/>
                <w:sz w:val="22"/>
                <w:szCs w:val="18"/>
              </w:rPr>
              <w:t xml:space="preserve"> Schedule 4 </w:t>
            </w:r>
          </w:p>
          <w:p w14:paraId="6200B636" w14:textId="5A53A453" w:rsidR="00440DDE" w:rsidRPr="005B6035" w:rsidRDefault="00C304FF" w:rsidP="005B6035">
            <w:pPr>
              <w:rPr>
                <w:sz w:val="22"/>
                <w:szCs w:val="18"/>
              </w:rPr>
            </w:pPr>
            <w:r w:rsidRPr="008F6734">
              <w:rPr>
                <w:sz w:val="22"/>
                <w:szCs w:val="18"/>
              </w:rPr>
              <w:t>The</w:t>
            </w:r>
            <w:r w:rsidR="00440DDE" w:rsidRPr="008F6734">
              <w:rPr>
                <w:sz w:val="22"/>
                <w:szCs w:val="18"/>
              </w:rPr>
              <w:t xml:space="preserve"> consultant </w:t>
            </w:r>
            <w:r w:rsidRPr="008F6734">
              <w:rPr>
                <w:sz w:val="22"/>
                <w:szCs w:val="18"/>
              </w:rPr>
              <w:t xml:space="preserve">will </w:t>
            </w:r>
            <w:r w:rsidR="00440DDE" w:rsidRPr="008F6734">
              <w:rPr>
                <w:sz w:val="22"/>
                <w:szCs w:val="18"/>
              </w:rPr>
              <w:t xml:space="preserve">design and assess options to </w:t>
            </w:r>
            <w:r w:rsidR="00406891">
              <w:rPr>
                <w:sz w:val="22"/>
                <w:szCs w:val="18"/>
              </w:rPr>
              <w:t>implement an opt-out mechanism to</w:t>
            </w:r>
            <w:r w:rsidR="00440DDE" w:rsidRPr="008F6734">
              <w:rPr>
                <w:sz w:val="22"/>
                <w:szCs w:val="18"/>
              </w:rPr>
              <w:t xml:space="preserve"> Schedule 4, and to incrementally reform</w:t>
            </w:r>
            <w:r w:rsidR="00406891">
              <w:rPr>
                <w:sz w:val="22"/>
                <w:szCs w:val="18"/>
              </w:rPr>
              <w:t xml:space="preserve"> </w:t>
            </w:r>
            <w:r w:rsidR="00440DDE" w:rsidRPr="008F6734">
              <w:rPr>
                <w:sz w:val="22"/>
                <w:szCs w:val="18"/>
              </w:rPr>
              <w:t>Schedule 4 for PR23</w:t>
            </w:r>
            <w:r w:rsidR="00406891" w:rsidRPr="008F6734">
              <w:rPr>
                <w:rStyle w:val="FootnoteReference"/>
                <w:sz w:val="22"/>
                <w:szCs w:val="18"/>
              </w:rPr>
              <w:footnoteReference w:id="6"/>
            </w:r>
            <w:r w:rsidR="00440DDE" w:rsidRPr="008F6734">
              <w:rPr>
                <w:sz w:val="22"/>
                <w:szCs w:val="18"/>
              </w:rPr>
              <w:t xml:space="preserve">. This </w:t>
            </w:r>
            <w:r w:rsidRPr="008F6734">
              <w:rPr>
                <w:sz w:val="22"/>
                <w:szCs w:val="18"/>
              </w:rPr>
              <w:t>will entail</w:t>
            </w:r>
            <w:r w:rsidR="00440DDE" w:rsidRPr="008F6734">
              <w:rPr>
                <w:sz w:val="22"/>
                <w:szCs w:val="18"/>
              </w:rPr>
              <w:t>:</w:t>
            </w:r>
          </w:p>
          <w:p w14:paraId="505B1D2B" w14:textId="55D3DEBD" w:rsidR="00440DDE" w:rsidRDefault="00C979C2" w:rsidP="00406891">
            <w:pPr>
              <w:pStyle w:val="ListParagraph"/>
              <w:numPr>
                <w:ilvl w:val="0"/>
                <w:numId w:val="43"/>
              </w:numPr>
              <w:spacing w:after="160" w:line="259" w:lineRule="auto"/>
              <w:rPr>
                <w:rFonts w:cs="Arial"/>
                <w:bCs/>
                <w:color w:val="000000" w:themeColor="text1"/>
                <w:sz w:val="22"/>
                <w:szCs w:val="18"/>
              </w:rPr>
            </w:pPr>
            <w:r>
              <w:rPr>
                <w:rFonts w:cs="Arial"/>
                <w:bCs/>
                <w:color w:val="000000" w:themeColor="text1"/>
                <w:sz w:val="22"/>
                <w:szCs w:val="18"/>
              </w:rPr>
              <w:t>Identifying and d</w:t>
            </w:r>
            <w:r w:rsidR="00440DDE" w:rsidRPr="008F6734">
              <w:rPr>
                <w:rFonts w:cs="Arial"/>
                <w:bCs/>
                <w:color w:val="000000" w:themeColor="text1"/>
                <w:sz w:val="22"/>
                <w:szCs w:val="18"/>
              </w:rPr>
              <w:t>esign</w:t>
            </w:r>
            <w:r w:rsidR="00C304FF" w:rsidRPr="008F6734">
              <w:rPr>
                <w:rFonts w:cs="Arial"/>
                <w:bCs/>
                <w:color w:val="000000" w:themeColor="text1"/>
                <w:sz w:val="22"/>
                <w:szCs w:val="18"/>
              </w:rPr>
              <w:t>ing</w:t>
            </w:r>
            <w:r w:rsidR="00440DDE" w:rsidRPr="008F6734">
              <w:rPr>
                <w:rFonts w:cs="Arial"/>
                <w:bCs/>
                <w:color w:val="000000" w:themeColor="text1"/>
                <w:sz w:val="22"/>
                <w:szCs w:val="18"/>
              </w:rPr>
              <w:t xml:space="preserve"> options</w:t>
            </w:r>
            <w:r w:rsidR="00440DDE" w:rsidRPr="00406891">
              <w:rPr>
                <w:rFonts w:cs="Arial"/>
                <w:bCs/>
                <w:color w:val="000000" w:themeColor="text1"/>
                <w:sz w:val="22"/>
                <w:szCs w:val="18"/>
              </w:rPr>
              <w:t xml:space="preserve"> for </w:t>
            </w:r>
            <w:r w:rsidR="00406891">
              <w:rPr>
                <w:rFonts w:cs="Arial"/>
                <w:bCs/>
                <w:color w:val="000000" w:themeColor="text1"/>
                <w:sz w:val="22"/>
                <w:szCs w:val="18"/>
              </w:rPr>
              <w:t>implementing an opt-out mechanism to</w:t>
            </w:r>
            <w:r w:rsidR="00440DDE" w:rsidRPr="00406891">
              <w:rPr>
                <w:rFonts w:cs="Arial"/>
                <w:bCs/>
                <w:color w:val="000000" w:themeColor="text1"/>
                <w:sz w:val="22"/>
                <w:szCs w:val="18"/>
              </w:rPr>
              <w:t xml:space="preserve"> Schedule </w:t>
            </w:r>
            <w:proofErr w:type="gramStart"/>
            <w:r w:rsidR="00440DDE" w:rsidRPr="00406891">
              <w:rPr>
                <w:rFonts w:cs="Arial"/>
                <w:bCs/>
                <w:color w:val="000000" w:themeColor="text1"/>
                <w:sz w:val="22"/>
                <w:szCs w:val="18"/>
              </w:rPr>
              <w:t>4</w:t>
            </w:r>
            <w:r w:rsidR="00C304FF" w:rsidRPr="00406891">
              <w:rPr>
                <w:rFonts w:cs="Arial"/>
                <w:bCs/>
                <w:color w:val="000000" w:themeColor="text1"/>
                <w:sz w:val="22"/>
                <w:szCs w:val="18"/>
              </w:rPr>
              <w:t>;</w:t>
            </w:r>
            <w:proofErr w:type="gramEnd"/>
            <w:r w:rsidR="00440DDE" w:rsidRPr="00406891">
              <w:rPr>
                <w:rFonts w:cs="Arial"/>
                <w:bCs/>
                <w:color w:val="000000" w:themeColor="text1"/>
                <w:sz w:val="22"/>
                <w:szCs w:val="18"/>
              </w:rPr>
              <w:t xml:space="preserve"> </w:t>
            </w:r>
          </w:p>
          <w:p w14:paraId="669CD161" w14:textId="77777777" w:rsidR="005B6035" w:rsidRPr="00406891" w:rsidRDefault="005B6035" w:rsidP="005B6035">
            <w:pPr>
              <w:pStyle w:val="ListParagraph"/>
              <w:spacing w:after="160" w:line="259" w:lineRule="auto"/>
              <w:rPr>
                <w:rFonts w:cs="Arial"/>
                <w:bCs/>
                <w:color w:val="000000" w:themeColor="text1"/>
                <w:sz w:val="22"/>
                <w:szCs w:val="18"/>
              </w:rPr>
            </w:pPr>
          </w:p>
          <w:p w14:paraId="703E1E6B" w14:textId="52A36A00" w:rsidR="0095595E" w:rsidRDefault="005B6035" w:rsidP="0095595E">
            <w:pPr>
              <w:pStyle w:val="ListParagraph"/>
              <w:numPr>
                <w:ilvl w:val="0"/>
                <w:numId w:val="43"/>
              </w:numPr>
              <w:spacing w:after="160" w:line="259" w:lineRule="auto"/>
              <w:rPr>
                <w:rFonts w:cs="Arial"/>
                <w:bCs/>
                <w:color w:val="000000" w:themeColor="text1"/>
                <w:sz w:val="22"/>
                <w:szCs w:val="18"/>
              </w:rPr>
            </w:pPr>
            <w:r w:rsidRPr="008F6734">
              <w:rPr>
                <w:rFonts w:cs="Arial"/>
                <w:bCs/>
                <w:color w:val="000000" w:themeColor="text1"/>
                <w:sz w:val="22"/>
                <w:szCs w:val="18"/>
              </w:rPr>
              <w:t xml:space="preserve">Identifying and designing </w:t>
            </w:r>
            <w:r w:rsidR="00EA1ABD">
              <w:rPr>
                <w:rFonts w:cs="Arial"/>
                <w:bCs/>
                <w:color w:val="000000" w:themeColor="text1"/>
                <w:sz w:val="22"/>
                <w:szCs w:val="18"/>
              </w:rPr>
              <w:t xml:space="preserve">between 3 and 5 </w:t>
            </w:r>
            <w:r w:rsidRPr="008F6734">
              <w:rPr>
                <w:rFonts w:cs="Arial"/>
                <w:bCs/>
                <w:color w:val="000000" w:themeColor="text1"/>
                <w:sz w:val="22"/>
                <w:szCs w:val="18"/>
              </w:rPr>
              <w:t xml:space="preserve">options to incrementally reform Schedule 4 for </w:t>
            </w:r>
            <w:proofErr w:type="gramStart"/>
            <w:r w:rsidRPr="008F6734">
              <w:rPr>
                <w:rFonts w:cs="Arial"/>
                <w:bCs/>
                <w:color w:val="000000" w:themeColor="text1"/>
                <w:sz w:val="22"/>
                <w:szCs w:val="18"/>
              </w:rPr>
              <w:t>PR23;</w:t>
            </w:r>
            <w:proofErr w:type="gramEnd"/>
            <w:r w:rsidRPr="008F6734">
              <w:rPr>
                <w:rFonts w:cs="Arial"/>
                <w:bCs/>
                <w:color w:val="000000" w:themeColor="text1"/>
                <w:sz w:val="22"/>
                <w:szCs w:val="18"/>
              </w:rPr>
              <w:t xml:space="preserve"> </w:t>
            </w:r>
          </w:p>
          <w:p w14:paraId="500CB0B7" w14:textId="77777777" w:rsidR="0095595E" w:rsidRDefault="0095595E" w:rsidP="0095595E">
            <w:pPr>
              <w:pStyle w:val="ListParagraph"/>
              <w:spacing w:after="160" w:line="259" w:lineRule="auto"/>
              <w:rPr>
                <w:rFonts w:cs="Arial"/>
                <w:bCs/>
                <w:color w:val="000000" w:themeColor="text1"/>
                <w:sz w:val="22"/>
                <w:szCs w:val="18"/>
              </w:rPr>
            </w:pPr>
          </w:p>
          <w:p w14:paraId="4E199D6A" w14:textId="622668A6" w:rsidR="0081329A" w:rsidRPr="0095595E" w:rsidRDefault="0081329A" w:rsidP="0095595E">
            <w:pPr>
              <w:pStyle w:val="ListParagraph"/>
              <w:numPr>
                <w:ilvl w:val="0"/>
                <w:numId w:val="43"/>
              </w:numPr>
              <w:spacing w:after="160" w:line="259" w:lineRule="auto"/>
              <w:rPr>
                <w:rFonts w:cs="Arial"/>
                <w:bCs/>
                <w:color w:val="000000" w:themeColor="text1"/>
                <w:sz w:val="22"/>
                <w:szCs w:val="18"/>
              </w:rPr>
            </w:pPr>
            <w:r w:rsidRPr="0095595E">
              <w:rPr>
                <w:rFonts w:cs="Arial"/>
                <w:bCs/>
                <w:color w:val="000000" w:themeColor="text1"/>
                <w:sz w:val="22"/>
                <w:szCs w:val="18"/>
              </w:rPr>
              <w:t xml:space="preserve">Identifying and designing, options will involve consultation with a sample of stakeholders as well as 1-2 </w:t>
            </w:r>
            <w:r w:rsidR="008571BD" w:rsidRPr="0095595E">
              <w:rPr>
                <w:rFonts w:cs="Arial"/>
                <w:bCs/>
                <w:color w:val="000000" w:themeColor="text1"/>
                <w:sz w:val="22"/>
                <w:szCs w:val="18"/>
              </w:rPr>
              <w:t>industry</w:t>
            </w:r>
            <w:r w:rsidRPr="0095595E">
              <w:rPr>
                <w:rFonts w:cs="Arial"/>
                <w:bCs/>
                <w:color w:val="000000" w:themeColor="text1"/>
                <w:sz w:val="22"/>
                <w:szCs w:val="18"/>
              </w:rPr>
              <w:t xml:space="preserve"> stakeholder </w:t>
            </w:r>
            <w:proofErr w:type="gramStart"/>
            <w:r w:rsidRPr="0095595E">
              <w:rPr>
                <w:rFonts w:cs="Arial"/>
                <w:bCs/>
                <w:color w:val="000000" w:themeColor="text1"/>
                <w:sz w:val="22"/>
                <w:szCs w:val="18"/>
              </w:rPr>
              <w:t>workshops</w:t>
            </w:r>
            <w:r w:rsidR="00EA1ABD">
              <w:rPr>
                <w:rFonts w:cs="Arial"/>
                <w:bCs/>
                <w:color w:val="000000" w:themeColor="text1"/>
                <w:sz w:val="22"/>
                <w:szCs w:val="18"/>
              </w:rPr>
              <w:t>;</w:t>
            </w:r>
            <w:proofErr w:type="gramEnd"/>
            <w:r w:rsidRPr="0095595E">
              <w:rPr>
                <w:rFonts w:cs="Arial"/>
                <w:bCs/>
                <w:color w:val="000000" w:themeColor="text1"/>
                <w:sz w:val="22"/>
                <w:szCs w:val="18"/>
              </w:rPr>
              <w:t xml:space="preserve"> </w:t>
            </w:r>
          </w:p>
          <w:p w14:paraId="527AD582" w14:textId="77777777" w:rsidR="00440DDE" w:rsidRPr="008F6734" w:rsidRDefault="00440DDE" w:rsidP="00440DDE">
            <w:pPr>
              <w:pStyle w:val="ListParagraph"/>
              <w:spacing w:after="160" w:line="259" w:lineRule="auto"/>
              <w:rPr>
                <w:rFonts w:cs="Arial"/>
                <w:bCs/>
                <w:color w:val="000000" w:themeColor="text1"/>
                <w:sz w:val="22"/>
                <w:szCs w:val="18"/>
              </w:rPr>
            </w:pPr>
          </w:p>
          <w:p w14:paraId="4D5DC2BA" w14:textId="2D3C6185" w:rsidR="00440DDE" w:rsidRPr="008F6734" w:rsidRDefault="00440DDE" w:rsidP="00440DDE">
            <w:pPr>
              <w:pStyle w:val="ListParagraph"/>
              <w:numPr>
                <w:ilvl w:val="0"/>
                <w:numId w:val="43"/>
              </w:numPr>
              <w:spacing w:after="160" w:line="259" w:lineRule="auto"/>
              <w:rPr>
                <w:rFonts w:cs="Arial"/>
                <w:bCs/>
                <w:color w:val="000000" w:themeColor="text1"/>
                <w:sz w:val="22"/>
                <w:szCs w:val="18"/>
              </w:rPr>
            </w:pPr>
            <w:r w:rsidRPr="008F6734">
              <w:rPr>
                <w:rFonts w:cs="Arial"/>
                <w:bCs/>
                <w:color w:val="000000" w:themeColor="text1"/>
                <w:sz w:val="22"/>
                <w:szCs w:val="18"/>
              </w:rPr>
              <w:t>Evaluat</w:t>
            </w:r>
            <w:r w:rsidR="00C304FF" w:rsidRPr="008F6734">
              <w:rPr>
                <w:rFonts w:cs="Arial"/>
                <w:bCs/>
                <w:color w:val="000000" w:themeColor="text1"/>
                <w:sz w:val="22"/>
                <w:szCs w:val="18"/>
              </w:rPr>
              <w:t>ing</w:t>
            </w:r>
            <w:r w:rsidRPr="008F6734">
              <w:rPr>
                <w:rFonts w:cs="Arial"/>
                <w:bCs/>
                <w:color w:val="000000" w:themeColor="text1"/>
                <w:sz w:val="22"/>
                <w:szCs w:val="18"/>
              </w:rPr>
              <w:t xml:space="preserve"> how each proposed option would operate in practice, in particular in light of ongoing uncertainty and current changes in industry structure; </w:t>
            </w:r>
          </w:p>
          <w:p w14:paraId="210445FE" w14:textId="77777777" w:rsidR="00440DDE" w:rsidRPr="008F6734" w:rsidRDefault="00440DDE" w:rsidP="00440DDE">
            <w:pPr>
              <w:pStyle w:val="ListParagraph"/>
              <w:spacing w:after="160" w:line="259" w:lineRule="auto"/>
              <w:rPr>
                <w:rFonts w:cs="Arial"/>
                <w:bCs/>
                <w:color w:val="000000" w:themeColor="text1"/>
                <w:sz w:val="22"/>
                <w:szCs w:val="18"/>
              </w:rPr>
            </w:pPr>
          </w:p>
          <w:p w14:paraId="3BFDF4BE" w14:textId="152712EB" w:rsidR="00440DDE" w:rsidRPr="008F6734" w:rsidRDefault="00440DDE" w:rsidP="00440DDE">
            <w:pPr>
              <w:pStyle w:val="ListParagraph"/>
              <w:numPr>
                <w:ilvl w:val="0"/>
                <w:numId w:val="43"/>
              </w:numPr>
              <w:spacing w:after="160" w:line="259" w:lineRule="auto"/>
              <w:rPr>
                <w:rFonts w:cs="Arial"/>
                <w:bCs/>
                <w:color w:val="000000" w:themeColor="text1"/>
                <w:sz w:val="22"/>
                <w:szCs w:val="18"/>
              </w:rPr>
            </w:pPr>
            <w:r w:rsidRPr="008F6734">
              <w:rPr>
                <w:rFonts w:cs="Arial"/>
                <w:bCs/>
                <w:color w:val="000000" w:themeColor="text1"/>
                <w:sz w:val="22"/>
                <w:szCs w:val="18"/>
              </w:rPr>
              <w:t>Carry</w:t>
            </w:r>
            <w:r w:rsidR="00C304FF" w:rsidRPr="008F6734">
              <w:rPr>
                <w:rFonts w:cs="Arial"/>
                <w:bCs/>
                <w:color w:val="000000" w:themeColor="text1"/>
                <w:sz w:val="22"/>
                <w:szCs w:val="18"/>
              </w:rPr>
              <w:t>ing</w:t>
            </w:r>
            <w:r w:rsidRPr="008F6734">
              <w:rPr>
                <w:rFonts w:cs="Arial"/>
                <w:bCs/>
                <w:color w:val="000000" w:themeColor="text1"/>
                <w:sz w:val="22"/>
                <w:szCs w:val="18"/>
              </w:rPr>
              <w:t xml:space="preserve"> out an impact assessment of each proposed option;</w:t>
            </w:r>
          </w:p>
          <w:p w14:paraId="18A30434" w14:textId="77777777" w:rsidR="00440DDE" w:rsidRPr="008F6734" w:rsidRDefault="00440DDE" w:rsidP="00440DDE">
            <w:pPr>
              <w:pStyle w:val="ListParagraph"/>
              <w:spacing w:after="160" w:line="259" w:lineRule="auto"/>
              <w:rPr>
                <w:rFonts w:cs="Arial"/>
                <w:bCs/>
                <w:color w:val="000000" w:themeColor="text1"/>
                <w:sz w:val="22"/>
                <w:szCs w:val="18"/>
              </w:rPr>
            </w:pPr>
          </w:p>
          <w:p w14:paraId="40E4F6F0" w14:textId="714107D7" w:rsidR="00440DDE" w:rsidRPr="008F6734" w:rsidRDefault="00C304FF" w:rsidP="00440DDE">
            <w:pPr>
              <w:pStyle w:val="ListParagraph"/>
              <w:numPr>
                <w:ilvl w:val="0"/>
                <w:numId w:val="43"/>
              </w:numPr>
              <w:spacing w:after="160" w:line="259" w:lineRule="auto"/>
              <w:rPr>
                <w:rFonts w:cs="Arial"/>
                <w:bCs/>
                <w:color w:val="000000" w:themeColor="text1"/>
                <w:sz w:val="22"/>
                <w:szCs w:val="18"/>
              </w:rPr>
            </w:pPr>
            <w:r w:rsidRPr="008F6734">
              <w:rPr>
                <w:rFonts w:cs="Arial"/>
                <w:bCs/>
                <w:color w:val="000000" w:themeColor="text1"/>
                <w:sz w:val="22"/>
                <w:szCs w:val="18"/>
              </w:rPr>
              <w:t>Identifying</w:t>
            </w:r>
            <w:r w:rsidR="00440DDE" w:rsidRPr="008F6734">
              <w:rPr>
                <w:rFonts w:cs="Arial"/>
                <w:bCs/>
                <w:color w:val="000000" w:themeColor="text1"/>
                <w:sz w:val="22"/>
                <w:szCs w:val="18"/>
              </w:rPr>
              <w:t xml:space="preserve"> the implementation and transition approach for each proposed option; and, </w:t>
            </w:r>
          </w:p>
          <w:p w14:paraId="2AE229EF" w14:textId="77777777" w:rsidR="00440DDE" w:rsidRPr="008F6734" w:rsidRDefault="00440DDE" w:rsidP="00440DDE">
            <w:pPr>
              <w:pStyle w:val="ListParagraph"/>
              <w:spacing w:after="160" w:line="259" w:lineRule="auto"/>
              <w:rPr>
                <w:rFonts w:cs="Arial"/>
                <w:bCs/>
                <w:color w:val="000000" w:themeColor="text1"/>
                <w:sz w:val="22"/>
                <w:szCs w:val="18"/>
              </w:rPr>
            </w:pPr>
          </w:p>
          <w:p w14:paraId="416F7A02" w14:textId="77777777" w:rsidR="00440DDE" w:rsidRPr="008F6734" w:rsidRDefault="00440DDE" w:rsidP="00440DDE">
            <w:pPr>
              <w:pStyle w:val="ListParagraph"/>
              <w:numPr>
                <w:ilvl w:val="0"/>
                <w:numId w:val="43"/>
              </w:numPr>
              <w:spacing w:after="160" w:line="259" w:lineRule="auto"/>
              <w:rPr>
                <w:rFonts w:cs="Arial"/>
                <w:bCs/>
                <w:color w:val="000000" w:themeColor="text1"/>
                <w:sz w:val="22"/>
                <w:szCs w:val="18"/>
              </w:rPr>
            </w:pPr>
            <w:r w:rsidRPr="008F6734">
              <w:rPr>
                <w:rFonts w:cs="Arial"/>
                <w:bCs/>
                <w:color w:val="000000" w:themeColor="text1"/>
                <w:sz w:val="22"/>
                <w:szCs w:val="18"/>
              </w:rPr>
              <w:t xml:space="preserve">Scope the work required to “calibrate” the proposed changes and implement them effectively. </w:t>
            </w:r>
          </w:p>
          <w:p w14:paraId="6CA883CD" w14:textId="2A0AC494" w:rsidR="00440DDE" w:rsidRPr="008F6734" w:rsidRDefault="00440DDE" w:rsidP="00440DDE">
            <w:pPr>
              <w:spacing w:after="160" w:line="259" w:lineRule="auto"/>
              <w:rPr>
                <w:rFonts w:cs="Arial"/>
                <w:bCs/>
                <w:color w:val="000000" w:themeColor="text1"/>
                <w:sz w:val="22"/>
                <w:szCs w:val="18"/>
              </w:rPr>
            </w:pPr>
            <w:r w:rsidRPr="008F6734">
              <w:rPr>
                <w:rFonts w:cs="Arial"/>
                <w:bCs/>
                <w:color w:val="000000" w:themeColor="text1"/>
                <w:sz w:val="22"/>
                <w:szCs w:val="18"/>
              </w:rPr>
              <w:t>While we would like the consultant to conduct their own analysis and to bring their own ideas, w</w:t>
            </w:r>
            <w:r w:rsidRPr="008F6734">
              <w:rPr>
                <w:rFonts w:cs="Arial"/>
                <w:sz w:val="22"/>
                <w:szCs w:val="18"/>
                <w:lang w:eastAsia="zh-CN"/>
              </w:rPr>
              <w:t>e anticipate that the areas for consideration</w:t>
            </w:r>
            <w:r w:rsidR="0040709A">
              <w:rPr>
                <w:rFonts w:cs="Arial"/>
                <w:sz w:val="22"/>
                <w:szCs w:val="18"/>
                <w:lang w:eastAsia="zh-CN"/>
              </w:rPr>
              <w:t xml:space="preserve"> for incremental reform</w:t>
            </w:r>
            <w:r w:rsidRPr="008F6734">
              <w:rPr>
                <w:rFonts w:cs="Arial"/>
                <w:sz w:val="22"/>
                <w:szCs w:val="18"/>
                <w:lang w:eastAsia="zh-CN"/>
              </w:rPr>
              <w:t xml:space="preserve"> will include:</w:t>
            </w:r>
          </w:p>
          <w:p w14:paraId="415CE93E" w14:textId="08FEEA10" w:rsidR="002127E5" w:rsidRDefault="00C979C2" w:rsidP="00C979C2">
            <w:pPr>
              <w:pStyle w:val="ListParagraph"/>
              <w:numPr>
                <w:ilvl w:val="0"/>
                <w:numId w:val="40"/>
              </w:numPr>
              <w:rPr>
                <w:rFonts w:cs="Arial"/>
                <w:sz w:val="22"/>
                <w:szCs w:val="18"/>
                <w:lang w:eastAsia="zh-CN"/>
              </w:rPr>
            </w:pPr>
            <w:r w:rsidRPr="00C979C2">
              <w:rPr>
                <w:rFonts w:cs="Arial"/>
                <w:sz w:val="22"/>
                <w:szCs w:val="18"/>
                <w:lang w:eastAsia="zh-CN"/>
              </w:rPr>
              <w:t xml:space="preserve">Schedule 4 needs to be able to </w:t>
            </w:r>
            <w:r w:rsidRPr="00637F20">
              <w:rPr>
                <w:rFonts w:cs="Arial"/>
                <w:b/>
                <w:bCs/>
                <w:sz w:val="22"/>
                <w:szCs w:val="18"/>
                <w:lang w:eastAsia="zh-CN"/>
              </w:rPr>
              <w:t>accommodate a potential move to 4 timetables a year.</w:t>
            </w:r>
            <w:r w:rsidRPr="00C979C2">
              <w:rPr>
                <w:rFonts w:cs="Arial"/>
                <w:sz w:val="22"/>
                <w:szCs w:val="18"/>
                <w:lang w:eastAsia="zh-CN"/>
              </w:rPr>
              <w:t xml:space="preserve"> </w:t>
            </w:r>
          </w:p>
          <w:p w14:paraId="36662302" w14:textId="34D1DF4F" w:rsidR="002127E5" w:rsidRDefault="002127E5" w:rsidP="0095595E">
            <w:pPr>
              <w:pStyle w:val="ListParagraph"/>
              <w:numPr>
                <w:ilvl w:val="1"/>
                <w:numId w:val="40"/>
              </w:numPr>
              <w:rPr>
                <w:rFonts w:cs="Arial"/>
                <w:sz w:val="22"/>
                <w:szCs w:val="18"/>
                <w:lang w:eastAsia="zh-CN"/>
              </w:rPr>
            </w:pPr>
            <w:r>
              <w:rPr>
                <w:rFonts w:cs="Arial"/>
                <w:sz w:val="22"/>
                <w:szCs w:val="18"/>
                <w:lang w:eastAsia="zh-CN"/>
              </w:rPr>
              <w:t>Network Rail receives a discount on the amount of Schedule 4 revenue loss payments</w:t>
            </w:r>
            <w:r w:rsidR="006F3BDC">
              <w:rPr>
                <w:rFonts w:cs="Arial"/>
                <w:sz w:val="22"/>
                <w:szCs w:val="18"/>
                <w:lang w:eastAsia="zh-CN"/>
              </w:rPr>
              <w:t xml:space="preserve"> it pays</w:t>
            </w:r>
            <w:r>
              <w:rPr>
                <w:rFonts w:cs="Arial"/>
                <w:sz w:val="22"/>
                <w:szCs w:val="18"/>
                <w:lang w:eastAsia="zh-CN"/>
              </w:rPr>
              <w:t xml:space="preserve"> the earlier it notifies operators about possessions</w:t>
            </w:r>
            <w:r w:rsidR="006F3BDC">
              <w:rPr>
                <w:rFonts w:cs="Arial"/>
                <w:sz w:val="22"/>
                <w:szCs w:val="18"/>
                <w:lang w:eastAsia="zh-CN"/>
              </w:rPr>
              <w:t xml:space="preserve">, the level of discount varies by different notification thresholds. </w:t>
            </w:r>
          </w:p>
          <w:p w14:paraId="541A2B92" w14:textId="2CD90B9B" w:rsidR="00C979C2" w:rsidRPr="00C979C2" w:rsidRDefault="00C979C2" w:rsidP="0095595E">
            <w:pPr>
              <w:pStyle w:val="ListParagraph"/>
              <w:numPr>
                <w:ilvl w:val="1"/>
                <w:numId w:val="40"/>
              </w:numPr>
              <w:rPr>
                <w:rFonts w:cs="Arial"/>
                <w:sz w:val="22"/>
                <w:szCs w:val="18"/>
                <w:lang w:eastAsia="zh-CN"/>
              </w:rPr>
            </w:pPr>
            <w:r w:rsidRPr="00C979C2">
              <w:rPr>
                <w:rFonts w:cs="Arial"/>
                <w:sz w:val="22"/>
                <w:szCs w:val="18"/>
                <w:lang w:eastAsia="zh-CN"/>
              </w:rPr>
              <w:t xml:space="preserve">This is relevant because notification factors thresholds interact with the timetable planning process and we could be asked to consider how this should be reflected in the design of notification factors. </w:t>
            </w:r>
          </w:p>
          <w:p w14:paraId="5B38CFA4" w14:textId="77777777" w:rsidR="002127E5" w:rsidRPr="00EA1ABD" w:rsidRDefault="00C979C2" w:rsidP="00637F20">
            <w:pPr>
              <w:pStyle w:val="ListParagraph"/>
              <w:numPr>
                <w:ilvl w:val="0"/>
                <w:numId w:val="40"/>
              </w:numPr>
              <w:rPr>
                <w:rFonts w:cs="Arial"/>
                <w:sz w:val="20"/>
                <w:szCs w:val="16"/>
                <w:lang w:eastAsia="zh-CN"/>
              </w:rPr>
            </w:pPr>
            <w:r w:rsidRPr="00854DBB">
              <w:rPr>
                <w:rFonts w:cs="Arial"/>
                <w:b/>
                <w:bCs/>
                <w:sz w:val="22"/>
                <w:szCs w:val="18"/>
                <w:lang w:eastAsia="zh-CN"/>
              </w:rPr>
              <w:t xml:space="preserve">Replacing the </w:t>
            </w:r>
            <w:r w:rsidR="00637F20" w:rsidRPr="00854DBB">
              <w:rPr>
                <w:rFonts w:cs="Arial"/>
                <w:b/>
                <w:bCs/>
                <w:sz w:val="22"/>
                <w:szCs w:val="18"/>
                <w:lang w:eastAsia="zh-CN"/>
              </w:rPr>
              <w:t>sustained planned disruption</w:t>
            </w:r>
            <w:r w:rsidR="00637F20" w:rsidRPr="00854DBB">
              <w:rPr>
                <w:rFonts w:cs="Arial"/>
                <w:sz w:val="22"/>
                <w:szCs w:val="18"/>
                <w:lang w:eastAsia="zh-CN"/>
              </w:rPr>
              <w:t xml:space="preserve"> (</w:t>
            </w:r>
            <w:r w:rsidRPr="00854DBB">
              <w:rPr>
                <w:rFonts w:cs="Arial"/>
                <w:b/>
                <w:bCs/>
                <w:sz w:val="22"/>
                <w:szCs w:val="18"/>
                <w:lang w:eastAsia="zh-CN"/>
              </w:rPr>
              <w:t>SPD</w:t>
            </w:r>
            <w:r w:rsidR="00637F20" w:rsidRPr="00854DBB">
              <w:rPr>
                <w:rFonts w:cs="Arial"/>
                <w:b/>
                <w:bCs/>
                <w:sz w:val="22"/>
                <w:szCs w:val="18"/>
                <w:lang w:eastAsia="zh-CN"/>
              </w:rPr>
              <w:t>)</w:t>
            </w:r>
            <w:r w:rsidRPr="00854DBB">
              <w:rPr>
                <w:rFonts w:cs="Arial"/>
                <w:b/>
                <w:bCs/>
                <w:sz w:val="22"/>
                <w:szCs w:val="18"/>
                <w:lang w:eastAsia="zh-CN"/>
              </w:rPr>
              <w:t xml:space="preserve"> mechanism in favour of full and final payment rates</w:t>
            </w:r>
            <w:r w:rsidRPr="00854DBB">
              <w:rPr>
                <w:rFonts w:cs="Arial"/>
                <w:sz w:val="22"/>
                <w:szCs w:val="18"/>
                <w:lang w:eastAsia="zh-CN"/>
              </w:rPr>
              <w:t xml:space="preserve"> (i.e. rates that reflect actual losses by operators</w:t>
            </w:r>
            <w:r w:rsidRPr="00EA1ABD">
              <w:rPr>
                <w:rFonts w:cs="Arial"/>
                <w:sz w:val="20"/>
                <w:szCs w:val="16"/>
                <w:lang w:eastAsia="zh-CN"/>
              </w:rPr>
              <w:t xml:space="preserve">).  </w:t>
            </w:r>
          </w:p>
          <w:p w14:paraId="5A81331A" w14:textId="77777777" w:rsidR="002127E5" w:rsidRPr="00EA1ABD" w:rsidRDefault="002127E5" w:rsidP="002127E5">
            <w:pPr>
              <w:pStyle w:val="ListParagraph"/>
              <w:numPr>
                <w:ilvl w:val="1"/>
                <w:numId w:val="40"/>
              </w:numPr>
              <w:rPr>
                <w:rFonts w:cs="Arial"/>
                <w:sz w:val="20"/>
                <w:szCs w:val="16"/>
                <w:lang w:eastAsia="zh-CN"/>
              </w:rPr>
            </w:pPr>
            <w:r w:rsidRPr="00EA1ABD">
              <w:rPr>
                <w:sz w:val="22"/>
                <w:szCs w:val="18"/>
              </w:rPr>
              <w:t>SPD is triggered when operators’ revenue and/or costs losses trigger pre-defined thresholds.</w:t>
            </w:r>
          </w:p>
          <w:p w14:paraId="6D8F4F52" w14:textId="79F6859D" w:rsidR="00440DDE" w:rsidRPr="00EA1ABD" w:rsidRDefault="00637F20" w:rsidP="0095595E">
            <w:pPr>
              <w:pStyle w:val="ListParagraph"/>
              <w:numPr>
                <w:ilvl w:val="1"/>
                <w:numId w:val="40"/>
              </w:numPr>
              <w:rPr>
                <w:sz w:val="22"/>
                <w:szCs w:val="18"/>
              </w:rPr>
            </w:pPr>
            <w:r w:rsidRPr="00EA1ABD">
              <w:rPr>
                <w:sz w:val="22"/>
                <w:szCs w:val="18"/>
              </w:rPr>
              <w:t xml:space="preserve">Operators believe these are set too high to ever trigger compensation, even in cases where operators suffer an extended period of disruption, and should be lowered. </w:t>
            </w:r>
          </w:p>
          <w:p w14:paraId="4A5D1023" w14:textId="77777777" w:rsidR="007A6FEF" w:rsidRPr="00EA1ABD" w:rsidRDefault="00637F20" w:rsidP="00637F20">
            <w:pPr>
              <w:pStyle w:val="ListParagraph"/>
              <w:numPr>
                <w:ilvl w:val="0"/>
                <w:numId w:val="40"/>
              </w:numPr>
              <w:rPr>
                <w:rFonts w:cs="Arial"/>
                <w:sz w:val="22"/>
                <w:szCs w:val="18"/>
                <w:lang w:eastAsia="zh-CN"/>
              </w:rPr>
            </w:pPr>
            <w:r w:rsidRPr="00637F20">
              <w:rPr>
                <w:rFonts w:cs="Arial"/>
                <w:sz w:val="22"/>
                <w:szCs w:val="18"/>
                <w:lang w:eastAsia="zh-CN"/>
              </w:rPr>
              <w:t xml:space="preserve">The need to </w:t>
            </w:r>
            <w:r w:rsidRPr="00637F20">
              <w:rPr>
                <w:rFonts w:cs="Arial"/>
                <w:b/>
                <w:bCs/>
                <w:sz w:val="22"/>
                <w:szCs w:val="18"/>
                <w:lang w:eastAsia="zh-CN"/>
              </w:rPr>
              <w:t>better monitor and supply information of when possessions are notified to operators</w:t>
            </w:r>
            <w:r>
              <w:rPr>
                <w:rFonts w:cs="Arial"/>
                <w:b/>
                <w:bCs/>
                <w:sz w:val="22"/>
                <w:szCs w:val="18"/>
                <w:lang w:eastAsia="zh-CN"/>
              </w:rPr>
              <w:t>.</w:t>
            </w:r>
          </w:p>
          <w:p w14:paraId="0B655996" w14:textId="32118A42" w:rsidR="00637F20" w:rsidRDefault="00637F20" w:rsidP="007A6FEF">
            <w:pPr>
              <w:pStyle w:val="ListParagraph"/>
              <w:numPr>
                <w:ilvl w:val="1"/>
                <w:numId w:val="40"/>
              </w:numPr>
              <w:rPr>
                <w:rFonts w:cs="Arial"/>
                <w:sz w:val="22"/>
                <w:szCs w:val="18"/>
                <w:lang w:eastAsia="zh-CN"/>
              </w:rPr>
            </w:pPr>
            <w:r w:rsidRPr="00637F20">
              <w:rPr>
                <w:rFonts w:cs="Arial"/>
                <w:sz w:val="22"/>
                <w:szCs w:val="18"/>
                <w:lang w:eastAsia="zh-CN"/>
              </w:rPr>
              <w:t xml:space="preserve"> Network notifies operators about possessions within certain thresholds, under the notification factor system. However, although it supplies information about by which threshold a possession is notified, Network Rail </w:t>
            </w:r>
            <w:r w:rsidRPr="00637F20">
              <w:rPr>
                <w:rFonts w:cs="Arial"/>
                <w:sz w:val="22"/>
                <w:szCs w:val="18"/>
                <w:lang w:eastAsia="zh-CN"/>
              </w:rPr>
              <w:lastRenderedPageBreak/>
              <w:t>does not record the precise date a possession is notified. And the time between thresholds can be very long, e.g. up to 22 weeks.  Operators believe monitoring of Network Rail’s performance in notifying them about possessions would be better improved if it supplied more granular detail about when possessions are notified.</w:t>
            </w:r>
          </w:p>
          <w:p w14:paraId="6D239C9E" w14:textId="52976900" w:rsidR="004235BD" w:rsidRPr="00EA1ABD" w:rsidRDefault="004235BD" w:rsidP="004235BD">
            <w:pPr>
              <w:pStyle w:val="Numberedparanew"/>
              <w:numPr>
                <w:ilvl w:val="0"/>
                <w:numId w:val="50"/>
              </w:numPr>
              <w:rPr>
                <w:sz w:val="22"/>
                <w:szCs w:val="22"/>
              </w:rPr>
            </w:pPr>
            <w:r w:rsidRPr="00854DBB">
              <w:rPr>
                <w:b/>
                <w:bCs w:val="0"/>
                <w:sz w:val="22"/>
                <w:szCs w:val="22"/>
                <w:lang w:eastAsia="zh-CN"/>
              </w:rPr>
              <w:t>Availability of Schedule 4 payments</w:t>
            </w:r>
            <w:r w:rsidRPr="00854DBB">
              <w:rPr>
                <w:b/>
                <w:bCs w:val="0"/>
                <w:sz w:val="22"/>
                <w:szCs w:val="22"/>
              </w:rPr>
              <w:t xml:space="preserve"> for the additional costs imposed on operators from passengers switching to operators whose services run parallel to a possession.</w:t>
            </w:r>
          </w:p>
          <w:p w14:paraId="34577D46" w14:textId="67354856" w:rsidR="004235BD" w:rsidRPr="00EA1ABD" w:rsidRDefault="004235BD" w:rsidP="0095595E">
            <w:pPr>
              <w:pStyle w:val="Numberedparanew"/>
              <w:numPr>
                <w:ilvl w:val="1"/>
                <w:numId w:val="50"/>
              </w:numPr>
              <w:rPr>
                <w:sz w:val="22"/>
                <w:szCs w:val="22"/>
              </w:rPr>
            </w:pPr>
            <w:r w:rsidRPr="00EA1ABD">
              <w:rPr>
                <w:sz w:val="22"/>
                <w:szCs w:val="22"/>
                <w:lang w:eastAsia="zh-CN"/>
              </w:rPr>
              <w:t>Currently, operators</w:t>
            </w:r>
            <w:r w:rsidRPr="00EA1ABD">
              <w:rPr>
                <w:sz w:val="22"/>
                <w:szCs w:val="22"/>
              </w:rPr>
              <w:t xml:space="preserve"> impacted by passengers switching from services disrupted by a possession onto parallel routes receive no compensation for additional costs.  </w:t>
            </w:r>
            <w:proofErr w:type="gramStart"/>
            <w:r w:rsidRPr="00EA1ABD">
              <w:rPr>
                <w:sz w:val="22"/>
                <w:szCs w:val="22"/>
              </w:rPr>
              <w:t>A number of</w:t>
            </w:r>
            <w:proofErr w:type="gramEnd"/>
            <w:r w:rsidRPr="00EA1ABD">
              <w:rPr>
                <w:sz w:val="22"/>
                <w:szCs w:val="22"/>
              </w:rPr>
              <w:t xml:space="preserve"> operators have recently asked for such payments to be included in the regime.</w:t>
            </w:r>
          </w:p>
          <w:p w14:paraId="6F83DC7A" w14:textId="459A60B4" w:rsidR="0090210C" w:rsidRDefault="0040709A" w:rsidP="00D61897">
            <w:pPr>
              <w:rPr>
                <w:rFonts w:cs="Arial"/>
                <w:bCs/>
                <w:color w:val="000000" w:themeColor="text1"/>
                <w:sz w:val="22"/>
                <w:szCs w:val="18"/>
              </w:rPr>
            </w:pPr>
            <w:r>
              <w:rPr>
                <w:bCs/>
                <w:color w:val="000000" w:themeColor="text1"/>
                <w:sz w:val="22"/>
                <w:szCs w:val="18"/>
              </w:rPr>
              <w:t>S</w:t>
            </w:r>
            <w:r w:rsidR="00C304FF" w:rsidRPr="008F6734">
              <w:rPr>
                <w:rFonts w:cs="Arial"/>
                <w:bCs/>
                <w:color w:val="000000" w:themeColor="text1"/>
                <w:sz w:val="22"/>
                <w:szCs w:val="18"/>
              </w:rPr>
              <w:t>takeholders and funders</w:t>
            </w:r>
            <w:r w:rsidR="00440DDE" w:rsidRPr="008F6734">
              <w:rPr>
                <w:rFonts w:cs="Arial"/>
                <w:bCs/>
                <w:color w:val="000000" w:themeColor="text1"/>
                <w:sz w:val="22"/>
                <w:szCs w:val="18"/>
              </w:rPr>
              <w:t xml:space="preserve"> are</w:t>
            </w:r>
            <w:r>
              <w:rPr>
                <w:rFonts w:cs="Arial"/>
                <w:bCs/>
                <w:color w:val="000000" w:themeColor="text1"/>
                <w:sz w:val="22"/>
                <w:szCs w:val="18"/>
              </w:rPr>
              <w:t xml:space="preserve"> also</w:t>
            </w:r>
            <w:r w:rsidR="00440DDE" w:rsidRPr="008F6734">
              <w:rPr>
                <w:rFonts w:cs="Arial"/>
                <w:bCs/>
                <w:color w:val="000000" w:themeColor="text1"/>
                <w:sz w:val="22"/>
                <w:szCs w:val="18"/>
              </w:rPr>
              <w:t xml:space="preserve"> likely to have their own views and propositions on how Schedule 4 should evolve for PR23, and some of our stakeholders are </w:t>
            </w:r>
            <w:r w:rsidR="0002509D" w:rsidRPr="0095595E">
              <w:rPr>
                <w:sz w:val="22"/>
                <w:szCs w:val="18"/>
              </w:rPr>
              <w:t>acquiring</w:t>
            </w:r>
            <w:r w:rsidR="0002509D" w:rsidRPr="008F6734" w:rsidDel="0002509D">
              <w:rPr>
                <w:rFonts w:cs="Arial"/>
                <w:bCs/>
                <w:color w:val="000000" w:themeColor="text1"/>
                <w:sz w:val="22"/>
                <w:szCs w:val="18"/>
              </w:rPr>
              <w:t xml:space="preserve"> </w:t>
            </w:r>
            <w:r w:rsidR="00440DDE" w:rsidRPr="008F6734">
              <w:rPr>
                <w:rFonts w:cs="Arial"/>
                <w:bCs/>
                <w:color w:val="000000" w:themeColor="text1"/>
                <w:sz w:val="22"/>
                <w:szCs w:val="18"/>
              </w:rPr>
              <w:t>consultancy support</w:t>
            </w:r>
            <w:r w:rsidR="001E6660">
              <w:rPr>
                <w:rStyle w:val="FootnoteReference"/>
                <w:rFonts w:cs="Arial"/>
                <w:bCs/>
                <w:color w:val="000000" w:themeColor="text1"/>
                <w:sz w:val="22"/>
                <w:szCs w:val="18"/>
              </w:rPr>
              <w:footnoteReference w:id="7"/>
            </w:r>
            <w:r>
              <w:rPr>
                <w:rFonts w:cs="Arial"/>
                <w:bCs/>
                <w:color w:val="000000" w:themeColor="text1"/>
                <w:sz w:val="22"/>
                <w:szCs w:val="18"/>
              </w:rPr>
              <w:t xml:space="preserve"> (notably on the level the access supplement charge </w:t>
            </w:r>
            <w:r w:rsidR="003874F0">
              <w:rPr>
                <w:rFonts w:cs="Arial"/>
                <w:bCs/>
                <w:color w:val="000000" w:themeColor="text1"/>
                <w:sz w:val="22"/>
                <w:szCs w:val="18"/>
              </w:rPr>
              <w:t xml:space="preserve">to fund Schedule 4 </w:t>
            </w:r>
            <w:r>
              <w:rPr>
                <w:rFonts w:cs="Arial"/>
                <w:bCs/>
                <w:color w:val="000000" w:themeColor="text1"/>
                <w:sz w:val="22"/>
                <w:szCs w:val="18"/>
              </w:rPr>
              <w:t xml:space="preserve">and payment rates). </w:t>
            </w:r>
            <w:r w:rsidR="00440DDE" w:rsidRPr="008F6734">
              <w:rPr>
                <w:rFonts w:cs="Arial"/>
                <w:bCs/>
                <w:color w:val="000000" w:themeColor="text1"/>
                <w:sz w:val="22"/>
                <w:szCs w:val="18"/>
              </w:rPr>
              <w:t xml:space="preserve">Whilst we are looking to develop our own views on Schedule 4, we may wish to undertake impact assessment of alternatives proposals put forward by these studies as part of our overall assessment of options for reform. </w:t>
            </w:r>
          </w:p>
          <w:p w14:paraId="0A9A1B43" w14:textId="2521588D" w:rsidR="0040709A" w:rsidRPr="0040709A" w:rsidRDefault="0040709A" w:rsidP="00D61897">
            <w:pPr>
              <w:rPr>
                <w:rFonts w:cs="Arial"/>
                <w:b/>
                <w:color w:val="000000" w:themeColor="text1"/>
                <w:sz w:val="22"/>
                <w:szCs w:val="18"/>
              </w:rPr>
            </w:pPr>
            <w:r w:rsidRPr="0040709A">
              <w:rPr>
                <w:rFonts w:cs="Arial"/>
                <w:b/>
                <w:color w:val="000000" w:themeColor="text1"/>
                <w:sz w:val="22"/>
                <w:szCs w:val="18"/>
              </w:rPr>
              <w:t>c)</w:t>
            </w:r>
            <w:r w:rsidR="00637F20">
              <w:rPr>
                <w:rFonts w:cs="Arial"/>
                <w:b/>
                <w:color w:val="000000" w:themeColor="text1"/>
                <w:sz w:val="22"/>
                <w:szCs w:val="18"/>
              </w:rPr>
              <w:t xml:space="preserve"> C</w:t>
            </w:r>
            <w:r w:rsidRPr="0040709A">
              <w:rPr>
                <w:rFonts w:cs="Arial"/>
                <w:b/>
                <w:color w:val="000000" w:themeColor="text1"/>
                <w:sz w:val="22"/>
                <w:szCs w:val="18"/>
              </w:rPr>
              <w:t>ontribute to or lead stakeholder engagement sessions</w:t>
            </w:r>
            <w:r w:rsidR="00637F20">
              <w:rPr>
                <w:rFonts w:cs="Arial"/>
                <w:b/>
                <w:color w:val="000000" w:themeColor="text1"/>
                <w:sz w:val="22"/>
                <w:szCs w:val="18"/>
              </w:rPr>
              <w:t xml:space="preserve"> (optional)</w:t>
            </w:r>
          </w:p>
          <w:p w14:paraId="759F635B" w14:textId="34C6AF34" w:rsidR="008875C6" w:rsidRDefault="0040709A" w:rsidP="00D61897">
            <w:pPr>
              <w:rPr>
                <w:rFonts w:cs="Arial"/>
                <w:bCs/>
                <w:color w:val="000000" w:themeColor="text1"/>
                <w:sz w:val="22"/>
                <w:szCs w:val="18"/>
              </w:rPr>
            </w:pPr>
            <w:r>
              <w:rPr>
                <w:rFonts w:cs="Arial"/>
                <w:bCs/>
                <w:color w:val="000000" w:themeColor="text1"/>
                <w:sz w:val="22"/>
                <w:szCs w:val="18"/>
                <w:u w:val="single"/>
              </w:rPr>
              <w:t>A</w:t>
            </w:r>
            <w:r w:rsidRPr="0040709A">
              <w:rPr>
                <w:rFonts w:cs="Arial"/>
                <w:bCs/>
                <w:color w:val="000000" w:themeColor="text1"/>
                <w:sz w:val="22"/>
                <w:szCs w:val="18"/>
                <w:u w:val="single"/>
              </w:rPr>
              <w:t>s an option</w:t>
            </w:r>
            <w:r>
              <w:rPr>
                <w:rFonts w:cs="Arial"/>
                <w:bCs/>
                <w:color w:val="000000" w:themeColor="text1"/>
                <w:sz w:val="22"/>
                <w:szCs w:val="18"/>
              </w:rPr>
              <w:t>, we may ask the consultant to contribute</w:t>
            </w:r>
            <w:r w:rsidR="00205D84">
              <w:rPr>
                <w:rFonts w:cs="Arial"/>
                <w:bCs/>
                <w:color w:val="000000" w:themeColor="text1"/>
                <w:sz w:val="22"/>
                <w:szCs w:val="18"/>
              </w:rPr>
              <w:t xml:space="preserve"> to</w:t>
            </w:r>
            <w:r>
              <w:rPr>
                <w:rFonts w:cs="Arial"/>
                <w:bCs/>
                <w:color w:val="000000" w:themeColor="text1"/>
                <w:sz w:val="22"/>
                <w:szCs w:val="18"/>
              </w:rPr>
              <w:t xml:space="preserve"> or organise up to 3 stakeholder engagement sessions </w:t>
            </w:r>
            <w:r w:rsidR="008571BD">
              <w:rPr>
                <w:rFonts w:cs="Arial"/>
                <w:bCs/>
                <w:color w:val="000000" w:themeColor="text1"/>
                <w:sz w:val="22"/>
                <w:szCs w:val="18"/>
              </w:rPr>
              <w:t xml:space="preserve">and separate discussions with a sample of stakeholders </w:t>
            </w:r>
            <w:r>
              <w:rPr>
                <w:rFonts w:cs="Arial"/>
                <w:bCs/>
                <w:color w:val="000000" w:themeColor="text1"/>
                <w:sz w:val="22"/>
                <w:szCs w:val="18"/>
              </w:rPr>
              <w:t>to discuss their proposals</w:t>
            </w:r>
            <w:r w:rsidR="008875C6">
              <w:rPr>
                <w:rFonts w:cs="Arial"/>
                <w:bCs/>
                <w:color w:val="000000" w:themeColor="text1"/>
                <w:sz w:val="22"/>
                <w:szCs w:val="18"/>
              </w:rPr>
              <w:t xml:space="preserve"> with regards to the requirements set out above</w:t>
            </w:r>
            <w:r>
              <w:rPr>
                <w:rFonts w:cs="Arial"/>
                <w:bCs/>
                <w:color w:val="000000" w:themeColor="text1"/>
                <w:sz w:val="22"/>
                <w:szCs w:val="18"/>
              </w:rPr>
              <w:t xml:space="preserve"> with our stakeholders and funders. </w:t>
            </w:r>
          </w:p>
          <w:p w14:paraId="1A1BFC07" w14:textId="7EB385A7" w:rsidR="0040709A" w:rsidRDefault="0040709A" w:rsidP="00D61897">
            <w:pPr>
              <w:rPr>
                <w:rFonts w:cs="Arial"/>
                <w:bCs/>
                <w:color w:val="000000" w:themeColor="text1"/>
                <w:sz w:val="22"/>
                <w:szCs w:val="18"/>
              </w:rPr>
            </w:pPr>
            <w:r>
              <w:rPr>
                <w:rFonts w:cs="Arial"/>
                <w:bCs/>
                <w:color w:val="000000" w:themeColor="text1"/>
                <w:sz w:val="22"/>
                <w:szCs w:val="18"/>
              </w:rPr>
              <w:t xml:space="preserve">We ask the consultant to price separately and individually these optional stakeholder engagement sessions. </w:t>
            </w:r>
          </w:p>
          <w:p w14:paraId="531CB5D7" w14:textId="6A5D36FC" w:rsidR="000701C0" w:rsidRPr="008F6734" w:rsidRDefault="00261AE3" w:rsidP="000701C0">
            <w:pPr>
              <w:rPr>
                <w:rFonts w:cs="Arial"/>
                <w:sz w:val="22"/>
                <w:szCs w:val="18"/>
              </w:rPr>
            </w:pPr>
            <w:r w:rsidRPr="008F6734">
              <w:rPr>
                <w:rFonts w:cs="Arial"/>
                <w:bCs/>
                <w:color w:val="000000" w:themeColor="text1"/>
                <w:sz w:val="22"/>
                <w:szCs w:val="18"/>
              </w:rPr>
              <w:t>Throughout all</w:t>
            </w:r>
            <w:r w:rsidR="000701C0" w:rsidRPr="008F6734">
              <w:rPr>
                <w:rFonts w:cs="Arial"/>
                <w:bCs/>
                <w:color w:val="000000" w:themeColor="text1"/>
                <w:sz w:val="22"/>
                <w:szCs w:val="18"/>
              </w:rPr>
              <w:t xml:space="preserve"> of</w:t>
            </w:r>
            <w:r w:rsidRPr="008F6734">
              <w:rPr>
                <w:rFonts w:cs="Arial"/>
                <w:bCs/>
                <w:color w:val="000000" w:themeColor="text1"/>
                <w:sz w:val="22"/>
                <w:szCs w:val="18"/>
              </w:rPr>
              <w:t xml:space="preserve"> the above, </w:t>
            </w:r>
            <w:r w:rsidR="006D1ACB" w:rsidRPr="008F6734">
              <w:rPr>
                <w:rFonts w:cs="Arial"/>
                <w:bCs/>
                <w:color w:val="000000" w:themeColor="text1"/>
                <w:sz w:val="22"/>
                <w:szCs w:val="18"/>
              </w:rPr>
              <w:t>the</w:t>
            </w:r>
            <w:r w:rsidR="000701C0" w:rsidRPr="008F6734">
              <w:rPr>
                <w:rFonts w:cs="Arial"/>
                <w:sz w:val="22"/>
                <w:szCs w:val="18"/>
              </w:rPr>
              <w:t xml:space="preserve"> consultant will work as part of ORR’s project team, which will include a lead economist and other economist. This will help to ensure the activities are undertaken in a way which is consistent with our broader aims and objectives for PR23 as a whole. </w:t>
            </w:r>
          </w:p>
          <w:p w14:paraId="66C42D7F" w14:textId="7CA76C63" w:rsidR="00F52BE8" w:rsidRPr="008F6734" w:rsidRDefault="0040709A" w:rsidP="00C304FF">
            <w:pPr>
              <w:rPr>
                <w:rFonts w:cs="Arial"/>
                <w:sz w:val="22"/>
                <w:szCs w:val="18"/>
              </w:rPr>
            </w:pPr>
            <w:r>
              <w:rPr>
                <w:rFonts w:cs="Arial"/>
                <w:sz w:val="22"/>
                <w:szCs w:val="18"/>
              </w:rPr>
              <w:t>Th</w:t>
            </w:r>
            <w:r w:rsidR="000701C0" w:rsidRPr="008F6734">
              <w:rPr>
                <w:rFonts w:cs="Arial"/>
                <w:sz w:val="22"/>
                <w:szCs w:val="18"/>
              </w:rPr>
              <w:t>ere will</w:t>
            </w:r>
            <w:r>
              <w:rPr>
                <w:rFonts w:cs="Arial"/>
                <w:sz w:val="22"/>
                <w:szCs w:val="18"/>
              </w:rPr>
              <w:t xml:space="preserve"> also</w:t>
            </w:r>
            <w:r w:rsidR="000701C0" w:rsidRPr="008F6734">
              <w:rPr>
                <w:rFonts w:cs="Arial"/>
                <w:sz w:val="22"/>
                <w:szCs w:val="18"/>
              </w:rPr>
              <w:t xml:space="preserve"> be a strong expectation that the consultant takes account of the pursued objectives of the possessions regime, ongoing uncertainty, changing industry structure and relationships</w:t>
            </w:r>
            <w:r>
              <w:rPr>
                <w:rFonts w:cs="Arial"/>
                <w:sz w:val="22"/>
                <w:szCs w:val="18"/>
              </w:rPr>
              <w:t xml:space="preserve">, </w:t>
            </w:r>
            <w:r w:rsidR="000701C0" w:rsidRPr="008F6734">
              <w:rPr>
                <w:rFonts w:cs="Arial"/>
                <w:sz w:val="22"/>
                <w:szCs w:val="18"/>
              </w:rPr>
              <w:t>and the necessity to align wider incentives in the industry when carrying out the analytical work and assessing options.</w:t>
            </w:r>
          </w:p>
        </w:tc>
      </w:tr>
      <w:tr w:rsidR="00F52BE8" w:rsidRPr="0036077E" w14:paraId="16B6CA3B" w14:textId="77777777" w:rsidTr="00182C94">
        <w:trPr>
          <w:trHeight w:val="566"/>
        </w:trPr>
        <w:tc>
          <w:tcPr>
            <w:tcW w:w="9356" w:type="dxa"/>
            <w:shd w:val="clear" w:color="auto" w:fill="99CCFF"/>
          </w:tcPr>
          <w:p w14:paraId="4A8CCD8F" w14:textId="15134C2C"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182C94">
        <w:trPr>
          <w:trHeight w:val="757"/>
        </w:trPr>
        <w:tc>
          <w:tcPr>
            <w:tcW w:w="9356" w:type="dxa"/>
            <w:tcBorders>
              <w:bottom w:val="single" w:sz="4" w:space="0" w:color="auto"/>
            </w:tcBorders>
            <w:shd w:val="clear" w:color="auto" w:fill="auto"/>
          </w:tcPr>
          <w:p w14:paraId="5D497B4D" w14:textId="77777777" w:rsidR="0090210C" w:rsidRDefault="0090210C" w:rsidP="00335497">
            <w:pPr>
              <w:spacing w:after="0"/>
              <w:rPr>
                <w:rFonts w:cs="Arial"/>
                <w:b/>
                <w:sz w:val="22"/>
                <w:szCs w:val="22"/>
              </w:rPr>
            </w:pPr>
          </w:p>
          <w:p w14:paraId="7D7906C2" w14:textId="7183831A" w:rsidR="00F52BE8" w:rsidRPr="008A4B34" w:rsidRDefault="00F52BE8" w:rsidP="00335497">
            <w:pPr>
              <w:spacing w:after="0"/>
              <w:rPr>
                <w:rFonts w:cs="Arial"/>
                <w:b/>
                <w:sz w:val="22"/>
                <w:szCs w:val="22"/>
              </w:rPr>
            </w:pPr>
            <w:r w:rsidRPr="008A4B34">
              <w:rPr>
                <w:rFonts w:cs="Arial"/>
                <w:b/>
                <w:sz w:val="22"/>
                <w:szCs w:val="22"/>
              </w:rPr>
              <w:t>Outputs and Deliverables</w:t>
            </w:r>
          </w:p>
          <w:p w14:paraId="27052BB3" w14:textId="77777777" w:rsidR="00F52BE8" w:rsidRPr="0036077E" w:rsidRDefault="00F52BE8" w:rsidP="00335497">
            <w:pPr>
              <w:spacing w:after="0"/>
              <w:rPr>
                <w:rFonts w:cs="Arial"/>
                <w:sz w:val="22"/>
                <w:szCs w:val="22"/>
              </w:rPr>
            </w:pPr>
          </w:p>
          <w:p w14:paraId="2BFDD0E6" w14:textId="06C2DD6D" w:rsidR="00F52BE8" w:rsidRPr="0090210C" w:rsidRDefault="0090210C" w:rsidP="0090210C">
            <w:pPr>
              <w:numPr>
                <w:ilvl w:val="0"/>
                <w:numId w:val="1"/>
              </w:numPr>
              <w:spacing w:after="0"/>
              <w:rPr>
                <w:rFonts w:cs="Arial"/>
                <w:b/>
                <w:sz w:val="22"/>
                <w:szCs w:val="22"/>
                <w:u w:val="single"/>
              </w:rPr>
            </w:pPr>
            <w:r>
              <w:rPr>
                <w:rFonts w:cs="Arial"/>
                <w:sz w:val="22"/>
                <w:szCs w:val="22"/>
              </w:rPr>
              <w:t xml:space="preserve">A project plan, indicating key milestones </w:t>
            </w:r>
            <w:r w:rsidR="00C979C2">
              <w:rPr>
                <w:rFonts w:cs="Arial"/>
                <w:sz w:val="22"/>
                <w:szCs w:val="22"/>
              </w:rPr>
              <w:t>and deadlines;</w:t>
            </w:r>
          </w:p>
          <w:p w14:paraId="0448BBCE" w14:textId="77777777" w:rsidR="0090210C" w:rsidRPr="0090210C" w:rsidRDefault="0090210C" w:rsidP="0090210C">
            <w:pPr>
              <w:spacing w:after="0"/>
              <w:ind w:left="720"/>
              <w:rPr>
                <w:rFonts w:cs="Arial"/>
                <w:b/>
                <w:sz w:val="22"/>
                <w:szCs w:val="22"/>
                <w:u w:val="single"/>
              </w:rPr>
            </w:pPr>
          </w:p>
          <w:p w14:paraId="65E7E06F" w14:textId="4158F04A" w:rsidR="0090210C" w:rsidRDefault="0090210C" w:rsidP="0090210C">
            <w:pPr>
              <w:pStyle w:val="ListParagraph"/>
              <w:numPr>
                <w:ilvl w:val="0"/>
                <w:numId w:val="1"/>
              </w:numPr>
              <w:autoSpaceDE w:val="0"/>
              <w:autoSpaceDN w:val="0"/>
              <w:adjustRightInd w:val="0"/>
              <w:spacing w:after="0"/>
              <w:rPr>
                <w:rFonts w:cs="Arial"/>
                <w:sz w:val="22"/>
                <w:szCs w:val="22"/>
              </w:rPr>
            </w:pPr>
            <w:r w:rsidRPr="00E96D73">
              <w:rPr>
                <w:rFonts w:cs="Arial"/>
                <w:sz w:val="22"/>
                <w:szCs w:val="22"/>
              </w:rPr>
              <w:t>Collation and development of options, and assessment of options against criteria</w:t>
            </w:r>
            <w:r w:rsidR="00205D84">
              <w:rPr>
                <w:rFonts w:cs="Arial"/>
                <w:sz w:val="22"/>
                <w:szCs w:val="22"/>
              </w:rPr>
              <w:t xml:space="preserve"> (as set out above)</w:t>
            </w:r>
            <w:r w:rsidRPr="00E96D73">
              <w:rPr>
                <w:rFonts w:cs="Arial"/>
                <w:sz w:val="22"/>
                <w:szCs w:val="22"/>
              </w:rPr>
              <w:t xml:space="preserve">, documented in a </w:t>
            </w:r>
            <w:r>
              <w:rPr>
                <w:rFonts w:cs="Arial"/>
                <w:sz w:val="22"/>
                <w:szCs w:val="22"/>
              </w:rPr>
              <w:t xml:space="preserve">detailed </w:t>
            </w:r>
            <w:r w:rsidRPr="00E96D73">
              <w:rPr>
                <w:rFonts w:cs="Arial"/>
                <w:sz w:val="22"/>
                <w:szCs w:val="22"/>
              </w:rPr>
              <w:t xml:space="preserve">slide-pack. </w:t>
            </w:r>
            <w:r>
              <w:rPr>
                <w:rFonts w:cs="Arial"/>
                <w:sz w:val="22"/>
                <w:szCs w:val="22"/>
              </w:rPr>
              <w:t xml:space="preserve">This should contain: relevant </w:t>
            </w:r>
            <w:r>
              <w:rPr>
                <w:rFonts w:cs="Arial"/>
                <w:sz w:val="22"/>
                <w:szCs w:val="22"/>
              </w:rPr>
              <w:lastRenderedPageBreak/>
              <w:t xml:space="preserve">background; review of the current Schedule 4 and analysis of key policy issues, summary of objectives and assessment criteria; options description; evaluation of options against criteria. The slide-pack should </w:t>
            </w:r>
            <w:r w:rsidRPr="00E96D73">
              <w:rPr>
                <w:rFonts w:cs="Arial"/>
                <w:sz w:val="22"/>
                <w:szCs w:val="22"/>
              </w:rPr>
              <w:t>be iterated with ORR and through engagement with stakeholders.</w:t>
            </w:r>
            <w:r>
              <w:rPr>
                <w:rFonts w:cs="Arial"/>
                <w:sz w:val="22"/>
                <w:szCs w:val="22"/>
              </w:rPr>
              <w:t xml:space="preserve"> </w:t>
            </w:r>
          </w:p>
          <w:p w14:paraId="005C5708" w14:textId="77777777" w:rsidR="0090210C" w:rsidRPr="00E96D73" w:rsidRDefault="0090210C" w:rsidP="0090210C">
            <w:pPr>
              <w:pStyle w:val="ListParagraph"/>
              <w:autoSpaceDE w:val="0"/>
              <w:autoSpaceDN w:val="0"/>
              <w:adjustRightInd w:val="0"/>
              <w:spacing w:after="0"/>
              <w:rPr>
                <w:rFonts w:cs="Arial"/>
                <w:sz w:val="22"/>
                <w:szCs w:val="22"/>
              </w:rPr>
            </w:pPr>
          </w:p>
          <w:p w14:paraId="03A3642E" w14:textId="3689FDEE" w:rsidR="0090210C" w:rsidRDefault="0090210C" w:rsidP="0090210C">
            <w:pPr>
              <w:pStyle w:val="ListParagraph"/>
              <w:numPr>
                <w:ilvl w:val="0"/>
                <w:numId w:val="1"/>
              </w:numPr>
              <w:autoSpaceDE w:val="0"/>
              <w:autoSpaceDN w:val="0"/>
              <w:adjustRightInd w:val="0"/>
              <w:spacing w:after="0"/>
              <w:rPr>
                <w:rFonts w:cs="Arial"/>
                <w:sz w:val="22"/>
                <w:szCs w:val="22"/>
              </w:rPr>
            </w:pPr>
            <w:r w:rsidRPr="00E96D73">
              <w:rPr>
                <w:rFonts w:cs="Arial"/>
                <w:sz w:val="22"/>
                <w:szCs w:val="22"/>
              </w:rPr>
              <w:t xml:space="preserve">Written summaries and impact assessments of each option for use in the planned consultation. </w:t>
            </w:r>
          </w:p>
          <w:p w14:paraId="66DF6C40" w14:textId="77777777" w:rsidR="0090210C" w:rsidRDefault="0090210C" w:rsidP="0090210C">
            <w:pPr>
              <w:pStyle w:val="ListParagraph"/>
              <w:autoSpaceDE w:val="0"/>
              <w:autoSpaceDN w:val="0"/>
              <w:adjustRightInd w:val="0"/>
              <w:spacing w:after="0"/>
              <w:rPr>
                <w:rFonts w:cs="Arial"/>
                <w:sz w:val="22"/>
                <w:szCs w:val="22"/>
              </w:rPr>
            </w:pPr>
          </w:p>
          <w:p w14:paraId="752DC25C" w14:textId="53A53019" w:rsidR="0090210C" w:rsidRPr="00E96D73" w:rsidRDefault="0090210C" w:rsidP="0090210C">
            <w:pPr>
              <w:pStyle w:val="ListParagraph"/>
              <w:numPr>
                <w:ilvl w:val="0"/>
                <w:numId w:val="1"/>
              </w:numPr>
              <w:autoSpaceDE w:val="0"/>
              <w:autoSpaceDN w:val="0"/>
              <w:adjustRightInd w:val="0"/>
              <w:spacing w:after="0"/>
              <w:rPr>
                <w:rFonts w:cs="Arial"/>
                <w:sz w:val="22"/>
                <w:szCs w:val="22"/>
              </w:rPr>
            </w:pPr>
            <w:r>
              <w:rPr>
                <w:rFonts w:cs="Arial"/>
                <w:sz w:val="22"/>
                <w:szCs w:val="22"/>
              </w:rPr>
              <w:t xml:space="preserve">A presentation of the conclusions and recommendations of the consultant to the ORR, and possibly to stakeholders if appropriate. </w:t>
            </w:r>
          </w:p>
          <w:p w14:paraId="7C8F3E4C" w14:textId="77777777" w:rsidR="00F52BE8" w:rsidRDefault="00F52BE8" w:rsidP="00335497">
            <w:pPr>
              <w:autoSpaceDE w:val="0"/>
              <w:autoSpaceDN w:val="0"/>
              <w:adjustRightInd w:val="0"/>
              <w:spacing w:after="0"/>
              <w:rPr>
                <w:rFonts w:cs="Arial"/>
                <w:color w:val="000000"/>
                <w:sz w:val="22"/>
                <w:szCs w:val="22"/>
                <w:lang w:eastAsia="en-GB"/>
              </w:rPr>
            </w:pPr>
          </w:p>
          <w:p w14:paraId="1E55D462" w14:textId="77777777" w:rsidR="00F52BE8" w:rsidRPr="008A4B34" w:rsidRDefault="00F52BE8" w:rsidP="00335497">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6217B9C1" w14:textId="77777777" w:rsidR="00F86B21" w:rsidRDefault="00F86B21" w:rsidP="00F86B21">
            <w:pPr>
              <w:autoSpaceDE w:val="0"/>
              <w:autoSpaceDN w:val="0"/>
              <w:adjustRightInd w:val="0"/>
              <w:spacing w:after="0"/>
              <w:rPr>
                <w:rFonts w:cs="Arial"/>
                <w:bCs/>
              </w:rPr>
            </w:pPr>
          </w:p>
          <w:p w14:paraId="56A32479" w14:textId="4BBB0E13" w:rsidR="00F86B21" w:rsidRPr="00C979C2" w:rsidRDefault="00F86B21" w:rsidP="00F86B21">
            <w:pPr>
              <w:autoSpaceDE w:val="0"/>
              <w:autoSpaceDN w:val="0"/>
              <w:adjustRightInd w:val="0"/>
              <w:spacing w:after="0"/>
              <w:rPr>
                <w:rFonts w:cs="Arial"/>
                <w:bCs/>
                <w:sz w:val="22"/>
                <w:szCs w:val="18"/>
              </w:rPr>
            </w:pPr>
            <w:r w:rsidRPr="00C979C2">
              <w:rPr>
                <w:rFonts w:cs="Arial"/>
                <w:bCs/>
                <w:sz w:val="22"/>
                <w:szCs w:val="18"/>
              </w:rPr>
              <w:t xml:space="preserve">We expect to work closely and flexibly with the consultant to discuss progress or any emerging issues, as necessary. The minimum required communications are as follows: </w:t>
            </w:r>
          </w:p>
          <w:p w14:paraId="5DC1874C" w14:textId="77777777" w:rsidR="00F52BE8" w:rsidRPr="00C979C2" w:rsidRDefault="00F52BE8" w:rsidP="00335497">
            <w:pPr>
              <w:autoSpaceDE w:val="0"/>
              <w:autoSpaceDN w:val="0"/>
              <w:adjustRightInd w:val="0"/>
              <w:spacing w:after="0"/>
              <w:rPr>
                <w:rFonts w:cs="Arial"/>
                <w:color w:val="000000"/>
                <w:sz w:val="20"/>
                <w:lang w:eastAsia="en-GB"/>
              </w:rPr>
            </w:pPr>
          </w:p>
          <w:p w14:paraId="37D637FA" w14:textId="302E4D02" w:rsidR="00F52BE8" w:rsidRPr="00C979C2" w:rsidRDefault="00F86B21" w:rsidP="00F86B21">
            <w:pPr>
              <w:pStyle w:val="ListParagraph"/>
              <w:numPr>
                <w:ilvl w:val="0"/>
                <w:numId w:val="47"/>
              </w:numPr>
              <w:autoSpaceDE w:val="0"/>
              <w:autoSpaceDN w:val="0"/>
              <w:adjustRightInd w:val="0"/>
              <w:spacing w:after="0"/>
              <w:rPr>
                <w:rFonts w:cs="Arial"/>
                <w:bCs/>
                <w:sz w:val="22"/>
                <w:szCs w:val="18"/>
              </w:rPr>
            </w:pPr>
            <w:r w:rsidRPr="00C979C2">
              <w:rPr>
                <w:rFonts w:cs="Arial"/>
                <w:bCs/>
                <w:sz w:val="22"/>
                <w:szCs w:val="18"/>
              </w:rPr>
              <w:t xml:space="preserve">An initial kick-off meeting, during which a project plan will be agreed, setting out key milestones, deliverables and deadlines; </w:t>
            </w:r>
          </w:p>
          <w:p w14:paraId="2F2DE57D" w14:textId="06AFEA1C" w:rsidR="00F86B21" w:rsidRPr="00C979C2" w:rsidRDefault="00F86B21" w:rsidP="00F86B21">
            <w:pPr>
              <w:pStyle w:val="ListParagraph"/>
              <w:numPr>
                <w:ilvl w:val="0"/>
                <w:numId w:val="47"/>
              </w:numPr>
              <w:autoSpaceDE w:val="0"/>
              <w:autoSpaceDN w:val="0"/>
              <w:adjustRightInd w:val="0"/>
              <w:spacing w:after="0"/>
              <w:rPr>
                <w:rFonts w:cs="Arial"/>
                <w:bCs/>
                <w:sz w:val="22"/>
                <w:szCs w:val="18"/>
              </w:rPr>
            </w:pPr>
            <w:r w:rsidRPr="00C979C2">
              <w:rPr>
                <w:rFonts w:cs="Arial"/>
                <w:bCs/>
                <w:sz w:val="22"/>
                <w:szCs w:val="18"/>
              </w:rPr>
              <w:t>Short online weekly catch-up to discuss progress on the project;</w:t>
            </w:r>
            <w:r w:rsidR="00854DBB">
              <w:rPr>
                <w:rFonts w:cs="Arial"/>
                <w:bCs/>
                <w:sz w:val="22"/>
                <w:szCs w:val="18"/>
              </w:rPr>
              <w:t xml:space="preserve"> and, </w:t>
            </w:r>
          </w:p>
          <w:p w14:paraId="553D5614" w14:textId="27568F9B" w:rsidR="00F86B21" w:rsidRDefault="00F86B21" w:rsidP="00F86B21">
            <w:pPr>
              <w:pStyle w:val="ListParagraph"/>
              <w:numPr>
                <w:ilvl w:val="0"/>
                <w:numId w:val="47"/>
              </w:numPr>
              <w:autoSpaceDE w:val="0"/>
              <w:autoSpaceDN w:val="0"/>
              <w:adjustRightInd w:val="0"/>
              <w:spacing w:after="0"/>
              <w:rPr>
                <w:rFonts w:cs="Arial"/>
                <w:bCs/>
                <w:sz w:val="22"/>
                <w:szCs w:val="18"/>
              </w:rPr>
            </w:pPr>
            <w:r w:rsidRPr="00C979C2">
              <w:rPr>
                <w:rFonts w:cs="Arial"/>
                <w:bCs/>
                <w:sz w:val="22"/>
                <w:szCs w:val="18"/>
              </w:rPr>
              <w:t>Longer catch up</w:t>
            </w:r>
            <w:r w:rsidR="00C979C2">
              <w:rPr>
                <w:rFonts w:cs="Arial"/>
                <w:bCs/>
                <w:sz w:val="22"/>
                <w:szCs w:val="18"/>
              </w:rPr>
              <w:t>s</w:t>
            </w:r>
            <w:r w:rsidRPr="00C979C2">
              <w:rPr>
                <w:rFonts w:cs="Arial"/>
                <w:bCs/>
                <w:sz w:val="22"/>
                <w:szCs w:val="18"/>
              </w:rPr>
              <w:t>, to discuss issues in more depth, for example every 3 weeks or when necessary</w:t>
            </w:r>
            <w:r w:rsidR="00854DBB">
              <w:rPr>
                <w:rFonts w:cs="Arial"/>
                <w:bCs/>
                <w:sz w:val="22"/>
                <w:szCs w:val="18"/>
              </w:rPr>
              <w:t xml:space="preserve">. </w:t>
            </w:r>
          </w:p>
          <w:p w14:paraId="413A5EE2" w14:textId="435CABF3" w:rsidR="00854DBB" w:rsidRPr="00205D84" w:rsidRDefault="00854DBB" w:rsidP="00854DBB">
            <w:pPr>
              <w:pStyle w:val="ListParagraph"/>
              <w:autoSpaceDE w:val="0"/>
              <w:autoSpaceDN w:val="0"/>
              <w:adjustRightInd w:val="0"/>
              <w:spacing w:after="0"/>
              <w:rPr>
                <w:rFonts w:cs="Arial"/>
                <w:bCs/>
                <w:sz w:val="22"/>
                <w:szCs w:val="18"/>
              </w:rPr>
            </w:pPr>
          </w:p>
        </w:tc>
      </w:tr>
      <w:tr w:rsidR="00F52BE8" w:rsidRPr="0036077E" w14:paraId="4166DCD0" w14:textId="77777777" w:rsidTr="00182C94">
        <w:trPr>
          <w:trHeight w:val="250"/>
        </w:trPr>
        <w:tc>
          <w:tcPr>
            <w:tcW w:w="9356"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182C94">
        <w:trPr>
          <w:trHeight w:val="250"/>
        </w:trPr>
        <w:tc>
          <w:tcPr>
            <w:tcW w:w="9356" w:type="dxa"/>
            <w:tcBorders>
              <w:bottom w:val="single" w:sz="4" w:space="0" w:color="auto"/>
            </w:tcBorders>
            <w:shd w:val="clear" w:color="auto" w:fill="auto"/>
          </w:tcPr>
          <w:p w14:paraId="6F4DE5D3" w14:textId="77777777" w:rsidR="001555FC" w:rsidRDefault="001555FC" w:rsidP="00F86B21">
            <w:pPr>
              <w:shd w:val="clear" w:color="auto" w:fill="FFFFFF"/>
              <w:autoSpaceDE w:val="0"/>
              <w:autoSpaceDN w:val="0"/>
              <w:adjustRightInd w:val="0"/>
              <w:spacing w:after="0"/>
              <w:rPr>
                <w:rFonts w:cs="Arial"/>
                <w:color w:val="000000" w:themeColor="text1"/>
                <w:sz w:val="22"/>
                <w:szCs w:val="22"/>
                <w:lang w:eastAsia="en-GB"/>
              </w:rPr>
            </w:pPr>
          </w:p>
          <w:p w14:paraId="609B6204" w14:textId="1A76C691" w:rsidR="00F86B21" w:rsidRDefault="00F86B21" w:rsidP="00F86B21">
            <w:pPr>
              <w:shd w:val="clear" w:color="auto" w:fill="FFFFFF"/>
              <w:autoSpaceDE w:val="0"/>
              <w:autoSpaceDN w:val="0"/>
              <w:adjustRightInd w:val="0"/>
              <w:spacing w:after="0"/>
              <w:rPr>
                <w:rFonts w:cs="Arial"/>
                <w:color w:val="000000" w:themeColor="text1"/>
                <w:sz w:val="22"/>
                <w:szCs w:val="22"/>
                <w:lang w:eastAsia="en-GB"/>
              </w:rPr>
            </w:pPr>
            <w:r w:rsidRPr="00414A07">
              <w:rPr>
                <w:rFonts w:cs="Arial"/>
                <w:color w:val="000000" w:themeColor="text1"/>
                <w:sz w:val="22"/>
                <w:szCs w:val="22"/>
                <w:lang w:eastAsia="en-GB"/>
              </w:rPr>
              <w:t>We expect the consultant to set out their proposed timescales for the work, but we have set out an indicative timeline below. The consultant’s bids should highlight any expected deviations from this.</w:t>
            </w:r>
          </w:p>
          <w:p w14:paraId="59AC6657" w14:textId="77777777" w:rsidR="001555FC" w:rsidRPr="00414A07" w:rsidRDefault="001555FC" w:rsidP="00F86B21">
            <w:pPr>
              <w:shd w:val="clear" w:color="auto" w:fill="FFFFFF"/>
              <w:autoSpaceDE w:val="0"/>
              <w:autoSpaceDN w:val="0"/>
              <w:adjustRightInd w:val="0"/>
              <w:spacing w:after="0"/>
              <w:rPr>
                <w:rFonts w:cs="Arial"/>
                <w:color w:val="000000"/>
                <w:sz w:val="22"/>
                <w:szCs w:val="22"/>
                <w:lang w:eastAsia="en-GB"/>
              </w:rPr>
            </w:pPr>
          </w:p>
          <w:p w14:paraId="2CBC09B0" w14:textId="7BAFBA93" w:rsidR="00F52BE8" w:rsidRDefault="00306515" w:rsidP="00F86B21">
            <w:pPr>
              <w:pStyle w:val="ListParagraph"/>
              <w:numPr>
                <w:ilvl w:val="0"/>
                <w:numId w:val="48"/>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Inception </w:t>
            </w:r>
            <w:r w:rsidR="00F86B21">
              <w:rPr>
                <w:rFonts w:cs="Arial"/>
                <w:color w:val="000000"/>
                <w:sz w:val="22"/>
                <w:szCs w:val="22"/>
                <w:lang w:eastAsia="en-GB"/>
              </w:rPr>
              <w:t xml:space="preserve">meeting and project plan agreed – w/c </w:t>
            </w:r>
            <w:proofErr w:type="gramStart"/>
            <w:r w:rsidR="00B85BD8">
              <w:rPr>
                <w:rFonts w:cs="Arial"/>
                <w:color w:val="000000"/>
                <w:sz w:val="22"/>
                <w:szCs w:val="22"/>
                <w:lang w:eastAsia="en-GB"/>
              </w:rPr>
              <w:t>30/06</w:t>
            </w:r>
            <w:r w:rsidR="00205D84">
              <w:rPr>
                <w:rFonts w:cs="Arial"/>
                <w:color w:val="000000"/>
                <w:sz w:val="22"/>
                <w:szCs w:val="22"/>
                <w:lang w:eastAsia="en-GB"/>
              </w:rPr>
              <w:t>/21</w:t>
            </w:r>
            <w:proofErr w:type="gramEnd"/>
          </w:p>
          <w:p w14:paraId="3C6F878F" w14:textId="1F9593D6" w:rsidR="00306515" w:rsidRDefault="00306515" w:rsidP="00F86B21">
            <w:pPr>
              <w:pStyle w:val="ListParagraph"/>
              <w:numPr>
                <w:ilvl w:val="0"/>
                <w:numId w:val="48"/>
              </w:numPr>
              <w:autoSpaceDE w:val="0"/>
              <w:autoSpaceDN w:val="0"/>
              <w:adjustRightInd w:val="0"/>
              <w:spacing w:after="0"/>
              <w:rPr>
                <w:rFonts w:cs="Arial"/>
                <w:color w:val="000000"/>
                <w:sz w:val="22"/>
                <w:szCs w:val="22"/>
                <w:lang w:eastAsia="en-GB"/>
              </w:rPr>
            </w:pPr>
            <w:r>
              <w:rPr>
                <w:rFonts w:cs="Arial"/>
                <w:color w:val="000000"/>
                <w:sz w:val="22"/>
                <w:szCs w:val="22"/>
                <w:lang w:eastAsia="en-GB"/>
              </w:rPr>
              <w:t>(potential</w:t>
            </w:r>
            <w:r w:rsidR="00A041B4">
              <w:rPr>
                <w:rFonts w:cs="Arial"/>
                <w:color w:val="000000"/>
                <w:sz w:val="22"/>
                <w:szCs w:val="22"/>
                <w:lang w:eastAsia="en-GB"/>
              </w:rPr>
              <w:t xml:space="preserve"> stakeholder</w:t>
            </w:r>
            <w:r>
              <w:rPr>
                <w:rFonts w:cs="Arial"/>
                <w:color w:val="000000"/>
                <w:sz w:val="22"/>
                <w:szCs w:val="22"/>
                <w:lang w:eastAsia="en-GB"/>
              </w:rPr>
              <w:t xml:space="preserve"> workshops) – w/c 12/</w:t>
            </w:r>
            <w:r w:rsidR="00BC186F">
              <w:rPr>
                <w:rFonts w:cs="Arial"/>
                <w:color w:val="000000"/>
                <w:sz w:val="22"/>
                <w:szCs w:val="22"/>
                <w:lang w:eastAsia="en-GB"/>
              </w:rPr>
              <w:t>0</w:t>
            </w:r>
            <w:r>
              <w:rPr>
                <w:rFonts w:cs="Arial"/>
                <w:color w:val="000000"/>
                <w:sz w:val="22"/>
                <w:szCs w:val="22"/>
                <w:lang w:eastAsia="en-GB"/>
              </w:rPr>
              <w:t>7/21</w:t>
            </w:r>
          </w:p>
          <w:p w14:paraId="113D6448" w14:textId="547B8A31" w:rsidR="00F86B21" w:rsidRDefault="00A041B4" w:rsidP="00F86B21">
            <w:pPr>
              <w:pStyle w:val="ListParagraph"/>
              <w:numPr>
                <w:ilvl w:val="0"/>
                <w:numId w:val="48"/>
              </w:numPr>
              <w:autoSpaceDE w:val="0"/>
              <w:autoSpaceDN w:val="0"/>
              <w:adjustRightInd w:val="0"/>
              <w:spacing w:after="0"/>
              <w:rPr>
                <w:rFonts w:cs="Arial"/>
                <w:color w:val="000000"/>
                <w:sz w:val="22"/>
                <w:szCs w:val="22"/>
                <w:lang w:eastAsia="en-GB"/>
              </w:rPr>
            </w:pPr>
            <w:r>
              <w:rPr>
                <w:rFonts w:cs="Arial"/>
                <w:color w:val="000000"/>
                <w:sz w:val="22"/>
                <w:szCs w:val="22"/>
                <w:lang w:eastAsia="en-GB"/>
              </w:rPr>
              <w:t>Submission of draft analysis of key issues and high-level options for implementing an opt-out mechanism and incremental reform</w:t>
            </w:r>
            <w:r w:rsidR="00306515">
              <w:rPr>
                <w:rFonts w:cs="Arial"/>
                <w:color w:val="000000"/>
                <w:sz w:val="22"/>
                <w:szCs w:val="22"/>
                <w:lang w:eastAsia="en-GB"/>
              </w:rPr>
              <w:t xml:space="preserve"> </w:t>
            </w:r>
            <w:r w:rsidR="00F86B21">
              <w:rPr>
                <w:rFonts w:cs="Arial"/>
                <w:color w:val="000000"/>
                <w:sz w:val="22"/>
                <w:szCs w:val="22"/>
                <w:lang w:eastAsia="en-GB"/>
              </w:rPr>
              <w:t xml:space="preserve">– w/c </w:t>
            </w:r>
            <w:proofErr w:type="gramStart"/>
            <w:r w:rsidR="00BC186F">
              <w:rPr>
                <w:rFonts w:cs="Arial"/>
                <w:color w:val="000000"/>
                <w:sz w:val="22"/>
                <w:szCs w:val="22"/>
                <w:lang w:eastAsia="en-GB"/>
              </w:rPr>
              <w:t>0</w:t>
            </w:r>
            <w:r w:rsidR="00EE7F42">
              <w:rPr>
                <w:rFonts w:cs="Arial"/>
                <w:color w:val="000000"/>
                <w:sz w:val="22"/>
                <w:szCs w:val="22"/>
                <w:lang w:eastAsia="en-GB"/>
              </w:rPr>
              <w:t>2</w:t>
            </w:r>
            <w:r>
              <w:rPr>
                <w:rFonts w:cs="Arial"/>
                <w:color w:val="000000"/>
                <w:sz w:val="22"/>
                <w:szCs w:val="22"/>
                <w:lang w:eastAsia="en-GB"/>
              </w:rPr>
              <w:t>/08</w:t>
            </w:r>
            <w:r w:rsidR="00306515">
              <w:rPr>
                <w:rFonts w:cs="Arial"/>
                <w:color w:val="000000"/>
                <w:sz w:val="22"/>
                <w:szCs w:val="22"/>
                <w:lang w:eastAsia="en-GB"/>
              </w:rPr>
              <w:t>/21</w:t>
            </w:r>
            <w:proofErr w:type="gramEnd"/>
          </w:p>
          <w:p w14:paraId="3797438F" w14:textId="2271585D" w:rsidR="00A041B4" w:rsidRDefault="00A041B4" w:rsidP="00F86B21">
            <w:pPr>
              <w:pStyle w:val="ListParagraph"/>
              <w:numPr>
                <w:ilvl w:val="0"/>
                <w:numId w:val="48"/>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Submission of detailed draft options and impact assessments – w/c </w:t>
            </w:r>
            <w:r w:rsidR="00BC186F">
              <w:rPr>
                <w:rFonts w:cs="Arial"/>
                <w:color w:val="000000"/>
                <w:sz w:val="22"/>
                <w:szCs w:val="22"/>
                <w:lang w:eastAsia="en-GB"/>
              </w:rPr>
              <w:t>0</w:t>
            </w:r>
            <w:r>
              <w:rPr>
                <w:rFonts w:cs="Arial"/>
                <w:color w:val="000000"/>
                <w:sz w:val="22"/>
                <w:szCs w:val="22"/>
                <w:lang w:eastAsia="en-GB"/>
              </w:rPr>
              <w:t>6/09/21</w:t>
            </w:r>
          </w:p>
          <w:p w14:paraId="7E0A0745" w14:textId="4474DDF8" w:rsidR="00F86B21" w:rsidRDefault="00F86B21" w:rsidP="00F86B21">
            <w:pPr>
              <w:pStyle w:val="ListParagraph"/>
              <w:numPr>
                <w:ilvl w:val="0"/>
                <w:numId w:val="48"/>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Final </w:t>
            </w:r>
            <w:r w:rsidR="00A041B4">
              <w:rPr>
                <w:rFonts w:cs="Arial"/>
                <w:color w:val="000000"/>
                <w:sz w:val="22"/>
                <w:szCs w:val="22"/>
                <w:lang w:eastAsia="en-GB"/>
              </w:rPr>
              <w:t>outputs</w:t>
            </w:r>
            <w:r>
              <w:rPr>
                <w:rFonts w:cs="Arial"/>
                <w:color w:val="000000"/>
                <w:sz w:val="22"/>
                <w:szCs w:val="22"/>
                <w:lang w:eastAsia="en-GB"/>
              </w:rPr>
              <w:t xml:space="preserve"> submitted</w:t>
            </w:r>
            <w:r w:rsidR="00BC186F">
              <w:rPr>
                <w:rFonts w:cs="Arial"/>
                <w:color w:val="000000"/>
                <w:sz w:val="22"/>
                <w:szCs w:val="22"/>
                <w:lang w:eastAsia="en-GB"/>
              </w:rPr>
              <w:t>, as described above</w:t>
            </w:r>
            <w:r>
              <w:rPr>
                <w:rFonts w:cs="Arial"/>
                <w:color w:val="000000"/>
                <w:sz w:val="22"/>
                <w:szCs w:val="22"/>
                <w:lang w:eastAsia="en-GB"/>
              </w:rPr>
              <w:t xml:space="preserve"> – </w:t>
            </w:r>
            <w:r w:rsidR="00A041B4">
              <w:rPr>
                <w:rFonts w:cs="Arial"/>
                <w:color w:val="000000"/>
                <w:sz w:val="22"/>
                <w:szCs w:val="22"/>
                <w:lang w:eastAsia="en-GB"/>
              </w:rPr>
              <w:t xml:space="preserve">w/c </w:t>
            </w:r>
            <w:proofErr w:type="gramStart"/>
            <w:r>
              <w:rPr>
                <w:rFonts w:cs="Arial"/>
                <w:color w:val="000000"/>
                <w:sz w:val="22"/>
                <w:szCs w:val="22"/>
                <w:lang w:eastAsia="en-GB"/>
              </w:rPr>
              <w:t>2</w:t>
            </w:r>
            <w:r w:rsidR="00A041B4">
              <w:rPr>
                <w:rFonts w:cs="Arial"/>
                <w:color w:val="000000"/>
                <w:sz w:val="22"/>
                <w:szCs w:val="22"/>
                <w:lang w:eastAsia="en-GB"/>
              </w:rPr>
              <w:t>7</w:t>
            </w:r>
            <w:r>
              <w:rPr>
                <w:rFonts w:cs="Arial"/>
                <w:color w:val="000000"/>
                <w:sz w:val="22"/>
                <w:szCs w:val="22"/>
                <w:lang w:eastAsia="en-GB"/>
              </w:rPr>
              <w:t>/0</w:t>
            </w:r>
            <w:r w:rsidR="00A041B4">
              <w:rPr>
                <w:rFonts w:cs="Arial"/>
                <w:color w:val="000000"/>
                <w:sz w:val="22"/>
                <w:szCs w:val="22"/>
                <w:lang w:eastAsia="en-GB"/>
              </w:rPr>
              <w:t>9</w:t>
            </w:r>
            <w:r w:rsidR="00205D84">
              <w:rPr>
                <w:rFonts w:cs="Arial"/>
                <w:color w:val="000000"/>
                <w:sz w:val="22"/>
                <w:szCs w:val="22"/>
                <w:lang w:eastAsia="en-GB"/>
              </w:rPr>
              <w:t>/21</w:t>
            </w:r>
            <w:proofErr w:type="gramEnd"/>
            <w:r w:rsidR="00205D84">
              <w:rPr>
                <w:rFonts w:cs="Arial"/>
                <w:color w:val="000000"/>
                <w:sz w:val="22"/>
                <w:szCs w:val="22"/>
                <w:lang w:eastAsia="en-GB"/>
              </w:rPr>
              <w:t xml:space="preserve"> </w:t>
            </w:r>
            <w:r>
              <w:rPr>
                <w:rFonts w:cs="Arial"/>
                <w:color w:val="000000"/>
                <w:sz w:val="22"/>
                <w:szCs w:val="22"/>
                <w:lang w:eastAsia="en-GB"/>
              </w:rPr>
              <w:t xml:space="preserve"> </w:t>
            </w:r>
          </w:p>
          <w:p w14:paraId="4D200788" w14:textId="3A23FEC6" w:rsidR="00A041B4" w:rsidRDefault="00A041B4" w:rsidP="00A041B4">
            <w:pPr>
              <w:autoSpaceDE w:val="0"/>
              <w:autoSpaceDN w:val="0"/>
              <w:adjustRightInd w:val="0"/>
              <w:spacing w:after="0"/>
              <w:rPr>
                <w:rFonts w:cs="Arial"/>
                <w:color w:val="000000"/>
                <w:sz w:val="22"/>
                <w:szCs w:val="22"/>
                <w:lang w:eastAsia="en-GB"/>
              </w:rPr>
            </w:pPr>
          </w:p>
          <w:p w14:paraId="11F1BFDC" w14:textId="21E2F34C" w:rsidR="00A041B4" w:rsidRDefault="00A041B4" w:rsidP="00A041B4">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Given the tight timescales, we expect to work </w:t>
            </w:r>
            <w:r w:rsidR="00BC186F">
              <w:rPr>
                <w:rFonts w:cs="Arial"/>
                <w:color w:val="000000"/>
                <w:sz w:val="22"/>
                <w:szCs w:val="22"/>
                <w:lang w:eastAsia="en-GB"/>
              </w:rPr>
              <w:t xml:space="preserve">very </w:t>
            </w:r>
            <w:r>
              <w:rPr>
                <w:rFonts w:cs="Arial"/>
                <w:color w:val="000000"/>
                <w:sz w:val="22"/>
                <w:szCs w:val="22"/>
                <w:lang w:eastAsia="en-GB"/>
              </w:rPr>
              <w:t xml:space="preserve">flexibly with the consultant and to iterate </w:t>
            </w:r>
            <w:r w:rsidR="00BC186F">
              <w:rPr>
                <w:rFonts w:cs="Arial"/>
                <w:color w:val="000000"/>
                <w:sz w:val="22"/>
                <w:szCs w:val="22"/>
                <w:lang w:eastAsia="en-GB"/>
              </w:rPr>
              <w:t>ideas and</w:t>
            </w:r>
            <w:r>
              <w:rPr>
                <w:rFonts w:cs="Arial"/>
                <w:color w:val="000000"/>
                <w:sz w:val="22"/>
                <w:szCs w:val="22"/>
                <w:lang w:eastAsia="en-GB"/>
              </w:rPr>
              <w:t xml:space="preserve"> options on an ongoing basis. </w:t>
            </w:r>
          </w:p>
          <w:p w14:paraId="03B9E036" w14:textId="77777777" w:rsidR="00A041B4" w:rsidRDefault="00A041B4" w:rsidP="00A041B4">
            <w:pPr>
              <w:autoSpaceDE w:val="0"/>
              <w:autoSpaceDN w:val="0"/>
              <w:adjustRightInd w:val="0"/>
              <w:spacing w:after="0"/>
              <w:rPr>
                <w:rFonts w:cs="Arial"/>
                <w:color w:val="000000"/>
                <w:sz w:val="22"/>
                <w:szCs w:val="22"/>
                <w:lang w:eastAsia="en-GB"/>
              </w:rPr>
            </w:pPr>
          </w:p>
          <w:p w14:paraId="7C9959A6" w14:textId="1E794A67" w:rsidR="00A041B4" w:rsidRPr="00A041B4" w:rsidRDefault="00A041B4" w:rsidP="00A041B4">
            <w:p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The stakeholder workshops in July will be organised by ORR and in the form of a listening exercise. The consultant will be expected to sit in the workshops to collect feedback and input to inform their work. These workshops in July are distinct from the optional workshops we might ask the consultant to contribute to or lead </w:t>
            </w:r>
            <w:proofErr w:type="gramStart"/>
            <w:r>
              <w:rPr>
                <w:rFonts w:cs="Arial"/>
                <w:color w:val="000000"/>
                <w:sz w:val="22"/>
                <w:szCs w:val="22"/>
                <w:lang w:eastAsia="en-GB"/>
              </w:rPr>
              <w:t>later on</w:t>
            </w:r>
            <w:proofErr w:type="gramEnd"/>
            <w:r>
              <w:rPr>
                <w:rFonts w:cs="Arial"/>
                <w:color w:val="000000"/>
                <w:sz w:val="22"/>
                <w:szCs w:val="22"/>
                <w:lang w:eastAsia="en-GB"/>
              </w:rPr>
              <w:t xml:space="preserve">, and for which we require the consultant to set a separate price. </w:t>
            </w:r>
          </w:p>
          <w:p w14:paraId="395C7F3A" w14:textId="2DBEF10C" w:rsidR="001555FC" w:rsidRPr="0036077E" w:rsidRDefault="001555FC" w:rsidP="001555FC">
            <w:pPr>
              <w:autoSpaceDE w:val="0"/>
              <w:autoSpaceDN w:val="0"/>
              <w:adjustRightInd w:val="0"/>
              <w:spacing w:after="0"/>
              <w:rPr>
                <w:rFonts w:cs="Arial"/>
                <w:color w:val="000000"/>
                <w:sz w:val="22"/>
                <w:szCs w:val="22"/>
                <w:lang w:eastAsia="en-GB"/>
              </w:rPr>
            </w:pPr>
          </w:p>
        </w:tc>
      </w:tr>
      <w:tr w:rsidR="00F52BE8" w:rsidRPr="0036077E" w14:paraId="0C1C7899" w14:textId="77777777" w:rsidTr="00182C94">
        <w:trPr>
          <w:trHeight w:val="129"/>
        </w:trPr>
        <w:tc>
          <w:tcPr>
            <w:tcW w:w="9356"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182C94">
        <w:trPr>
          <w:trHeight w:val="127"/>
        </w:trPr>
        <w:tc>
          <w:tcPr>
            <w:tcW w:w="9356" w:type="dxa"/>
            <w:tcBorders>
              <w:bottom w:val="single" w:sz="4" w:space="0" w:color="auto"/>
            </w:tcBorders>
            <w:shd w:val="clear" w:color="auto" w:fill="auto"/>
          </w:tcPr>
          <w:p w14:paraId="505FE00B" w14:textId="3CE8C3F2" w:rsidR="00F52BE8" w:rsidRDefault="00F52BE8" w:rsidP="00335497">
            <w:pPr>
              <w:rPr>
                <w:rFonts w:cs="Arial"/>
                <w:color w:val="000000"/>
                <w:sz w:val="22"/>
                <w:szCs w:val="22"/>
              </w:rPr>
            </w:pPr>
            <w:r w:rsidRPr="0036077E">
              <w:rPr>
                <w:sz w:val="22"/>
                <w:szCs w:val="22"/>
              </w:rPr>
              <w:t>The maximum budget for this piece of work is £</w:t>
            </w:r>
            <w:r w:rsidR="00854DBB">
              <w:rPr>
                <w:sz w:val="22"/>
                <w:szCs w:val="22"/>
              </w:rPr>
              <w:t>50,000</w:t>
            </w:r>
            <w:r w:rsidRPr="0036077E">
              <w:rPr>
                <w:sz w:val="22"/>
                <w:szCs w:val="22"/>
              </w:rPr>
              <w:t xml:space="preserve"> (inc. of expenses, exc. of VAT)</w:t>
            </w:r>
            <w:r w:rsidRPr="0036077E">
              <w:rPr>
                <w:rFonts w:cs="Arial"/>
                <w:color w:val="000000"/>
                <w:sz w:val="22"/>
                <w:szCs w:val="22"/>
              </w:rPr>
              <w:t>.</w:t>
            </w:r>
          </w:p>
          <w:p w14:paraId="2620ED6F" w14:textId="2A181AA6" w:rsidR="00F52BE8" w:rsidRPr="00E073E8" w:rsidRDefault="001E6660" w:rsidP="00335497">
            <w:pPr>
              <w:rPr>
                <w:rFonts w:cs="Arial"/>
                <w:sz w:val="22"/>
                <w:szCs w:val="22"/>
              </w:rPr>
            </w:pPr>
            <w:r>
              <w:rPr>
                <w:rFonts w:cs="Arial"/>
                <w:sz w:val="22"/>
                <w:szCs w:val="22"/>
              </w:rPr>
              <w:t>Ideally, p</w:t>
            </w:r>
            <w:r w:rsidR="00F52BE8">
              <w:rPr>
                <w:rFonts w:cs="Arial"/>
                <w:sz w:val="22"/>
                <w:szCs w:val="22"/>
              </w:rPr>
              <w:t>ayment of the total fee will be on the delivery and acceptance by ORR of all required outputs and/or deliverables</w:t>
            </w:r>
            <w:r>
              <w:rPr>
                <w:rFonts w:cs="Arial"/>
                <w:sz w:val="22"/>
                <w:szCs w:val="22"/>
              </w:rPr>
              <w:t xml:space="preserve">, however, potential suppliers may propose a milestone payment </w:t>
            </w:r>
            <w:r>
              <w:rPr>
                <w:rFonts w:cs="Arial"/>
                <w:sz w:val="22"/>
                <w:szCs w:val="22"/>
              </w:rPr>
              <w:lastRenderedPageBreak/>
              <w:t>schedule.  Milestones must be connected to tangible deliverables with sufficient value remaining in the final milestone.</w:t>
            </w:r>
          </w:p>
        </w:tc>
      </w:tr>
      <w:tr w:rsidR="00F52BE8" w:rsidRPr="0036077E" w14:paraId="6A95EAA1" w14:textId="77777777" w:rsidTr="00182C94">
        <w:trPr>
          <w:trHeight w:val="127"/>
        </w:trPr>
        <w:tc>
          <w:tcPr>
            <w:tcW w:w="9356"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lastRenderedPageBreak/>
              <w:t>2.6 Further project related information for bidders</w:t>
            </w:r>
          </w:p>
        </w:tc>
      </w:tr>
      <w:tr w:rsidR="00F52BE8" w:rsidRPr="0036077E" w14:paraId="6EA967D3" w14:textId="77777777" w:rsidTr="00182C94">
        <w:trPr>
          <w:trHeight w:val="127"/>
        </w:trPr>
        <w:tc>
          <w:tcPr>
            <w:tcW w:w="9356"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F52BE8" w:rsidRPr="0036077E" w14:paraId="080310B3" w14:textId="77777777" w:rsidTr="001676AF">
        <w:tc>
          <w:tcPr>
            <w:tcW w:w="9640"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1676AF">
        <w:trPr>
          <w:trHeight w:val="2967"/>
        </w:trPr>
        <w:tc>
          <w:tcPr>
            <w:tcW w:w="9640" w:type="dxa"/>
            <w:tcBorders>
              <w:bottom w:val="single" w:sz="4" w:space="0" w:color="auto"/>
            </w:tcBorders>
            <w:shd w:val="clear" w:color="auto" w:fill="auto"/>
          </w:tcPr>
          <w:p w14:paraId="78A4536E" w14:textId="4B2CA96D"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670D247" w14:textId="19ABBD4C" w:rsidR="0081574F" w:rsidRPr="0036077E" w:rsidRDefault="0081574F" w:rsidP="0081574F">
            <w:pPr>
              <w:numPr>
                <w:ilvl w:val="0"/>
                <w:numId w:val="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Demonstrate an understanding of the requirement and overall aims of the project</w:t>
            </w:r>
            <w:r>
              <w:rPr>
                <w:rFonts w:cs="Arial"/>
                <w:color w:val="000000"/>
                <w:sz w:val="22"/>
                <w:szCs w:val="22"/>
                <w:lang w:eastAsia="en-GB"/>
              </w:rPr>
              <w:t>;</w:t>
            </w:r>
            <w:r w:rsidRPr="0036077E">
              <w:rPr>
                <w:rFonts w:cs="Arial"/>
                <w:color w:val="000000"/>
                <w:sz w:val="22"/>
                <w:szCs w:val="22"/>
                <w:lang w:eastAsia="en-GB"/>
              </w:rPr>
              <w:t xml:space="preserve"> </w:t>
            </w:r>
          </w:p>
          <w:p w14:paraId="513FBF9D" w14:textId="77777777" w:rsidR="0081574F" w:rsidRPr="0036077E" w:rsidRDefault="0081574F" w:rsidP="0081574F">
            <w:pPr>
              <w:autoSpaceDE w:val="0"/>
              <w:autoSpaceDN w:val="0"/>
              <w:adjustRightInd w:val="0"/>
              <w:spacing w:after="0"/>
              <w:rPr>
                <w:rFonts w:cs="Arial"/>
                <w:color w:val="000000"/>
                <w:sz w:val="22"/>
                <w:szCs w:val="22"/>
                <w:lang w:eastAsia="en-GB"/>
              </w:rPr>
            </w:pPr>
          </w:p>
          <w:p w14:paraId="5CFFD706" w14:textId="37021E6F" w:rsidR="0081574F" w:rsidRPr="0081574F" w:rsidRDefault="0081574F" w:rsidP="0081574F">
            <w:pPr>
              <w:numPr>
                <w:ilvl w:val="0"/>
                <w:numId w:val="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Provide an explanation of the proposed approach </w:t>
            </w:r>
            <w:r>
              <w:rPr>
                <w:rFonts w:cs="Arial"/>
                <w:color w:val="000000"/>
                <w:sz w:val="22"/>
                <w:szCs w:val="22"/>
                <w:lang w:eastAsia="en-GB"/>
              </w:rPr>
              <w:t>to the work</w:t>
            </w:r>
            <w:r w:rsidRPr="0036077E">
              <w:rPr>
                <w:sz w:val="22"/>
                <w:szCs w:val="22"/>
              </w:rPr>
              <w:t>;</w:t>
            </w:r>
            <w:r>
              <w:rPr>
                <w:sz w:val="22"/>
                <w:szCs w:val="22"/>
              </w:rPr>
              <w:t xml:space="preserve"> </w:t>
            </w:r>
          </w:p>
          <w:p w14:paraId="67564EAE" w14:textId="77777777" w:rsidR="0081574F" w:rsidRPr="0081574F" w:rsidRDefault="0081574F" w:rsidP="0081574F">
            <w:pPr>
              <w:autoSpaceDE w:val="0"/>
              <w:autoSpaceDN w:val="0"/>
              <w:adjustRightInd w:val="0"/>
              <w:spacing w:after="0"/>
              <w:ind w:left="360"/>
              <w:rPr>
                <w:rFonts w:cs="Arial"/>
                <w:color w:val="000000"/>
                <w:sz w:val="22"/>
                <w:szCs w:val="22"/>
                <w:lang w:eastAsia="en-GB"/>
              </w:rPr>
            </w:pPr>
          </w:p>
          <w:p w14:paraId="04838BB8" w14:textId="265C4A18" w:rsidR="0081574F" w:rsidRPr="0036077E" w:rsidRDefault="0081574F" w:rsidP="0081574F">
            <w:pPr>
              <w:numPr>
                <w:ilvl w:val="0"/>
                <w:numId w:val="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and/or constraints/dependencies made in relation to the project</w:t>
            </w:r>
            <w:r>
              <w:rPr>
                <w:rFonts w:cs="Arial"/>
                <w:color w:val="000000"/>
                <w:sz w:val="22"/>
                <w:szCs w:val="22"/>
                <w:lang w:eastAsia="en-GB"/>
              </w:rPr>
              <w:t>;</w:t>
            </w:r>
            <w:r w:rsidRPr="0036077E">
              <w:rPr>
                <w:rFonts w:cs="Arial"/>
                <w:color w:val="000000"/>
                <w:sz w:val="22"/>
                <w:szCs w:val="22"/>
                <w:lang w:eastAsia="en-GB"/>
              </w:rPr>
              <w:t xml:space="preserve"> </w:t>
            </w:r>
          </w:p>
          <w:p w14:paraId="4593B523" w14:textId="77777777" w:rsidR="0081574F" w:rsidRPr="0036077E" w:rsidRDefault="0081574F" w:rsidP="0081574F">
            <w:pPr>
              <w:autoSpaceDE w:val="0"/>
              <w:autoSpaceDN w:val="0"/>
              <w:adjustRightInd w:val="0"/>
              <w:spacing w:after="0"/>
              <w:rPr>
                <w:rFonts w:cs="Arial"/>
                <w:color w:val="000000"/>
                <w:sz w:val="22"/>
                <w:szCs w:val="22"/>
                <w:lang w:eastAsia="en-GB"/>
              </w:rPr>
            </w:pPr>
          </w:p>
          <w:p w14:paraId="71CB7BE1" w14:textId="77777777" w:rsidR="0081574F" w:rsidRDefault="0081574F" w:rsidP="0081574F">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r>
              <w:rPr>
                <w:rFonts w:cs="Arial"/>
                <w:sz w:val="22"/>
                <w:szCs w:val="22"/>
              </w:rPr>
              <w:t xml:space="preserve">; and, </w:t>
            </w:r>
          </w:p>
          <w:p w14:paraId="02032C13" w14:textId="29C7D1E1" w:rsidR="0081574F" w:rsidRPr="0081574F" w:rsidRDefault="0081574F" w:rsidP="0081574F">
            <w:pPr>
              <w:numPr>
                <w:ilvl w:val="0"/>
                <w:numId w:val="6"/>
              </w:numPr>
              <w:rPr>
                <w:rFonts w:cs="Arial"/>
                <w:sz w:val="22"/>
                <w:szCs w:val="22"/>
              </w:rPr>
            </w:pPr>
            <w:r w:rsidRPr="0081574F">
              <w:rPr>
                <w:rFonts w:cs="Arial"/>
                <w:sz w:val="22"/>
                <w:szCs w:val="22"/>
              </w:rPr>
              <w:t>An understanding of the risks, and explain how they would be mitigated to ensure delivery.</w:t>
            </w:r>
          </w:p>
          <w:p w14:paraId="5A5E28BF" w14:textId="5750CCEE" w:rsidR="00F52BE8" w:rsidRPr="0036077E" w:rsidRDefault="0081574F" w:rsidP="00335497">
            <w:pPr>
              <w:pStyle w:val="ListNumber"/>
              <w:numPr>
                <w:ilvl w:val="0"/>
                <w:numId w:val="0"/>
              </w:numPr>
              <w:rPr>
                <w:b/>
                <w:bCs/>
                <w:sz w:val="22"/>
                <w:szCs w:val="22"/>
              </w:rPr>
            </w:pPr>
            <w:r w:rsidRPr="0081574F">
              <w:rPr>
                <w:b/>
                <w:bCs/>
                <w:sz w:val="22"/>
                <w:szCs w:val="22"/>
              </w:rPr>
              <w:t>b</w:t>
            </w:r>
            <w:r w:rsidR="00F52BE8" w:rsidRPr="0081574F">
              <w:rPr>
                <w:b/>
                <w:bCs/>
                <w:sz w:val="22"/>
                <w:szCs w:val="22"/>
              </w:rPr>
              <w:t>)</w:t>
            </w:r>
            <w:r w:rsidR="00F52BE8" w:rsidRPr="0036077E">
              <w:rPr>
                <w:sz w:val="22"/>
                <w:szCs w:val="22"/>
              </w:rPr>
              <w:t xml:space="preserve">  </w:t>
            </w:r>
            <w:r w:rsidR="00F52BE8" w:rsidRPr="0036077E">
              <w:rPr>
                <w:b/>
                <w:bCs/>
                <w:sz w:val="22"/>
                <w:szCs w:val="22"/>
              </w:rPr>
              <w:t>Proposed 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18C91D8" w14:textId="22D5F8AF" w:rsidR="0081574F" w:rsidRDefault="00F52BE8" w:rsidP="0081574F">
            <w:pPr>
              <w:numPr>
                <w:ilvl w:val="0"/>
                <w:numId w:val="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w:t>
            </w:r>
          </w:p>
          <w:p w14:paraId="05B2257F" w14:textId="77777777" w:rsidR="0081574F" w:rsidRDefault="0081574F" w:rsidP="0081574F">
            <w:pPr>
              <w:autoSpaceDE w:val="0"/>
              <w:autoSpaceDN w:val="0"/>
              <w:adjustRightInd w:val="0"/>
              <w:spacing w:after="0"/>
              <w:ind w:left="360"/>
              <w:rPr>
                <w:rFonts w:cs="Arial"/>
                <w:color w:val="000000"/>
                <w:sz w:val="22"/>
                <w:szCs w:val="22"/>
                <w:lang w:eastAsia="en-GB"/>
              </w:rPr>
            </w:pPr>
          </w:p>
          <w:p w14:paraId="3B31880F" w14:textId="4CA51732" w:rsidR="00F52BE8" w:rsidRPr="0081574F" w:rsidRDefault="00F52BE8" w:rsidP="0081574F">
            <w:pPr>
              <w:numPr>
                <w:ilvl w:val="0"/>
                <w:numId w:val="6"/>
              </w:numPr>
              <w:autoSpaceDE w:val="0"/>
              <w:autoSpaceDN w:val="0"/>
              <w:adjustRightInd w:val="0"/>
              <w:spacing w:after="0"/>
              <w:rPr>
                <w:rFonts w:cs="Arial"/>
                <w:color w:val="000000"/>
                <w:sz w:val="22"/>
                <w:szCs w:val="22"/>
                <w:lang w:eastAsia="en-GB"/>
              </w:rPr>
            </w:pPr>
            <w:r w:rsidRPr="0081574F">
              <w:rPr>
                <w:rFonts w:cs="Arial"/>
                <w:sz w:val="22"/>
                <w:szCs w:val="22"/>
              </w:rPr>
              <w:t>Some relevant examples of previous work that bidders have carried</w:t>
            </w:r>
            <w:r w:rsidR="0081574F" w:rsidRPr="0081574F">
              <w:rPr>
                <w:rFonts w:cs="Arial"/>
                <w:sz w:val="22"/>
                <w:szCs w:val="22"/>
              </w:rPr>
              <w:t xml:space="preserve"> out, including where bidders have worked closely with the client as part of the project team;</w:t>
            </w:r>
            <w:r w:rsidR="0081574F">
              <w:rPr>
                <w:rFonts w:cs="Arial"/>
                <w:sz w:val="22"/>
                <w:szCs w:val="22"/>
              </w:rPr>
              <w:t xml:space="preserve"> and, </w:t>
            </w:r>
          </w:p>
          <w:p w14:paraId="2F2F01F4" w14:textId="77777777" w:rsidR="0081574F" w:rsidRPr="0081574F" w:rsidRDefault="0081574F" w:rsidP="0081574F">
            <w:pPr>
              <w:autoSpaceDE w:val="0"/>
              <w:autoSpaceDN w:val="0"/>
              <w:adjustRightInd w:val="0"/>
              <w:spacing w:after="0"/>
              <w:ind w:left="360"/>
              <w:rPr>
                <w:rFonts w:cs="Arial"/>
                <w:color w:val="000000"/>
                <w:sz w:val="22"/>
                <w:szCs w:val="22"/>
                <w:lang w:eastAsia="en-GB"/>
              </w:rPr>
            </w:pPr>
          </w:p>
          <w:p w14:paraId="7C497020" w14:textId="396AAE14" w:rsidR="0081574F" w:rsidRPr="00C251D3" w:rsidRDefault="0081574F" w:rsidP="0081574F">
            <w:pPr>
              <w:numPr>
                <w:ilvl w:val="0"/>
                <w:numId w:val="6"/>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10C54DE1" w14:textId="77777777" w:rsidR="0081574F" w:rsidRPr="0036077E" w:rsidRDefault="0081574F" w:rsidP="0081574F">
            <w:pPr>
              <w:rPr>
                <w:rFonts w:cs="Arial"/>
                <w:sz w:val="22"/>
                <w:szCs w:val="22"/>
              </w:rPr>
            </w:pP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220768CA" w:rsidR="00F52BE8"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114BD2C5" w14:textId="24E18AB0" w:rsidR="00A560E6" w:rsidRDefault="00A560E6" w:rsidP="00335497">
            <w:pPr>
              <w:autoSpaceDE w:val="0"/>
              <w:autoSpaceDN w:val="0"/>
              <w:adjustRightInd w:val="0"/>
              <w:spacing w:after="0"/>
              <w:rPr>
                <w:rFonts w:cs="Arial"/>
                <w:color w:val="000000"/>
                <w:sz w:val="22"/>
                <w:szCs w:val="22"/>
                <w:lang w:eastAsia="en-GB"/>
              </w:rPr>
            </w:pPr>
          </w:p>
          <w:p w14:paraId="7B924179" w14:textId="7A09CF25" w:rsidR="00A560E6" w:rsidRPr="0036077E" w:rsidRDefault="00A560E6" w:rsidP="00335497">
            <w:pPr>
              <w:autoSpaceDE w:val="0"/>
              <w:autoSpaceDN w:val="0"/>
              <w:adjustRightInd w:val="0"/>
              <w:spacing w:after="0"/>
              <w:rPr>
                <w:rFonts w:cs="Arial"/>
                <w:color w:val="000000"/>
                <w:sz w:val="22"/>
                <w:szCs w:val="22"/>
                <w:lang w:eastAsia="en-GB"/>
              </w:rPr>
            </w:pPr>
            <w:r w:rsidRPr="00637F20">
              <w:rPr>
                <w:rFonts w:cs="Arial"/>
                <w:color w:val="000000"/>
                <w:sz w:val="22"/>
                <w:szCs w:val="22"/>
                <w:lang w:eastAsia="en-GB"/>
              </w:rPr>
              <w:t>A separate and optional fixed fee for contribution or organisation of stakeholder engagement sessions, if required and as described above.</w:t>
            </w:r>
            <w:r>
              <w:rPr>
                <w:rFonts w:cs="Arial"/>
                <w:color w:val="000000"/>
                <w:sz w:val="22"/>
                <w:szCs w:val="22"/>
                <w:lang w:eastAsia="en-GB"/>
              </w:rPr>
              <w:t xml:space="preserve"> </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7AEDD7EC"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31693056" w14:textId="34429F81" w:rsidR="00B85BD8" w:rsidRPr="009878A7" w:rsidRDefault="00B85BD8" w:rsidP="009878A7">
            <w:pPr>
              <w:autoSpaceDE w:val="0"/>
              <w:autoSpaceDN w:val="0"/>
              <w:adjustRightInd w:val="0"/>
              <w:spacing w:after="0"/>
              <w:rPr>
                <w:rFonts w:cs="Arial"/>
                <w:color w:val="000000"/>
                <w:sz w:val="22"/>
                <w:szCs w:val="22"/>
                <w:lang w:eastAsia="en-GB"/>
              </w:rPr>
            </w:pPr>
          </w:p>
        </w:tc>
      </w:tr>
      <w:tr w:rsidR="00F52BE8" w:rsidRPr="0036077E" w14:paraId="23492B51" w14:textId="77777777" w:rsidTr="001676AF">
        <w:trPr>
          <w:trHeight w:val="353"/>
        </w:trPr>
        <w:tc>
          <w:tcPr>
            <w:tcW w:w="9640"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t>3.2 Evaluation Criteria</w:t>
            </w:r>
          </w:p>
        </w:tc>
      </w:tr>
      <w:tr w:rsidR="00F52BE8" w:rsidRPr="0036077E" w14:paraId="5BF1BB9F" w14:textId="77777777" w:rsidTr="001676AF">
        <w:trPr>
          <w:trHeight w:val="352"/>
        </w:trPr>
        <w:tc>
          <w:tcPr>
            <w:tcW w:w="9640"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lastRenderedPageBreak/>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A4C98A8" w14:textId="655CC696" w:rsidR="00F52BE8" w:rsidRPr="00A560E6" w:rsidRDefault="00F52BE8" w:rsidP="00A560E6">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78948B0" w14:textId="1942C3B4" w:rsidR="00F52BE8" w:rsidRPr="0036077E" w:rsidRDefault="00F52BE8" w:rsidP="00335497">
            <w:pPr>
              <w:pStyle w:val="ListNumber"/>
              <w:numPr>
                <w:ilvl w:val="0"/>
                <w:numId w:val="0"/>
              </w:numPr>
              <w:rPr>
                <w:rFonts w:cs="Arial"/>
                <w:szCs w:val="24"/>
              </w:rPr>
            </w:pPr>
            <w:r w:rsidRPr="0036077E">
              <w:rPr>
                <w:rFonts w:cs="Arial"/>
                <w:b/>
                <w:szCs w:val="24"/>
              </w:rPr>
              <w:t>Methodology</w:t>
            </w:r>
            <w:r w:rsidR="00FE18B6">
              <w:rPr>
                <w:rFonts w:cs="Arial"/>
                <w:b/>
                <w:szCs w:val="24"/>
              </w:rPr>
              <w:t xml:space="preserve"> and delivery</w:t>
            </w:r>
            <w:r w:rsidRPr="0036077E">
              <w:rPr>
                <w:rFonts w:cs="Arial"/>
                <w:b/>
                <w:szCs w:val="24"/>
              </w:rPr>
              <w:t xml:space="preserve"> (</w:t>
            </w:r>
            <w:r w:rsidR="00A560E6">
              <w:rPr>
                <w:rFonts w:cs="Arial"/>
                <w:b/>
                <w:szCs w:val="24"/>
              </w:rPr>
              <w:t>20</w:t>
            </w:r>
            <w:r w:rsidRPr="0036077E">
              <w:rPr>
                <w:rFonts w:cs="Arial"/>
                <w:b/>
                <w:szCs w:val="24"/>
              </w:rPr>
              <w:t>%)</w:t>
            </w:r>
          </w:p>
          <w:p w14:paraId="1B8D7599" w14:textId="77777777" w:rsidR="00FE18B6" w:rsidRPr="00E82E74" w:rsidRDefault="00FE18B6" w:rsidP="00FE18B6">
            <w:pPr>
              <w:pStyle w:val="ListNumber"/>
              <w:numPr>
                <w:ilvl w:val="0"/>
                <w:numId w:val="0"/>
              </w:numPr>
              <w:tabs>
                <w:tab w:val="clear" w:pos="720"/>
                <w:tab w:val="left" w:pos="426"/>
              </w:tabs>
              <w:rPr>
                <w:rFonts w:cs="Arial"/>
                <w:sz w:val="22"/>
                <w:szCs w:val="22"/>
              </w:rPr>
            </w:pPr>
            <w:r w:rsidRPr="00E82E74">
              <w:rPr>
                <w:rFonts w:cs="Arial"/>
                <w:sz w:val="22"/>
                <w:szCs w:val="22"/>
              </w:rPr>
              <w:t xml:space="preserve">The proposal should set out how the project requirement will be delivered. In particular it should: </w:t>
            </w:r>
          </w:p>
          <w:p w14:paraId="1CE53F5B" w14:textId="77777777" w:rsidR="00FE18B6" w:rsidRPr="00E82E74" w:rsidRDefault="00FE18B6" w:rsidP="00FE18B6">
            <w:pPr>
              <w:pStyle w:val="ListNumber"/>
              <w:numPr>
                <w:ilvl w:val="0"/>
                <w:numId w:val="0"/>
              </w:numPr>
              <w:tabs>
                <w:tab w:val="clear" w:pos="720"/>
                <w:tab w:val="left" w:pos="426"/>
              </w:tabs>
              <w:rPr>
                <w:rFonts w:cs="Arial"/>
                <w:sz w:val="22"/>
                <w:szCs w:val="22"/>
              </w:rPr>
            </w:pPr>
            <w:r w:rsidRPr="00E82E74">
              <w:rPr>
                <w:rFonts w:cs="Arial"/>
                <w:sz w:val="22"/>
                <w:szCs w:val="22"/>
              </w:rPr>
              <w:t xml:space="preserve">a) Explain how the work will be delivered to timescale and how milestones will be met, detailing the resources that will be allocated to each stage; </w:t>
            </w:r>
          </w:p>
          <w:p w14:paraId="21BC588F" w14:textId="77777777" w:rsidR="00FE18B6" w:rsidRPr="00E82E74" w:rsidRDefault="00FE18B6" w:rsidP="00FE18B6">
            <w:pPr>
              <w:pStyle w:val="ListNumber"/>
              <w:numPr>
                <w:ilvl w:val="0"/>
                <w:numId w:val="0"/>
              </w:numPr>
              <w:tabs>
                <w:tab w:val="clear" w:pos="720"/>
                <w:tab w:val="left" w:pos="426"/>
              </w:tabs>
              <w:rPr>
                <w:rFonts w:cs="Arial"/>
                <w:sz w:val="22"/>
                <w:szCs w:val="22"/>
              </w:rPr>
            </w:pPr>
            <w:r w:rsidRPr="00E82E74">
              <w:rPr>
                <w:rFonts w:cs="Arial"/>
                <w:sz w:val="22"/>
                <w:szCs w:val="22"/>
              </w:rPr>
              <w:t xml:space="preserve">b) Demonstrate an understanding of risks and how they will be mitigated to ensure project delivery; </w:t>
            </w:r>
          </w:p>
          <w:p w14:paraId="0EA66375" w14:textId="2F141B85" w:rsidR="00F52BE8" w:rsidRPr="00FE18B6" w:rsidRDefault="00FE18B6" w:rsidP="00FE18B6">
            <w:pPr>
              <w:pStyle w:val="ListNumber"/>
              <w:numPr>
                <w:ilvl w:val="0"/>
                <w:numId w:val="0"/>
              </w:numPr>
              <w:tabs>
                <w:tab w:val="clear" w:pos="720"/>
                <w:tab w:val="left" w:pos="426"/>
              </w:tabs>
              <w:rPr>
                <w:rFonts w:cs="Arial"/>
                <w:sz w:val="22"/>
                <w:szCs w:val="22"/>
              </w:rPr>
            </w:pPr>
            <w:r w:rsidRPr="00E82E74">
              <w:rPr>
                <w:rFonts w:cs="Arial"/>
                <w:sz w:val="22"/>
                <w:szCs w:val="22"/>
              </w:rPr>
              <w:t xml:space="preserve">c) Explain how you will work with ORR to ensure the project’s requirements are met. </w:t>
            </w:r>
          </w:p>
          <w:p w14:paraId="20422A11" w14:textId="77777777" w:rsidR="00F52BE8" w:rsidRPr="0036077E" w:rsidRDefault="00F52BE8" w:rsidP="00335497">
            <w:pPr>
              <w:pStyle w:val="ListNumber"/>
              <w:numPr>
                <w:ilvl w:val="0"/>
                <w:numId w:val="0"/>
              </w:numPr>
              <w:rPr>
                <w:rFonts w:cs="Arial"/>
                <w:sz w:val="22"/>
                <w:szCs w:val="22"/>
              </w:rPr>
            </w:pPr>
          </w:p>
          <w:p w14:paraId="2554883F" w14:textId="626EDA4B"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FE18B6">
              <w:rPr>
                <w:rFonts w:cs="Arial"/>
                <w:b/>
                <w:szCs w:val="24"/>
              </w:rPr>
              <w:t>40</w:t>
            </w:r>
            <w:r w:rsidRPr="0036077E">
              <w:rPr>
                <w:rFonts w:cs="Arial"/>
                <w:b/>
                <w:szCs w:val="24"/>
              </w:rPr>
              <w:t>%)</w:t>
            </w:r>
          </w:p>
          <w:p w14:paraId="2473ABB0" w14:textId="77777777" w:rsidR="00FE18B6" w:rsidRPr="0036077E" w:rsidRDefault="00FE18B6" w:rsidP="00FE18B6">
            <w:pPr>
              <w:pStyle w:val="ListNumber"/>
              <w:numPr>
                <w:ilvl w:val="0"/>
                <w:numId w:val="0"/>
              </w:numPr>
              <w:rPr>
                <w:rFonts w:cs="Arial"/>
                <w:sz w:val="22"/>
                <w:szCs w:val="22"/>
              </w:rPr>
            </w:pPr>
            <w:r w:rsidRPr="0036077E">
              <w:rPr>
                <w:sz w:val="22"/>
                <w:szCs w:val="22"/>
              </w:rPr>
              <w:t>The proposal should set out any experience relevant to the project requirement.</w:t>
            </w:r>
            <w:r>
              <w:rPr>
                <w:sz w:val="22"/>
                <w:szCs w:val="22"/>
              </w:rPr>
              <w:t xml:space="preserve"> </w:t>
            </w:r>
            <w:r w:rsidRPr="0036077E">
              <w:rPr>
                <w:sz w:val="22"/>
                <w:szCs w:val="22"/>
              </w:rPr>
              <w:t>In particular, it must:</w:t>
            </w:r>
          </w:p>
          <w:p w14:paraId="048E399C" w14:textId="77777777" w:rsidR="00FE18B6" w:rsidRPr="0036077E" w:rsidRDefault="00FE18B6" w:rsidP="00FE18B6">
            <w:pPr>
              <w:pStyle w:val="ListNumber"/>
              <w:numPr>
                <w:ilvl w:val="0"/>
                <w:numId w:val="0"/>
              </w:numPr>
              <w:rPr>
                <w:rFonts w:cs="Arial"/>
                <w:sz w:val="22"/>
                <w:szCs w:val="22"/>
              </w:rPr>
            </w:pPr>
            <w:r w:rsidRPr="0036077E">
              <w:rPr>
                <w:rFonts w:cs="Arial"/>
                <w:sz w:val="22"/>
                <w:szCs w:val="22"/>
              </w:rPr>
              <w:t>a)</w:t>
            </w:r>
            <w:r>
              <w:rPr>
                <w:rFonts w:cs="Arial"/>
                <w:sz w:val="22"/>
                <w:szCs w:val="22"/>
              </w:rPr>
              <w:t xml:space="preserve"> </w:t>
            </w:r>
            <w:r w:rsidRPr="0036077E">
              <w:rPr>
                <w:rFonts w:cs="Arial"/>
                <w:sz w:val="22"/>
                <w:szCs w:val="22"/>
              </w:rPr>
              <w:t xml:space="preserve">Provide CVs of the consultants who will be delivering the project; </w:t>
            </w:r>
          </w:p>
          <w:p w14:paraId="5F44D1C3" w14:textId="77777777" w:rsidR="00FE18B6" w:rsidRPr="0036077E" w:rsidRDefault="00FE18B6" w:rsidP="00FE18B6">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and the individuals’ </w:t>
            </w:r>
            <w:r w:rsidRPr="0036077E">
              <w:rPr>
                <w:rFonts w:cs="Arial"/>
                <w:sz w:val="22"/>
                <w:szCs w:val="22"/>
              </w:rPr>
              <w:t>relevant experience for this project, submitting examples of similar projects</w:t>
            </w:r>
            <w:r>
              <w:rPr>
                <w:rFonts w:cs="Arial"/>
                <w:sz w:val="22"/>
                <w:szCs w:val="22"/>
              </w:rPr>
              <w:t xml:space="preserve"> and making clear the extent of industry expertise</w:t>
            </w:r>
            <w:r w:rsidRPr="0036077E">
              <w:rPr>
                <w:rFonts w:cs="Arial"/>
                <w:sz w:val="22"/>
                <w:szCs w:val="22"/>
              </w:rPr>
              <w:t>.</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700F9E75"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FE18B6">
              <w:rPr>
                <w:rFonts w:cs="Arial"/>
                <w:b/>
                <w:szCs w:val="24"/>
              </w:rPr>
              <w:t>40</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515693C" w:rsidR="00F52BE8" w:rsidRDefault="00FE18B6" w:rsidP="00FE18B6">
            <w:pPr>
              <w:autoSpaceDE w:val="0"/>
              <w:autoSpaceDN w:val="0"/>
              <w:adjustRightInd w:val="0"/>
              <w:spacing w:after="0"/>
              <w:rPr>
                <w:rFonts w:cs="Arial"/>
                <w:color w:val="000000"/>
                <w:sz w:val="22"/>
                <w:szCs w:val="22"/>
                <w:lang w:eastAsia="en-GB"/>
              </w:rPr>
            </w:pPr>
            <w:r w:rsidRPr="00637F20">
              <w:rPr>
                <w:rFonts w:cs="Arial"/>
                <w:color w:val="000000"/>
                <w:sz w:val="22"/>
                <w:szCs w:val="22"/>
                <w:lang w:eastAsia="en-GB"/>
              </w:rPr>
              <w:t>A separate and optional fixed fee for contribution or organisation of stakeholder engagement sessions, if required and as described above.</w:t>
            </w:r>
            <w:r>
              <w:rPr>
                <w:rFonts w:cs="Arial"/>
                <w:color w:val="000000"/>
                <w:sz w:val="22"/>
                <w:szCs w:val="22"/>
                <w:lang w:eastAsia="en-GB"/>
              </w:rPr>
              <w:t xml:space="preserve"> </w:t>
            </w:r>
          </w:p>
          <w:p w14:paraId="51731E94" w14:textId="77777777" w:rsidR="00FE18B6" w:rsidRPr="00FE18B6" w:rsidRDefault="00FE18B6" w:rsidP="00FE18B6">
            <w:pPr>
              <w:autoSpaceDE w:val="0"/>
              <w:autoSpaceDN w:val="0"/>
              <w:adjustRightInd w:val="0"/>
              <w:spacing w:after="0"/>
              <w:rPr>
                <w:rFonts w:cs="Arial"/>
                <w:color w:val="000000"/>
                <w:sz w:val="22"/>
                <w:szCs w:val="22"/>
                <w:lang w:eastAsia="en-GB"/>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8241"/>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lastRenderedPageBreak/>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BF7EB26" w:rsidR="00F52BE8" w:rsidRDefault="00F52BE8" w:rsidP="00335497">
            <w:pPr>
              <w:rPr>
                <w:rFonts w:cs="Arial"/>
                <w:b/>
                <w:sz w:val="32"/>
                <w:szCs w:val="32"/>
                <w:u w:val="single"/>
              </w:rPr>
            </w:pPr>
            <w:r w:rsidRPr="0036077E">
              <w:rPr>
                <w:rFonts w:cs="Arial"/>
                <w:b/>
                <w:sz w:val="32"/>
                <w:szCs w:val="32"/>
                <w:u w:val="single"/>
              </w:rPr>
              <w:t>Marking Scheme</w:t>
            </w:r>
          </w:p>
          <w:p w14:paraId="671491F5" w14:textId="04D42D0A" w:rsidR="001F5E9D" w:rsidRPr="006C7293" w:rsidRDefault="001F5E9D" w:rsidP="001F5E9D">
            <w:pPr>
              <w:rPr>
                <w:rFonts w:cs="Arial"/>
                <w:bCs/>
                <w:sz w:val="22"/>
                <w:szCs w:val="22"/>
              </w:rPr>
            </w:pPr>
            <w:r>
              <w:rPr>
                <w:rFonts w:cs="Arial"/>
                <w:bCs/>
                <w:sz w:val="22"/>
                <w:szCs w:val="22"/>
              </w:rPr>
              <w:t>Methodology, Delivery and Experience shall be scored using the following:</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D8FF496" w14:textId="77777777" w:rsidR="001E6660" w:rsidRDefault="001E6660" w:rsidP="001E6660">
            <w:pPr>
              <w:rPr>
                <w:rFonts w:cs="Arial"/>
                <w:sz w:val="22"/>
                <w:szCs w:val="22"/>
              </w:rPr>
            </w:pPr>
          </w:p>
          <w:p w14:paraId="173A03E3" w14:textId="65E000EA" w:rsidR="001E6660" w:rsidRDefault="001E6660" w:rsidP="001E6660">
            <w:pPr>
              <w:rPr>
                <w:rFonts w:cs="Arial"/>
                <w:sz w:val="22"/>
                <w:szCs w:val="22"/>
              </w:rPr>
            </w:pPr>
            <w:r>
              <w:rPr>
                <w:rFonts w:cs="Arial"/>
                <w:sz w:val="22"/>
                <w:szCs w:val="22"/>
              </w:rPr>
              <w:lastRenderedPageBreak/>
              <w:t>For the Price evaluation the following shall apply:</w:t>
            </w:r>
          </w:p>
          <w:p w14:paraId="27B3DBAE" w14:textId="77777777" w:rsidR="001E6660" w:rsidRPr="006C7293" w:rsidRDefault="001E6660" w:rsidP="001E6660">
            <w:pPr>
              <w:rPr>
                <w:rFonts w:cs="Arial"/>
                <w:sz w:val="22"/>
                <w:szCs w:val="22"/>
                <w:u w:val="single"/>
              </w:rPr>
            </w:pPr>
            <w:r w:rsidRPr="006C7293">
              <w:rPr>
                <w:rFonts w:cs="Arial"/>
                <w:sz w:val="22"/>
                <w:szCs w:val="22"/>
                <w:u w:val="single"/>
              </w:rPr>
              <w:t>Fixed fee</w:t>
            </w:r>
          </w:p>
          <w:p w14:paraId="39FF6F3D" w14:textId="77777777" w:rsidR="001E6660" w:rsidRDefault="001E6660" w:rsidP="001E6660">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175B4683" w14:textId="77777777" w:rsidR="001E6660" w:rsidRDefault="001E6660" w:rsidP="001E6660">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23ACD0C8" w14:textId="77777777" w:rsidR="001E6660" w:rsidRDefault="001E6660" w:rsidP="001E6660">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37D23D2F" w14:textId="77777777" w:rsidR="001E6660" w:rsidRDefault="001E6660" w:rsidP="001E6660">
            <w:pPr>
              <w:spacing w:after="0"/>
              <w:rPr>
                <w:rFonts w:cs="Arial"/>
                <w:sz w:val="22"/>
                <w:szCs w:val="22"/>
                <w:shd w:val="clear" w:color="auto" w:fill="FFFFFF"/>
              </w:rPr>
            </w:pPr>
            <w:r w:rsidRPr="00CE6874">
              <w:rPr>
                <w:rFonts w:cs="Arial"/>
                <w:sz w:val="22"/>
                <w:szCs w:val="22"/>
                <w:shd w:val="clear" w:color="auto" w:fill="FFFFFF"/>
              </w:rPr>
              <w:t xml:space="preserve">Price </w:t>
            </w:r>
            <w:proofErr w:type="gramStart"/>
            <w:r w:rsidRPr="00CE6874">
              <w:rPr>
                <w:rFonts w:cs="Arial"/>
                <w:sz w:val="22"/>
                <w:szCs w:val="22"/>
                <w:shd w:val="clear" w:color="auto" w:fill="FFFFFF"/>
              </w:rPr>
              <w:t>Score  =</w:t>
            </w:r>
            <w:proofErr w:type="gramEnd"/>
            <w:r w:rsidRPr="00CE6874">
              <w:rPr>
                <w:rFonts w:cs="Arial"/>
                <w:sz w:val="22"/>
                <w:szCs w:val="22"/>
                <w:shd w:val="clear" w:color="auto" w:fill="FFFFFF"/>
              </w:rPr>
              <w:t xml:space="preserve">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1781F437" w14:textId="77777777" w:rsidR="001E6660" w:rsidRDefault="001E6660" w:rsidP="001E6660">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6F82A809" w14:textId="77777777" w:rsidR="001E6660" w:rsidRDefault="001E6660" w:rsidP="001E6660">
            <w:pPr>
              <w:rPr>
                <w:rFonts w:cs="Arial"/>
                <w:sz w:val="22"/>
                <w:szCs w:val="22"/>
                <w:shd w:val="clear" w:color="auto" w:fill="FFFFFF"/>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3510"/>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188355D8" w14:textId="2A6BB85B" w:rsidR="00F52BE8" w:rsidRPr="0036077E" w:rsidRDefault="001E6660" w:rsidP="00335497">
            <w:pPr>
              <w:pStyle w:val="ListNumber"/>
              <w:numPr>
                <w:ilvl w:val="0"/>
                <w:numId w:val="0"/>
              </w:numPr>
              <w:spacing w:before="0" w:after="0"/>
              <w:rPr>
                <w:rFonts w:cs="Arial"/>
              </w:rPr>
            </w:pPr>
            <w:r>
              <w:rPr>
                <w:rFonts w:cs="Arial"/>
              </w:rPr>
              <w:t>0</w:t>
            </w:r>
            <w:r w:rsidR="0051724B">
              <w:rPr>
                <w:rFonts w:cs="Arial"/>
              </w:rPr>
              <w:t>1</w:t>
            </w:r>
            <w:r w:rsidR="00B85BD8">
              <w:rPr>
                <w:rFonts w:cs="Arial"/>
              </w:rPr>
              <w:t>/06/2021</w:t>
            </w:r>
          </w:p>
        </w:tc>
      </w:tr>
      <w:tr w:rsidR="00F52BE8" w:rsidRPr="0036077E" w14:paraId="53056EF8" w14:textId="77777777" w:rsidTr="00335497">
        <w:tc>
          <w:tcPr>
            <w:tcW w:w="4928"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2D8E9C0D" w14:textId="0F3ACF22" w:rsidR="00F52BE8" w:rsidRPr="0036077E" w:rsidRDefault="001E6660" w:rsidP="00335497">
            <w:pPr>
              <w:pStyle w:val="ListNumber"/>
              <w:numPr>
                <w:ilvl w:val="0"/>
                <w:numId w:val="0"/>
              </w:numPr>
              <w:spacing w:before="0" w:after="0"/>
              <w:rPr>
                <w:rFonts w:cs="Arial"/>
              </w:rPr>
            </w:pPr>
            <w:r>
              <w:rPr>
                <w:rFonts w:cs="Arial"/>
              </w:rPr>
              <w:t>0</w:t>
            </w:r>
            <w:r w:rsidR="00B85BD8">
              <w:rPr>
                <w:rFonts w:cs="Arial"/>
              </w:rPr>
              <w:t>9/06/2021</w:t>
            </w:r>
            <w:r w:rsidR="0051724B">
              <w:rPr>
                <w:rFonts w:cs="Arial"/>
              </w:rPr>
              <w:t xml:space="preserve"> </w:t>
            </w:r>
            <w:proofErr w:type="spellStart"/>
            <w:r w:rsidR="0051724B">
              <w:rPr>
                <w:rFonts w:cs="Arial"/>
              </w:rPr>
              <w:t>12:00pm</w:t>
            </w:r>
            <w:proofErr w:type="spellEnd"/>
          </w:p>
        </w:tc>
      </w:tr>
      <w:tr w:rsidR="00F52BE8" w:rsidRPr="0036077E" w14:paraId="3400FC76" w14:textId="77777777" w:rsidTr="00335497">
        <w:tc>
          <w:tcPr>
            <w:tcW w:w="4928"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2F5D93EF" w14:textId="1348FAA5" w:rsidR="00F52BE8" w:rsidRPr="0036077E" w:rsidRDefault="00B85BD8" w:rsidP="00335497">
            <w:pPr>
              <w:pStyle w:val="ListNumber"/>
              <w:numPr>
                <w:ilvl w:val="0"/>
                <w:numId w:val="0"/>
              </w:numPr>
              <w:spacing w:before="0" w:after="0"/>
              <w:rPr>
                <w:rFonts w:cs="Arial"/>
              </w:rPr>
            </w:pPr>
            <w:r>
              <w:rPr>
                <w:rFonts w:cs="Arial"/>
              </w:rPr>
              <w:t>16/06/2021</w:t>
            </w:r>
            <w:r w:rsidR="0051724B">
              <w:rPr>
                <w:rFonts w:cs="Arial"/>
              </w:rPr>
              <w:t xml:space="preserve"> </w:t>
            </w:r>
            <w:proofErr w:type="spellStart"/>
            <w:r w:rsidR="0051724B">
              <w:rPr>
                <w:rFonts w:cs="Arial"/>
              </w:rPr>
              <w:t>12:0</w:t>
            </w:r>
            <w:r w:rsidR="00F73A38">
              <w:rPr>
                <w:rFonts w:cs="Arial"/>
              </w:rPr>
              <w:t>0</w:t>
            </w:r>
            <w:r w:rsidR="0051724B">
              <w:rPr>
                <w:rFonts w:cs="Arial"/>
              </w:rPr>
              <w:t>pm</w:t>
            </w:r>
            <w:proofErr w:type="spellEnd"/>
          </w:p>
        </w:tc>
      </w:tr>
      <w:tr w:rsidR="00F52BE8" w:rsidRPr="0036077E" w14:paraId="11C0BA8A" w14:textId="77777777" w:rsidTr="00335497">
        <w:tc>
          <w:tcPr>
            <w:tcW w:w="4928" w:type="dxa"/>
            <w:shd w:val="clear" w:color="auto" w:fill="auto"/>
          </w:tcPr>
          <w:p w14:paraId="24E1FD08" w14:textId="77777777" w:rsidR="00F52BE8" w:rsidRPr="0036077E" w:rsidRDefault="00F52BE8" w:rsidP="00335497">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CB4DE4C" w14:textId="08B42D78" w:rsidR="00F52BE8" w:rsidRPr="0036077E" w:rsidRDefault="00B85BD8" w:rsidP="00335497">
            <w:pPr>
              <w:pStyle w:val="ListNumber"/>
              <w:numPr>
                <w:ilvl w:val="0"/>
                <w:numId w:val="0"/>
              </w:numPr>
              <w:spacing w:before="0" w:after="0"/>
              <w:rPr>
                <w:rFonts w:cs="Arial"/>
              </w:rPr>
            </w:pPr>
            <w:r>
              <w:rPr>
                <w:rFonts w:cs="Arial"/>
              </w:rPr>
              <w:t>21/06/2021</w:t>
            </w:r>
          </w:p>
        </w:tc>
      </w:tr>
      <w:tr w:rsidR="00F52BE8" w:rsidRPr="0036077E" w14:paraId="33A97623" w14:textId="77777777" w:rsidTr="00335497">
        <w:tc>
          <w:tcPr>
            <w:tcW w:w="4928" w:type="dxa"/>
            <w:shd w:val="clear" w:color="auto" w:fill="auto"/>
          </w:tcPr>
          <w:p w14:paraId="29C10B10" w14:textId="77777777" w:rsidR="00F52BE8" w:rsidRPr="0036077E" w:rsidRDefault="00F52BE8" w:rsidP="00335497">
            <w:pPr>
              <w:pStyle w:val="ListNumber"/>
              <w:numPr>
                <w:ilvl w:val="0"/>
                <w:numId w:val="0"/>
              </w:numPr>
              <w:spacing w:before="0" w:after="0"/>
              <w:rPr>
                <w:rFonts w:cs="Arial"/>
              </w:rPr>
            </w:pPr>
            <w:r w:rsidRPr="0036077E">
              <w:rPr>
                <w:rFonts w:cs="Arial"/>
              </w:rPr>
              <w:t>Interviews and presentations*</w:t>
            </w:r>
          </w:p>
        </w:tc>
        <w:tc>
          <w:tcPr>
            <w:tcW w:w="3600" w:type="dxa"/>
            <w:shd w:val="clear" w:color="auto" w:fill="auto"/>
          </w:tcPr>
          <w:p w14:paraId="6DD230DD" w14:textId="5A1C4633" w:rsidR="00F52BE8" w:rsidRPr="0036077E" w:rsidRDefault="00B85BD8" w:rsidP="00335497">
            <w:pPr>
              <w:pStyle w:val="ListNumber"/>
              <w:numPr>
                <w:ilvl w:val="0"/>
                <w:numId w:val="0"/>
              </w:numPr>
              <w:spacing w:before="0" w:after="0"/>
              <w:rPr>
                <w:rFonts w:cs="Arial"/>
              </w:rPr>
            </w:pPr>
            <w:r>
              <w:rPr>
                <w:rFonts w:cs="Arial"/>
              </w:rPr>
              <w:t>24/06/2021, 25/06/2021</w:t>
            </w:r>
          </w:p>
        </w:tc>
      </w:tr>
      <w:tr w:rsidR="00F52BE8" w:rsidRPr="0036077E" w14:paraId="4980ADEC" w14:textId="77777777" w:rsidTr="00335497">
        <w:tc>
          <w:tcPr>
            <w:tcW w:w="4928"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550C074B" w14:textId="60F02C50" w:rsidR="00F52BE8" w:rsidRPr="0036077E" w:rsidRDefault="00B85BD8" w:rsidP="00335497">
            <w:pPr>
              <w:pStyle w:val="ListNumber"/>
              <w:numPr>
                <w:ilvl w:val="0"/>
                <w:numId w:val="0"/>
              </w:numPr>
              <w:spacing w:before="0" w:after="0"/>
              <w:rPr>
                <w:rFonts w:cs="Arial"/>
              </w:rPr>
            </w:pPr>
            <w:r>
              <w:rPr>
                <w:rFonts w:cs="Arial"/>
              </w:rPr>
              <w:t>30/06/2021</w:t>
            </w:r>
          </w:p>
        </w:tc>
      </w:tr>
      <w:tr w:rsidR="00F52BE8" w:rsidRPr="0036077E" w14:paraId="6D8D1611" w14:textId="77777777" w:rsidTr="00335497">
        <w:tc>
          <w:tcPr>
            <w:tcW w:w="4928"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6F5D68DF" w14:textId="5D9E93CA" w:rsidR="00F52BE8" w:rsidRPr="0036077E" w:rsidRDefault="00B85BD8" w:rsidP="00335497">
            <w:pPr>
              <w:pStyle w:val="ListNumber"/>
              <w:numPr>
                <w:ilvl w:val="0"/>
                <w:numId w:val="0"/>
              </w:numPr>
              <w:spacing w:before="0" w:after="0"/>
              <w:rPr>
                <w:rFonts w:cs="Arial"/>
              </w:rPr>
            </w:pPr>
            <w:r>
              <w:rPr>
                <w:rFonts w:cs="Arial"/>
              </w:rPr>
              <w:t>w/c 30/06/2021</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B73295"/>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42F5" w14:textId="77777777" w:rsidR="00907461" w:rsidRDefault="00907461">
      <w:pPr>
        <w:spacing w:after="0"/>
      </w:pPr>
      <w:r>
        <w:separator/>
      </w:r>
    </w:p>
  </w:endnote>
  <w:endnote w:type="continuationSeparator" w:id="0">
    <w:p w14:paraId="59194EFB" w14:textId="77777777" w:rsidR="00907461" w:rsidRDefault="00907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B73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B73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42BA" w14:textId="77777777" w:rsidR="00907461" w:rsidRDefault="00907461">
      <w:pPr>
        <w:spacing w:after="0"/>
      </w:pPr>
      <w:r>
        <w:separator/>
      </w:r>
    </w:p>
  </w:footnote>
  <w:footnote w:type="continuationSeparator" w:id="0">
    <w:p w14:paraId="76C8E795" w14:textId="77777777" w:rsidR="00907461" w:rsidRDefault="00907461">
      <w:pPr>
        <w:spacing w:after="0"/>
      </w:pPr>
      <w:r>
        <w:continuationSeparator/>
      </w:r>
    </w:p>
  </w:footnote>
  <w:footnote w:id="1">
    <w:p w14:paraId="22D20BCA" w14:textId="6D19556B" w:rsidR="004875A3" w:rsidRPr="004875A3" w:rsidRDefault="004875A3">
      <w:pPr>
        <w:pStyle w:val="FootnoteText"/>
        <w:rPr>
          <w:lang w:val="en-GB"/>
        </w:rPr>
      </w:pPr>
      <w:r>
        <w:rPr>
          <w:rStyle w:val="FootnoteReference"/>
        </w:rPr>
        <w:footnoteRef/>
      </w:r>
      <w:r>
        <w:t xml:space="preserve"> </w:t>
      </w:r>
      <w:r>
        <w:rPr>
          <w:lang w:val="en-GB"/>
        </w:rPr>
        <w:t xml:space="preserve">We use “Schedule 4” and “possessions regime” interchangeably. </w:t>
      </w:r>
    </w:p>
  </w:footnote>
  <w:footnote w:id="2">
    <w:p w14:paraId="7255383D" w14:textId="46BC0F6B" w:rsidR="00E534C2" w:rsidRDefault="00E534C2" w:rsidP="00E534C2">
      <w:pPr>
        <w:pStyle w:val="FootnoteText"/>
      </w:pPr>
      <w:r>
        <w:rPr>
          <w:rStyle w:val="FootnoteReference"/>
        </w:rPr>
        <w:footnoteRef/>
      </w:r>
      <w:r>
        <w:t xml:space="preserve"> The contracts put in place by the Department for Transport (</w:t>
      </w:r>
      <w:proofErr w:type="spellStart"/>
      <w:r>
        <w:t>DfT</w:t>
      </w:r>
      <w:proofErr w:type="spellEnd"/>
      <w:r>
        <w:t xml:space="preserve">) are </w:t>
      </w:r>
      <w:r w:rsidRPr="009B5781">
        <w:t>known as Emergency Recovery Measu</w:t>
      </w:r>
      <w:r>
        <w:t>res Agreements (ERMAs)</w:t>
      </w:r>
      <w:r w:rsidR="00B93873">
        <w:t xml:space="preserve"> and National Rail Concession Contracts. </w:t>
      </w:r>
      <w:r>
        <w:t>Other franchising authorities have put in place similar arrangements.</w:t>
      </w:r>
      <w:r w:rsidR="00E73E79">
        <w:t xml:space="preserve"> It is worth noting that by </w:t>
      </w:r>
      <w:r w:rsidR="00376DC3">
        <w:t xml:space="preserve">the time the next control period starts in 2024, we expect these arrangements to be replaced by Passenger Service Contracts. </w:t>
      </w:r>
    </w:p>
  </w:footnote>
  <w:footnote w:id="3">
    <w:p w14:paraId="51710754" w14:textId="45830126" w:rsidR="00B93873" w:rsidRPr="00B93873" w:rsidRDefault="00B93873">
      <w:pPr>
        <w:pStyle w:val="FootnoteText"/>
        <w:rPr>
          <w:lang w:val="en-GB"/>
        </w:rPr>
      </w:pPr>
      <w:r>
        <w:rPr>
          <w:rStyle w:val="FootnoteReference"/>
        </w:rPr>
        <w:footnoteRef/>
      </w:r>
      <w:r>
        <w:t xml:space="preserve"> </w:t>
      </w:r>
      <w:r w:rsidR="00EA1ABD">
        <w:rPr>
          <w:lang w:val="en-GB"/>
        </w:rPr>
        <w:t xml:space="preserve">The Government recently published a White Paper outlining its plans for the railway. The White Paper is published </w:t>
      </w:r>
      <w:hyperlink r:id="rId1" w:history="1">
        <w:r w:rsidR="00EA1ABD" w:rsidRPr="00EA1ABD">
          <w:rPr>
            <w:rStyle w:val="Hyperlink"/>
            <w:lang w:val="en-GB"/>
          </w:rPr>
          <w:t>here</w:t>
        </w:r>
      </w:hyperlink>
      <w:r w:rsidR="00EA1ABD">
        <w:rPr>
          <w:lang w:val="en-GB"/>
        </w:rPr>
        <w:t xml:space="preserve">. </w:t>
      </w:r>
      <w:r>
        <w:rPr>
          <w:lang w:val="en-GB"/>
        </w:rPr>
        <w:t xml:space="preserve"> </w:t>
      </w:r>
    </w:p>
  </w:footnote>
  <w:footnote w:id="4">
    <w:p w14:paraId="62CEEA35" w14:textId="714C685C" w:rsidR="000A5F09" w:rsidRPr="000A5F09" w:rsidRDefault="000A5F09">
      <w:pPr>
        <w:pStyle w:val="FootnoteText"/>
        <w:rPr>
          <w:lang w:val="en-GB"/>
        </w:rPr>
      </w:pPr>
      <w:r>
        <w:rPr>
          <w:rStyle w:val="FootnoteReference"/>
        </w:rPr>
        <w:footnoteRef/>
      </w:r>
      <w:r>
        <w:t xml:space="preserve"> </w:t>
      </w:r>
      <w:r w:rsidR="00B93873">
        <w:t>Our review of Schedule 4 is for PR23</w:t>
      </w:r>
      <w:r>
        <w:rPr>
          <w:lang w:val="en-GB"/>
        </w:rPr>
        <w:t xml:space="preserve">, i.e., the next control period starting in 2024. </w:t>
      </w:r>
      <w:r w:rsidR="00B93873">
        <w:rPr>
          <w:lang w:val="en-GB"/>
        </w:rPr>
        <w:t xml:space="preserve">The </w:t>
      </w:r>
      <w:r>
        <w:rPr>
          <w:lang w:val="en-GB"/>
        </w:rPr>
        <w:t xml:space="preserve">analysis </w:t>
      </w:r>
      <w:r w:rsidR="00B93873">
        <w:rPr>
          <w:lang w:val="en-GB"/>
        </w:rPr>
        <w:t xml:space="preserve">and policy work </w:t>
      </w:r>
      <w:r>
        <w:rPr>
          <w:lang w:val="en-GB"/>
        </w:rPr>
        <w:t xml:space="preserve">conducted by the consultant will need to be set within the context expected in 2024 and onwards. </w:t>
      </w:r>
    </w:p>
  </w:footnote>
  <w:footnote w:id="5">
    <w:p w14:paraId="6A3137FA" w14:textId="2F4F888E" w:rsidR="008F6734" w:rsidRPr="008F6734" w:rsidRDefault="008F6734">
      <w:pPr>
        <w:pStyle w:val="FootnoteText"/>
        <w:rPr>
          <w:lang w:val="en-GB"/>
        </w:rPr>
      </w:pPr>
      <w:r>
        <w:rPr>
          <w:rStyle w:val="FootnoteReference"/>
        </w:rPr>
        <w:footnoteRef/>
      </w:r>
      <w:r>
        <w:t xml:space="preserve"> </w:t>
      </w:r>
      <w:r>
        <w:rPr>
          <w:lang w:val="en-GB"/>
        </w:rPr>
        <w:t xml:space="preserve">ORR has undertaken several research projects which relate to the possessions regime, including a published report on train performance incentives (available </w:t>
      </w:r>
      <w:hyperlink r:id="rId2" w:history="1">
        <w:r w:rsidRPr="008F6734">
          <w:rPr>
            <w:rStyle w:val="Hyperlink"/>
            <w:lang w:val="en-GB"/>
          </w:rPr>
          <w:t>here</w:t>
        </w:r>
      </w:hyperlink>
      <w:r>
        <w:rPr>
          <w:lang w:val="en-GB"/>
        </w:rPr>
        <w:t xml:space="preserve">), an internal mapping exercise of train performance incentives which sets Schedule 4 in context within the broader incentives framework, and another report which looks at Network Rail’s incentives in </w:t>
      </w:r>
      <w:r w:rsidRPr="00DA06B2">
        <w:rPr>
          <w:lang w:val="en-GB"/>
        </w:rPr>
        <w:t>general.</w:t>
      </w:r>
    </w:p>
  </w:footnote>
  <w:footnote w:id="6">
    <w:p w14:paraId="5AD621CF" w14:textId="66DB835C" w:rsidR="00406891" w:rsidRDefault="00406891" w:rsidP="00406891">
      <w:pPr>
        <w:pStyle w:val="FootnoteText"/>
      </w:pPr>
      <w:r>
        <w:rPr>
          <w:rStyle w:val="FootnoteReference"/>
        </w:rPr>
        <w:footnoteRef/>
      </w:r>
      <w:r>
        <w:t xml:space="preserve"> Incremental reform is expected to only apply to non </w:t>
      </w:r>
      <w:proofErr w:type="spellStart"/>
      <w:r>
        <w:t>DfT</w:t>
      </w:r>
      <w:proofErr w:type="spellEnd"/>
      <w:r>
        <w:t xml:space="preserve">-contracted operators, since </w:t>
      </w:r>
      <w:proofErr w:type="spellStart"/>
      <w:r>
        <w:t>DfT</w:t>
      </w:r>
      <w:proofErr w:type="spellEnd"/>
      <w:r>
        <w:t xml:space="preserve">-contracted operators are expected to opt-out of Schedule 4. </w:t>
      </w:r>
    </w:p>
  </w:footnote>
  <w:footnote w:id="7">
    <w:p w14:paraId="4E7CBC85" w14:textId="1ECB02CA" w:rsidR="001E6660" w:rsidRPr="001E6660" w:rsidRDefault="001E6660">
      <w:pPr>
        <w:pStyle w:val="FootnoteText"/>
        <w:rPr>
          <w:lang w:val="en-GB"/>
        </w:rPr>
      </w:pPr>
      <w:r>
        <w:rPr>
          <w:rStyle w:val="FootnoteReference"/>
        </w:rPr>
        <w:footnoteRef/>
      </w:r>
      <w:r>
        <w:t xml:space="preserve"> Where potential </w:t>
      </w:r>
      <w:r>
        <w:rPr>
          <w:lang w:val="en-GB"/>
        </w:rPr>
        <w:t xml:space="preserve">suppliers are supporting </w:t>
      </w:r>
      <w:proofErr w:type="gramStart"/>
      <w:r>
        <w:rPr>
          <w:lang w:val="en-GB"/>
        </w:rPr>
        <w:t>Stakeholders</w:t>
      </w:r>
      <w:proofErr w:type="gramEnd"/>
      <w:r>
        <w:rPr>
          <w:lang w:val="en-GB"/>
        </w:rPr>
        <w:t xml:space="preserve"> they should note the Conflict of Interest requirements in section 2.6 of this 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B73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B73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B73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63E6"/>
    <w:multiLevelType w:val="hybridMultilevel"/>
    <w:tmpl w:val="4F88AD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B04E18"/>
    <w:multiLevelType w:val="hybridMultilevel"/>
    <w:tmpl w:val="6D8E3DE6"/>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517B5"/>
    <w:multiLevelType w:val="hybridMultilevel"/>
    <w:tmpl w:val="923ED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F7C2F"/>
    <w:multiLevelType w:val="hybridMultilevel"/>
    <w:tmpl w:val="DC9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E069E"/>
    <w:multiLevelType w:val="hybridMultilevel"/>
    <w:tmpl w:val="12D6DE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123B5E"/>
    <w:multiLevelType w:val="hybridMultilevel"/>
    <w:tmpl w:val="A654685E"/>
    <w:lvl w:ilvl="0" w:tplc="417CC34A">
      <w:start w:val="1"/>
      <w:numFmt w:val="decimal"/>
      <w:pStyle w:val="Numberedparanew"/>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1D6156"/>
    <w:multiLevelType w:val="hybridMultilevel"/>
    <w:tmpl w:val="F04E69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27C77"/>
    <w:multiLevelType w:val="hybridMultilevel"/>
    <w:tmpl w:val="5840111C"/>
    <w:lvl w:ilvl="0" w:tplc="0809000F">
      <w:start w:val="1"/>
      <w:numFmt w:val="decimal"/>
      <w:lvlText w:val="%1."/>
      <w:lvlJc w:val="left"/>
      <w:pPr>
        <w:ind w:left="786"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C4701"/>
    <w:multiLevelType w:val="hybridMultilevel"/>
    <w:tmpl w:val="4D040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4057AB"/>
    <w:multiLevelType w:val="hybridMultilevel"/>
    <w:tmpl w:val="4258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A66F4D"/>
    <w:multiLevelType w:val="hybridMultilevel"/>
    <w:tmpl w:val="693A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92CED"/>
    <w:multiLevelType w:val="hybridMultilevel"/>
    <w:tmpl w:val="8258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5233D"/>
    <w:multiLevelType w:val="hybridMultilevel"/>
    <w:tmpl w:val="126C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A07146"/>
    <w:multiLevelType w:val="hybridMultilevel"/>
    <w:tmpl w:val="98B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613AFD"/>
    <w:multiLevelType w:val="hybridMultilevel"/>
    <w:tmpl w:val="98C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512973"/>
    <w:multiLevelType w:val="hybridMultilevel"/>
    <w:tmpl w:val="BDA4B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6D1016"/>
    <w:multiLevelType w:val="hybridMultilevel"/>
    <w:tmpl w:val="BDA0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838F1"/>
    <w:multiLevelType w:val="hybridMultilevel"/>
    <w:tmpl w:val="4DF4F6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34C488E"/>
    <w:multiLevelType w:val="hybridMultilevel"/>
    <w:tmpl w:val="4E708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8A21F6"/>
    <w:multiLevelType w:val="hybridMultilevel"/>
    <w:tmpl w:val="28968868"/>
    <w:lvl w:ilvl="0" w:tplc="A9B891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07E1422"/>
    <w:multiLevelType w:val="hybridMultilevel"/>
    <w:tmpl w:val="26E8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157852"/>
    <w:multiLevelType w:val="hybridMultilevel"/>
    <w:tmpl w:val="4BE8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701169"/>
    <w:multiLevelType w:val="hybridMultilevel"/>
    <w:tmpl w:val="52C4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38002D"/>
    <w:multiLevelType w:val="hybridMultilevel"/>
    <w:tmpl w:val="B7F2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623228"/>
    <w:multiLevelType w:val="hybridMultilevel"/>
    <w:tmpl w:val="50C05F18"/>
    <w:lvl w:ilvl="0" w:tplc="2EDE41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8867D1B"/>
    <w:multiLevelType w:val="hybridMultilevel"/>
    <w:tmpl w:val="97CC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FF5619"/>
    <w:multiLevelType w:val="hybridMultilevel"/>
    <w:tmpl w:val="659EE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35"/>
  </w:num>
  <w:num w:numId="3">
    <w:abstractNumId w:val="16"/>
  </w:num>
  <w:num w:numId="4">
    <w:abstractNumId w:val="38"/>
  </w:num>
  <w:num w:numId="5">
    <w:abstractNumId w:val="23"/>
  </w:num>
  <w:num w:numId="6">
    <w:abstractNumId w:val="2"/>
  </w:num>
  <w:num w:numId="7">
    <w:abstractNumId w:val="34"/>
  </w:num>
  <w:num w:numId="8">
    <w:abstractNumId w:val="12"/>
  </w:num>
  <w:num w:numId="9">
    <w:abstractNumId w:val="17"/>
  </w:num>
  <w:num w:numId="10">
    <w:abstractNumId w:val="27"/>
  </w:num>
  <w:num w:numId="11">
    <w:abstractNumId w:val="47"/>
  </w:num>
  <w:num w:numId="12">
    <w:abstractNumId w:val="13"/>
  </w:num>
  <w:num w:numId="13">
    <w:abstractNumId w:val="7"/>
  </w:num>
  <w:num w:numId="14">
    <w:abstractNumId w:val="25"/>
  </w:num>
  <w:num w:numId="15">
    <w:abstractNumId w:val="48"/>
  </w:num>
  <w:num w:numId="16">
    <w:abstractNumId w:val="3"/>
  </w:num>
  <w:num w:numId="17">
    <w:abstractNumId w:val="44"/>
  </w:num>
  <w:num w:numId="18">
    <w:abstractNumId w:val="21"/>
  </w:num>
  <w:num w:numId="19">
    <w:abstractNumId w:val="18"/>
  </w:num>
  <w:num w:numId="20">
    <w:abstractNumId w:val="3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3"/>
  </w:num>
  <w:num w:numId="24">
    <w:abstractNumId w:val="1"/>
  </w:num>
  <w:num w:numId="25">
    <w:abstractNumId w:val="32"/>
  </w:num>
  <w:num w:numId="26">
    <w:abstractNumId w:val="41"/>
  </w:num>
  <w:num w:numId="27">
    <w:abstractNumId w:val="4"/>
  </w:num>
  <w:num w:numId="28">
    <w:abstractNumId w:val="19"/>
  </w:num>
  <w:num w:numId="29">
    <w:abstractNumId w:val="33"/>
  </w:num>
  <w:num w:numId="30">
    <w:abstractNumId w:val="46"/>
  </w:num>
  <w:num w:numId="31">
    <w:abstractNumId w:val="36"/>
  </w:num>
  <w:num w:numId="32">
    <w:abstractNumId w:val="6"/>
  </w:num>
  <w:num w:numId="33">
    <w:abstractNumId w:val="26"/>
  </w:num>
  <w:num w:numId="34">
    <w:abstractNumId w:val="45"/>
  </w:num>
  <w:num w:numId="35">
    <w:abstractNumId w:val="11"/>
  </w:num>
  <w:num w:numId="36">
    <w:abstractNumId w:val="14"/>
  </w:num>
  <w:num w:numId="37">
    <w:abstractNumId w:val="29"/>
  </w:num>
  <w:num w:numId="38">
    <w:abstractNumId w:val="40"/>
  </w:num>
  <w:num w:numId="39">
    <w:abstractNumId w:val="15"/>
  </w:num>
  <w:num w:numId="40">
    <w:abstractNumId w:val="0"/>
  </w:num>
  <w:num w:numId="41">
    <w:abstractNumId w:val="49"/>
  </w:num>
  <w:num w:numId="42">
    <w:abstractNumId w:val="22"/>
  </w:num>
  <w:num w:numId="43">
    <w:abstractNumId w:val="30"/>
  </w:num>
  <w:num w:numId="44">
    <w:abstractNumId w:val="24"/>
  </w:num>
  <w:num w:numId="45">
    <w:abstractNumId w:val="42"/>
  </w:num>
  <w:num w:numId="46">
    <w:abstractNumId w:val="9"/>
  </w:num>
  <w:num w:numId="47">
    <w:abstractNumId w:val="5"/>
  </w:num>
  <w:num w:numId="48">
    <w:abstractNumId w:val="28"/>
  </w:num>
  <w:num w:numId="49">
    <w:abstractNumId w:val="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2509D"/>
    <w:rsid w:val="00031172"/>
    <w:rsid w:val="00063A11"/>
    <w:rsid w:val="000701C0"/>
    <w:rsid w:val="00070D30"/>
    <w:rsid w:val="000A5F09"/>
    <w:rsid w:val="001555FC"/>
    <w:rsid w:val="001676AF"/>
    <w:rsid w:val="00182C94"/>
    <w:rsid w:val="001845B5"/>
    <w:rsid w:val="001A5D12"/>
    <w:rsid w:val="001C3C7B"/>
    <w:rsid w:val="001D5D61"/>
    <w:rsid w:val="001E6660"/>
    <w:rsid w:val="001F5E9D"/>
    <w:rsid w:val="00205D84"/>
    <w:rsid w:val="002127E5"/>
    <w:rsid w:val="00224529"/>
    <w:rsid w:val="00243C6B"/>
    <w:rsid w:val="00261AE3"/>
    <w:rsid w:val="00296648"/>
    <w:rsid w:val="00306515"/>
    <w:rsid w:val="00376DC3"/>
    <w:rsid w:val="003874F0"/>
    <w:rsid w:val="003B3ECA"/>
    <w:rsid w:val="00406891"/>
    <w:rsid w:val="0040709A"/>
    <w:rsid w:val="004235BD"/>
    <w:rsid w:val="00440DDE"/>
    <w:rsid w:val="00470E09"/>
    <w:rsid w:val="00481DE7"/>
    <w:rsid w:val="004875A3"/>
    <w:rsid w:val="004C208A"/>
    <w:rsid w:val="0051724B"/>
    <w:rsid w:val="005530F0"/>
    <w:rsid w:val="00591ADB"/>
    <w:rsid w:val="005B6035"/>
    <w:rsid w:val="005D51BC"/>
    <w:rsid w:val="00625B7D"/>
    <w:rsid w:val="00637F20"/>
    <w:rsid w:val="00642340"/>
    <w:rsid w:val="00674AA3"/>
    <w:rsid w:val="006A16CB"/>
    <w:rsid w:val="006D1ACB"/>
    <w:rsid w:val="006F3BDC"/>
    <w:rsid w:val="00711B1F"/>
    <w:rsid w:val="007A6FEF"/>
    <w:rsid w:val="007B0159"/>
    <w:rsid w:val="007B7A44"/>
    <w:rsid w:val="0081329A"/>
    <w:rsid w:val="0081574F"/>
    <w:rsid w:val="00847992"/>
    <w:rsid w:val="00854DBB"/>
    <w:rsid w:val="008571BD"/>
    <w:rsid w:val="00863C64"/>
    <w:rsid w:val="00882C9B"/>
    <w:rsid w:val="008875C6"/>
    <w:rsid w:val="0089434F"/>
    <w:rsid w:val="008F626B"/>
    <w:rsid w:val="008F6734"/>
    <w:rsid w:val="0090210C"/>
    <w:rsid w:val="00907369"/>
    <w:rsid w:val="00907461"/>
    <w:rsid w:val="00935889"/>
    <w:rsid w:val="009443D2"/>
    <w:rsid w:val="0095595E"/>
    <w:rsid w:val="009878A7"/>
    <w:rsid w:val="009C306D"/>
    <w:rsid w:val="009F52CD"/>
    <w:rsid w:val="00A041B4"/>
    <w:rsid w:val="00A560E6"/>
    <w:rsid w:val="00A93000"/>
    <w:rsid w:val="00AF1ACB"/>
    <w:rsid w:val="00B21537"/>
    <w:rsid w:val="00B443AB"/>
    <w:rsid w:val="00B71B40"/>
    <w:rsid w:val="00B73295"/>
    <w:rsid w:val="00B85BD8"/>
    <w:rsid w:val="00B93873"/>
    <w:rsid w:val="00BC186F"/>
    <w:rsid w:val="00BD564A"/>
    <w:rsid w:val="00C25098"/>
    <w:rsid w:val="00C304FF"/>
    <w:rsid w:val="00C91FCD"/>
    <w:rsid w:val="00C979C2"/>
    <w:rsid w:val="00D0615F"/>
    <w:rsid w:val="00D17529"/>
    <w:rsid w:val="00D22CBB"/>
    <w:rsid w:val="00D31538"/>
    <w:rsid w:val="00D61897"/>
    <w:rsid w:val="00D7322F"/>
    <w:rsid w:val="00D74997"/>
    <w:rsid w:val="00D9292B"/>
    <w:rsid w:val="00DA06B2"/>
    <w:rsid w:val="00DA2898"/>
    <w:rsid w:val="00DA3EBF"/>
    <w:rsid w:val="00DA6A39"/>
    <w:rsid w:val="00DC409E"/>
    <w:rsid w:val="00E073E8"/>
    <w:rsid w:val="00E1754D"/>
    <w:rsid w:val="00E534C2"/>
    <w:rsid w:val="00E73E79"/>
    <w:rsid w:val="00E96DB4"/>
    <w:rsid w:val="00EA1ABD"/>
    <w:rsid w:val="00EE7F42"/>
    <w:rsid w:val="00F04FB5"/>
    <w:rsid w:val="00F25E61"/>
    <w:rsid w:val="00F26B55"/>
    <w:rsid w:val="00F30BD4"/>
    <w:rsid w:val="00F52BE8"/>
    <w:rsid w:val="00F63616"/>
    <w:rsid w:val="00F73A38"/>
    <w:rsid w:val="00F74EE8"/>
    <w:rsid w:val="00F86B21"/>
    <w:rsid w:val="00F9758C"/>
    <w:rsid w:val="00FC655B"/>
    <w:rsid w:val="00FE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styleId="FootnoteText">
    <w:name w:val="footnote text"/>
    <w:basedOn w:val="Normal"/>
    <w:link w:val="FootnoteTextChar"/>
    <w:uiPriority w:val="99"/>
    <w:unhideWhenUsed/>
    <w:rsid w:val="00261AE3"/>
    <w:pPr>
      <w:spacing w:after="0"/>
    </w:pPr>
    <w:rPr>
      <w:rFonts w:ascii="Calibri" w:eastAsia="Calibri" w:hAnsi="Calibri"/>
      <w:sz w:val="20"/>
      <w:lang w:val="en-US"/>
    </w:rPr>
  </w:style>
  <w:style w:type="character" w:customStyle="1" w:styleId="FootnoteTextChar">
    <w:name w:val="Footnote Text Char"/>
    <w:basedOn w:val="DefaultParagraphFont"/>
    <w:link w:val="FootnoteText"/>
    <w:uiPriority w:val="99"/>
    <w:rsid w:val="00261AE3"/>
    <w:rPr>
      <w:rFonts w:ascii="Calibri" w:eastAsia="Calibri" w:hAnsi="Calibri" w:cs="Times New Roman"/>
      <w:sz w:val="20"/>
      <w:szCs w:val="20"/>
    </w:rPr>
  </w:style>
  <w:style w:type="character" w:styleId="FootnoteReference">
    <w:name w:val="footnote reference"/>
    <w:uiPriority w:val="99"/>
    <w:semiHidden/>
    <w:unhideWhenUsed/>
    <w:rsid w:val="00261AE3"/>
    <w:rPr>
      <w:vertAlign w:val="superscript"/>
    </w:rPr>
  </w:style>
  <w:style w:type="character" w:styleId="CommentReference">
    <w:name w:val="annotation reference"/>
    <w:basedOn w:val="DefaultParagraphFont"/>
    <w:uiPriority w:val="99"/>
    <w:semiHidden/>
    <w:unhideWhenUsed/>
    <w:rsid w:val="00D31538"/>
    <w:rPr>
      <w:sz w:val="16"/>
      <w:szCs w:val="16"/>
    </w:rPr>
  </w:style>
  <w:style w:type="paragraph" w:styleId="CommentText">
    <w:name w:val="annotation text"/>
    <w:basedOn w:val="Normal"/>
    <w:link w:val="CommentTextChar"/>
    <w:uiPriority w:val="99"/>
    <w:unhideWhenUsed/>
    <w:rsid w:val="00D31538"/>
    <w:rPr>
      <w:sz w:val="20"/>
    </w:rPr>
  </w:style>
  <w:style w:type="character" w:customStyle="1" w:styleId="CommentTextChar">
    <w:name w:val="Comment Text Char"/>
    <w:basedOn w:val="DefaultParagraphFont"/>
    <w:link w:val="CommentText"/>
    <w:uiPriority w:val="99"/>
    <w:rsid w:val="00D31538"/>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31538"/>
    <w:rPr>
      <w:b/>
      <w:bCs/>
    </w:rPr>
  </w:style>
  <w:style w:type="character" w:customStyle="1" w:styleId="CommentSubjectChar">
    <w:name w:val="Comment Subject Char"/>
    <w:basedOn w:val="CommentTextChar"/>
    <w:link w:val="CommentSubject"/>
    <w:uiPriority w:val="99"/>
    <w:semiHidden/>
    <w:rsid w:val="00D31538"/>
    <w:rPr>
      <w:rFonts w:ascii="Arial" w:eastAsia="Times New Roman" w:hAnsi="Arial" w:cs="Times New Roman"/>
      <w:b/>
      <w:bCs/>
      <w:sz w:val="20"/>
      <w:szCs w:val="20"/>
      <w:lang w:val="en-GB"/>
    </w:rPr>
  </w:style>
  <w:style w:type="character" w:styleId="UnresolvedMention">
    <w:name w:val="Unresolved Mention"/>
    <w:basedOn w:val="DefaultParagraphFont"/>
    <w:uiPriority w:val="99"/>
    <w:semiHidden/>
    <w:unhideWhenUsed/>
    <w:rsid w:val="008F6734"/>
    <w:rPr>
      <w:color w:val="605E5C"/>
      <w:shd w:val="clear" w:color="auto" w:fill="E1DFDD"/>
    </w:rPr>
  </w:style>
  <w:style w:type="paragraph" w:styleId="BalloonText">
    <w:name w:val="Balloon Text"/>
    <w:basedOn w:val="Normal"/>
    <w:link w:val="BalloonTextChar"/>
    <w:uiPriority w:val="99"/>
    <w:semiHidden/>
    <w:unhideWhenUsed/>
    <w:rsid w:val="00212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E5"/>
    <w:rPr>
      <w:rFonts w:ascii="Segoe UI" w:eastAsia="Times New Roman" w:hAnsi="Segoe UI" w:cs="Segoe UI"/>
      <w:sz w:val="18"/>
      <w:szCs w:val="18"/>
      <w:lang w:val="en-GB"/>
    </w:rPr>
  </w:style>
  <w:style w:type="paragraph" w:customStyle="1" w:styleId="Numberedparanew">
    <w:name w:val="Numbered para (new)"/>
    <w:basedOn w:val="Normal"/>
    <w:link w:val="NumberedparanewChar"/>
    <w:qFormat/>
    <w:rsid w:val="004235BD"/>
    <w:pPr>
      <w:numPr>
        <w:numId w:val="49"/>
      </w:numPr>
      <w:autoSpaceDE w:val="0"/>
      <w:autoSpaceDN w:val="0"/>
      <w:adjustRightInd w:val="0"/>
      <w:spacing w:before="120"/>
    </w:pPr>
    <w:rPr>
      <w:rFonts w:eastAsia="Calibri" w:cs="Arial"/>
      <w:bCs/>
      <w:iCs/>
      <w:szCs w:val="24"/>
    </w:rPr>
  </w:style>
  <w:style w:type="character" w:customStyle="1" w:styleId="NumberedparanewChar">
    <w:name w:val="Numbered para (new) Char"/>
    <w:link w:val="Numberedparanew"/>
    <w:rsid w:val="004235BD"/>
    <w:rPr>
      <w:rFonts w:ascii="Arial" w:eastAsia="Calibri" w:hAnsi="Arial" w:cs="Arial"/>
      <w:bCs/>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162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orr.gov.uk/monitoring-regulation/rail/networks/economic-research" TargetMode="External"/><Relationship Id="rId1" Type="http://schemas.openxmlformats.org/officeDocument/2006/relationships/hyperlink" Target="https://www.gov.uk/government/publications/great-british-railways-williams-shapps-plan-for-r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BB054-5F51-4D5E-9FD0-8DF965CF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5461</Words>
  <Characters>31132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dcterms:created xsi:type="dcterms:W3CDTF">2021-05-28T15:07:00Z</dcterms:created>
  <dcterms:modified xsi:type="dcterms:W3CDTF">2021-06-01T13:00:00Z</dcterms:modified>
</cp:coreProperties>
</file>