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9F72F9" w:rsidRDefault="009F72F9" w:rsidP="00CE3822"/>
    <w:p w:rsidR="00CE3822" w:rsidRDefault="00A44BDC" w:rsidP="00CE3822">
      <w:r>
        <w:rPr>
          <w:noProof/>
        </w:rPr>
        <w:drawing>
          <wp:anchor distT="0" distB="0" distL="114300" distR="114300" simplePos="0" relativeHeight="251657728" behindDoc="0" locked="0" layoutInCell="0" allowOverlap="1" wp14:anchorId="49BC4661" wp14:editId="56E4CD7B">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AC5E0C" w:rsidP="00CE3822">
      <w:pPr>
        <w:pStyle w:val="DefaultText"/>
        <w:rPr>
          <w:lang w:val="en-GB"/>
        </w:rPr>
      </w:pPr>
      <w:r>
        <w:rPr>
          <w:noProof/>
          <w:lang w:val="en-GB" w:eastAsia="en-GB"/>
        </w:rPr>
        <w:drawing>
          <wp:anchor distT="0" distB="0" distL="114300" distR="114300" simplePos="0" relativeHeight="251658752" behindDoc="0" locked="0" layoutInCell="1" allowOverlap="1" wp14:anchorId="60A3C013" wp14:editId="050C93DD">
            <wp:simplePos x="0" y="0"/>
            <wp:positionH relativeFrom="column">
              <wp:posOffset>3787140</wp:posOffset>
            </wp:positionH>
            <wp:positionV relativeFrom="paragraph">
              <wp:posOffset>129540</wp:posOffset>
            </wp:positionV>
            <wp:extent cx="2552700" cy="676910"/>
            <wp:effectExtent l="0" t="0" r="0" b="0"/>
            <wp:wrapSquare wrapText="bothSides"/>
            <wp:docPr id="1" name="Picture 1" descr="Image result for tractebel logo"/>
            <wp:cNvGraphicFramePr/>
            <a:graphic xmlns:a="http://schemas.openxmlformats.org/drawingml/2006/main">
              <a:graphicData uri="http://schemas.openxmlformats.org/drawingml/2006/picture">
                <pic:pic xmlns:pic="http://schemas.openxmlformats.org/drawingml/2006/picture">
                  <pic:nvPicPr>
                    <pic:cNvPr id="1" name="Picture 1" descr="Image result for tractebel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676910"/>
                    </a:xfrm>
                    <a:prstGeom prst="rect">
                      <a:avLst/>
                    </a:prstGeom>
                    <a:noFill/>
                    <a:ln>
                      <a:noFill/>
                    </a:ln>
                  </pic:spPr>
                </pic:pic>
              </a:graphicData>
            </a:graphic>
          </wp:anchor>
        </w:drawing>
      </w:r>
    </w:p>
    <w:p w:rsidR="00CE3822" w:rsidRDefault="00AC5E0C" w:rsidP="00CE3822">
      <w:pPr>
        <w:pStyle w:val="DefaultText"/>
        <w:rPr>
          <w:lang w:val="en-GB"/>
        </w:rPr>
      </w:pPr>
      <w:r>
        <w:rPr>
          <w:lang w:val="en-GB"/>
        </w:rPr>
        <w:br w:type="textWrapping" w:clear="all"/>
      </w:r>
    </w:p>
    <w:p w:rsidR="00CE3822" w:rsidRDefault="003F6603" w:rsidP="003F6603">
      <w:pPr>
        <w:pStyle w:val="DefaultText"/>
        <w:tabs>
          <w:tab w:val="left" w:pos="5674"/>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AC5E0C" w:rsidP="00CE3822">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3F6603" w:rsidP="00CE3822">
      <w:pPr>
        <w:pStyle w:val="DefaultText"/>
        <w:jc w:val="center"/>
        <w:rPr>
          <w:rFonts w:ascii="Arial" w:hAnsi="Arial" w:cs="Arial"/>
          <w:b/>
          <w:bCs/>
          <w:sz w:val="28"/>
          <w:lang w:val="en-GB"/>
        </w:rPr>
      </w:pPr>
      <w:r>
        <w:rPr>
          <w:rFonts w:ascii="Arial" w:hAnsi="Arial" w:cs="Arial"/>
          <w:b/>
          <w:bCs/>
          <w:sz w:val="28"/>
          <w:lang w:val="en-GB"/>
        </w:rPr>
        <w:t>TRACTEBEL ENGINEERING UK</w:t>
      </w:r>
    </w:p>
    <w:p w:rsidR="00CE3822" w:rsidRDefault="00CE3822" w:rsidP="00CE3822">
      <w:pPr>
        <w:pStyle w:val="DefaultText"/>
        <w:jc w:val="center"/>
        <w:rPr>
          <w:rFonts w:ascii="Arial" w:hAnsi="Arial" w:cs="Arial"/>
          <w:b/>
          <w:bCs/>
          <w:sz w:val="28"/>
          <w:lang w:val="en-GB"/>
        </w:rPr>
      </w:pP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LEVEL 20</w:t>
      </w: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25 CANADA SQUARE</w:t>
      </w:r>
    </w:p>
    <w:p w:rsidR="003F6603" w:rsidRDefault="003F6603" w:rsidP="00CE3822">
      <w:pPr>
        <w:pStyle w:val="DefaultText"/>
        <w:jc w:val="center"/>
        <w:rPr>
          <w:rFonts w:ascii="Arial" w:hAnsi="Arial" w:cs="Arial"/>
          <w:b/>
          <w:bCs/>
          <w:sz w:val="28"/>
          <w:lang w:val="en-GB"/>
        </w:rPr>
      </w:pPr>
      <w:r>
        <w:rPr>
          <w:rFonts w:ascii="Arial" w:hAnsi="Arial" w:cs="Arial"/>
          <w:b/>
          <w:bCs/>
          <w:sz w:val="28"/>
          <w:lang w:val="en-GB"/>
        </w:rPr>
        <w:t>LONDON</w:t>
      </w:r>
    </w:p>
    <w:p w:rsidR="00CE3822" w:rsidRDefault="003F6603" w:rsidP="00CE3822">
      <w:pPr>
        <w:pStyle w:val="DefaultText"/>
        <w:jc w:val="center"/>
        <w:rPr>
          <w:rFonts w:ascii="Arial" w:hAnsi="Arial" w:cs="Arial"/>
          <w:b/>
          <w:bCs/>
          <w:sz w:val="28"/>
          <w:lang w:val="en-GB"/>
        </w:rPr>
      </w:pPr>
      <w:r>
        <w:rPr>
          <w:rFonts w:ascii="Arial" w:hAnsi="Arial" w:cs="Arial"/>
          <w:b/>
          <w:bCs/>
          <w:sz w:val="28"/>
          <w:lang w:val="en-GB"/>
        </w:rPr>
        <w:t>E14 5LQ</w:t>
      </w:r>
    </w:p>
    <w:p w:rsidR="00CE3822" w:rsidRDefault="00CE3822" w:rsidP="00CE3822">
      <w:pPr>
        <w:pStyle w:val="DefaultText"/>
        <w:jc w:val="center"/>
        <w:rPr>
          <w:rFonts w:ascii="Arial" w:hAnsi="Arial" w:cs="Arial"/>
          <w:b/>
          <w:bCs/>
          <w:sz w:val="28"/>
          <w:lang w:val="en-GB"/>
        </w:rPr>
      </w:pPr>
    </w:p>
    <w:p w:rsidR="005F400C" w:rsidRDefault="003F6603"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802B3B" w:rsidP="0089534B">
      <w:pPr>
        <w:pStyle w:val="DefaultText"/>
        <w:suppressAutoHyphens/>
        <w:jc w:val="both"/>
        <w:rPr>
          <w:rFonts w:ascii="Arial" w:hAnsi="Arial"/>
          <w:noProof/>
          <w:sz w:val="22"/>
          <w:szCs w:val="22"/>
          <w:lang w:val="en-GB"/>
        </w:rPr>
      </w:pPr>
      <w:r>
        <w:rPr>
          <w:rFonts w:ascii="Arial" w:hAnsi="Arial"/>
          <w:b/>
          <w:noProof/>
          <w:sz w:val="22"/>
          <w:szCs w:val="22"/>
          <w:lang w:val="en-GB"/>
        </w:rPr>
        <w:t>TRACTEBEL ENGINEERING UK</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0412639681</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Boulevard Simón Bolivar, 34 – 36, 1000 Brussels, Belguim</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802B3B">
        <w:rPr>
          <w:b/>
          <w:bCs/>
          <w:noProof/>
          <w:sz w:val="22"/>
          <w:szCs w:val="22"/>
        </w:rPr>
        <w:t>TRACTEBEL ENGINEERING UK</w:t>
      </w:r>
    </w:p>
    <w:p w:rsidR="007969D8" w:rsidRPr="00BF7661" w:rsidRDefault="00802B3B"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Boulevard Simón Bolívar, 34 – 36, 1000 Brussels, Belguim</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802B3B" w:rsidRPr="00802B3B">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802B3B" w:rsidRPr="00802B3B">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802B3B">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1306A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802B3B" w:rsidRPr="00BF7661" w:rsidRDefault="00802B3B" w:rsidP="00802B3B">
      <w:pPr>
        <w:pStyle w:val="MRheading2"/>
        <w:tabs>
          <w:tab w:val="clear" w:pos="720"/>
        </w:tabs>
        <w:spacing w:line="288" w:lineRule="auto"/>
        <w:ind w:firstLine="0"/>
        <w:rPr>
          <w:rFonts w:cs="Arial"/>
          <w:szCs w:val="22"/>
        </w:rPr>
      </w:pPr>
      <w:r>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0B334E" w:rsidRPr="00BF7661" w:rsidRDefault="000B334E" w:rsidP="000B334E">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w:t>
      </w:r>
      <w:r w:rsidRPr="00BF7661">
        <w:rPr>
          <w:rFonts w:cs="Arial"/>
          <w:b/>
          <w:i/>
          <w:szCs w:val="22"/>
        </w:rPr>
        <w:lastRenderedPageBreak/>
        <w:t>automatically to a new service provider.</w:t>
      </w:r>
      <w:r w:rsidRPr="00BF7661">
        <w:rPr>
          <w:rFonts w:cs="Arial"/>
          <w:szCs w:val="22"/>
        </w:rPr>
        <w:t xml:space="preserve">  </w:t>
      </w:r>
      <w:r w:rsidRPr="00BF7661">
        <w:rPr>
          <w:rFonts w:cs="Arial"/>
          <w:b/>
          <w:i/>
          <w:szCs w:val="22"/>
        </w:rPr>
        <w:t>If TUPE IS likely to apply, the following provisions must be included</w:t>
      </w:r>
      <w:r w:rsidRPr="00BF7661">
        <w:rPr>
          <w:rFonts w:cs="Arial"/>
          <w:b/>
          <w:szCs w:val="22"/>
        </w:rPr>
        <w: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In this Contract, the following words have the meanings shown below unless the context requires otherwise: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Incumbent Contractor</w:t>
      </w:r>
      <w:r w:rsidRPr="00BF7661">
        <w:rPr>
          <w:rFonts w:cs="Arial"/>
          <w:szCs w:val="22"/>
        </w:rPr>
        <w:t>” means the supplier or suppliers who before the Transfer Date supplied to ONR services which are the same as or materially similar to the Services</w:t>
      </w:r>
      <w:r w:rsidR="00326EA8">
        <w:rPr>
          <w:rFonts w:cs="Arial"/>
          <w:szCs w:val="22"/>
        </w:rPr>
        <w: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any measures proposed by the Contractor within the meaning of regulation 13(2)(d) of the Transfer Regulations;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means any of the Contractor’s Staff who, immediately prior to the Subsequent Transfer Date, is wholly or mainly engaged in the provision of the Services, or part thereof, which are to be undertaken by the Successor;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Contractor’s Staff</w:t>
      </w:r>
      <w:r w:rsidRPr="00BF7661">
        <w:rPr>
          <w:rFonts w:cs="Arial"/>
          <w:szCs w:val="22"/>
        </w:rPr>
        <w:t>” means any individual engaged in providing the Services on behalf of the Contractor and includes the Transferring Employees;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[insert time]</w:t>
      </w:r>
      <w:r w:rsidRPr="00BF7661">
        <w:rPr>
          <w:rFonts w:cs="Arial"/>
          <w:szCs w:val="22"/>
        </w:rPr>
        <w:t xml:space="preserve"> am/pm on </w:t>
      </w:r>
      <w:r w:rsidRPr="00BF7661">
        <w:rPr>
          <w:rFonts w:cs="Arial"/>
          <w:szCs w:val="22"/>
          <w:highlight w:val="yellow"/>
        </w:rPr>
        <w:t>[insert date]</w:t>
      </w:r>
      <w:r w:rsidRPr="00BF7661">
        <w:rPr>
          <w:rFonts w:cs="Arial"/>
          <w:szCs w:val="22"/>
        </w:rPr>
        <w: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Schedule 1 (Special Terms). </w:t>
      </w:r>
      <w:r w:rsidRPr="00BF7661">
        <w:rPr>
          <w:rFonts w:cs="Arial"/>
          <w:b/>
          <w:szCs w:val="22"/>
        </w:rPr>
        <w:t>[</w:t>
      </w:r>
      <w:r w:rsidRPr="00BF7661">
        <w:rPr>
          <w:rFonts w:cs="Arial"/>
          <w:b/>
          <w:i/>
          <w:szCs w:val="22"/>
        </w:rPr>
        <w:t>Note: An appendix listing the Transferring Employees will have to be added to Schedule 1</w:t>
      </w:r>
      <w:r w:rsidRPr="00BF7661">
        <w:rPr>
          <w:rFonts w:cs="Arial"/>
          <w:b/>
          <w:szCs w:val="22"/>
        </w:rPr>
        <w: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to the Contractor pursuant to the Transfer Regulations.</w:t>
      </w:r>
    </w:p>
    <w:p w:rsidR="000B334E" w:rsidRPr="00BF7661" w:rsidRDefault="000B334E" w:rsidP="000B334E">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Contractor agrees to accept the Transferring Employees into its employment on the Transfer Date upon the same terms and conditions of employment as they are currently employed by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Contractor.</w:t>
      </w:r>
    </w:p>
    <w:p w:rsidR="000B334E" w:rsidRPr="00BF7661" w:rsidRDefault="000B334E" w:rsidP="000B334E">
      <w:pPr>
        <w:pStyle w:val="MRheading2"/>
        <w:numPr>
          <w:ilvl w:val="1"/>
          <w:numId w:val="1"/>
        </w:numPr>
        <w:spacing w:line="288" w:lineRule="auto"/>
        <w:rPr>
          <w:rFonts w:cs="Arial"/>
          <w:szCs w:val="22"/>
        </w:rPr>
      </w:pPr>
      <w:bookmarkStart w:id="8" w:name="_Ref507429310"/>
      <w:r w:rsidRPr="00BF7661">
        <w:rPr>
          <w:rFonts w:cs="Arial"/>
          <w:szCs w:val="22"/>
        </w:rPr>
        <w:t>The Contractor will:</w:t>
      </w:r>
      <w:bookmarkEnd w:id="8"/>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Pr="00326EA8">
        <w:rPr>
          <w:rFonts w:cs="Arial"/>
          <w:szCs w:val="22"/>
        </w:rPr>
        <w:t xml:space="preserve">Incumbent Contractor </w:t>
      </w:r>
      <w:r w:rsidRPr="00326EA8">
        <w:rPr>
          <w:rFonts w:cs="Arial"/>
          <w:b/>
          <w:szCs w:val="22"/>
        </w:rPr>
        <w:t xml:space="preserve">OR </w:t>
      </w:r>
      <w:r w:rsidRPr="00326EA8">
        <w:rPr>
          <w:rFonts w:cs="Arial"/>
          <w:szCs w:val="22"/>
        </w:rPr>
        <w:t xml:space="preserve">ONR, provide the Incumbent Contractor </w:t>
      </w:r>
      <w:r w:rsidRPr="00326EA8">
        <w:rPr>
          <w:rFonts w:cs="Arial"/>
          <w:b/>
          <w:szCs w:val="22"/>
        </w:rPr>
        <w:t xml:space="preserve">OR </w:t>
      </w:r>
      <w:r w:rsidRPr="00326EA8">
        <w:rPr>
          <w:rFonts w:cs="Arial"/>
          <w:szCs w:val="22"/>
        </w:rPr>
        <w:t>ONR with the</w:t>
      </w:r>
      <w:r w:rsidRPr="00BF7661">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provide such</w:t>
      </w:r>
      <w:r>
        <w:rPr>
          <w:rFonts w:cs="Arial"/>
          <w:szCs w:val="22"/>
        </w:rPr>
        <w:t xml:space="preserve"> assistance and information to </w:t>
      </w:r>
      <w:r w:rsidRPr="00BF7661">
        <w:rPr>
          <w:rFonts w:cs="Arial"/>
          <w:szCs w:val="22"/>
        </w:rPr>
        <w:t>ONR as it may reasonably request to facilitate a smooth and efficient handover of the Transferring Employees to the Contractor (including attendance at any meetings with Transferring Employees, trade unions and employee representatives);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 acknowledges that the </w:t>
      </w:r>
      <w:r w:rsidRPr="00326EA8">
        <w:rPr>
          <w:rFonts w:cs="Arial"/>
          <w:szCs w:val="22"/>
        </w:rPr>
        <w:t xml:space="preserve">Incumbent Contractor </w:t>
      </w:r>
      <w:r w:rsidRPr="00326EA8">
        <w:rPr>
          <w:rFonts w:cs="Arial"/>
          <w:b/>
          <w:szCs w:val="22"/>
        </w:rPr>
        <w:t xml:space="preserve">OR </w:t>
      </w:r>
      <w:r w:rsidRPr="00326EA8">
        <w:rPr>
          <w:rFonts w:cs="Arial"/>
          <w:szCs w:val="22"/>
        </w:rPr>
        <w:t>ONR</w:t>
      </w:r>
      <w:r w:rsidRPr="00BF7661">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issuing appropriate contracts of employment;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carrying out any necessary performance reviews.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Nothing in this Contract shall be construed or interpreted as, or have the effect of, the Contractor’s Staff being employed b</w:t>
      </w:r>
      <w:r>
        <w:rPr>
          <w:rFonts w:cs="Arial"/>
          <w:szCs w:val="22"/>
        </w:rPr>
        <w:t xml:space="preserve">y </w:t>
      </w:r>
      <w:r w:rsidRPr="00BF7661">
        <w:rPr>
          <w:rFonts w:cs="Arial"/>
          <w:szCs w:val="22"/>
        </w:rPr>
        <w:t>ONR prior to any Subsequent Transfer Date or if there is no Subsequent Transfer Date.</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The Contractor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Pr>
          <w:rFonts w:cs="Arial"/>
          <w:szCs w:val="22"/>
        </w:rPr>
        <w:t>8.10.5</w:t>
      </w:r>
      <w:r w:rsidRPr="00BF7661">
        <w:rPr>
          <w:rFonts w:cs="Arial"/>
          <w:szCs w:val="22"/>
        </w:rPr>
        <w:fldChar w:fldCharType="end"/>
      </w:r>
      <w:r w:rsidRPr="00BF7661">
        <w:rPr>
          <w:rFonts w:cs="Arial"/>
          <w:szCs w:val="22"/>
        </w:rPr>
        <w:t>, within 7 days of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0B334E" w:rsidRPr="00BF7661" w:rsidRDefault="000B334E" w:rsidP="000B334E">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0B334E" w:rsidRPr="00BF7661" w:rsidRDefault="000B334E" w:rsidP="000B334E">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0B334E" w:rsidRPr="00BF7661" w:rsidRDefault="000B334E" w:rsidP="000B334E">
      <w:pPr>
        <w:pStyle w:val="MRheading2"/>
        <w:numPr>
          <w:ilvl w:val="1"/>
          <w:numId w:val="1"/>
        </w:numPr>
        <w:spacing w:line="288" w:lineRule="auto"/>
        <w:rPr>
          <w:rFonts w:cs="Arial"/>
          <w:szCs w:val="22"/>
        </w:rPr>
      </w:pPr>
      <w:bookmarkStart w:id="11" w:name="_Ref292919255"/>
      <w:r w:rsidRPr="00BF7661">
        <w:rPr>
          <w:rFonts w:cs="Arial"/>
          <w:szCs w:val="22"/>
        </w:rPr>
        <w:t xml:space="preserve">The Contractor shall indemnify ONR and/or the Successor and shall keep ONR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Contractor’s Staff who is not a Subsequent Transferring Employee but who alleges that his employment has transferred to the Successor;</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Contract,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w:t>
      </w:r>
      <w:r>
        <w:rPr>
          <w:rFonts w:cs="Arial"/>
          <w:szCs w:val="22"/>
        </w:rPr>
        <w:t xml:space="preserve">racts of employment without </w:t>
      </w:r>
      <w:r w:rsidRPr="00BF7661">
        <w:rPr>
          <w:rFonts w:cs="Arial"/>
          <w:szCs w:val="22"/>
        </w:rPr>
        <w:t xml:space="preserve">ONR’s consent, such consent not to be unreasonably withheld.  On request, the Contractor shall immediately provide the ONR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0B334E" w:rsidRPr="00BF7661" w:rsidRDefault="000B334E" w:rsidP="000B334E">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if the employee does not accept an offer of employment made by the Successor, the employee shall remain employed by the Contractor and all claims in relation to the employee shall remain with the Contractor; and</w:t>
      </w:r>
    </w:p>
    <w:p w:rsidR="000B334E" w:rsidRPr="00BF7661" w:rsidRDefault="000B334E" w:rsidP="000B334E">
      <w:pPr>
        <w:pStyle w:val="MRheading3"/>
        <w:numPr>
          <w:ilvl w:val="2"/>
          <w:numId w:val="1"/>
        </w:numPr>
        <w:spacing w:line="288" w:lineRule="auto"/>
        <w:rPr>
          <w:rFonts w:cs="Arial"/>
          <w:szCs w:val="22"/>
        </w:rPr>
      </w:pPr>
      <w:r w:rsidRPr="00BF7661">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0B334E" w:rsidRPr="002C1C39" w:rsidRDefault="000B334E" w:rsidP="000B334E">
      <w:pPr>
        <w:pStyle w:val="MRheading1"/>
        <w:tabs>
          <w:tab w:val="clear" w:pos="720"/>
        </w:tabs>
        <w:spacing w:line="288" w:lineRule="auto"/>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1306A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1306A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F14E34"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F14E34">
        <w:rPr>
          <w:rFonts w:cs="Arial"/>
          <w:szCs w:val="22"/>
        </w:rPr>
        <w:t xml:space="preserve"> </w:t>
      </w:r>
      <w:r w:rsidR="00E24696" w:rsidRPr="00F14E34">
        <w:rPr>
          <w:rFonts w:cs="Arial"/>
          <w:szCs w:val="22"/>
        </w:rPr>
        <w:t xml:space="preserve">the charges properly </w:t>
      </w:r>
      <w:r w:rsidR="00E24696" w:rsidRPr="00F14E34">
        <w:rPr>
          <w:rFonts w:cs="Arial"/>
          <w:szCs w:val="22"/>
        </w:rPr>
        <w:tab/>
        <w:t>paid or payable to the Contractor under this Contract</w:t>
      </w:r>
      <w:r w:rsidRPr="00F14E34">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w:t>
      </w:r>
      <w:r w:rsidR="00F14E34">
        <w:rPr>
          <w:rFonts w:cs="Arial"/>
          <w:szCs w:val="22"/>
        </w:rPr>
        <w:t xml:space="preserve"> 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Pr="00BF766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1306A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1306A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1306A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1306A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1306A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1306A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Default="00881896" w:rsidP="00881896">
      <w:pPr>
        <w:pStyle w:val="MRNumberedHeading3"/>
        <w:tabs>
          <w:tab w:val="clear" w:pos="3240"/>
          <w:tab w:val="num" w:pos="1276"/>
        </w:tabs>
        <w:ind w:hanging="2531"/>
      </w:pPr>
      <w:r>
        <w:t>any breach by the Contractor of:</w:t>
      </w:r>
    </w:p>
    <w:p w:rsidR="00881896" w:rsidRDefault="008A54AC" w:rsidP="00881896">
      <w:pPr>
        <w:pStyle w:val="MRNumberedHeading4"/>
      </w:pPr>
      <w:r>
        <w:t xml:space="preserve">special terms </w:t>
      </w:r>
      <w:r w:rsidR="00C7765D">
        <w:rPr>
          <w:highlight w:val="yellow"/>
        </w:rPr>
        <w:fldChar w:fldCharType="begin"/>
      </w:r>
      <w:r w:rsidR="00C7765D">
        <w:instrText xml:space="preserve"> REF _Ref507429310 \r \h </w:instrText>
      </w:r>
      <w:r w:rsidR="00C7765D">
        <w:rPr>
          <w:highlight w:val="yellow"/>
        </w:rPr>
      </w:r>
      <w:r w:rsidR="00C7765D">
        <w:rPr>
          <w:highlight w:val="yellow"/>
        </w:rPr>
        <w:fldChar w:fldCharType="separate"/>
      </w:r>
      <w:r w:rsidR="001306AF">
        <w:t>8.5</w:t>
      </w:r>
      <w:r w:rsidR="00C7765D">
        <w:rPr>
          <w:highlight w:val="yellow"/>
        </w:rPr>
        <w:fldChar w:fldCharType="end"/>
      </w:r>
      <w:r w:rsidR="00C7765D">
        <w:t xml:space="preserve"> </w:t>
      </w:r>
      <w:r>
        <w:t xml:space="preserve">and </w:t>
      </w:r>
      <w:r w:rsidR="00C7765D">
        <w:rPr>
          <w:highlight w:val="yellow"/>
        </w:rPr>
        <w:fldChar w:fldCharType="begin"/>
      </w:r>
      <w:r w:rsidR="00C7765D">
        <w:instrText xml:space="preserve"> REF _Ref292919255 \r \h </w:instrText>
      </w:r>
      <w:r w:rsidR="00C7765D">
        <w:rPr>
          <w:highlight w:val="yellow"/>
        </w:rPr>
      </w:r>
      <w:r w:rsidR="00C7765D">
        <w:rPr>
          <w:highlight w:val="yellow"/>
        </w:rPr>
        <w:fldChar w:fldCharType="separate"/>
      </w:r>
      <w:r w:rsidR="001306AF">
        <w:t>8.11</w:t>
      </w:r>
      <w:r w:rsidR="00C7765D">
        <w:rPr>
          <w:highlight w:val="yellow"/>
        </w:rPr>
        <w:fldChar w:fldCharType="end"/>
      </w:r>
      <w:r w:rsidR="00C7765D">
        <w:t xml:space="preserve"> </w:t>
      </w:r>
      <w:r w:rsidR="00881896">
        <w:t xml:space="preserve">(TUPE) </w:t>
      </w:r>
    </w:p>
    <w:p w:rsidR="00881896" w:rsidRDefault="008A54AC" w:rsidP="00881896">
      <w:pPr>
        <w:pStyle w:val="MRNumberedHeading4"/>
      </w:pPr>
      <w:r w:rsidRPr="00BF7661">
        <w:t>clause</w:t>
      </w:r>
      <w:r>
        <w:t xml:space="preserve"> </w:t>
      </w:r>
      <w:r w:rsidR="00C7765D">
        <w:rPr>
          <w:highlight w:val="yellow"/>
        </w:rPr>
        <w:fldChar w:fldCharType="begin"/>
      </w:r>
      <w:r w:rsidR="00C7765D">
        <w:instrText xml:space="preserve"> REF _Ref507429325 \r \h </w:instrText>
      </w:r>
      <w:r w:rsidR="00C7765D">
        <w:rPr>
          <w:highlight w:val="yellow"/>
        </w:rPr>
      </w:r>
      <w:r w:rsidR="00C7765D">
        <w:rPr>
          <w:highlight w:val="yellow"/>
        </w:rPr>
        <w:fldChar w:fldCharType="separate"/>
      </w:r>
      <w:r w:rsidR="001306AF">
        <w:t>5.2</w:t>
      </w:r>
      <w:r w:rsidR="00C7765D">
        <w:rPr>
          <w:highlight w:val="yellow"/>
        </w:rPr>
        <w:fldChar w:fldCharType="end"/>
      </w:r>
      <w:r w:rsidR="00C7765D">
        <w:t xml:space="preserve"> (</w:t>
      </w:r>
      <w:r>
        <w:t>Status</w:t>
      </w:r>
      <w:r w:rsidR="00C7765D">
        <w:t>)</w:t>
      </w:r>
      <w:r>
        <w:t xml:space="preserve">, </w:t>
      </w:r>
    </w:p>
    <w:p w:rsidR="00881896" w:rsidRDefault="008A54AC" w:rsidP="00881896">
      <w:pPr>
        <w:pStyle w:val="MRNumberedHeading4"/>
      </w:pPr>
      <w:r>
        <w:t xml:space="preserve">clause </w:t>
      </w:r>
      <w:r w:rsidR="00C7765D">
        <w:rPr>
          <w:highlight w:val="yellow"/>
        </w:rPr>
        <w:fldChar w:fldCharType="begin"/>
      </w:r>
      <w:r w:rsidR="00C7765D">
        <w:instrText xml:space="preserve"> REF _Ref507429348 \r \h </w:instrText>
      </w:r>
      <w:r w:rsidR="00C7765D">
        <w:rPr>
          <w:highlight w:val="yellow"/>
        </w:rPr>
      </w:r>
      <w:r w:rsidR="00C7765D">
        <w:rPr>
          <w:highlight w:val="yellow"/>
        </w:rPr>
        <w:fldChar w:fldCharType="separate"/>
      </w:r>
      <w:r w:rsidR="001306AF">
        <w:t>6.7</w:t>
      </w:r>
      <w:r w:rsidR="00C7765D">
        <w:rPr>
          <w:highlight w:val="yellow"/>
        </w:rPr>
        <w:fldChar w:fldCharType="end"/>
      </w:r>
      <w:r w:rsidR="00C7765D">
        <w:t xml:space="preserve"> </w:t>
      </w:r>
      <w:r>
        <w:t>(Price and Payment),</w:t>
      </w:r>
      <w:r w:rsidRPr="00BF7661">
        <w:t xml:space="preserve"> </w:t>
      </w:r>
    </w:p>
    <w:p w:rsidR="00881896" w:rsidRDefault="002450B2" w:rsidP="00881896">
      <w:pPr>
        <w:pStyle w:val="MRNumberedHeading4"/>
      </w:pPr>
      <w:r w:rsidRPr="00BF7661">
        <w:t xml:space="preserve">clause </w:t>
      </w:r>
      <w:r w:rsidRPr="00BF7661">
        <w:fldChar w:fldCharType="begin"/>
      </w:r>
      <w:r w:rsidRPr="00BF7661">
        <w:instrText xml:space="preserve"> REF _Ref381106246 \r \h </w:instrText>
      </w:r>
      <w:r w:rsidR="00BF7661" w:rsidRPr="00BF7661">
        <w:instrText xml:space="preserve"> \* MERGEFORMAT </w:instrText>
      </w:r>
      <w:r w:rsidRPr="00BF7661">
        <w:fldChar w:fldCharType="separate"/>
      </w:r>
      <w:r w:rsidR="001306AF">
        <w:t>11</w:t>
      </w:r>
      <w:r w:rsidRPr="00BF7661">
        <w:fldChar w:fldCharType="end"/>
      </w:r>
      <w:r w:rsidRPr="00BF7661">
        <w:t xml:space="preserve"> (Confidentiality</w:t>
      </w:r>
      <w:r w:rsidR="00881896">
        <w:t xml:space="preserve"> and Freedom of Information), </w:t>
      </w:r>
    </w:p>
    <w:p w:rsidR="00881896" w:rsidRDefault="002450B2" w:rsidP="00881896">
      <w:pPr>
        <w:pStyle w:val="MRNumberedHeading4"/>
      </w:pPr>
      <w:r w:rsidRPr="00BF7661">
        <w:t xml:space="preserve">clause </w:t>
      </w:r>
      <w:r w:rsidRPr="00BF7661">
        <w:fldChar w:fldCharType="begin"/>
      </w:r>
      <w:r w:rsidRPr="00BF7661">
        <w:instrText xml:space="preserve"> REF _Ref381106461 \r \h </w:instrText>
      </w:r>
      <w:r w:rsidR="00BF7661" w:rsidRPr="00BF7661">
        <w:instrText xml:space="preserve"> \* MERGEFORMAT </w:instrText>
      </w:r>
      <w:r w:rsidRPr="00BF7661">
        <w:fldChar w:fldCharType="separate"/>
      </w:r>
      <w:r w:rsidR="001306AF">
        <w:t>12</w:t>
      </w:r>
      <w:r w:rsidRPr="00BF7661">
        <w:fldChar w:fldCharType="end"/>
      </w:r>
      <w:r w:rsidRPr="00BF7661">
        <w:t xml:space="preserve"> (Data </w:t>
      </w:r>
      <w:r w:rsidR="00A0236A">
        <w:t>P</w:t>
      </w:r>
      <w:r w:rsidRPr="00BF7661">
        <w:t>rotection)</w:t>
      </w:r>
      <w:r w:rsidR="00881896">
        <w:t xml:space="preserve"> </w:t>
      </w:r>
    </w:p>
    <w:p w:rsidR="00881896" w:rsidRDefault="00881896" w:rsidP="00881896">
      <w:pPr>
        <w:pStyle w:val="MRNumberedHeading4"/>
      </w:pPr>
      <w:r>
        <w:t>cl</w:t>
      </w:r>
      <w:r w:rsidR="007170DF" w:rsidRPr="00BF7661">
        <w:t xml:space="preserve">ause </w:t>
      </w:r>
      <w:r w:rsidR="007170DF" w:rsidRPr="00BF7661">
        <w:fldChar w:fldCharType="begin"/>
      </w:r>
      <w:r w:rsidR="007170DF" w:rsidRPr="00BF7661">
        <w:instrText xml:space="preserve"> REF _Ref364760355 \r \h </w:instrText>
      </w:r>
      <w:r w:rsidR="00BF7661" w:rsidRPr="00BF7661">
        <w:instrText xml:space="preserve"> \* MERGEFORMAT </w:instrText>
      </w:r>
      <w:r w:rsidR="007170DF" w:rsidRPr="00BF7661">
        <w:fldChar w:fldCharType="separate"/>
      </w:r>
      <w:r w:rsidR="001306AF">
        <w:t>9.6</w:t>
      </w:r>
      <w:r w:rsidR="007170DF" w:rsidRPr="00BF7661">
        <w:fldChar w:fldCharType="end"/>
      </w:r>
      <w:r w:rsidR="00A0236A">
        <w:t xml:space="preserve"> (Intellectual Property R</w:t>
      </w:r>
      <w:r w:rsidR="007170DF" w:rsidRPr="00BF7661">
        <w:t>ights)</w:t>
      </w:r>
      <w:r>
        <w:t xml:space="preserve">; </w:t>
      </w:r>
      <w:r w:rsidR="00956BC2">
        <w:t xml:space="preserve">or </w:t>
      </w:r>
    </w:p>
    <w:p w:rsidR="002450B2" w:rsidRPr="00BF7661" w:rsidRDefault="00956BC2" w:rsidP="00881896">
      <w:pPr>
        <w:pStyle w:val="MRNumberedHeading3"/>
        <w:tabs>
          <w:tab w:val="clear" w:pos="3240"/>
          <w:tab w:val="num" w:pos="1276"/>
        </w:tabs>
        <w:ind w:hanging="2531"/>
      </w:pPr>
      <w:r>
        <w:t>any wilful or deliberate breach by the Contractor or Contractor Staff</w:t>
      </w:r>
      <w:r w:rsidR="002450B2" w:rsidRPr="00BF7661">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1306AF">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clause [</w:t>
      </w:r>
      <w:r w:rsidR="00AE1F0A">
        <w:rPr>
          <w:rFonts w:cs="Arial"/>
          <w:color w:val="auto"/>
          <w:sz w:val="22"/>
          <w:szCs w:val="22"/>
          <w:highlight w:val="yellow"/>
        </w:rPr>
        <w:t>8.2</w:t>
      </w:r>
      <w:r w:rsidRPr="00EB1122">
        <w:rPr>
          <w:rFonts w:cs="Arial"/>
          <w:color w:val="auto"/>
          <w:sz w:val="22"/>
          <w:szCs w:val="22"/>
          <w:highlight w:val="yellow"/>
        </w:rPr>
        <w:t>]</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1306A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1306AF">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1306AF">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1306AF">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1306A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1306A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In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_Ref381106461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12</w:t>
      </w:r>
      <w:r w:rsidR="006078F5" w:rsidRPr="00BF7661">
        <w:rPr>
          <w:rFonts w:cs="Arial"/>
          <w:szCs w:val="22"/>
        </w:rPr>
        <w:fldChar w:fldCharType="end"/>
      </w:r>
      <w:r w:rsidRPr="00BF7661">
        <w:rPr>
          <w:rFonts w:cs="Arial"/>
          <w:szCs w:val="22"/>
        </w:rPr>
        <w:t>, “</w:t>
      </w:r>
      <w:r w:rsidRPr="00BF7661">
        <w:rPr>
          <w:rFonts w:cs="Arial"/>
          <w:b/>
          <w:szCs w:val="22"/>
        </w:rPr>
        <w:t>Data Subject</w:t>
      </w:r>
      <w:r w:rsidRPr="00BF7661">
        <w:rPr>
          <w:rFonts w:cs="Arial"/>
          <w:szCs w:val="22"/>
        </w:rPr>
        <w:t>”, “</w:t>
      </w:r>
      <w:r w:rsidRPr="00BF7661">
        <w:rPr>
          <w:rFonts w:cs="Arial"/>
          <w:b/>
          <w:szCs w:val="22"/>
        </w:rPr>
        <w:t>Personal Data</w:t>
      </w:r>
      <w:r w:rsidRPr="00BF7661">
        <w:rPr>
          <w:rFonts w:cs="Arial"/>
          <w:szCs w:val="22"/>
        </w:rPr>
        <w:t>”, “</w:t>
      </w:r>
      <w:r w:rsidRPr="00BF7661">
        <w:rPr>
          <w:rFonts w:cs="Arial"/>
          <w:b/>
          <w:szCs w:val="22"/>
        </w:rPr>
        <w:t>Process</w:t>
      </w:r>
      <w:r w:rsidRPr="00BF7661">
        <w:rPr>
          <w:rFonts w:cs="Arial"/>
          <w:szCs w:val="22"/>
        </w:rPr>
        <w:t>”, “</w:t>
      </w:r>
      <w:r w:rsidRPr="00BF7661">
        <w:rPr>
          <w:rFonts w:cs="Arial"/>
          <w:b/>
          <w:szCs w:val="22"/>
        </w:rPr>
        <w:t>Processed</w:t>
      </w:r>
      <w:r w:rsidRPr="00BF7661">
        <w:rPr>
          <w:rFonts w:cs="Arial"/>
          <w:szCs w:val="22"/>
        </w:rPr>
        <w:t>” and “</w:t>
      </w:r>
      <w:r w:rsidRPr="00BF7661">
        <w:rPr>
          <w:rFonts w:cs="Arial"/>
          <w:b/>
          <w:szCs w:val="22"/>
        </w:rPr>
        <w:t>Processing</w:t>
      </w:r>
      <w:r w:rsidRPr="00BF7661">
        <w:rPr>
          <w:rFonts w:cs="Arial"/>
          <w:szCs w:val="22"/>
        </w:rPr>
        <w:t>” shall have meanings ascribed to them in the Data Protection Act 1998.</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and agrees that Personal Data provided to </w:t>
      </w:r>
      <w:r w:rsidR="00FA2CEE" w:rsidRPr="00BF7661">
        <w:rPr>
          <w:rFonts w:cs="Arial"/>
          <w:szCs w:val="22"/>
        </w:rPr>
        <w:t>ONR</w:t>
      </w:r>
      <w:r w:rsidRPr="00BF7661">
        <w:rPr>
          <w:rFonts w:cs="Arial"/>
          <w:szCs w:val="22"/>
        </w:rPr>
        <w:t xml:space="preserve"> by, or on behalf of, the </w:t>
      </w:r>
      <w:r w:rsidR="00557AF8" w:rsidRPr="00BF7661">
        <w:rPr>
          <w:rFonts w:cs="Arial"/>
          <w:szCs w:val="22"/>
        </w:rPr>
        <w:t>Contractor</w:t>
      </w:r>
      <w:r w:rsidRPr="00BF7661">
        <w:rPr>
          <w:rFonts w:cs="Arial"/>
          <w:szCs w:val="22"/>
        </w:rPr>
        <w:t xml:space="preserve"> will be Processed by and on behalf of </w:t>
      </w:r>
      <w:r w:rsidR="00FA2CEE" w:rsidRPr="00BF7661">
        <w:rPr>
          <w:rFonts w:cs="Arial"/>
          <w:szCs w:val="22"/>
        </w:rPr>
        <w:t>ONR</w:t>
      </w:r>
      <w:r w:rsidRPr="00BF7661">
        <w:rPr>
          <w:rFonts w:cs="Arial"/>
          <w:szCs w:val="22"/>
        </w:rPr>
        <w:t xml:space="preserve"> in connection with this </w:t>
      </w:r>
      <w:r w:rsidR="00557AF8" w:rsidRPr="00BF7661">
        <w:rPr>
          <w:rFonts w:cs="Arial"/>
          <w:szCs w:val="22"/>
        </w:rPr>
        <w:t>Contract</w:t>
      </w:r>
      <w:r w:rsidRPr="00BF7661">
        <w:rPr>
          <w:rFonts w:cs="Arial"/>
          <w:szCs w:val="22"/>
        </w:rPr>
        <w:t xml:space="preserve"> and warrants that all relevant Data Subjects have given their informed consent for such Personal Data to be Processed by and on behalf of </w:t>
      </w:r>
      <w:r w:rsidR="00FA2CEE" w:rsidRPr="00BF7661">
        <w:rPr>
          <w:rFonts w:cs="Arial"/>
          <w:szCs w:val="22"/>
        </w:rPr>
        <w:t>ONR</w:t>
      </w:r>
      <w:r w:rsidRPr="00BF7661">
        <w:rPr>
          <w:rFonts w:cs="Arial"/>
          <w:szCs w:val="22"/>
        </w:rPr>
        <w:t xml:space="preserve"> for such purposes.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any Personal Data belonging to </w:t>
      </w:r>
      <w:r w:rsidR="00FA2CEE" w:rsidRPr="00BF7661">
        <w:rPr>
          <w:rFonts w:cs="Arial"/>
          <w:szCs w:val="22"/>
        </w:rPr>
        <w:t>ONR</w:t>
      </w:r>
      <w:r w:rsidR="006078F5" w:rsidRPr="00BF7661">
        <w:rPr>
          <w:rFonts w:cs="Arial"/>
          <w:szCs w:val="22"/>
        </w:rPr>
        <w:t xml:space="preserve"> personnel</w:t>
      </w:r>
      <w:r w:rsidRPr="00BF7661">
        <w:rPr>
          <w:rFonts w:cs="Arial"/>
          <w:szCs w:val="22"/>
        </w:rPr>
        <w:t xml:space="preserve"> or any third parties are disclosed to the </w:t>
      </w:r>
      <w:r w:rsidR="00557AF8" w:rsidRPr="00BF7661">
        <w:rPr>
          <w:rFonts w:cs="Arial"/>
          <w:szCs w:val="22"/>
        </w:rPr>
        <w:t>Contractor</w:t>
      </w:r>
      <w:r w:rsidRPr="00BF7661">
        <w:rPr>
          <w:rFonts w:cs="Arial"/>
          <w:szCs w:val="22"/>
        </w:rPr>
        <w:t xml:space="preserve"> pursuant to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in relation to such Personal Data:</w:t>
      </w:r>
    </w:p>
    <w:p w:rsidR="00D81623" w:rsidRPr="00BF7661" w:rsidRDefault="00D81623" w:rsidP="00082720">
      <w:pPr>
        <w:pStyle w:val="MRheading3"/>
        <w:numPr>
          <w:ilvl w:val="2"/>
          <w:numId w:val="1"/>
        </w:numPr>
        <w:spacing w:line="288" w:lineRule="auto"/>
        <w:rPr>
          <w:rFonts w:cs="Arial"/>
          <w:szCs w:val="22"/>
        </w:rPr>
      </w:pPr>
      <w:bookmarkStart w:id="80" w:name="_Ref349568252"/>
      <w:r w:rsidRPr="00BF7661">
        <w:rPr>
          <w:rFonts w:cs="Arial"/>
          <w:szCs w:val="22"/>
        </w:rPr>
        <w:t xml:space="preserve">Process the Personal Data only in accordance with instructions from the </w:t>
      </w:r>
      <w:r w:rsidR="00FA2CEE" w:rsidRPr="00BF7661">
        <w:rPr>
          <w:rFonts w:cs="Arial"/>
          <w:szCs w:val="22"/>
        </w:rPr>
        <w:t>ONR</w:t>
      </w:r>
      <w:r w:rsidRPr="00BF7661">
        <w:rPr>
          <w:rFonts w:cs="Arial"/>
          <w:szCs w:val="22"/>
        </w:rPr>
        <w:t>;</w:t>
      </w:r>
      <w:bookmarkEnd w:id="80"/>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Process the Personal Data only to the extent, and in such a manner, as is necessary for the performance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as is required by law;</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not transfer the Personal Data to any country or territory outside the European Economic Area without the prior written consent of </w:t>
      </w:r>
      <w:r w:rsidR="00FA2CEE" w:rsidRPr="00BF7661">
        <w:rPr>
          <w:rFonts w:cs="Arial"/>
          <w:szCs w:val="22"/>
        </w:rPr>
        <w:t>ONR</w:t>
      </w:r>
      <w:r w:rsidRPr="00BF7661">
        <w:rPr>
          <w:rFonts w:cs="Arial"/>
          <w:szCs w:val="22"/>
        </w:rPr>
        <w:t>;</w:t>
      </w:r>
    </w:p>
    <w:p w:rsidR="00D81623" w:rsidRDefault="00D81623" w:rsidP="00082720">
      <w:pPr>
        <w:pStyle w:val="MRheading3"/>
        <w:numPr>
          <w:ilvl w:val="2"/>
          <w:numId w:val="1"/>
        </w:numPr>
        <w:spacing w:line="288" w:lineRule="auto"/>
        <w:rPr>
          <w:rFonts w:cs="Arial"/>
          <w:szCs w:val="22"/>
        </w:rPr>
      </w:pPr>
      <w:bookmarkStart w:id="81" w:name="_Ref349568262"/>
      <w:r w:rsidRPr="00BF7661">
        <w:rPr>
          <w:rFonts w:cs="Arial"/>
          <w:szCs w:val="22"/>
        </w:rPr>
        <w:t xml:space="preserve">take reasonable steps to ensure that such Personal Data are not unlawfully disclosed or Processed as a result of the </w:t>
      </w:r>
      <w:r w:rsidR="00557AF8" w:rsidRPr="00BF7661">
        <w:rPr>
          <w:rFonts w:cs="Arial"/>
          <w:szCs w:val="22"/>
        </w:rPr>
        <w:t>Contractor</w:t>
      </w:r>
      <w:r w:rsidRPr="00BF7661">
        <w:rPr>
          <w:rFonts w:cs="Arial"/>
          <w:szCs w:val="22"/>
        </w:rPr>
        <w:t>’s access to such Personal Data; and</w:t>
      </w:r>
      <w:bookmarkEnd w:id="81"/>
    </w:p>
    <w:p w:rsidR="00D81623" w:rsidRPr="00BF7661" w:rsidRDefault="00D81623" w:rsidP="00082720">
      <w:pPr>
        <w:pStyle w:val="MRheading3"/>
        <w:numPr>
          <w:ilvl w:val="2"/>
          <w:numId w:val="1"/>
        </w:numPr>
        <w:spacing w:line="288" w:lineRule="auto"/>
        <w:rPr>
          <w:rFonts w:cs="Arial"/>
          <w:szCs w:val="22"/>
        </w:rPr>
      </w:pPr>
      <w:proofErr w:type="gramStart"/>
      <w:r w:rsidRPr="00BF7661">
        <w:rPr>
          <w:rFonts w:cs="Arial"/>
          <w:szCs w:val="22"/>
        </w:rPr>
        <w:t>provide</w:t>
      </w:r>
      <w:proofErr w:type="gramEnd"/>
      <w:r w:rsidRPr="00BF7661">
        <w:rPr>
          <w:rFonts w:cs="Arial"/>
          <w:szCs w:val="22"/>
        </w:rPr>
        <w:t xml:space="preserve"> to </w:t>
      </w:r>
      <w:r w:rsidR="00FA2CEE" w:rsidRPr="00BF7661">
        <w:rPr>
          <w:rFonts w:cs="Arial"/>
          <w:szCs w:val="22"/>
        </w:rPr>
        <w:t>ONR</w:t>
      </w:r>
      <w:r w:rsidRPr="00BF7661">
        <w:rPr>
          <w:rFonts w:cs="Arial"/>
          <w:szCs w:val="22"/>
        </w:rPr>
        <w:t xml:space="preserve"> such information regarding the </w:t>
      </w:r>
      <w:r w:rsidR="00557AF8" w:rsidRPr="00BF7661">
        <w:rPr>
          <w:rFonts w:cs="Arial"/>
          <w:szCs w:val="22"/>
        </w:rPr>
        <w:t>Contractor</w:t>
      </w:r>
      <w:r w:rsidRPr="00BF7661">
        <w:rPr>
          <w:rFonts w:cs="Arial"/>
          <w:szCs w:val="22"/>
        </w:rPr>
        <w:t xml:space="preserve">’s compliance with clauses </w:t>
      </w:r>
      <w:r w:rsidRPr="00BF7661">
        <w:rPr>
          <w:rFonts w:cs="Arial"/>
          <w:szCs w:val="22"/>
        </w:rPr>
        <w:fldChar w:fldCharType="begin"/>
      </w:r>
      <w:r w:rsidRPr="00BF7661">
        <w:rPr>
          <w:rFonts w:cs="Arial"/>
          <w:szCs w:val="22"/>
        </w:rPr>
        <w:instrText xml:space="preserve"> REF _Ref349568252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12.3.1</w:t>
      </w:r>
      <w:r w:rsidRPr="00BF7661">
        <w:rPr>
          <w:rFonts w:cs="Arial"/>
          <w:szCs w:val="22"/>
        </w:rPr>
        <w:fldChar w:fldCharType="end"/>
      </w:r>
      <w:r w:rsidRPr="00BF7661">
        <w:rPr>
          <w:rFonts w:cs="Arial"/>
          <w:szCs w:val="22"/>
        </w:rPr>
        <w:t xml:space="preserve"> to </w:t>
      </w:r>
      <w:r w:rsidRPr="00BF7661">
        <w:rPr>
          <w:rFonts w:cs="Arial"/>
          <w:szCs w:val="22"/>
        </w:rPr>
        <w:fldChar w:fldCharType="begin"/>
      </w:r>
      <w:r w:rsidRPr="00BF7661">
        <w:rPr>
          <w:rFonts w:cs="Arial"/>
          <w:szCs w:val="22"/>
        </w:rPr>
        <w:instrText xml:space="preserve"> REF _Ref349568262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12.3.5</w:t>
      </w:r>
      <w:r w:rsidRPr="00BF7661">
        <w:rPr>
          <w:rFonts w:cs="Arial"/>
          <w:szCs w:val="22"/>
        </w:rPr>
        <w:fldChar w:fldCharType="end"/>
      </w:r>
      <w:r w:rsidRPr="00BF7661">
        <w:rPr>
          <w:rFonts w:cs="Arial"/>
          <w:szCs w:val="22"/>
        </w:rPr>
        <w:t xml:space="preserve"> as </w:t>
      </w:r>
      <w:r w:rsidR="00FA2CEE" w:rsidRPr="00BF7661">
        <w:rPr>
          <w:rFonts w:cs="Arial"/>
          <w:szCs w:val="22"/>
        </w:rPr>
        <w:t>ONR</w:t>
      </w:r>
      <w:r w:rsidRPr="00BF7661">
        <w:rPr>
          <w:rFonts w:cs="Arial"/>
          <w:szCs w:val="22"/>
        </w:rPr>
        <w:t xml:space="preserve"> may from time to time reasonably require to enable it to comply with its obligations as a data controller and, more generally, to ensure that Personal Data relating to </w:t>
      </w:r>
      <w:r w:rsidR="00FA2CEE" w:rsidRPr="00BF7661">
        <w:rPr>
          <w:rFonts w:cs="Arial"/>
          <w:szCs w:val="22"/>
        </w:rPr>
        <w:t>ONR</w:t>
      </w:r>
      <w:r w:rsidRPr="00BF7661">
        <w:rPr>
          <w:rFonts w:cs="Arial"/>
          <w:szCs w:val="22"/>
        </w:rPr>
        <w:t xml:space="preserve"> personnel are appropriately protected.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perform its obligations under this </w:t>
      </w:r>
      <w:r w:rsidR="00557AF8" w:rsidRPr="00BF7661">
        <w:rPr>
          <w:rFonts w:cs="Arial"/>
          <w:szCs w:val="22"/>
        </w:rPr>
        <w:t>Contract</w:t>
      </w:r>
      <w:r w:rsidRPr="00BF7661">
        <w:rPr>
          <w:rFonts w:cs="Arial"/>
          <w:szCs w:val="22"/>
        </w:rPr>
        <w:t xml:space="preserve"> in such a way as to cause </w:t>
      </w:r>
      <w:r w:rsidR="00FA2CEE" w:rsidRPr="00BF7661">
        <w:rPr>
          <w:rFonts w:cs="Arial"/>
          <w:szCs w:val="22"/>
        </w:rPr>
        <w:t>ONR</w:t>
      </w:r>
      <w:r w:rsidRPr="00BF7661">
        <w:rPr>
          <w:rFonts w:cs="Arial"/>
          <w:szCs w:val="22"/>
        </w:rPr>
        <w:t xml:space="preserve"> to breach any of its applicable obligations under the Data Protection Act 1998.</w:t>
      </w:r>
    </w:p>
    <w:p w:rsidR="007E4EC8" w:rsidRPr="00A95506" w:rsidRDefault="00A95506" w:rsidP="00082720">
      <w:pPr>
        <w:pStyle w:val="MRheading1"/>
        <w:numPr>
          <w:ilvl w:val="0"/>
          <w:numId w:val="1"/>
        </w:numPr>
        <w:spacing w:line="288" w:lineRule="auto"/>
        <w:rPr>
          <w:rFonts w:cs="Arial"/>
          <w:szCs w:val="22"/>
          <w:u w:val="none"/>
        </w:rPr>
      </w:pPr>
      <w:bookmarkStart w:id="82"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3" w:name="_Ref172691842"/>
      <w:bookmarkStart w:id="84" w:name="_Toc207776115"/>
      <w:bookmarkStart w:id="85" w:name="_Toc207776263"/>
      <w:r w:rsidRPr="00A95506">
        <w:rPr>
          <w:rFonts w:cs="Arial"/>
          <w:szCs w:val="22"/>
          <w:u w:val="none"/>
        </w:rPr>
        <w:t>Termination</w:t>
      </w:r>
      <w:bookmarkEnd w:id="83"/>
      <w:bookmarkEnd w:id="84"/>
      <w:bookmarkEnd w:id="85"/>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6" w:name="_Ref266713809"/>
      <w:bookmarkStart w:id="87"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6"/>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8" w:name="_Ref205893735"/>
      <w:bookmarkStart w:id="89"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1306AF">
        <w:rPr>
          <w:rFonts w:cs="Arial"/>
          <w:szCs w:val="22"/>
        </w:rPr>
        <w:t>14.3</w:t>
      </w:r>
      <w:r w:rsidR="00D81623" w:rsidRPr="00BF7661">
        <w:rPr>
          <w:rFonts w:cs="Arial"/>
          <w:szCs w:val="22"/>
        </w:rPr>
        <w:fldChar w:fldCharType="end"/>
      </w:r>
      <w:bookmarkEnd w:id="88"/>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90" w:name="BookmarkToReturnToPrintingOutTheDoc"/>
      <w:r w:rsidRPr="00BF7661">
        <w:rPr>
          <w:rFonts w:cs="Arial"/>
          <w:szCs w:val="22"/>
        </w:rPr>
        <w:t>suspension</w:t>
      </w:r>
      <w:bookmarkEnd w:id="90"/>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1"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7"/>
    <w:bookmarkEnd w:id="89"/>
    <w:bookmarkEnd w:id="91"/>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1306AF">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2" w:name="_Ref205953963"/>
      <w:bookmarkStart w:id="93" w:name="_Toc207776118"/>
      <w:bookmarkStart w:id="94"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5"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1306AF">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5"/>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proofErr w:type="gramStart"/>
      <w:r w:rsidRPr="00BF7661">
        <w:rPr>
          <w:rFonts w:cs="Arial"/>
          <w:color w:val="auto"/>
          <w:sz w:val="22"/>
          <w:szCs w:val="22"/>
        </w:rPr>
        <w:t>a</w:t>
      </w:r>
      <w:proofErr w:type="gramEnd"/>
      <w:r w:rsidRPr="00BF7661">
        <w:rPr>
          <w:rFonts w:cs="Arial"/>
          <w:color w:val="auto"/>
          <w:sz w:val="22"/>
          <w:szCs w:val="22"/>
        </w:rPr>
        <w:t xml:space="preserve">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6" w:name="_Ref381108581"/>
      <w:r w:rsidRPr="00A95506">
        <w:rPr>
          <w:rFonts w:cs="Arial"/>
          <w:szCs w:val="22"/>
          <w:u w:val="none"/>
        </w:rPr>
        <w:t>Responsible B</w:t>
      </w:r>
      <w:r w:rsidR="00507C82" w:rsidRPr="00A95506">
        <w:rPr>
          <w:rFonts w:cs="Arial"/>
          <w:szCs w:val="22"/>
          <w:u w:val="none"/>
        </w:rPr>
        <w:t>usiness</w:t>
      </w:r>
      <w:bookmarkEnd w:id="96"/>
    </w:p>
    <w:p w:rsidR="00507C82" w:rsidRPr="00BF7661" w:rsidRDefault="006078F5" w:rsidP="006078F5">
      <w:pPr>
        <w:pStyle w:val="MRheading2"/>
        <w:numPr>
          <w:ilvl w:val="1"/>
          <w:numId w:val="1"/>
        </w:numPr>
        <w:spacing w:line="288" w:lineRule="auto"/>
        <w:rPr>
          <w:rFonts w:cs="Arial"/>
          <w:szCs w:val="22"/>
        </w:rPr>
      </w:pPr>
      <w:bookmarkStart w:id="97" w:name="_Ref318788672"/>
      <w:bookmarkStart w:id="98" w:name="_Toc303950111"/>
      <w:bookmarkStart w:id="99" w:name="_Toc303950878"/>
      <w:bookmarkStart w:id="100" w:name="_Toc303951658"/>
      <w:bookmarkStart w:id="101" w:name="_Toc304135741"/>
      <w:r w:rsidRPr="00BF7661">
        <w:rPr>
          <w:rFonts w:cs="Arial"/>
          <w:szCs w:val="22"/>
        </w:rPr>
        <w:t>The Contractor</w:t>
      </w:r>
      <w:r w:rsidR="00507C82" w:rsidRPr="00BF7661">
        <w:rPr>
          <w:rFonts w:cs="Arial"/>
          <w:szCs w:val="22"/>
        </w:rPr>
        <w:t xml:space="preserve"> shall:</w:t>
      </w:r>
      <w:bookmarkEnd w:id="97"/>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8"/>
      <w:bookmarkEnd w:id="99"/>
      <w:bookmarkEnd w:id="100"/>
      <w:bookmarkEnd w:id="101"/>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2" w:name="_Toc303950117"/>
      <w:bookmarkStart w:id="103" w:name="_Toc303950884"/>
      <w:bookmarkStart w:id="104" w:name="_Toc303951664"/>
      <w:bookmarkStart w:id="105"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1306AF">
        <w:rPr>
          <w:rFonts w:cs="Arial"/>
          <w:szCs w:val="22"/>
        </w:rPr>
        <w:t>18.1</w:t>
      </w:r>
      <w:r w:rsidRPr="00BF7661">
        <w:rPr>
          <w:rFonts w:cs="Arial"/>
          <w:szCs w:val="22"/>
        </w:rPr>
        <w:fldChar w:fldCharType="end"/>
      </w:r>
      <w:r w:rsidRPr="00BF7661">
        <w:rPr>
          <w:rFonts w:cs="Arial"/>
          <w:szCs w:val="22"/>
        </w:rPr>
        <w:t>.</w:t>
      </w:r>
      <w:bookmarkEnd w:id="102"/>
      <w:bookmarkEnd w:id="103"/>
      <w:bookmarkEnd w:id="104"/>
      <w:bookmarkEnd w:id="105"/>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6" w:name="_Ref381108830"/>
      <w:r w:rsidRPr="00A95506">
        <w:rPr>
          <w:rFonts w:cs="Arial"/>
          <w:szCs w:val="22"/>
          <w:u w:val="none"/>
        </w:rPr>
        <w:t>Assignment</w:t>
      </w:r>
      <w:bookmarkEnd w:id="92"/>
      <w:bookmarkEnd w:id="93"/>
      <w:bookmarkEnd w:id="94"/>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6"/>
    </w:p>
    <w:p w:rsidR="00C70CB5" w:rsidRPr="00BF7661" w:rsidRDefault="00C70CB5" w:rsidP="00082720">
      <w:pPr>
        <w:pStyle w:val="MRheading2"/>
        <w:numPr>
          <w:ilvl w:val="1"/>
          <w:numId w:val="1"/>
        </w:numPr>
        <w:spacing w:line="288" w:lineRule="auto"/>
        <w:rPr>
          <w:rFonts w:cs="Arial"/>
          <w:szCs w:val="22"/>
        </w:rPr>
      </w:pPr>
      <w:bookmarkStart w:id="107"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8"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0F0027">
        <w:rPr>
          <w:rFonts w:cs="Arial"/>
          <w:szCs w:val="22"/>
        </w:rPr>
        <w:t xml:space="preserve"> with the prior approval of the Contractor, such approval shall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21.2</w:t>
      </w:r>
      <w:r w:rsidR="006078F5" w:rsidRPr="00BF7661">
        <w:rPr>
          <w:rFonts w:cs="Arial"/>
          <w:szCs w:val="22"/>
        </w:rPr>
        <w:fldChar w:fldCharType="end"/>
      </w:r>
      <w:r w:rsidR="00C70CB5" w:rsidRPr="00BF7661">
        <w:rPr>
          <w:rFonts w:cs="Arial"/>
          <w:szCs w:val="22"/>
        </w:rPr>
        <w:t>.</w:t>
      </w:r>
      <w:bookmarkEnd w:id="108"/>
    </w:p>
    <w:p w:rsidR="00C70CB5" w:rsidRPr="00BF7661" w:rsidRDefault="00C70CB5" w:rsidP="00082720">
      <w:pPr>
        <w:pStyle w:val="MRheading2"/>
        <w:numPr>
          <w:ilvl w:val="1"/>
          <w:numId w:val="1"/>
        </w:numPr>
        <w:spacing w:line="288" w:lineRule="auto"/>
        <w:rPr>
          <w:rFonts w:cs="Arial"/>
          <w:szCs w:val="22"/>
        </w:rPr>
      </w:pPr>
      <w:bookmarkStart w:id="109"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9"/>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1306AF">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10" w:name="_Ref205954210"/>
      <w:bookmarkStart w:id="111" w:name="_Toc207776123"/>
      <w:bookmarkStart w:id="112" w:name="_Toc207776271"/>
      <w:bookmarkEnd w:id="107"/>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3" w:name="_Ref286323079"/>
      <w:bookmarkStart w:id="114"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3"/>
      <w:bookmarkEnd w:id="114"/>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10"/>
      <w:bookmarkEnd w:id="111"/>
      <w:bookmarkEnd w:id="112"/>
    </w:p>
    <w:p w:rsidR="00C70CB5" w:rsidRPr="00BF7661" w:rsidRDefault="00C70CB5" w:rsidP="00082720">
      <w:pPr>
        <w:pStyle w:val="MRheading2"/>
        <w:numPr>
          <w:ilvl w:val="1"/>
          <w:numId w:val="1"/>
        </w:numPr>
        <w:spacing w:line="288" w:lineRule="auto"/>
        <w:rPr>
          <w:rFonts w:cs="Arial"/>
          <w:szCs w:val="22"/>
        </w:rPr>
      </w:pPr>
      <w:bookmarkStart w:id="115"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6" w:name="_Ref381109506"/>
      <w:bookmarkStart w:id="117"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6"/>
    </w:p>
    <w:p w:rsidR="005008E0" w:rsidRPr="00BF7661" w:rsidRDefault="005008E0" w:rsidP="005008E0">
      <w:pPr>
        <w:pStyle w:val="MRheading2"/>
        <w:numPr>
          <w:ilvl w:val="1"/>
          <w:numId w:val="1"/>
        </w:numPr>
        <w:spacing w:line="288" w:lineRule="auto"/>
        <w:rPr>
          <w:rFonts w:cs="Arial"/>
          <w:szCs w:val="22"/>
        </w:rPr>
      </w:pPr>
      <w:bookmarkStart w:id="118"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8"/>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5"/>
    <w:bookmarkEnd w:id="117"/>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9" w:name="_Toc207776237"/>
      <w:bookmarkStart w:id="120" w:name="Schedule3"/>
      <w:bookmarkStart w:id="121" w:name="_Ref381200241"/>
      <w:bookmarkStart w:id="122" w:name="_Ref172432067"/>
      <w:bookmarkEnd w:id="16"/>
      <w:bookmarkEnd w:id="119"/>
      <w:bookmarkEnd w:id="120"/>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1306AF">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1"/>
    </w:p>
    <w:p w:rsidR="007F3942" w:rsidRPr="00BF7661" w:rsidRDefault="007F3942" w:rsidP="007F3942">
      <w:pPr>
        <w:pStyle w:val="MRheading2"/>
        <w:numPr>
          <w:ilvl w:val="1"/>
          <w:numId w:val="1"/>
        </w:numPr>
        <w:spacing w:line="288" w:lineRule="auto"/>
        <w:rPr>
          <w:rFonts w:cs="Arial"/>
          <w:szCs w:val="22"/>
        </w:rPr>
      </w:pPr>
      <w:bookmarkStart w:id="123"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3"/>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4" w:name="_Ref352159234"/>
      <w:bookmarkEnd w:id="122"/>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4"/>
    </w:p>
    <w:p w:rsidR="00FE6357" w:rsidRPr="00A95506" w:rsidRDefault="00FE6357" w:rsidP="00FE6357">
      <w:pPr>
        <w:pStyle w:val="MRheading1"/>
        <w:numPr>
          <w:ilvl w:val="0"/>
          <w:numId w:val="1"/>
        </w:numPr>
        <w:rPr>
          <w:szCs w:val="22"/>
          <w:u w:val="none"/>
        </w:rPr>
      </w:pPr>
      <w:bookmarkStart w:id="125" w:name="a547966"/>
      <w:bookmarkStart w:id="126" w:name="_Toc381267613"/>
      <w:r w:rsidRPr="00A95506">
        <w:rPr>
          <w:szCs w:val="22"/>
          <w:u w:val="none"/>
        </w:rPr>
        <w:t>Counterparts</w:t>
      </w:r>
      <w:bookmarkEnd w:id="125"/>
      <w:bookmarkEnd w:id="126"/>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802B3B">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802B3B">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802B3B">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802B3B">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802B3B">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802B3B">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802B3B">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802B3B">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3B" w:rsidRDefault="00802B3B">
      <w:r>
        <w:separator/>
      </w:r>
    </w:p>
  </w:endnote>
  <w:endnote w:type="continuationSeparator" w:id="0">
    <w:p w:rsidR="00802B3B" w:rsidRDefault="0080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458073875"/>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9F72F9" w:rsidRPr="009F72F9" w:rsidRDefault="009F72F9">
            <w:pPr>
              <w:pStyle w:val="Footer"/>
              <w:jc w:val="center"/>
              <w:rPr>
                <w:color w:val="auto"/>
                <w:sz w:val="16"/>
                <w:szCs w:val="16"/>
              </w:rPr>
            </w:pPr>
            <w:r w:rsidRPr="009F72F9">
              <w:rPr>
                <w:color w:val="auto"/>
                <w:sz w:val="16"/>
                <w:szCs w:val="16"/>
              </w:rPr>
              <w:t xml:space="preserve">Page </w:t>
            </w:r>
            <w:r w:rsidRPr="009F72F9">
              <w:rPr>
                <w:b/>
                <w:bCs/>
                <w:color w:val="auto"/>
                <w:sz w:val="16"/>
                <w:szCs w:val="16"/>
              </w:rPr>
              <w:fldChar w:fldCharType="begin"/>
            </w:r>
            <w:r w:rsidRPr="009F72F9">
              <w:rPr>
                <w:b/>
                <w:bCs/>
                <w:color w:val="auto"/>
                <w:sz w:val="16"/>
                <w:szCs w:val="16"/>
              </w:rPr>
              <w:instrText xml:space="preserve"> PAGE </w:instrText>
            </w:r>
            <w:r w:rsidRPr="009F72F9">
              <w:rPr>
                <w:b/>
                <w:bCs/>
                <w:color w:val="auto"/>
                <w:sz w:val="16"/>
                <w:szCs w:val="16"/>
              </w:rPr>
              <w:fldChar w:fldCharType="separate"/>
            </w:r>
            <w:r w:rsidR="00DC7828">
              <w:rPr>
                <w:b/>
                <w:bCs/>
                <w:noProof/>
                <w:color w:val="auto"/>
                <w:sz w:val="16"/>
                <w:szCs w:val="16"/>
              </w:rPr>
              <w:t>1</w:t>
            </w:r>
            <w:r w:rsidRPr="009F72F9">
              <w:rPr>
                <w:b/>
                <w:bCs/>
                <w:color w:val="auto"/>
                <w:sz w:val="16"/>
                <w:szCs w:val="16"/>
              </w:rPr>
              <w:fldChar w:fldCharType="end"/>
            </w:r>
            <w:r w:rsidRPr="009F72F9">
              <w:rPr>
                <w:color w:val="auto"/>
                <w:sz w:val="16"/>
                <w:szCs w:val="16"/>
              </w:rPr>
              <w:t xml:space="preserve"> of </w:t>
            </w:r>
            <w:r w:rsidRPr="009F72F9">
              <w:rPr>
                <w:b/>
                <w:bCs/>
                <w:color w:val="auto"/>
                <w:sz w:val="16"/>
                <w:szCs w:val="16"/>
              </w:rPr>
              <w:fldChar w:fldCharType="begin"/>
            </w:r>
            <w:r w:rsidRPr="009F72F9">
              <w:rPr>
                <w:b/>
                <w:bCs/>
                <w:color w:val="auto"/>
                <w:sz w:val="16"/>
                <w:szCs w:val="16"/>
              </w:rPr>
              <w:instrText xml:space="preserve"> NUMPAGES  </w:instrText>
            </w:r>
            <w:r w:rsidRPr="009F72F9">
              <w:rPr>
                <w:b/>
                <w:bCs/>
                <w:color w:val="auto"/>
                <w:sz w:val="16"/>
                <w:szCs w:val="16"/>
              </w:rPr>
              <w:fldChar w:fldCharType="separate"/>
            </w:r>
            <w:r w:rsidR="00DC7828">
              <w:rPr>
                <w:b/>
                <w:bCs/>
                <w:noProof/>
                <w:color w:val="auto"/>
                <w:sz w:val="16"/>
                <w:szCs w:val="16"/>
              </w:rPr>
              <w:t>11</w:t>
            </w:r>
            <w:r w:rsidRPr="009F72F9">
              <w:rPr>
                <w:b/>
                <w:bCs/>
                <w:color w:val="auto"/>
                <w:sz w:val="16"/>
                <w:szCs w:val="16"/>
              </w:rPr>
              <w:fldChar w:fldCharType="end"/>
            </w:r>
          </w:p>
        </w:sdtContent>
      </w:sdt>
    </w:sdtContent>
  </w:sdt>
  <w:p w:rsidR="00802B3B" w:rsidRPr="00A44BDC" w:rsidRDefault="00802B3B"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3B" w:rsidRDefault="00802B3B">
      <w:r>
        <w:separator/>
      </w:r>
    </w:p>
  </w:footnote>
  <w:footnote w:type="continuationSeparator" w:id="0">
    <w:p w:rsidR="00802B3B" w:rsidRDefault="00802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3B" w:rsidRDefault="00AC5E0C">
    <w:pPr>
      <w:pStyle w:val="Header"/>
    </w:pPr>
    <w:r w:rsidRPr="009F72F9">
      <w:rPr>
        <w:b/>
      </w:rPr>
      <w:t xml:space="preserve">Contract No </w:t>
    </w:r>
    <w:r w:rsidR="00802B3B" w:rsidRPr="009F72F9">
      <w:rPr>
        <w:b/>
      </w:rPr>
      <w:t>1.11.4.3320</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5">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7">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8">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1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15">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6">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8">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4"/>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7"/>
  </w:num>
  <w:num w:numId="8">
    <w:abstractNumId w:val="19"/>
  </w:num>
  <w:num w:numId="9">
    <w:abstractNumId w:val="1"/>
  </w:num>
  <w:num w:numId="1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4"/>
  </w:num>
  <w:num w:numId="14">
    <w:abstractNumId w:val="15"/>
  </w:num>
  <w:num w:numId="15">
    <w:abstractNumId w:val="4"/>
  </w:num>
  <w:num w:numId="16">
    <w:abstractNumId w:val="4"/>
  </w:num>
  <w:num w:numId="17">
    <w:abstractNumId w:val="14"/>
  </w:num>
  <w:num w:numId="18">
    <w:abstractNumId w:val="18"/>
  </w:num>
  <w:num w:numId="19">
    <w:abstractNumId w:val="5"/>
  </w:num>
  <w:num w:numId="20">
    <w:abstractNumId w:val="16"/>
  </w:num>
  <w:num w:numId="21">
    <w:abstractNumId w:val="10"/>
  </w:num>
  <w:num w:numId="22">
    <w:abstractNumId w:val="12"/>
  </w:num>
  <w:num w:numId="23">
    <w:abstractNumId w:val="8"/>
  </w:num>
  <w:num w:numId="24">
    <w:abstractNumId w:val="2"/>
  </w:num>
  <w:num w:numId="25">
    <w:abstractNumId w:val="13"/>
  </w:num>
  <w:num w:numId="26">
    <w:abstractNumId w:val="6"/>
  </w:num>
  <w:num w:numId="27">
    <w:abstractNumId w:val="0"/>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34E"/>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27"/>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6EA8"/>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603"/>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5D09"/>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B3B"/>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2F9"/>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0C"/>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828"/>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4E34"/>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12257</Words>
  <Characters>69869</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81963</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2019-04-15T08:07:00Z</dcterms:created>
  <dcterms:modified xsi:type="dcterms:W3CDTF">2019-04-15T08:07:00Z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