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18AC3" w14:textId="587F43B1" w:rsidR="00575BDF" w:rsidRPr="009019CB" w:rsidRDefault="00582C8B">
      <w:pPr>
        <w:rPr>
          <w:b/>
          <w:bCs/>
          <w:sz w:val="26"/>
          <w:szCs w:val="26"/>
          <w:u w:val="single"/>
        </w:rPr>
      </w:pPr>
      <w:r w:rsidRPr="009019CB">
        <w:rPr>
          <w:b/>
          <w:bCs/>
          <w:sz w:val="26"/>
          <w:szCs w:val="26"/>
          <w:u w:val="single"/>
        </w:rPr>
        <w:t xml:space="preserve">Clarifications </w:t>
      </w:r>
      <w:r w:rsidR="009019CB" w:rsidRPr="009019CB">
        <w:rPr>
          <w:b/>
          <w:bCs/>
          <w:sz w:val="26"/>
          <w:szCs w:val="26"/>
          <w:u w:val="single"/>
        </w:rPr>
        <w:t xml:space="preserve">to </w:t>
      </w:r>
      <w:r w:rsidR="009019CB" w:rsidRPr="009019CB">
        <w:rPr>
          <w:b/>
          <w:bCs/>
          <w:sz w:val="26"/>
          <w:szCs w:val="26"/>
          <w:u w:val="single"/>
        </w:rPr>
        <w:t>Invitation To Tender (ITT) for Four Research Projects into the SME Engagement with the Skills Services Within Cornwall</w:t>
      </w:r>
    </w:p>
    <w:p w14:paraId="35A8DF03" w14:textId="77777777" w:rsidR="00582C8B" w:rsidRPr="007E112E" w:rsidRDefault="00582C8B" w:rsidP="00582C8B">
      <w:pPr>
        <w:rPr>
          <w:sz w:val="26"/>
          <w:szCs w:val="26"/>
        </w:rPr>
      </w:pPr>
    </w:p>
    <w:p w14:paraId="2A80473D" w14:textId="77777777" w:rsidR="00582C8B" w:rsidRPr="007E112E" w:rsidRDefault="00582C8B" w:rsidP="00582C8B">
      <w:pPr>
        <w:rPr>
          <w:sz w:val="26"/>
          <w:szCs w:val="26"/>
        </w:rPr>
      </w:pPr>
      <w:r w:rsidRPr="007E112E">
        <w:rPr>
          <w:sz w:val="26"/>
          <w:szCs w:val="26"/>
        </w:rPr>
        <w:t>Q1. To optimise the budget available for this research, we will be proposing to run the research as one single project but with questions/strands that pick-up on the topics within each Lot (e.g. one overarching SME survey, rather than four individual surveys).  Please can you confirm that you will accept our response on this basis.  </w:t>
      </w:r>
    </w:p>
    <w:p w14:paraId="27A8E3D0" w14:textId="6AD67D44" w:rsidR="00D9525A" w:rsidRPr="007E112E" w:rsidRDefault="007E112E" w:rsidP="00582C8B">
      <w:pPr>
        <w:rPr>
          <w:color w:val="4472C4" w:themeColor="accent1"/>
          <w:sz w:val="26"/>
          <w:szCs w:val="26"/>
        </w:rPr>
      </w:pPr>
      <w:r w:rsidRPr="007E112E">
        <w:rPr>
          <w:color w:val="4472C4" w:themeColor="accent1"/>
          <w:sz w:val="26"/>
          <w:szCs w:val="26"/>
        </w:rPr>
        <w:t>We would draw your attention to the following sections in the ITT:</w:t>
      </w:r>
    </w:p>
    <w:p w14:paraId="59E6C545" w14:textId="77777777" w:rsidR="007E112E" w:rsidRPr="007E112E" w:rsidRDefault="007E112E" w:rsidP="007E112E">
      <w:pPr>
        <w:widowControl w:val="0"/>
        <w:autoSpaceDE w:val="0"/>
        <w:autoSpaceDN w:val="0"/>
        <w:adjustRightInd w:val="0"/>
        <w:spacing w:after="0" w:line="240" w:lineRule="auto"/>
        <w:jc w:val="both"/>
        <w:rPr>
          <w:rFonts w:ascii="Calibri" w:eastAsia="Times" w:hAnsi="Calibri" w:cs="Times New Roman"/>
          <w:bCs/>
          <w:i/>
          <w:iCs/>
          <w:color w:val="0070C0"/>
          <w:sz w:val="26"/>
          <w:szCs w:val="26"/>
        </w:rPr>
      </w:pPr>
      <w:r w:rsidRPr="007E112E">
        <w:rPr>
          <w:rFonts w:ascii="Calibri" w:eastAsia="Times" w:hAnsi="Calibri" w:cs="Times New Roman"/>
          <w:bCs/>
          <w:i/>
          <w:iCs/>
          <w:color w:val="0070C0"/>
          <w:sz w:val="26"/>
          <w:szCs w:val="26"/>
        </w:rPr>
        <w:t xml:space="preserve">Section 5 </w:t>
      </w:r>
    </w:p>
    <w:p w14:paraId="5893A274" w14:textId="77777777" w:rsidR="007E112E" w:rsidRPr="007E112E" w:rsidRDefault="007E112E" w:rsidP="007E112E">
      <w:pPr>
        <w:widowControl w:val="0"/>
        <w:autoSpaceDE w:val="0"/>
        <w:autoSpaceDN w:val="0"/>
        <w:adjustRightInd w:val="0"/>
        <w:spacing w:after="0" w:line="240" w:lineRule="auto"/>
        <w:jc w:val="both"/>
        <w:rPr>
          <w:rFonts w:ascii="Calibri" w:eastAsia="Times" w:hAnsi="Calibri" w:cs="Times New Roman"/>
          <w:bCs/>
          <w:i/>
          <w:iCs/>
          <w:color w:val="0070C0"/>
          <w:sz w:val="26"/>
          <w:szCs w:val="26"/>
        </w:rPr>
      </w:pPr>
    </w:p>
    <w:p w14:paraId="5F905784" w14:textId="052ADE02" w:rsidR="007E112E" w:rsidRPr="007E112E" w:rsidRDefault="007E112E" w:rsidP="007E112E">
      <w:pPr>
        <w:widowControl w:val="0"/>
        <w:autoSpaceDE w:val="0"/>
        <w:autoSpaceDN w:val="0"/>
        <w:adjustRightInd w:val="0"/>
        <w:spacing w:after="0" w:line="240" w:lineRule="auto"/>
        <w:jc w:val="both"/>
        <w:rPr>
          <w:rFonts w:ascii="Calibri" w:eastAsia="Times" w:hAnsi="Calibri" w:cs="Times New Roman"/>
          <w:bCs/>
          <w:i/>
          <w:iCs/>
          <w:color w:val="0070C0"/>
          <w:sz w:val="26"/>
          <w:szCs w:val="26"/>
        </w:rPr>
      </w:pPr>
      <w:r w:rsidRPr="007E112E">
        <w:rPr>
          <w:rFonts w:ascii="Calibri" w:eastAsia="Times" w:hAnsi="Calibri" w:cs="Times New Roman"/>
          <w:bCs/>
          <w:i/>
          <w:iCs/>
          <w:color w:val="0070C0"/>
          <w:sz w:val="26"/>
          <w:szCs w:val="26"/>
        </w:rPr>
        <w:t>The budget for each Lot will be reviewed as part of the ITT evaluation detailed in Section 11.</w:t>
      </w:r>
    </w:p>
    <w:p w14:paraId="41908021" w14:textId="5E81C12B" w:rsidR="007E112E" w:rsidRPr="007E112E" w:rsidRDefault="007E112E" w:rsidP="00582C8B">
      <w:pPr>
        <w:rPr>
          <w:i/>
          <w:iCs/>
          <w:color w:val="0070C0"/>
          <w:sz w:val="26"/>
          <w:szCs w:val="26"/>
        </w:rPr>
      </w:pPr>
    </w:p>
    <w:p w14:paraId="77082A28" w14:textId="77777777" w:rsidR="007E112E" w:rsidRPr="007E112E" w:rsidRDefault="007E112E" w:rsidP="007E112E">
      <w:pPr>
        <w:widowControl w:val="0"/>
        <w:autoSpaceDE w:val="0"/>
        <w:autoSpaceDN w:val="0"/>
        <w:adjustRightInd w:val="0"/>
        <w:spacing w:after="0" w:line="240" w:lineRule="auto"/>
        <w:jc w:val="both"/>
        <w:rPr>
          <w:rFonts w:ascii="Calibri" w:eastAsia="Times" w:hAnsi="Calibri" w:cs="Times New Roman"/>
          <w:bCs/>
          <w:i/>
          <w:iCs/>
          <w:color w:val="0070C0"/>
          <w:sz w:val="28"/>
          <w:szCs w:val="28"/>
        </w:rPr>
      </w:pPr>
      <w:r w:rsidRPr="007E112E">
        <w:rPr>
          <w:rFonts w:ascii="Calibri" w:eastAsia="Times" w:hAnsi="Calibri" w:cs="Times New Roman"/>
          <w:bCs/>
          <w:i/>
          <w:iCs/>
          <w:color w:val="0070C0"/>
          <w:sz w:val="28"/>
          <w:szCs w:val="28"/>
        </w:rPr>
        <w:t>A contractor can bid for one or multiple lots, however there is no financial advantage to be gained from securing more than one commission.</w:t>
      </w:r>
    </w:p>
    <w:p w14:paraId="32DC707B" w14:textId="1383BDAB" w:rsidR="007E112E" w:rsidRDefault="007E112E" w:rsidP="00582C8B">
      <w:pPr>
        <w:rPr>
          <w:color w:val="0070C0"/>
          <w:sz w:val="26"/>
          <w:szCs w:val="26"/>
        </w:rPr>
      </w:pPr>
    </w:p>
    <w:p w14:paraId="40100570" w14:textId="7EA333CE" w:rsidR="007E112E" w:rsidRDefault="007E112E" w:rsidP="00582C8B">
      <w:pPr>
        <w:rPr>
          <w:color w:val="0070C0"/>
          <w:sz w:val="26"/>
          <w:szCs w:val="26"/>
        </w:rPr>
      </w:pPr>
      <w:r>
        <w:rPr>
          <w:color w:val="0070C0"/>
          <w:sz w:val="26"/>
          <w:szCs w:val="26"/>
        </w:rPr>
        <w:t>The responses for each Lot will be assessed individually as per Section</w:t>
      </w:r>
      <w:r w:rsidR="0036794A">
        <w:rPr>
          <w:color w:val="0070C0"/>
          <w:sz w:val="26"/>
          <w:szCs w:val="26"/>
        </w:rPr>
        <w:t xml:space="preserve"> </w:t>
      </w:r>
      <w:r>
        <w:rPr>
          <w:color w:val="0070C0"/>
          <w:sz w:val="26"/>
          <w:szCs w:val="26"/>
        </w:rPr>
        <w:t>13.</w:t>
      </w:r>
    </w:p>
    <w:p w14:paraId="77336C5E" w14:textId="64432304" w:rsidR="007E112E" w:rsidRPr="007E112E" w:rsidRDefault="007E112E" w:rsidP="00582C8B">
      <w:pPr>
        <w:rPr>
          <w:color w:val="4472C4" w:themeColor="accent1"/>
          <w:sz w:val="26"/>
          <w:szCs w:val="26"/>
        </w:rPr>
      </w:pPr>
      <w:r>
        <w:rPr>
          <w:color w:val="0070C0"/>
          <w:sz w:val="26"/>
          <w:szCs w:val="26"/>
        </w:rPr>
        <w:t xml:space="preserve">You will therefore be required to provide costing for each of the Lots.  It is for you to determine how you meet the requirements set out in </w:t>
      </w:r>
      <w:r>
        <w:rPr>
          <w:color w:val="4472C4" w:themeColor="accent1"/>
          <w:sz w:val="26"/>
          <w:szCs w:val="26"/>
        </w:rPr>
        <w:t>9.2 and 9.3</w:t>
      </w:r>
    </w:p>
    <w:p w14:paraId="740DA8F2" w14:textId="77777777" w:rsidR="0036794A" w:rsidRDefault="0036794A" w:rsidP="00582C8B">
      <w:pPr>
        <w:rPr>
          <w:sz w:val="26"/>
          <w:szCs w:val="26"/>
        </w:rPr>
      </w:pPr>
    </w:p>
    <w:p w14:paraId="41F7D5A3" w14:textId="5607607E" w:rsidR="00582C8B" w:rsidRPr="007E112E" w:rsidRDefault="00582C8B" w:rsidP="00582C8B">
      <w:pPr>
        <w:rPr>
          <w:sz w:val="26"/>
          <w:szCs w:val="26"/>
        </w:rPr>
      </w:pPr>
      <w:r w:rsidRPr="007E112E">
        <w:rPr>
          <w:sz w:val="26"/>
          <w:szCs w:val="26"/>
        </w:rPr>
        <w:t xml:space="preserve">Q2. To check regarding point 9.2, is it ‘no more than 4 sides of A4’ </w:t>
      </w:r>
      <w:r w:rsidRPr="007E112E">
        <w:rPr>
          <w:b/>
          <w:bCs/>
          <w:sz w:val="26"/>
          <w:szCs w:val="26"/>
          <w:u w:val="single"/>
        </w:rPr>
        <w:t>per</w:t>
      </w:r>
      <w:r w:rsidRPr="007E112E">
        <w:rPr>
          <w:sz w:val="26"/>
          <w:szCs w:val="26"/>
        </w:rPr>
        <w:t xml:space="preserve"> Lot?</w:t>
      </w:r>
    </w:p>
    <w:p w14:paraId="15F5C1BF" w14:textId="6F02448D" w:rsidR="009C34C0" w:rsidRPr="007E112E" w:rsidRDefault="0036794A" w:rsidP="00582C8B">
      <w:pPr>
        <w:rPr>
          <w:color w:val="4472C4" w:themeColor="accent1"/>
          <w:sz w:val="26"/>
          <w:szCs w:val="26"/>
        </w:rPr>
      </w:pPr>
      <w:r>
        <w:rPr>
          <w:color w:val="4472C4" w:themeColor="accent1"/>
          <w:sz w:val="26"/>
          <w:szCs w:val="26"/>
        </w:rPr>
        <w:t>Yes.</w:t>
      </w:r>
    </w:p>
    <w:p w14:paraId="2FB8AA39" w14:textId="77777777" w:rsidR="00582C8B" w:rsidRPr="007E112E" w:rsidRDefault="00582C8B" w:rsidP="00582C8B">
      <w:pPr>
        <w:rPr>
          <w:sz w:val="26"/>
          <w:szCs w:val="26"/>
        </w:rPr>
      </w:pPr>
      <w:r w:rsidRPr="007E112E">
        <w:rPr>
          <w:sz w:val="26"/>
          <w:szCs w:val="26"/>
        </w:rPr>
        <w:t>Q3. Do contractors need to source sample for the different audiences? More specifically:</w:t>
      </w:r>
    </w:p>
    <w:p w14:paraId="5A6722A6" w14:textId="77777777" w:rsidR="00582C8B" w:rsidRPr="007E112E" w:rsidRDefault="00582C8B" w:rsidP="00582C8B">
      <w:pPr>
        <w:pStyle w:val="ListParagraph"/>
        <w:numPr>
          <w:ilvl w:val="0"/>
          <w:numId w:val="1"/>
        </w:numPr>
        <w:rPr>
          <w:rFonts w:eastAsia="Times New Roman"/>
          <w:sz w:val="26"/>
          <w:szCs w:val="26"/>
        </w:rPr>
      </w:pPr>
      <w:r w:rsidRPr="007E112E">
        <w:rPr>
          <w:rFonts w:eastAsia="Times New Roman"/>
          <w:sz w:val="26"/>
          <w:szCs w:val="26"/>
        </w:rPr>
        <w:t xml:space="preserve">Do you have a list of SMEs that the Skills Hub has engaged with that can be provided for research purposes? If so, what contact details can be provided (e.g. name, phone number, email, reason for contact, recency of contact, activities undertaken)? </w:t>
      </w:r>
    </w:p>
    <w:p w14:paraId="41A92142" w14:textId="77777777" w:rsidR="00582C8B" w:rsidRPr="007E112E" w:rsidRDefault="00582C8B" w:rsidP="00582C8B">
      <w:pPr>
        <w:pStyle w:val="ListParagraph"/>
        <w:numPr>
          <w:ilvl w:val="0"/>
          <w:numId w:val="1"/>
        </w:numPr>
        <w:rPr>
          <w:rFonts w:eastAsia="Times New Roman"/>
          <w:sz w:val="26"/>
          <w:szCs w:val="26"/>
        </w:rPr>
      </w:pPr>
      <w:r w:rsidRPr="007E112E">
        <w:rPr>
          <w:rFonts w:eastAsia="Times New Roman"/>
          <w:sz w:val="26"/>
          <w:szCs w:val="26"/>
        </w:rPr>
        <w:t>Do you have a wider (representative) sample of SME businesses in Cornwall that can be used for the research? If so, what contact details can be provided?</w:t>
      </w:r>
    </w:p>
    <w:p w14:paraId="27214EB7" w14:textId="77777777" w:rsidR="002C53CB" w:rsidRPr="007E112E" w:rsidRDefault="002C53CB" w:rsidP="002C53CB">
      <w:pPr>
        <w:pStyle w:val="ListParagraph"/>
        <w:ind w:left="1080"/>
        <w:rPr>
          <w:rFonts w:eastAsia="Times New Roman"/>
          <w:sz w:val="26"/>
          <w:szCs w:val="26"/>
        </w:rPr>
      </w:pPr>
    </w:p>
    <w:p w14:paraId="106DAA7C" w14:textId="744C5E71" w:rsidR="00582C8B" w:rsidRPr="007E112E" w:rsidRDefault="001E482A" w:rsidP="00582C8B">
      <w:pPr>
        <w:rPr>
          <w:color w:val="4472C4" w:themeColor="accent1"/>
          <w:sz w:val="26"/>
          <w:szCs w:val="26"/>
        </w:rPr>
      </w:pPr>
      <w:r w:rsidRPr="007E112E">
        <w:rPr>
          <w:color w:val="4472C4" w:themeColor="accent1"/>
          <w:sz w:val="26"/>
          <w:szCs w:val="26"/>
        </w:rPr>
        <w:t xml:space="preserve">The Skills Hub </w:t>
      </w:r>
      <w:r w:rsidR="006D1708" w:rsidRPr="007E112E">
        <w:rPr>
          <w:color w:val="4472C4" w:themeColor="accent1"/>
          <w:sz w:val="26"/>
          <w:szCs w:val="26"/>
        </w:rPr>
        <w:t xml:space="preserve">has a database of client </w:t>
      </w:r>
      <w:r w:rsidR="00D00014" w:rsidRPr="007E112E">
        <w:rPr>
          <w:color w:val="4472C4" w:themeColor="accent1"/>
          <w:sz w:val="26"/>
          <w:szCs w:val="26"/>
        </w:rPr>
        <w:t>businesses;</w:t>
      </w:r>
      <w:r w:rsidR="006D1708" w:rsidRPr="007E112E">
        <w:rPr>
          <w:color w:val="4472C4" w:themeColor="accent1"/>
          <w:sz w:val="26"/>
          <w:szCs w:val="26"/>
        </w:rPr>
        <w:t xml:space="preserve"> however this research use is not currently within the GDPR parameters of it’s use. We are able to </w:t>
      </w:r>
      <w:r w:rsidR="002C53CB" w:rsidRPr="007E112E">
        <w:rPr>
          <w:color w:val="4472C4" w:themeColor="accent1"/>
          <w:sz w:val="26"/>
          <w:szCs w:val="26"/>
        </w:rPr>
        <w:t xml:space="preserve">share the opportunity to partake in research opportunities with our clients asking them to “opt in”.  </w:t>
      </w:r>
    </w:p>
    <w:p w14:paraId="67738FA7" w14:textId="5336DF45" w:rsidR="004A5F33" w:rsidRPr="007E112E" w:rsidRDefault="004A5F33" w:rsidP="00582C8B">
      <w:pPr>
        <w:rPr>
          <w:color w:val="4472C4" w:themeColor="accent1"/>
          <w:sz w:val="26"/>
          <w:szCs w:val="26"/>
        </w:rPr>
      </w:pPr>
      <w:r w:rsidRPr="007E112E">
        <w:rPr>
          <w:color w:val="4472C4" w:themeColor="accent1"/>
          <w:sz w:val="26"/>
          <w:szCs w:val="26"/>
        </w:rPr>
        <w:lastRenderedPageBreak/>
        <w:t xml:space="preserve">Skills Hub is part of wider business networks with whom the opportunity to take part in research could be shared with and any interested businesses asked to “opt in”. </w:t>
      </w:r>
    </w:p>
    <w:p w14:paraId="49860F2B" w14:textId="00F57931" w:rsidR="009C34C0" w:rsidRPr="007E112E" w:rsidRDefault="009A2D9A" w:rsidP="00582C8B">
      <w:pPr>
        <w:rPr>
          <w:color w:val="4472C4" w:themeColor="accent1"/>
          <w:sz w:val="26"/>
          <w:szCs w:val="26"/>
        </w:rPr>
      </w:pPr>
      <w:r w:rsidRPr="007E112E">
        <w:rPr>
          <w:color w:val="4472C4" w:themeColor="accent1"/>
          <w:sz w:val="26"/>
          <w:szCs w:val="26"/>
        </w:rPr>
        <w:t>Contractors are able to use their own resources to identify</w:t>
      </w:r>
      <w:r w:rsidR="00D00014" w:rsidRPr="007E112E">
        <w:rPr>
          <w:color w:val="4472C4" w:themeColor="accent1"/>
          <w:sz w:val="26"/>
          <w:szCs w:val="26"/>
        </w:rPr>
        <w:t>/contact</w:t>
      </w:r>
      <w:r w:rsidRPr="007E112E">
        <w:rPr>
          <w:color w:val="4472C4" w:themeColor="accent1"/>
          <w:sz w:val="26"/>
          <w:szCs w:val="26"/>
        </w:rPr>
        <w:t xml:space="preserve"> businesses from different audiences</w:t>
      </w:r>
      <w:r w:rsidR="00D00014" w:rsidRPr="007E112E">
        <w:rPr>
          <w:color w:val="4472C4" w:themeColor="accent1"/>
          <w:sz w:val="26"/>
          <w:szCs w:val="26"/>
        </w:rPr>
        <w:t xml:space="preserve">. </w:t>
      </w:r>
    </w:p>
    <w:p w14:paraId="2D127578" w14:textId="77777777" w:rsidR="00D00014" w:rsidRPr="007E112E" w:rsidRDefault="00D00014" w:rsidP="00582C8B">
      <w:pPr>
        <w:rPr>
          <w:color w:val="4472C4" w:themeColor="accent1"/>
          <w:sz w:val="26"/>
          <w:szCs w:val="26"/>
        </w:rPr>
      </w:pPr>
    </w:p>
    <w:p w14:paraId="5A3211CA" w14:textId="77777777" w:rsidR="00582C8B" w:rsidRPr="007E112E" w:rsidRDefault="00582C8B" w:rsidP="00582C8B">
      <w:pPr>
        <w:rPr>
          <w:sz w:val="26"/>
          <w:szCs w:val="26"/>
        </w:rPr>
      </w:pPr>
      <w:r w:rsidRPr="007E112E">
        <w:rPr>
          <w:sz w:val="26"/>
          <w:szCs w:val="26"/>
        </w:rPr>
        <w:t xml:space="preserve">Q4. What definition are you using for SMEs? Are you applying a cut-off of 250 employees? Are all industry sectors to be included in the research? </w:t>
      </w:r>
    </w:p>
    <w:p w14:paraId="4DE15BCE" w14:textId="18CC4F8C" w:rsidR="00582C8B" w:rsidRPr="007E112E" w:rsidRDefault="00D00014" w:rsidP="00582C8B">
      <w:pPr>
        <w:rPr>
          <w:color w:val="4472C4" w:themeColor="accent1"/>
          <w:sz w:val="26"/>
          <w:szCs w:val="26"/>
        </w:rPr>
      </w:pPr>
      <w:r w:rsidRPr="007E112E">
        <w:rPr>
          <w:color w:val="4472C4" w:themeColor="accent1"/>
          <w:sz w:val="26"/>
          <w:szCs w:val="26"/>
        </w:rPr>
        <w:t xml:space="preserve">SME in this context is a company </w:t>
      </w:r>
      <w:r w:rsidR="00096750" w:rsidRPr="007E112E">
        <w:rPr>
          <w:color w:val="4472C4" w:themeColor="accent1"/>
          <w:sz w:val="26"/>
          <w:szCs w:val="26"/>
        </w:rPr>
        <w:t>with &lt;250 employees</w:t>
      </w:r>
      <w:r w:rsidR="00F215B0" w:rsidRPr="007E112E">
        <w:rPr>
          <w:color w:val="4472C4" w:themeColor="accent1"/>
          <w:sz w:val="26"/>
          <w:szCs w:val="26"/>
        </w:rPr>
        <w:t xml:space="preserve"> and </w:t>
      </w:r>
      <w:r w:rsidR="0022411B" w:rsidRPr="007E112E">
        <w:rPr>
          <w:color w:val="4472C4" w:themeColor="accent1"/>
          <w:sz w:val="26"/>
          <w:szCs w:val="26"/>
        </w:rPr>
        <w:t xml:space="preserve">an annual </w:t>
      </w:r>
      <w:r w:rsidR="00F215B0" w:rsidRPr="007E112E">
        <w:rPr>
          <w:color w:val="4472C4" w:themeColor="accent1"/>
          <w:sz w:val="26"/>
          <w:szCs w:val="26"/>
        </w:rPr>
        <w:t xml:space="preserve">turnover of </w:t>
      </w:r>
      <w:r w:rsidR="00797311" w:rsidRPr="00797311">
        <w:rPr>
          <w:color w:val="4472C4" w:themeColor="accent1"/>
          <w:sz w:val="26"/>
          <w:szCs w:val="26"/>
        </w:rPr>
        <w:t xml:space="preserve">less than </w:t>
      </w:r>
      <w:r w:rsidR="00797311">
        <w:rPr>
          <w:color w:val="4472C4" w:themeColor="accent1"/>
          <w:sz w:val="26"/>
          <w:szCs w:val="26"/>
        </w:rPr>
        <w:t xml:space="preserve">or equal to </w:t>
      </w:r>
      <w:r w:rsidR="00797311" w:rsidRPr="00797311">
        <w:rPr>
          <w:color w:val="4472C4" w:themeColor="accent1"/>
          <w:sz w:val="26"/>
          <w:szCs w:val="26"/>
        </w:rPr>
        <w:t xml:space="preserve">€50 million or </w:t>
      </w:r>
      <w:r w:rsidR="00797311">
        <w:rPr>
          <w:color w:val="4472C4" w:themeColor="accent1"/>
          <w:sz w:val="26"/>
          <w:szCs w:val="26"/>
        </w:rPr>
        <w:t xml:space="preserve">a balance sheet of less than or equal to </w:t>
      </w:r>
      <w:r w:rsidR="00797311" w:rsidRPr="00797311">
        <w:rPr>
          <w:color w:val="4472C4" w:themeColor="accent1"/>
          <w:sz w:val="26"/>
          <w:szCs w:val="26"/>
        </w:rPr>
        <w:t>€43 million</w:t>
      </w:r>
      <w:r w:rsidR="00096750" w:rsidRPr="007E112E">
        <w:rPr>
          <w:color w:val="4472C4" w:themeColor="accent1"/>
          <w:sz w:val="26"/>
          <w:szCs w:val="26"/>
        </w:rPr>
        <w:t xml:space="preserve">. All industry sectors are included in this research. </w:t>
      </w:r>
    </w:p>
    <w:p w14:paraId="3517FB3A" w14:textId="77777777" w:rsidR="00797311" w:rsidRDefault="00797311" w:rsidP="00582C8B">
      <w:pPr>
        <w:rPr>
          <w:sz w:val="26"/>
          <w:szCs w:val="26"/>
        </w:rPr>
      </w:pPr>
    </w:p>
    <w:p w14:paraId="598BDD7A" w14:textId="71145BF0" w:rsidR="00582C8B" w:rsidRPr="007E112E" w:rsidRDefault="00582C8B" w:rsidP="00582C8B">
      <w:pPr>
        <w:rPr>
          <w:sz w:val="26"/>
          <w:szCs w:val="26"/>
        </w:rPr>
      </w:pPr>
      <w:r w:rsidRPr="007E112E">
        <w:rPr>
          <w:sz w:val="26"/>
          <w:szCs w:val="26"/>
        </w:rPr>
        <w:t>Q5. Is the main focus of the research on SMEs that have their head office in Cornwall / Isle of Scilly? (rather than, say, SMEs who only have ‘sites’ within Cornwall / Isle of Scilly, and not a head office?)</w:t>
      </w:r>
    </w:p>
    <w:p w14:paraId="7E2D8515" w14:textId="12479376" w:rsidR="00582C8B" w:rsidRPr="007E112E" w:rsidRDefault="001654C2" w:rsidP="00582C8B">
      <w:pPr>
        <w:rPr>
          <w:color w:val="4472C4" w:themeColor="accent1"/>
          <w:sz w:val="26"/>
          <w:szCs w:val="26"/>
        </w:rPr>
      </w:pPr>
      <w:r w:rsidRPr="007E112E">
        <w:rPr>
          <w:color w:val="4472C4" w:themeColor="accent1"/>
          <w:sz w:val="26"/>
          <w:szCs w:val="26"/>
        </w:rPr>
        <w:t xml:space="preserve">The focus of this research should be on SMEs who have &gt;50% economic activity in the CIoS. </w:t>
      </w:r>
    </w:p>
    <w:p w14:paraId="4C0F836C" w14:textId="77777777" w:rsidR="00797311" w:rsidRDefault="00797311" w:rsidP="00967615">
      <w:pPr>
        <w:rPr>
          <w:sz w:val="26"/>
          <w:szCs w:val="26"/>
        </w:rPr>
      </w:pPr>
    </w:p>
    <w:p w14:paraId="586FEDAB" w14:textId="740DAF6B" w:rsidR="00967615" w:rsidRPr="007E112E" w:rsidRDefault="00161A2E" w:rsidP="00967615">
      <w:pPr>
        <w:rPr>
          <w:sz w:val="26"/>
          <w:szCs w:val="26"/>
        </w:rPr>
      </w:pPr>
      <w:r w:rsidRPr="007E112E">
        <w:rPr>
          <w:sz w:val="26"/>
          <w:szCs w:val="26"/>
        </w:rPr>
        <w:t xml:space="preserve">Q6. </w:t>
      </w:r>
      <w:r w:rsidR="00967615" w:rsidRPr="007E112E">
        <w:rPr>
          <w:sz w:val="26"/>
          <w:szCs w:val="26"/>
        </w:rPr>
        <w:t>With reference to the ITT ‘Four Research Projects into the SME Engagement with the Skills Services Within Cornwall’, could you clarify:</w:t>
      </w:r>
    </w:p>
    <w:p w14:paraId="127D3EBC" w14:textId="77777777" w:rsidR="00967615" w:rsidRPr="007E112E" w:rsidRDefault="00967615" w:rsidP="00967615">
      <w:pPr>
        <w:rPr>
          <w:sz w:val="26"/>
          <w:szCs w:val="26"/>
        </w:rPr>
      </w:pPr>
      <w:r w:rsidRPr="007E112E">
        <w:rPr>
          <w:sz w:val="26"/>
          <w:szCs w:val="26"/>
        </w:rPr>
        <w:t>The number of SME’s to be included within the research i.e. is there a minimum expectation, and whether the SME contact information will be provided by the Skills Hub / Growth Hub</w:t>
      </w:r>
    </w:p>
    <w:p w14:paraId="69DC5AD5" w14:textId="6A2B0239" w:rsidR="00967615" w:rsidRPr="007E112E" w:rsidRDefault="001654C2" w:rsidP="00967615">
      <w:pPr>
        <w:rPr>
          <w:color w:val="4472C4" w:themeColor="accent1"/>
          <w:sz w:val="26"/>
          <w:szCs w:val="26"/>
        </w:rPr>
      </w:pPr>
      <w:r w:rsidRPr="007E112E">
        <w:rPr>
          <w:color w:val="4472C4" w:themeColor="accent1"/>
          <w:sz w:val="26"/>
          <w:szCs w:val="26"/>
        </w:rPr>
        <w:t xml:space="preserve">The </w:t>
      </w:r>
      <w:r w:rsidR="00E83654" w:rsidRPr="007E112E">
        <w:rPr>
          <w:color w:val="4472C4" w:themeColor="accent1"/>
          <w:sz w:val="26"/>
          <w:szCs w:val="26"/>
        </w:rPr>
        <w:t>number</w:t>
      </w:r>
      <w:r w:rsidRPr="007E112E">
        <w:rPr>
          <w:color w:val="4472C4" w:themeColor="accent1"/>
          <w:sz w:val="26"/>
          <w:szCs w:val="26"/>
        </w:rPr>
        <w:t xml:space="preserve"> of SMEs included should reflect the proposed budget submission</w:t>
      </w:r>
      <w:r w:rsidR="001B37D1" w:rsidRPr="007E112E">
        <w:rPr>
          <w:color w:val="4472C4" w:themeColor="accent1"/>
          <w:sz w:val="26"/>
          <w:szCs w:val="26"/>
        </w:rPr>
        <w:t xml:space="preserve">. </w:t>
      </w:r>
      <w:r w:rsidR="00797311">
        <w:rPr>
          <w:color w:val="4472C4" w:themeColor="accent1"/>
          <w:sz w:val="26"/>
          <w:szCs w:val="26"/>
        </w:rPr>
        <w:t>We would refer you to answer 3.</w:t>
      </w:r>
    </w:p>
    <w:p w14:paraId="7E2B4A5D" w14:textId="2554D437" w:rsidR="00582C8B" w:rsidRDefault="00582C8B" w:rsidP="00967615">
      <w:pPr>
        <w:rPr>
          <w:color w:val="4472C4" w:themeColor="accent1"/>
          <w:sz w:val="26"/>
          <w:szCs w:val="26"/>
        </w:rPr>
      </w:pPr>
    </w:p>
    <w:p w14:paraId="425DFF92" w14:textId="2B2269B8" w:rsidR="009019CB" w:rsidRDefault="009019CB" w:rsidP="00967615">
      <w:pPr>
        <w:rPr>
          <w:color w:val="4472C4" w:themeColor="accent1"/>
          <w:sz w:val="26"/>
          <w:szCs w:val="26"/>
        </w:rPr>
      </w:pPr>
    </w:p>
    <w:p w14:paraId="623E7DFA" w14:textId="1F06C6D2" w:rsidR="009019CB" w:rsidRPr="00275FAD" w:rsidRDefault="009019CB" w:rsidP="00967615">
      <w:pPr>
        <w:rPr>
          <w:b/>
          <w:bCs/>
          <w:color w:val="4472C4" w:themeColor="accent1"/>
          <w:sz w:val="26"/>
          <w:szCs w:val="26"/>
          <w:u w:val="single"/>
        </w:rPr>
      </w:pPr>
      <w:r w:rsidRPr="00275FAD">
        <w:rPr>
          <w:b/>
          <w:bCs/>
          <w:color w:val="4472C4" w:themeColor="accent1"/>
          <w:sz w:val="26"/>
          <w:szCs w:val="26"/>
          <w:u w:val="single"/>
        </w:rPr>
        <w:t>Clarification questions close for this opportunity at 1600 2</w:t>
      </w:r>
      <w:r w:rsidR="00275FAD">
        <w:rPr>
          <w:b/>
          <w:bCs/>
          <w:color w:val="4472C4" w:themeColor="accent1"/>
          <w:sz w:val="26"/>
          <w:szCs w:val="26"/>
          <w:u w:val="single"/>
        </w:rPr>
        <w:t>2</w:t>
      </w:r>
      <w:r w:rsidRPr="00275FAD">
        <w:rPr>
          <w:b/>
          <w:bCs/>
          <w:color w:val="4472C4" w:themeColor="accent1"/>
          <w:sz w:val="26"/>
          <w:szCs w:val="26"/>
          <w:u w:val="single"/>
        </w:rPr>
        <w:t xml:space="preserve"> December 2022</w:t>
      </w:r>
    </w:p>
    <w:sectPr w:rsidR="009019CB" w:rsidRPr="00275FA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53896" w14:textId="77777777" w:rsidR="00731D6B" w:rsidRDefault="00731D6B" w:rsidP="00797311">
      <w:pPr>
        <w:spacing w:after="0" w:line="240" w:lineRule="auto"/>
      </w:pPr>
      <w:r>
        <w:separator/>
      </w:r>
    </w:p>
  </w:endnote>
  <w:endnote w:type="continuationSeparator" w:id="0">
    <w:p w14:paraId="38BDFBF4" w14:textId="77777777" w:rsidR="00731D6B" w:rsidRDefault="00731D6B" w:rsidP="0079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26E7" w14:textId="77777777" w:rsidR="00797311" w:rsidRDefault="00797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0CF2" w14:textId="77777777" w:rsidR="00797311" w:rsidRDefault="00797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EAE5" w14:textId="77777777" w:rsidR="00797311" w:rsidRDefault="00797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2D0B6" w14:textId="77777777" w:rsidR="00731D6B" w:rsidRDefault="00731D6B" w:rsidP="00797311">
      <w:pPr>
        <w:spacing w:after="0" w:line="240" w:lineRule="auto"/>
      </w:pPr>
      <w:r>
        <w:separator/>
      </w:r>
    </w:p>
  </w:footnote>
  <w:footnote w:type="continuationSeparator" w:id="0">
    <w:p w14:paraId="63B2812E" w14:textId="77777777" w:rsidR="00731D6B" w:rsidRDefault="00731D6B" w:rsidP="00797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D936" w14:textId="77777777" w:rsidR="00797311" w:rsidRDefault="00797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3AEA" w14:textId="24CAE483" w:rsidR="00797311" w:rsidRDefault="00797311">
    <w:pPr>
      <w:pStyle w:val="Header"/>
    </w:pPr>
    <w:r>
      <w:rPr>
        <w:noProof/>
      </w:rPr>
      <mc:AlternateContent>
        <mc:Choice Requires="wps">
          <w:drawing>
            <wp:anchor distT="0" distB="0" distL="114300" distR="114300" simplePos="0" relativeHeight="251659264" behindDoc="0" locked="0" layoutInCell="0" allowOverlap="1" wp14:anchorId="16AD3894" wp14:editId="0820F95C">
              <wp:simplePos x="0" y="0"/>
              <wp:positionH relativeFrom="page">
                <wp:posOffset>0</wp:posOffset>
              </wp:positionH>
              <wp:positionV relativeFrom="page">
                <wp:posOffset>190500</wp:posOffset>
              </wp:positionV>
              <wp:extent cx="7560310" cy="273050"/>
              <wp:effectExtent l="0" t="0" r="0" b="12700"/>
              <wp:wrapNone/>
              <wp:docPr id="1" name="MSIPCMd7d3416099048e8ce530baaf" descr="{&quot;HashCode&quot;:-37993070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E6D1F5" w14:textId="015DB978" w:rsidR="00797311" w:rsidRPr="00797311" w:rsidRDefault="00797311" w:rsidP="00797311">
                          <w:pPr>
                            <w:spacing w:after="0"/>
                            <w:jc w:val="right"/>
                            <w:rPr>
                              <w:rFonts w:ascii="Calibri" w:hAnsi="Calibri" w:cs="Calibri"/>
                              <w:color w:val="317100"/>
                              <w:sz w:val="20"/>
                            </w:rPr>
                          </w:pPr>
                          <w:r w:rsidRPr="00797311">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6AD3894" id="_x0000_t202" coordsize="21600,21600" o:spt="202" path="m,l,21600r21600,l21600,xe">
              <v:stroke joinstyle="miter"/>
              <v:path gradientshapeok="t" o:connecttype="rect"/>
            </v:shapetype>
            <v:shape id="MSIPCMd7d3416099048e8ce530baaf" o:spid="_x0000_s1026" type="#_x0000_t202" alt="{&quot;HashCode&quot;:-379930704,&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nsAIAAEcFAAAOAAAAZHJzL2Uyb0RvYy54bWysVEtv2zAMvg/YfxB02GmtnThPr06RpehW&#10;IG0DpEPPiizFBmxJlZTa2bD/PkqW07XbadjFpkiKj48fdXHZ1hV6ZtqUUmR4cB5jxASVeSn2Gf72&#10;cH02w8hYInJSScEyfGQGXy7ev7toVMqGspBVzjSCIMKkjcpwYa1Ko8jQgtXEnEvFBBi51DWxcNT7&#10;KNekgeh1FQ3jeBI1UudKS8qMAe1VZ8QLH59zRu0954ZZVGUYarP+q/13577R4oKke01UUdJQBvmH&#10;KmpSCkh6CnVFLEEHXf4Rqi6plkZye05lHUnOS8p8D9DNIH7TzbYgivleAByjTjCZ/xeW3j1vNCpz&#10;mB1GgtQwotvtzWZ1m0/zZDSYxPN5PJqxGWXjJN4RwjHKmaGA4I8PTwdpP30lpljJnHWn9CyZzudJ&#10;PI1HH4OdlfvCButsBAwJhscyt0XQj+fjk35TEcpqJvo7fRgCROnkEOBG5KwNAbrfRpc10cdXXlug&#10;AHAz+A3C3QepgiY+JV4z3ucE5U9HjUaZFBDaKsDItp9l62AKegNKN/GW69r9YZYI7ECy44lYrLWI&#10;gnI6nsTJAEwUbMNpEo8986KX20ob+4XJGjkhwxqq9nwiz2tjISO49i4umZDXZVV58lYCNRmeJBDy&#10;lQVuVAIuuh66Wp1k210bGtjJ/Ah9adkthVH0uoTka2LshmjYAqgXNtvew4dXEpLIIGFUSP39b3rn&#10;D+QEK0YNbFWGzdOBaIZRdSOAtvPBaOTW0B9A0F4YjkdxDKddrxaHeiVhY4GTUJYXnbOtepFrWT/C&#10;5i9dOjARQSFphm0vriycwAAvB2XLpZdh4xSxa7FV1IV2aDlMH9pHolUA3sLI7mS/eCR9g3/n2+G8&#10;PFjJSz8ch2wHZwActtXPLLws7jn4/ey9Xt6/xS8AAAD//wMAUEsDBBQABgAIAAAAIQBxnx1f3QAA&#10;AAcBAAAPAAAAZHJzL2Rvd25yZXYueG1sTI9BS8NAEIXvgv9hGcGb3W0rtY2ZlFbITZBUpddNMibB&#10;7GzIbtLk37s92dPweI/3von3k2nFSL1rLCMsFwoEcWHLhiuEr8/0aQvCec2lbi0TwkwO9sn9Xayj&#10;0l44o/HkKxFK2EUaofa+i6R0RU1Gu4XtiIP3Y3ujfZB9JcteX0K5aeVKqY00uuGwUOuO3moqfk+D&#10;QRieD8d8tqvx/eN4/s6mlOcsPSM+PkyHVxCeJv8fhit+QIckMOV24NKJFiE84hHWKtyru9ypDYgc&#10;4WWtQCaxvOVP/gAAAP//AwBQSwECLQAUAAYACAAAACEAtoM4kv4AAADhAQAAEwAAAAAAAAAAAAAA&#10;AAAAAAAAW0NvbnRlbnRfVHlwZXNdLnhtbFBLAQItABQABgAIAAAAIQA4/SH/1gAAAJQBAAALAAAA&#10;AAAAAAAAAAAAAC8BAABfcmVscy8ucmVsc1BLAQItABQABgAIAAAAIQCu/tsnsAIAAEcFAAAOAAAA&#10;AAAAAAAAAAAAAC4CAABkcnMvZTJvRG9jLnhtbFBLAQItABQABgAIAAAAIQBxnx1f3QAAAAcBAAAP&#10;AAAAAAAAAAAAAAAAAAoFAABkcnMvZG93bnJldi54bWxQSwUGAAAAAAQABADzAAAAFAYAAAAA&#10;" o:allowincell="f" filled="f" stroked="f" strokeweight=".5pt">
              <v:textbox inset=",0,20pt,0">
                <w:txbxContent>
                  <w:p w14:paraId="6DE6D1F5" w14:textId="015DB978" w:rsidR="00797311" w:rsidRPr="00797311" w:rsidRDefault="00797311" w:rsidP="00797311">
                    <w:pPr>
                      <w:spacing w:after="0"/>
                      <w:jc w:val="right"/>
                      <w:rPr>
                        <w:rFonts w:ascii="Calibri" w:hAnsi="Calibri" w:cs="Calibri"/>
                        <w:color w:val="317100"/>
                        <w:sz w:val="20"/>
                      </w:rPr>
                    </w:pPr>
                    <w:r w:rsidRPr="00797311">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8314" w14:textId="77777777" w:rsidR="00797311" w:rsidRDefault="00797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2691"/>
    <w:multiLevelType w:val="hybridMultilevel"/>
    <w:tmpl w:val="A0B6D128"/>
    <w:lvl w:ilvl="0" w:tplc="5FC0A5D0">
      <w:start w:val="17"/>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B"/>
    <w:rsid w:val="00096750"/>
    <w:rsid w:val="00134D2A"/>
    <w:rsid w:val="00161A2E"/>
    <w:rsid w:val="001654C2"/>
    <w:rsid w:val="001B37D1"/>
    <w:rsid w:val="001E482A"/>
    <w:rsid w:val="0022411B"/>
    <w:rsid w:val="00275FAD"/>
    <w:rsid w:val="002C53CB"/>
    <w:rsid w:val="00332030"/>
    <w:rsid w:val="0036794A"/>
    <w:rsid w:val="004A5F33"/>
    <w:rsid w:val="00575BDF"/>
    <w:rsid w:val="00582C8B"/>
    <w:rsid w:val="006D1708"/>
    <w:rsid w:val="00731D6B"/>
    <w:rsid w:val="00797311"/>
    <w:rsid w:val="007E112E"/>
    <w:rsid w:val="009019CB"/>
    <w:rsid w:val="00967615"/>
    <w:rsid w:val="009A2D9A"/>
    <w:rsid w:val="009C34C0"/>
    <w:rsid w:val="00C2200D"/>
    <w:rsid w:val="00D00014"/>
    <w:rsid w:val="00D9525A"/>
    <w:rsid w:val="00E83654"/>
    <w:rsid w:val="00F215B0"/>
    <w:rsid w:val="00F61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900C0"/>
  <w15:chartTrackingRefBased/>
  <w15:docId w15:val="{6DB5D9C2-564D-4BDE-92C0-C6E51E91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C8B"/>
    <w:pPr>
      <w:spacing w:after="0" w:line="240" w:lineRule="auto"/>
      <w:ind w:left="720"/>
    </w:pPr>
    <w:rPr>
      <w:rFonts w:ascii="Calibri" w:hAnsi="Calibri" w:cs="Calibri"/>
    </w:rPr>
  </w:style>
  <w:style w:type="paragraph" w:customStyle="1" w:styleId="CharCharChar">
    <w:name w:val="Char Char Char"/>
    <w:basedOn w:val="Normal"/>
    <w:rsid w:val="007E112E"/>
    <w:pPr>
      <w:spacing w:line="240" w:lineRule="exact"/>
    </w:pPr>
    <w:rPr>
      <w:rFonts w:ascii="Tahoma" w:eastAsia="Times New Roman" w:hAnsi="Tahoma" w:cs="Times New Roman"/>
      <w:sz w:val="20"/>
      <w:szCs w:val="20"/>
      <w:lang w:val="en-US"/>
    </w:rPr>
  </w:style>
  <w:style w:type="paragraph" w:styleId="Header">
    <w:name w:val="header"/>
    <w:basedOn w:val="Normal"/>
    <w:link w:val="HeaderChar"/>
    <w:uiPriority w:val="99"/>
    <w:unhideWhenUsed/>
    <w:rsid w:val="00797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311"/>
  </w:style>
  <w:style w:type="paragraph" w:styleId="Footer">
    <w:name w:val="footer"/>
    <w:basedOn w:val="Normal"/>
    <w:link w:val="FooterChar"/>
    <w:uiPriority w:val="99"/>
    <w:unhideWhenUsed/>
    <w:rsid w:val="00797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115504">
      <w:bodyDiv w:val="1"/>
      <w:marLeft w:val="0"/>
      <w:marRight w:val="0"/>
      <w:marTop w:val="0"/>
      <w:marBottom w:val="0"/>
      <w:divBdr>
        <w:top w:val="none" w:sz="0" w:space="0" w:color="auto"/>
        <w:left w:val="none" w:sz="0" w:space="0" w:color="auto"/>
        <w:bottom w:val="none" w:sz="0" w:space="0" w:color="auto"/>
        <w:right w:val="none" w:sz="0" w:space="0" w:color="auto"/>
      </w:divBdr>
    </w:div>
    <w:div w:id="181109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Allen</dc:creator>
  <cp:keywords/>
  <dc:description/>
  <cp:lastModifiedBy>Cornwall Council</cp:lastModifiedBy>
  <cp:revision>4</cp:revision>
  <dcterms:created xsi:type="dcterms:W3CDTF">2022-12-21T17:16:00Z</dcterms:created>
  <dcterms:modified xsi:type="dcterms:W3CDTF">2022-12-22T08:40:00Z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2022-12-21T17:15:41Z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dcead91c-36b9-4388-a795-97876255b8ed</vt:lpwstr>
  </property>
  <property fmtid="{D5CDD505-2E9C-101B-9397-08002B2CF9AE}" pid="8" name="MSIP_Label_bee4c20f-5817-432f-84ac-80a373257ed1_ContentBits">
    <vt:lpwstr>1</vt:lpwstr>
  </property>
</Properties>
</file>