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63D8E" w14:textId="77777777" w:rsidR="00AF28C7" w:rsidRDefault="00AF28C7" w:rsidP="00C976A2">
      <w:pPr>
        <w:pStyle w:val="Logos"/>
        <w:tabs>
          <w:tab w:val="right" w:pos="9498"/>
        </w:tabs>
      </w:pPr>
      <w:r>
        <w:drawing>
          <wp:inline distT="0" distB="0" distL="0" distR="0" wp14:anchorId="151C666F" wp14:editId="7D926C30">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DB43FC8" w14:textId="77777777" w:rsidR="009F41B6" w:rsidRDefault="00465305" w:rsidP="00C976A2">
      <w:pPr>
        <w:pStyle w:val="TitleText"/>
        <w:spacing w:before="0" w:line="288" w:lineRule="auto"/>
      </w:pPr>
      <w:r>
        <w:t xml:space="preserve">Anti- Homophobic, </w:t>
      </w:r>
      <w:proofErr w:type="spellStart"/>
      <w:r>
        <w:t>Biphobic</w:t>
      </w:r>
      <w:proofErr w:type="spellEnd"/>
      <w:r>
        <w:t xml:space="preserve"> and Transphobic Bullying</w:t>
      </w:r>
      <w:r w:rsidR="00F6137D">
        <w:t xml:space="preserve"> </w:t>
      </w:r>
      <w:r w:rsidR="00F12D41">
        <w:t>F</w:t>
      </w:r>
      <w:r w:rsidR="00D207A7">
        <w:t>und</w:t>
      </w:r>
    </w:p>
    <w:p w14:paraId="36FFDBA2" w14:textId="77777777" w:rsidR="009F41B6" w:rsidRDefault="00465305" w:rsidP="00C976A2">
      <w:pPr>
        <w:pStyle w:val="SubtitleText"/>
        <w:spacing w:after="240"/>
      </w:pPr>
      <w:r>
        <w:t>Invitation to Compete</w:t>
      </w:r>
    </w:p>
    <w:p w14:paraId="1099B8FC" w14:textId="77777777" w:rsidR="009F41B6" w:rsidRDefault="00465305" w:rsidP="00C976A2">
      <w:pPr>
        <w:pStyle w:val="Date"/>
      </w:pPr>
      <w:r>
        <w:t>July</w:t>
      </w:r>
      <w:r w:rsidR="00B12197">
        <w:t xml:space="preserve"> </w:t>
      </w:r>
      <w:r w:rsidR="009F41B6">
        <w:t>201</w:t>
      </w:r>
      <w:r w:rsidR="00D207A7">
        <w:t>6</w:t>
      </w:r>
    </w:p>
    <w:p w14:paraId="745A5AEF" w14:textId="77777777" w:rsidR="009F41B6" w:rsidRDefault="009F41B6" w:rsidP="00C976A2">
      <w:pPr>
        <w:pStyle w:val="TOCHeader"/>
        <w:spacing w:after="240" w:line="288" w:lineRule="auto"/>
      </w:pPr>
      <w:r>
        <w:lastRenderedPageBreak/>
        <w:t>Contents</w:t>
      </w:r>
    </w:p>
    <w:p w14:paraId="42A3A8DB" w14:textId="478DAEAB" w:rsidR="00171A5E" w:rsidRDefault="009F41B6">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455671163" w:history="1">
        <w:r w:rsidR="00171A5E" w:rsidRPr="00762E13">
          <w:rPr>
            <w:rStyle w:val="Hyperlink"/>
          </w:rPr>
          <w:t>Introduction</w:t>
        </w:r>
        <w:r w:rsidR="00171A5E">
          <w:rPr>
            <w:webHidden/>
          </w:rPr>
          <w:tab/>
        </w:r>
        <w:r w:rsidR="00171A5E">
          <w:rPr>
            <w:webHidden/>
          </w:rPr>
          <w:fldChar w:fldCharType="begin"/>
        </w:r>
        <w:r w:rsidR="00171A5E">
          <w:rPr>
            <w:webHidden/>
          </w:rPr>
          <w:instrText xml:space="preserve"> PAGEREF _Toc455671163 \h </w:instrText>
        </w:r>
        <w:r w:rsidR="00171A5E">
          <w:rPr>
            <w:webHidden/>
          </w:rPr>
        </w:r>
        <w:r w:rsidR="00171A5E">
          <w:rPr>
            <w:webHidden/>
          </w:rPr>
          <w:fldChar w:fldCharType="separate"/>
        </w:r>
        <w:r w:rsidR="00171A5E">
          <w:rPr>
            <w:webHidden/>
          </w:rPr>
          <w:t>3</w:t>
        </w:r>
        <w:r w:rsidR="00171A5E">
          <w:rPr>
            <w:webHidden/>
          </w:rPr>
          <w:fldChar w:fldCharType="end"/>
        </w:r>
      </w:hyperlink>
    </w:p>
    <w:p w14:paraId="1B91A89C" w14:textId="2C62D7DC" w:rsidR="00171A5E" w:rsidRDefault="00171A5E">
      <w:pPr>
        <w:pStyle w:val="TOC1"/>
        <w:rPr>
          <w:rFonts w:asciiTheme="minorHAnsi" w:eastAsiaTheme="minorEastAsia" w:hAnsiTheme="minorHAnsi" w:cstheme="minorBidi"/>
          <w:color w:val="auto"/>
          <w:sz w:val="22"/>
          <w:szCs w:val="22"/>
        </w:rPr>
      </w:pPr>
      <w:hyperlink w:anchor="_Toc455671164" w:history="1">
        <w:r w:rsidRPr="00762E13">
          <w:rPr>
            <w:rStyle w:val="Hyperlink"/>
          </w:rPr>
          <w:t>The grant requirement</w:t>
        </w:r>
        <w:r>
          <w:rPr>
            <w:webHidden/>
          </w:rPr>
          <w:tab/>
        </w:r>
        <w:r>
          <w:rPr>
            <w:webHidden/>
          </w:rPr>
          <w:fldChar w:fldCharType="begin"/>
        </w:r>
        <w:r>
          <w:rPr>
            <w:webHidden/>
          </w:rPr>
          <w:instrText xml:space="preserve"> PAGEREF _Toc455671164 \h </w:instrText>
        </w:r>
        <w:r>
          <w:rPr>
            <w:webHidden/>
          </w:rPr>
        </w:r>
        <w:r>
          <w:rPr>
            <w:webHidden/>
          </w:rPr>
          <w:fldChar w:fldCharType="separate"/>
        </w:r>
        <w:r>
          <w:rPr>
            <w:webHidden/>
          </w:rPr>
          <w:t>5</w:t>
        </w:r>
        <w:r>
          <w:rPr>
            <w:webHidden/>
          </w:rPr>
          <w:fldChar w:fldCharType="end"/>
        </w:r>
      </w:hyperlink>
    </w:p>
    <w:p w14:paraId="3DFE345A" w14:textId="68457F23" w:rsidR="00171A5E" w:rsidRDefault="00171A5E">
      <w:pPr>
        <w:pStyle w:val="TOC2"/>
        <w:rPr>
          <w:rFonts w:asciiTheme="minorHAnsi" w:eastAsiaTheme="minorEastAsia" w:hAnsiTheme="minorHAnsi" w:cstheme="minorBidi"/>
          <w:color w:val="auto"/>
          <w:sz w:val="22"/>
          <w:szCs w:val="22"/>
        </w:rPr>
      </w:pPr>
      <w:hyperlink w:anchor="_Toc455671165" w:history="1">
        <w:r w:rsidRPr="00762E13">
          <w:rPr>
            <w:rStyle w:val="Hyperlink"/>
          </w:rPr>
          <w:t>Overarching criteria</w:t>
        </w:r>
        <w:r>
          <w:rPr>
            <w:webHidden/>
          </w:rPr>
          <w:tab/>
        </w:r>
        <w:r>
          <w:rPr>
            <w:webHidden/>
          </w:rPr>
          <w:fldChar w:fldCharType="begin"/>
        </w:r>
        <w:r>
          <w:rPr>
            <w:webHidden/>
          </w:rPr>
          <w:instrText xml:space="preserve"> PAGEREF _Toc455671165 \h </w:instrText>
        </w:r>
        <w:r>
          <w:rPr>
            <w:webHidden/>
          </w:rPr>
        </w:r>
        <w:r>
          <w:rPr>
            <w:webHidden/>
          </w:rPr>
          <w:fldChar w:fldCharType="separate"/>
        </w:r>
        <w:r>
          <w:rPr>
            <w:webHidden/>
          </w:rPr>
          <w:t>5</w:t>
        </w:r>
        <w:r>
          <w:rPr>
            <w:webHidden/>
          </w:rPr>
          <w:fldChar w:fldCharType="end"/>
        </w:r>
      </w:hyperlink>
    </w:p>
    <w:p w14:paraId="5C2B25B4" w14:textId="4F940127" w:rsidR="00171A5E" w:rsidRDefault="00171A5E">
      <w:pPr>
        <w:pStyle w:val="TOC2"/>
        <w:rPr>
          <w:rFonts w:asciiTheme="minorHAnsi" w:eastAsiaTheme="minorEastAsia" w:hAnsiTheme="minorHAnsi" w:cstheme="minorBidi"/>
          <w:color w:val="auto"/>
          <w:sz w:val="22"/>
          <w:szCs w:val="22"/>
        </w:rPr>
      </w:pPr>
      <w:hyperlink w:anchor="_Toc455671166" w:history="1">
        <w:r w:rsidRPr="00762E13">
          <w:rPr>
            <w:rStyle w:val="Hyperlink"/>
          </w:rPr>
          <w:t>Evaluation of bids</w:t>
        </w:r>
        <w:r>
          <w:rPr>
            <w:webHidden/>
          </w:rPr>
          <w:tab/>
        </w:r>
        <w:r>
          <w:rPr>
            <w:webHidden/>
          </w:rPr>
          <w:fldChar w:fldCharType="begin"/>
        </w:r>
        <w:r>
          <w:rPr>
            <w:webHidden/>
          </w:rPr>
          <w:instrText xml:space="preserve"> PAGEREF _Toc455671166 \h </w:instrText>
        </w:r>
        <w:r>
          <w:rPr>
            <w:webHidden/>
          </w:rPr>
        </w:r>
        <w:r>
          <w:rPr>
            <w:webHidden/>
          </w:rPr>
          <w:fldChar w:fldCharType="separate"/>
        </w:r>
        <w:r>
          <w:rPr>
            <w:webHidden/>
          </w:rPr>
          <w:t>6</w:t>
        </w:r>
        <w:r>
          <w:rPr>
            <w:webHidden/>
          </w:rPr>
          <w:fldChar w:fldCharType="end"/>
        </w:r>
      </w:hyperlink>
    </w:p>
    <w:p w14:paraId="7E524F64" w14:textId="6543C2BD" w:rsidR="00171A5E" w:rsidRDefault="00171A5E">
      <w:pPr>
        <w:pStyle w:val="TOC2"/>
        <w:rPr>
          <w:rFonts w:asciiTheme="minorHAnsi" w:eastAsiaTheme="minorEastAsia" w:hAnsiTheme="minorHAnsi" w:cstheme="minorBidi"/>
          <w:color w:val="auto"/>
          <w:sz w:val="22"/>
          <w:szCs w:val="22"/>
        </w:rPr>
      </w:pPr>
      <w:hyperlink w:anchor="_Toc455671167" w:history="1">
        <w:r w:rsidRPr="00762E13">
          <w:rPr>
            <w:rStyle w:val="Hyperlink"/>
          </w:rPr>
          <w:t>Grant awards</w:t>
        </w:r>
        <w:r>
          <w:rPr>
            <w:webHidden/>
          </w:rPr>
          <w:tab/>
        </w:r>
        <w:r>
          <w:rPr>
            <w:webHidden/>
          </w:rPr>
          <w:fldChar w:fldCharType="begin"/>
        </w:r>
        <w:r>
          <w:rPr>
            <w:webHidden/>
          </w:rPr>
          <w:instrText xml:space="preserve"> PAGEREF _Toc455671167 \h </w:instrText>
        </w:r>
        <w:r>
          <w:rPr>
            <w:webHidden/>
          </w:rPr>
        </w:r>
        <w:r>
          <w:rPr>
            <w:webHidden/>
          </w:rPr>
          <w:fldChar w:fldCharType="separate"/>
        </w:r>
        <w:r>
          <w:rPr>
            <w:webHidden/>
          </w:rPr>
          <w:t>8</w:t>
        </w:r>
        <w:r>
          <w:rPr>
            <w:webHidden/>
          </w:rPr>
          <w:fldChar w:fldCharType="end"/>
        </w:r>
      </w:hyperlink>
    </w:p>
    <w:p w14:paraId="36BCA9D6" w14:textId="0EA5789A" w:rsidR="00171A5E" w:rsidRDefault="00171A5E">
      <w:pPr>
        <w:pStyle w:val="TOC1"/>
        <w:rPr>
          <w:rFonts w:asciiTheme="minorHAnsi" w:eastAsiaTheme="minorEastAsia" w:hAnsiTheme="minorHAnsi" w:cstheme="minorBidi"/>
          <w:color w:val="auto"/>
          <w:sz w:val="22"/>
          <w:szCs w:val="22"/>
        </w:rPr>
      </w:pPr>
      <w:hyperlink w:anchor="_Toc455671168" w:history="1">
        <w:r w:rsidRPr="00762E13">
          <w:rPr>
            <w:rStyle w:val="Hyperlink"/>
          </w:rPr>
          <w:t>Background</w:t>
        </w:r>
        <w:r>
          <w:rPr>
            <w:webHidden/>
          </w:rPr>
          <w:tab/>
        </w:r>
        <w:r>
          <w:rPr>
            <w:webHidden/>
          </w:rPr>
          <w:fldChar w:fldCharType="begin"/>
        </w:r>
        <w:r>
          <w:rPr>
            <w:webHidden/>
          </w:rPr>
          <w:instrText xml:space="preserve"> PAGEREF _Toc455671168 \h </w:instrText>
        </w:r>
        <w:r>
          <w:rPr>
            <w:webHidden/>
          </w:rPr>
        </w:r>
        <w:r>
          <w:rPr>
            <w:webHidden/>
          </w:rPr>
          <w:fldChar w:fldCharType="separate"/>
        </w:r>
        <w:r>
          <w:rPr>
            <w:webHidden/>
          </w:rPr>
          <w:t>10</w:t>
        </w:r>
        <w:r>
          <w:rPr>
            <w:webHidden/>
          </w:rPr>
          <w:fldChar w:fldCharType="end"/>
        </w:r>
      </w:hyperlink>
    </w:p>
    <w:p w14:paraId="7ECC4FFA" w14:textId="7BCE50DC" w:rsidR="00171A5E" w:rsidRDefault="00171A5E">
      <w:pPr>
        <w:pStyle w:val="TOC1"/>
        <w:rPr>
          <w:rFonts w:asciiTheme="minorHAnsi" w:eastAsiaTheme="minorEastAsia" w:hAnsiTheme="minorHAnsi" w:cstheme="minorBidi"/>
          <w:color w:val="auto"/>
          <w:sz w:val="22"/>
          <w:szCs w:val="22"/>
        </w:rPr>
      </w:pPr>
      <w:hyperlink w:anchor="_Toc455671169" w:history="1">
        <w:r w:rsidRPr="00762E13">
          <w:rPr>
            <w:rStyle w:val="Hyperlink"/>
          </w:rPr>
          <w:t>Further information on what we are looking for</w:t>
        </w:r>
        <w:r>
          <w:rPr>
            <w:webHidden/>
          </w:rPr>
          <w:tab/>
        </w:r>
        <w:r>
          <w:rPr>
            <w:webHidden/>
          </w:rPr>
          <w:fldChar w:fldCharType="begin"/>
        </w:r>
        <w:r>
          <w:rPr>
            <w:webHidden/>
          </w:rPr>
          <w:instrText xml:space="preserve"> PAGEREF _Toc455671169 \h </w:instrText>
        </w:r>
        <w:r>
          <w:rPr>
            <w:webHidden/>
          </w:rPr>
        </w:r>
        <w:r>
          <w:rPr>
            <w:webHidden/>
          </w:rPr>
          <w:fldChar w:fldCharType="separate"/>
        </w:r>
        <w:r>
          <w:rPr>
            <w:webHidden/>
          </w:rPr>
          <w:t>12</w:t>
        </w:r>
        <w:r>
          <w:rPr>
            <w:webHidden/>
          </w:rPr>
          <w:fldChar w:fldCharType="end"/>
        </w:r>
      </w:hyperlink>
    </w:p>
    <w:p w14:paraId="7F2536D5" w14:textId="0640A3DA" w:rsidR="00171A5E" w:rsidRDefault="00171A5E">
      <w:pPr>
        <w:pStyle w:val="TOC1"/>
        <w:rPr>
          <w:rFonts w:asciiTheme="minorHAnsi" w:eastAsiaTheme="minorEastAsia" w:hAnsiTheme="minorHAnsi" w:cstheme="minorBidi"/>
          <w:color w:val="auto"/>
          <w:sz w:val="22"/>
          <w:szCs w:val="22"/>
        </w:rPr>
      </w:pPr>
      <w:hyperlink w:anchor="_Toc455671170" w:history="1">
        <w:r w:rsidRPr="00762E13">
          <w:rPr>
            <w:rStyle w:val="Hyperlink"/>
          </w:rPr>
          <w:t>The application process</w:t>
        </w:r>
        <w:r>
          <w:rPr>
            <w:webHidden/>
          </w:rPr>
          <w:tab/>
        </w:r>
        <w:r>
          <w:rPr>
            <w:webHidden/>
          </w:rPr>
          <w:fldChar w:fldCharType="begin"/>
        </w:r>
        <w:r>
          <w:rPr>
            <w:webHidden/>
          </w:rPr>
          <w:instrText xml:space="preserve"> PAGEREF _Toc455671170 \h </w:instrText>
        </w:r>
        <w:r>
          <w:rPr>
            <w:webHidden/>
          </w:rPr>
        </w:r>
        <w:r>
          <w:rPr>
            <w:webHidden/>
          </w:rPr>
          <w:fldChar w:fldCharType="separate"/>
        </w:r>
        <w:r>
          <w:rPr>
            <w:webHidden/>
          </w:rPr>
          <w:t>17</w:t>
        </w:r>
        <w:r>
          <w:rPr>
            <w:webHidden/>
          </w:rPr>
          <w:fldChar w:fldCharType="end"/>
        </w:r>
      </w:hyperlink>
    </w:p>
    <w:p w14:paraId="51B583E3" w14:textId="36F82B51" w:rsidR="00171A5E" w:rsidRDefault="00171A5E">
      <w:pPr>
        <w:pStyle w:val="TOC2"/>
        <w:rPr>
          <w:rFonts w:asciiTheme="minorHAnsi" w:eastAsiaTheme="minorEastAsia" w:hAnsiTheme="minorHAnsi" w:cstheme="minorBidi"/>
          <w:color w:val="auto"/>
          <w:sz w:val="22"/>
          <w:szCs w:val="22"/>
        </w:rPr>
      </w:pPr>
      <w:hyperlink w:anchor="_Toc455671171" w:history="1">
        <w:r w:rsidRPr="00762E13">
          <w:rPr>
            <w:rStyle w:val="Hyperlink"/>
          </w:rPr>
          <w:t>How to apply</w:t>
        </w:r>
        <w:r>
          <w:rPr>
            <w:webHidden/>
          </w:rPr>
          <w:tab/>
        </w:r>
        <w:r>
          <w:rPr>
            <w:webHidden/>
          </w:rPr>
          <w:fldChar w:fldCharType="begin"/>
        </w:r>
        <w:r>
          <w:rPr>
            <w:webHidden/>
          </w:rPr>
          <w:instrText xml:space="preserve"> PAGEREF _Toc455671171 \h </w:instrText>
        </w:r>
        <w:r>
          <w:rPr>
            <w:webHidden/>
          </w:rPr>
        </w:r>
        <w:r>
          <w:rPr>
            <w:webHidden/>
          </w:rPr>
          <w:fldChar w:fldCharType="separate"/>
        </w:r>
        <w:r>
          <w:rPr>
            <w:webHidden/>
          </w:rPr>
          <w:t>17</w:t>
        </w:r>
        <w:r>
          <w:rPr>
            <w:webHidden/>
          </w:rPr>
          <w:fldChar w:fldCharType="end"/>
        </w:r>
      </w:hyperlink>
    </w:p>
    <w:p w14:paraId="3B9174B4" w14:textId="2FC03611" w:rsidR="00171A5E" w:rsidRDefault="00171A5E">
      <w:pPr>
        <w:pStyle w:val="TOC3"/>
        <w:rPr>
          <w:rFonts w:asciiTheme="minorHAnsi" w:eastAsiaTheme="minorEastAsia" w:hAnsiTheme="minorHAnsi" w:cstheme="minorBidi"/>
          <w:color w:val="auto"/>
          <w:sz w:val="22"/>
          <w:szCs w:val="22"/>
        </w:rPr>
      </w:pPr>
      <w:hyperlink w:anchor="_Toc455671172" w:history="1">
        <w:r w:rsidRPr="00762E13">
          <w:rPr>
            <w:rStyle w:val="Hyperlink"/>
          </w:rPr>
          <w:t>Supporting documentation</w:t>
        </w:r>
        <w:r>
          <w:rPr>
            <w:webHidden/>
          </w:rPr>
          <w:tab/>
        </w:r>
        <w:r>
          <w:rPr>
            <w:webHidden/>
          </w:rPr>
          <w:fldChar w:fldCharType="begin"/>
        </w:r>
        <w:r>
          <w:rPr>
            <w:webHidden/>
          </w:rPr>
          <w:instrText xml:space="preserve"> PAGEREF _Toc455671172 \h </w:instrText>
        </w:r>
        <w:r>
          <w:rPr>
            <w:webHidden/>
          </w:rPr>
        </w:r>
        <w:r>
          <w:rPr>
            <w:webHidden/>
          </w:rPr>
          <w:fldChar w:fldCharType="separate"/>
        </w:r>
        <w:r>
          <w:rPr>
            <w:webHidden/>
          </w:rPr>
          <w:t>17</w:t>
        </w:r>
        <w:r>
          <w:rPr>
            <w:webHidden/>
          </w:rPr>
          <w:fldChar w:fldCharType="end"/>
        </w:r>
      </w:hyperlink>
    </w:p>
    <w:p w14:paraId="5637040B" w14:textId="136EB6CB" w:rsidR="00171A5E" w:rsidRDefault="00171A5E">
      <w:pPr>
        <w:pStyle w:val="TOC3"/>
        <w:rPr>
          <w:rFonts w:asciiTheme="minorHAnsi" w:eastAsiaTheme="minorEastAsia" w:hAnsiTheme="minorHAnsi" w:cstheme="minorBidi"/>
          <w:color w:val="auto"/>
          <w:sz w:val="22"/>
          <w:szCs w:val="22"/>
        </w:rPr>
      </w:pPr>
      <w:hyperlink w:anchor="_Toc455671173" w:history="1">
        <w:r w:rsidRPr="00762E13">
          <w:rPr>
            <w:rStyle w:val="Hyperlink"/>
          </w:rPr>
          <w:t>Timetable</w:t>
        </w:r>
        <w:r>
          <w:rPr>
            <w:webHidden/>
          </w:rPr>
          <w:tab/>
        </w:r>
        <w:r>
          <w:rPr>
            <w:webHidden/>
          </w:rPr>
          <w:fldChar w:fldCharType="begin"/>
        </w:r>
        <w:r>
          <w:rPr>
            <w:webHidden/>
          </w:rPr>
          <w:instrText xml:space="preserve"> PAGEREF _Toc455671173 \h </w:instrText>
        </w:r>
        <w:r>
          <w:rPr>
            <w:webHidden/>
          </w:rPr>
        </w:r>
        <w:r>
          <w:rPr>
            <w:webHidden/>
          </w:rPr>
          <w:fldChar w:fldCharType="separate"/>
        </w:r>
        <w:r>
          <w:rPr>
            <w:webHidden/>
          </w:rPr>
          <w:t>17</w:t>
        </w:r>
        <w:r>
          <w:rPr>
            <w:webHidden/>
          </w:rPr>
          <w:fldChar w:fldCharType="end"/>
        </w:r>
      </w:hyperlink>
    </w:p>
    <w:p w14:paraId="17A2EDFE" w14:textId="48FAD485" w:rsidR="00171A5E" w:rsidRDefault="00171A5E">
      <w:pPr>
        <w:pStyle w:val="TOC3"/>
        <w:rPr>
          <w:rFonts w:asciiTheme="minorHAnsi" w:eastAsiaTheme="minorEastAsia" w:hAnsiTheme="minorHAnsi" w:cstheme="minorBidi"/>
          <w:color w:val="auto"/>
          <w:sz w:val="22"/>
          <w:szCs w:val="22"/>
        </w:rPr>
      </w:pPr>
      <w:hyperlink w:anchor="_Toc455671174" w:history="1">
        <w:r w:rsidRPr="00762E13">
          <w:rPr>
            <w:rStyle w:val="Hyperlink"/>
          </w:rPr>
          <w:t>Inducements</w:t>
        </w:r>
        <w:r>
          <w:rPr>
            <w:webHidden/>
          </w:rPr>
          <w:tab/>
        </w:r>
        <w:r>
          <w:rPr>
            <w:webHidden/>
          </w:rPr>
          <w:fldChar w:fldCharType="begin"/>
        </w:r>
        <w:r>
          <w:rPr>
            <w:webHidden/>
          </w:rPr>
          <w:instrText xml:space="preserve"> PAGEREF _Toc455671174 \h </w:instrText>
        </w:r>
        <w:r>
          <w:rPr>
            <w:webHidden/>
          </w:rPr>
        </w:r>
        <w:r>
          <w:rPr>
            <w:webHidden/>
          </w:rPr>
          <w:fldChar w:fldCharType="separate"/>
        </w:r>
        <w:r>
          <w:rPr>
            <w:webHidden/>
          </w:rPr>
          <w:t>18</w:t>
        </w:r>
        <w:r>
          <w:rPr>
            <w:webHidden/>
          </w:rPr>
          <w:fldChar w:fldCharType="end"/>
        </w:r>
      </w:hyperlink>
    </w:p>
    <w:p w14:paraId="6090F480" w14:textId="68CFBE22" w:rsidR="00171A5E" w:rsidRDefault="00171A5E">
      <w:pPr>
        <w:pStyle w:val="TOC3"/>
        <w:rPr>
          <w:rFonts w:asciiTheme="minorHAnsi" w:eastAsiaTheme="minorEastAsia" w:hAnsiTheme="minorHAnsi" w:cstheme="minorBidi"/>
          <w:color w:val="auto"/>
          <w:sz w:val="22"/>
          <w:szCs w:val="22"/>
        </w:rPr>
      </w:pPr>
      <w:hyperlink w:anchor="_Toc455671175" w:history="1">
        <w:r w:rsidRPr="00762E13">
          <w:rPr>
            <w:rStyle w:val="Hyperlink"/>
          </w:rPr>
          <w:t>Costs and expenses</w:t>
        </w:r>
        <w:r>
          <w:rPr>
            <w:webHidden/>
          </w:rPr>
          <w:tab/>
        </w:r>
        <w:r>
          <w:rPr>
            <w:webHidden/>
          </w:rPr>
          <w:fldChar w:fldCharType="begin"/>
        </w:r>
        <w:r>
          <w:rPr>
            <w:webHidden/>
          </w:rPr>
          <w:instrText xml:space="preserve"> PAGEREF _Toc455671175 \h </w:instrText>
        </w:r>
        <w:r>
          <w:rPr>
            <w:webHidden/>
          </w:rPr>
        </w:r>
        <w:r>
          <w:rPr>
            <w:webHidden/>
          </w:rPr>
          <w:fldChar w:fldCharType="separate"/>
        </w:r>
        <w:r>
          <w:rPr>
            <w:webHidden/>
          </w:rPr>
          <w:t>18</w:t>
        </w:r>
        <w:r>
          <w:rPr>
            <w:webHidden/>
          </w:rPr>
          <w:fldChar w:fldCharType="end"/>
        </w:r>
      </w:hyperlink>
    </w:p>
    <w:p w14:paraId="3400BA6D" w14:textId="5E7F3409" w:rsidR="00171A5E" w:rsidRDefault="00171A5E">
      <w:pPr>
        <w:pStyle w:val="TOC3"/>
        <w:rPr>
          <w:rFonts w:asciiTheme="minorHAnsi" w:eastAsiaTheme="minorEastAsia" w:hAnsiTheme="minorHAnsi" w:cstheme="minorBidi"/>
          <w:color w:val="auto"/>
          <w:sz w:val="22"/>
          <w:szCs w:val="22"/>
        </w:rPr>
      </w:pPr>
      <w:hyperlink w:anchor="_Toc455671176" w:history="1">
        <w:r w:rsidRPr="00762E13">
          <w:rPr>
            <w:rStyle w:val="Hyperlink"/>
          </w:rPr>
          <w:t>Feedback</w:t>
        </w:r>
        <w:r>
          <w:rPr>
            <w:webHidden/>
          </w:rPr>
          <w:tab/>
        </w:r>
        <w:r>
          <w:rPr>
            <w:webHidden/>
          </w:rPr>
          <w:fldChar w:fldCharType="begin"/>
        </w:r>
        <w:r>
          <w:rPr>
            <w:webHidden/>
          </w:rPr>
          <w:instrText xml:space="preserve"> PAGEREF _Toc455671176 \h </w:instrText>
        </w:r>
        <w:r>
          <w:rPr>
            <w:webHidden/>
          </w:rPr>
        </w:r>
        <w:r>
          <w:rPr>
            <w:webHidden/>
          </w:rPr>
          <w:fldChar w:fldCharType="separate"/>
        </w:r>
        <w:r>
          <w:rPr>
            <w:webHidden/>
          </w:rPr>
          <w:t>18</w:t>
        </w:r>
        <w:r>
          <w:rPr>
            <w:webHidden/>
          </w:rPr>
          <w:fldChar w:fldCharType="end"/>
        </w:r>
      </w:hyperlink>
    </w:p>
    <w:p w14:paraId="1AFCBEF7" w14:textId="25F0D4D3" w:rsidR="00171A5E" w:rsidRDefault="00171A5E">
      <w:pPr>
        <w:pStyle w:val="TOC3"/>
        <w:rPr>
          <w:rFonts w:asciiTheme="minorHAnsi" w:eastAsiaTheme="minorEastAsia" w:hAnsiTheme="minorHAnsi" w:cstheme="minorBidi"/>
          <w:color w:val="auto"/>
          <w:sz w:val="22"/>
          <w:szCs w:val="22"/>
        </w:rPr>
      </w:pPr>
      <w:hyperlink w:anchor="_Toc455671177" w:history="1">
        <w:r w:rsidRPr="00762E13">
          <w:rPr>
            <w:rStyle w:val="Hyperlink"/>
          </w:rPr>
          <w:t>Freedom of information</w:t>
        </w:r>
        <w:r>
          <w:rPr>
            <w:webHidden/>
          </w:rPr>
          <w:tab/>
        </w:r>
        <w:r>
          <w:rPr>
            <w:webHidden/>
          </w:rPr>
          <w:fldChar w:fldCharType="begin"/>
        </w:r>
        <w:r>
          <w:rPr>
            <w:webHidden/>
          </w:rPr>
          <w:instrText xml:space="preserve"> PAGEREF _Toc455671177 \h </w:instrText>
        </w:r>
        <w:r>
          <w:rPr>
            <w:webHidden/>
          </w:rPr>
        </w:r>
        <w:r>
          <w:rPr>
            <w:webHidden/>
          </w:rPr>
          <w:fldChar w:fldCharType="separate"/>
        </w:r>
        <w:r>
          <w:rPr>
            <w:webHidden/>
          </w:rPr>
          <w:t>18</w:t>
        </w:r>
        <w:r>
          <w:rPr>
            <w:webHidden/>
          </w:rPr>
          <w:fldChar w:fldCharType="end"/>
        </w:r>
      </w:hyperlink>
    </w:p>
    <w:p w14:paraId="6D36DBA0" w14:textId="6E50E81E" w:rsidR="00171A5E" w:rsidRDefault="00171A5E">
      <w:pPr>
        <w:pStyle w:val="TOC3"/>
        <w:rPr>
          <w:rFonts w:asciiTheme="minorHAnsi" w:eastAsiaTheme="minorEastAsia" w:hAnsiTheme="minorHAnsi" w:cstheme="minorBidi"/>
          <w:color w:val="auto"/>
          <w:sz w:val="22"/>
          <w:szCs w:val="22"/>
        </w:rPr>
      </w:pPr>
      <w:hyperlink w:anchor="_Toc455671178" w:history="1">
        <w:r w:rsidRPr="00762E13">
          <w:rPr>
            <w:rStyle w:val="Hyperlink"/>
          </w:rPr>
          <w:t>Management information</w:t>
        </w:r>
        <w:r>
          <w:rPr>
            <w:webHidden/>
          </w:rPr>
          <w:tab/>
        </w:r>
        <w:r>
          <w:rPr>
            <w:webHidden/>
          </w:rPr>
          <w:fldChar w:fldCharType="begin"/>
        </w:r>
        <w:r>
          <w:rPr>
            <w:webHidden/>
          </w:rPr>
          <w:instrText xml:space="preserve"> PAGEREF _Toc455671178 \h </w:instrText>
        </w:r>
        <w:r>
          <w:rPr>
            <w:webHidden/>
          </w:rPr>
        </w:r>
        <w:r>
          <w:rPr>
            <w:webHidden/>
          </w:rPr>
          <w:fldChar w:fldCharType="separate"/>
        </w:r>
        <w:r>
          <w:rPr>
            <w:webHidden/>
          </w:rPr>
          <w:t>18</w:t>
        </w:r>
        <w:r>
          <w:rPr>
            <w:webHidden/>
          </w:rPr>
          <w:fldChar w:fldCharType="end"/>
        </w:r>
      </w:hyperlink>
    </w:p>
    <w:p w14:paraId="6C94776B" w14:textId="422D0E11" w:rsidR="00171A5E" w:rsidRDefault="00171A5E">
      <w:pPr>
        <w:pStyle w:val="TOC3"/>
        <w:rPr>
          <w:rFonts w:asciiTheme="minorHAnsi" w:eastAsiaTheme="minorEastAsia" w:hAnsiTheme="minorHAnsi" w:cstheme="minorBidi"/>
          <w:color w:val="auto"/>
          <w:sz w:val="22"/>
          <w:szCs w:val="22"/>
        </w:rPr>
      </w:pPr>
      <w:hyperlink w:anchor="_Toc455671179" w:history="1">
        <w:r w:rsidRPr="00762E13">
          <w:rPr>
            <w:rStyle w:val="Hyperlink"/>
          </w:rPr>
          <w:t>Grant funding agreement</w:t>
        </w:r>
        <w:r>
          <w:rPr>
            <w:webHidden/>
          </w:rPr>
          <w:tab/>
        </w:r>
        <w:r>
          <w:rPr>
            <w:webHidden/>
          </w:rPr>
          <w:fldChar w:fldCharType="begin"/>
        </w:r>
        <w:r>
          <w:rPr>
            <w:webHidden/>
          </w:rPr>
          <w:instrText xml:space="preserve"> PAGEREF _Toc455671179 \h </w:instrText>
        </w:r>
        <w:r>
          <w:rPr>
            <w:webHidden/>
          </w:rPr>
        </w:r>
        <w:r>
          <w:rPr>
            <w:webHidden/>
          </w:rPr>
          <w:fldChar w:fldCharType="separate"/>
        </w:r>
        <w:r>
          <w:rPr>
            <w:webHidden/>
          </w:rPr>
          <w:t>19</w:t>
        </w:r>
        <w:r>
          <w:rPr>
            <w:webHidden/>
          </w:rPr>
          <w:fldChar w:fldCharType="end"/>
        </w:r>
      </w:hyperlink>
    </w:p>
    <w:p w14:paraId="16B62C19" w14:textId="7906EA5C" w:rsidR="00171A5E" w:rsidRDefault="00171A5E">
      <w:pPr>
        <w:pStyle w:val="TOC3"/>
        <w:rPr>
          <w:rFonts w:asciiTheme="minorHAnsi" w:eastAsiaTheme="minorEastAsia" w:hAnsiTheme="minorHAnsi" w:cstheme="minorBidi"/>
          <w:color w:val="auto"/>
          <w:sz w:val="22"/>
          <w:szCs w:val="22"/>
        </w:rPr>
      </w:pPr>
      <w:hyperlink w:anchor="_Toc455671180" w:history="1">
        <w:r w:rsidRPr="00762E13">
          <w:rPr>
            <w:rStyle w:val="Hyperlink"/>
          </w:rPr>
          <w:t>State aid</w:t>
        </w:r>
        <w:r>
          <w:rPr>
            <w:webHidden/>
          </w:rPr>
          <w:tab/>
        </w:r>
        <w:r>
          <w:rPr>
            <w:webHidden/>
          </w:rPr>
          <w:fldChar w:fldCharType="begin"/>
        </w:r>
        <w:r>
          <w:rPr>
            <w:webHidden/>
          </w:rPr>
          <w:instrText xml:space="preserve"> PAGEREF _Toc455671180 \h </w:instrText>
        </w:r>
        <w:r>
          <w:rPr>
            <w:webHidden/>
          </w:rPr>
        </w:r>
        <w:r>
          <w:rPr>
            <w:webHidden/>
          </w:rPr>
          <w:fldChar w:fldCharType="separate"/>
        </w:r>
        <w:r>
          <w:rPr>
            <w:webHidden/>
          </w:rPr>
          <w:t>19</w:t>
        </w:r>
        <w:r>
          <w:rPr>
            <w:webHidden/>
          </w:rPr>
          <w:fldChar w:fldCharType="end"/>
        </w:r>
      </w:hyperlink>
    </w:p>
    <w:p w14:paraId="65C68808" w14:textId="7A96F7CB" w:rsidR="00171A5E" w:rsidRDefault="00171A5E">
      <w:pPr>
        <w:pStyle w:val="TOC3"/>
        <w:rPr>
          <w:rFonts w:asciiTheme="minorHAnsi" w:eastAsiaTheme="minorEastAsia" w:hAnsiTheme="minorHAnsi" w:cstheme="minorBidi"/>
          <w:color w:val="auto"/>
          <w:sz w:val="22"/>
          <w:szCs w:val="22"/>
        </w:rPr>
      </w:pPr>
      <w:hyperlink w:anchor="_Toc455671181" w:history="1">
        <w:r w:rsidRPr="00762E13">
          <w:rPr>
            <w:rStyle w:val="Hyperlink"/>
          </w:rPr>
          <w:t>Government efficiency controls: marketing and advertising and consultancy</w:t>
        </w:r>
        <w:r>
          <w:rPr>
            <w:webHidden/>
          </w:rPr>
          <w:tab/>
        </w:r>
        <w:r>
          <w:rPr>
            <w:webHidden/>
          </w:rPr>
          <w:fldChar w:fldCharType="begin"/>
        </w:r>
        <w:r>
          <w:rPr>
            <w:webHidden/>
          </w:rPr>
          <w:instrText xml:space="preserve"> PAGEREF _Toc455671181 \h </w:instrText>
        </w:r>
        <w:r>
          <w:rPr>
            <w:webHidden/>
          </w:rPr>
        </w:r>
        <w:r>
          <w:rPr>
            <w:webHidden/>
          </w:rPr>
          <w:fldChar w:fldCharType="separate"/>
        </w:r>
        <w:r>
          <w:rPr>
            <w:webHidden/>
          </w:rPr>
          <w:t>20</w:t>
        </w:r>
        <w:r>
          <w:rPr>
            <w:webHidden/>
          </w:rPr>
          <w:fldChar w:fldCharType="end"/>
        </w:r>
      </w:hyperlink>
    </w:p>
    <w:p w14:paraId="0C5D89A7" w14:textId="58EAE714" w:rsidR="00171A5E" w:rsidRDefault="00171A5E">
      <w:pPr>
        <w:pStyle w:val="TOC3"/>
        <w:rPr>
          <w:rFonts w:asciiTheme="minorHAnsi" w:eastAsiaTheme="minorEastAsia" w:hAnsiTheme="minorHAnsi" w:cstheme="minorBidi"/>
          <w:color w:val="auto"/>
          <w:sz w:val="22"/>
          <w:szCs w:val="22"/>
        </w:rPr>
      </w:pPr>
      <w:hyperlink w:anchor="_Toc455671182" w:history="1">
        <w:r w:rsidRPr="00762E13">
          <w:rPr>
            <w:rStyle w:val="Hyperlink"/>
          </w:rPr>
          <w:t>Marketing and advertising</w:t>
        </w:r>
        <w:r>
          <w:rPr>
            <w:webHidden/>
          </w:rPr>
          <w:tab/>
        </w:r>
        <w:r>
          <w:rPr>
            <w:webHidden/>
          </w:rPr>
          <w:fldChar w:fldCharType="begin"/>
        </w:r>
        <w:r>
          <w:rPr>
            <w:webHidden/>
          </w:rPr>
          <w:instrText xml:space="preserve"> PAGEREF _Toc455671182 \h </w:instrText>
        </w:r>
        <w:r>
          <w:rPr>
            <w:webHidden/>
          </w:rPr>
        </w:r>
        <w:r>
          <w:rPr>
            <w:webHidden/>
          </w:rPr>
          <w:fldChar w:fldCharType="separate"/>
        </w:r>
        <w:r>
          <w:rPr>
            <w:webHidden/>
          </w:rPr>
          <w:t>20</w:t>
        </w:r>
        <w:r>
          <w:rPr>
            <w:webHidden/>
          </w:rPr>
          <w:fldChar w:fldCharType="end"/>
        </w:r>
      </w:hyperlink>
    </w:p>
    <w:p w14:paraId="7B7690F9" w14:textId="015608EC" w:rsidR="00171A5E" w:rsidRDefault="00171A5E">
      <w:pPr>
        <w:pStyle w:val="TOC3"/>
        <w:rPr>
          <w:rFonts w:asciiTheme="minorHAnsi" w:eastAsiaTheme="minorEastAsia" w:hAnsiTheme="minorHAnsi" w:cstheme="minorBidi"/>
          <w:color w:val="auto"/>
          <w:sz w:val="22"/>
          <w:szCs w:val="22"/>
        </w:rPr>
      </w:pPr>
      <w:hyperlink w:anchor="_Toc455671183" w:history="1">
        <w:r w:rsidRPr="00762E13">
          <w:rPr>
            <w:rStyle w:val="Hyperlink"/>
          </w:rPr>
          <w:t>Consultancy</w:t>
        </w:r>
        <w:r>
          <w:rPr>
            <w:webHidden/>
          </w:rPr>
          <w:tab/>
        </w:r>
        <w:r>
          <w:rPr>
            <w:webHidden/>
          </w:rPr>
          <w:fldChar w:fldCharType="begin"/>
        </w:r>
        <w:r>
          <w:rPr>
            <w:webHidden/>
          </w:rPr>
          <w:instrText xml:space="preserve"> PAGEREF _Toc455671183 \h </w:instrText>
        </w:r>
        <w:r>
          <w:rPr>
            <w:webHidden/>
          </w:rPr>
        </w:r>
        <w:r>
          <w:rPr>
            <w:webHidden/>
          </w:rPr>
          <w:fldChar w:fldCharType="separate"/>
        </w:r>
        <w:r>
          <w:rPr>
            <w:webHidden/>
          </w:rPr>
          <w:t>20</w:t>
        </w:r>
        <w:r>
          <w:rPr>
            <w:webHidden/>
          </w:rPr>
          <w:fldChar w:fldCharType="end"/>
        </w:r>
      </w:hyperlink>
    </w:p>
    <w:p w14:paraId="0EA4A156" w14:textId="1A34C2E6" w:rsidR="00171A5E" w:rsidRDefault="00171A5E">
      <w:pPr>
        <w:pStyle w:val="TOC1"/>
        <w:rPr>
          <w:rFonts w:asciiTheme="minorHAnsi" w:eastAsiaTheme="minorEastAsia" w:hAnsiTheme="minorHAnsi" w:cstheme="minorBidi"/>
          <w:color w:val="auto"/>
          <w:sz w:val="22"/>
          <w:szCs w:val="22"/>
        </w:rPr>
      </w:pPr>
      <w:hyperlink w:anchor="_Toc455671184" w:history="1">
        <w:r w:rsidRPr="00762E13">
          <w:rPr>
            <w:rStyle w:val="Hyperlink"/>
          </w:rPr>
          <w:t>Clarification for bidders</w:t>
        </w:r>
        <w:r>
          <w:rPr>
            <w:webHidden/>
          </w:rPr>
          <w:tab/>
        </w:r>
        <w:r>
          <w:rPr>
            <w:webHidden/>
          </w:rPr>
          <w:fldChar w:fldCharType="begin"/>
        </w:r>
        <w:r>
          <w:rPr>
            <w:webHidden/>
          </w:rPr>
          <w:instrText xml:space="preserve"> PAGEREF _Toc455671184 \h </w:instrText>
        </w:r>
        <w:r>
          <w:rPr>
            <w:webHidden/>
          </w:rPr>
        </w:r>
        <w:r>
          <w:rPr>
            <w:webHidden/>
          </w:rPr>
          <w:fldChar w:fldCharType="separate"/>
        </w:r>
        <w:r>
          <w:rPr>
            <w:webHidden/>
          </w:rPr>
          <w:t>21</w:t>
        </w:r>
        <w:r>
          <w:rPr>
            <w:webHidden/>
          </w:rPr>
          <w:fldChar w:fldCharType="end"/>
        </w:r>
      </w:hyperlink>
    </w:p>
    <w:p w14:paraId="0FEA31BF" w14:textId="03D2A229" w:rsidR="00763F44" w:rsidRDefault="009F41B6" w:rsidP="00C976A2">
      <w:pPr>
        <w:pStyle w:val="TOC1"/>
        <w:spacing w:after="240"/>
      </w:pPr>
      <w:r>
        <w:fldChar w:fldCharType="end"/>
      </w:r>
      <w:bookmarkStart w:id="0" w:name="_Toc328122778"/>
    </w:p>
    <w:p w14:paraId="26833358" w14:textId="77777777" w:rsidR="009F41B6" w:rsidRDefault="00D207A7" w:rsidP="00C976A2">
      <w:pPr>
        <w:pStyle w:val="Heading1"/>
        <w:spacing w:line="288" w:lineRule="auto"/>
      </w:pPr>
      <w:bookmarkStart w:id="1" w:name="_Toc455671163"/>
      <w:r>
        <w:lastRenderedPageBreak/>
        <w:t>Introduction</w:t>
      </w:r>
      <w:bookmarkEnd w:id="1"/>
    </w:p>
    <w:p w14:paraId="5E101296" w14:textId="2B5F4F26" w:rsidR="00757CDD" w:rsidRPr="00873234" w:rsidRDefault="00D207A7" w:rsidP="00C976A2">
      <w:pPr>
        <w:rPr>
          <w:color w:val="000000"/>
        </w:rPr>
      </w:pPr>
      <w:bookmarkStart w:id="2" w:name="_Toc357771639"/>
      <w:bookmarkStart w:id="3" w:name="_Toc346793417"/>
      <w:r w:rsidRPr="00597D79">
        <w:t xml:space="preserve">This document sets out the </w:t>
      </w:r>
      <w:r w:rsidR="00597D79">
        <w:t xml:space="preserve">purpose, </w:t>
      </w:r>
      <w:r w:rsidR="00465305" w:rsidRPr="00597D79">
        <w:t>aims</w:t>
      </w:r>
      <w:r w:rsidRPr="00597D79">
        <w:t xml:space="preserve">, </w:t>
      </w:r>
      <w:r w:rsidR="008C7AB5" w:rsidRPr="00597D79">
        <w:t>evidence</w:t>
      </w:r>
      <w:r w:rsidRPr="00597D79">
        <w:t xml:space="preserve"> and criteria for applications to the </w:t>
      </w:r>
      <w:r w:rsidR="008C7AB5" w:rsidRPr="00597D79">
        <w:t xml:space="preserve">new </w:t>
      </w:r>
      <w:r w:rsidR="00465305" w:rsidRPr="00597D79">
        <w:t xml:space="preserve">Homophobic, </w:t>
      </w:r>
      <w:proofErr w:type="spellStart"/>
      <w:r w:rsidR="00465305" w:rsidRPr="00597D79">
        <w:t>Biphobic</w:t>
      </w:r>
      <w:proofErr w:type="spellEnd"/>
      <w:r w:rsidR="00465305" w:rsidRPr="00597D79">
        <w:t xml:space="preserve"> </w:t>
      </w:r>
      <w:r w:rsidR="00F12D41" w:rsidRPr="00597D79">
        <w:t>and Transphobic (HBT) Bullying F</w:t>
      </w:r>
      <w:r w:rsidR="00465305" w:rsidRPr="00597D79">
        <w:t>und</w:t>
      </w:r>
      <w:r w:rsidRPr="00597D79">
        <w:t xml:space="preserve">. </w:t>
      </w:r>
      <w:r w:rsidR="00B35222" w:rsidRPr="00597D79">
        <w:t>The Fund responds to</w:t>
      </w:r>
      <w:r w:rsidR="00757CDD">
        <w:t xml:space="preserve"> evidence that suggests y</w:t>
      </w:r>
      <w:r w:rsidR="00757CDD" w:rsidRPr="008C7AB5">
        <w:t xml:space="preserve">oung people who identify as </w:t>
      </w:r>
      <w:r w:rsidR="00757CDD">
        <w:t>Lesbian, Gay</w:t>
      </w:r>
      <w:r w:rsidR="00873234">
        <w:t>,</w:t>
      </w:r>
      <w:r w:rsidR="00757CDD">
        <w:t xml:space="preserve"> Bisexual </w:t>
      </w:r>
      <w:r w:rsidR="00873234">
        <w:t xml:space="preserve">or Trans </w:t>
      </w:r>
      <w:r w:rsidR="00757CDD">
        <w:t>(</w:t>
      </w:r>
      <w:r w:rsidR="00757CDD" w:rsidRPr="008C7AB5">
        <w:t>LGB</w:t>
      </w:r>
      <w:r w:rsidR="00873234">
        <w:t>&amp;T</w:t>
      </w:r>
      <w:r w:rsidR="00757CDD">
        <w:t>)</w:t>
      </w:r>
      <w:r w:rsidR="00757CDD" w:rsidRPr="008C7AB5">
        <w:t xml:space="preserve"> are more likely to experience bullying</w:t>
      </w:r>
      <w:r w:rsidR="00757CDD" w:rsidRPr="008C7AB5">
        <w:rPr>
          <w:rStyle w:val="FootnoteReference"/>
        </w:rPr>
        <w:footnoteReference w:id="1"/>
      </w:r>
      <w:r w:rsidR="00873234">
        <w:t xml:space="preserve">, and that this type of bullying has significant </w:t>
      </w:r>
      <w:r w:rsidR="00F908E0">
        <w:t>effects</w:t>
      </w:r>
      <w:r w:rsidR="00873234">
        <w:t xml:space="preserve"> on</w:t>
      </w:r>
      <w:r w:rsidR="00757CDD" w:rsidRPr="008C7AB5">
        <w:rPr>
          <w:color w:val="000000"/>
        </w:rPr>
        <w:t xml:space="preserve"> educational attainment, truancy and absence levels and emotional wellbeing. </w:t>
      </w:r>
      <w:r w:rsidR="00757CDD" w:rsidRPr="008C7AB5">
        <w:t xml:space="preserve">  </w:t>
      </w:r>
    </w:p>
    <w:p w14:paraId="77B545F6" w14:textId="77777777" w:rsidR="00465305" w:rsidRPr="00597D79" w:rsidRDefault="003A0AA9" w:rsidP="00C976A2">
      <w:r w:rsidRPr="00597D79">
        <w:t xml:space="preserve">Up to </w:t>
      </w:r>
      <w:r w:rsidR="008C24D4" w:rsidRPr="00597D79">
        <w:t>£2.8</w:t>
      </w:r>
      <w:r w:rsidR="0013394C" w:rsidRPr="00597D79">
        <w:t xml:space="preserve"> million will be available</w:t>
      </w:r>
      <w:r w:rsidRPr="00597D79">
        <w:t xml:space="preserve"> for the programme over three years from September 2016 to 31 March 2019</w:t>
      </w:r>
      <w:r w:rsidR="00630BF9" w:rsidRPr="00597D79">
        <w:t>.</w:t>
      </w:r>
      <w:r w:rsidR="008C24D4" w:rsidRPr="00597D79">
        <w:t xml:space="preserve"> </w:t>
      </w:r>
    </w:p>
    <w:p w14:paraId="30ADF910" w14:textId="480739F1" w:rsidR="003A0AA9" w:rsidRPr="00597D79" w:rsidRDefault="00465305" w:rsidP="00C976A2">
      <w:pPr>
        <w:pStyle w:val="Numbered"/>
        <w:widowControl/>
        <w:spacing w:line="288" w:lineRule="auto"/>
        <w:rPr>
          <w:color w:val="000000"/>
          <w:sz w:val="24"/>
          <w:szCs w:val="24"/>
        </w:rPr>
      </w:pPr>
      <w:r w:rsidRPr="00597D79">
        <w:rPr>
          <w:color w:val="000000"/>
          <w:sz w:val="24"/>
          <w:szCs w:val="24"/>
        </w:rPr>
        <w:t xml:space="preserve">Building on the success of the Government’s pilot </w:t>
      </w:r>
      <w:r w:rsidR="008C24D4" w:rsidRPr="00597D79">
        <w:rPr>
          <w:color w:val="000000"/>
          <w:sz w:val="24"/>
          <w:szCs w:val="24"/>
        </w:rPr>
        <w:t>HBT</w:t>
      </w:r>
      <w:r w:rsidRPr="00597D79">
        <w:rPr>
          <w:color w:val="000000"/>
          <w:sz w:val="24"/>
          <w:szCs w:val="24"/>
        </w:rPr>
        <w:t xml:space="preserve"> </w:t>
      </w:r>
      <w:r w:rsidR="003A0AA9" w:rsidRPr="00597D79">
        <w:rPr>
          <w:color w:val="000000"/>
          <w:sz w:val="24"/>
          <w:szCs w:val="24"/>
        </w:rPr>
        <w:t xml:space="preserve">Bullying programme, which ran </w:t>
      </w:r>
      <w:r w:rsidRPr="00597D79">
        <w:rPr>
          <w:color w:val="000000"/>
          <w:sz w:val="24"/>
          <w:szCs w:val="24"/>
        </w:rPr>
        <w:t xml:space="preserve">between 2015-2016, the Government Equalities Office (GEO) and Department for Education (DFE) is launching a second round of funding. </w:t>
      </w:r>
    </w:p>
    <w:p w14:paraId="576D5956" w14:textId="0A2CBFB3" w:rsidR="008C7AB5" w:rsidRPr="00597D79" w:rsidRDefault="00465305" w:rsidP="00C976A2">
      <w:pPr>
        <w:pStyle w:val="Numbered"/>
        <w:widowControl/>
        <w:spacing w:line="288" w:lineRule="auto"/>
        <w:rPr>
          <w:color w:val="000000"/>
          <w:sz w:val="24"/>
          <w:szCs w:val="24"/>
        </w:rPr>
      </w:pPr>
      <w:r w:rsidRPr="00597D79">
        <w:rPr>
          <w:color w:val="000000"/>
          <w:sz w:val="24"/>
          <w:szCs w:val="24"/>
        </w:rPr>
        <w:t xml:space="preserve">The </w:t>
      </w:r>
      <w:r w:rsidR="003A0AA9" w:rsidRPr="00597D79">
        <w:rPr>
          <w:color w:val="000000"/>
          <w:sz w:val="24"/>
          <w:szCs w:val="24"/>
        </w:rPr>
        <w:t xml:space="preserve">previous </w:t>
      </w:r>
      <w:r w:rsidRPr="00597D79">
        <w:rPr>
          <w:color w:val="000000"/>
          <w:sz w:val="24"/>
          <w:szCs w:val="24"/>
        </w:rPr>
        <w:t xml:space="preserve">programme tested </w:t>
      </w:r>
      <w:r w:rsidR="003A0AA9" w:rsidRPr="00597D79">
        <w:rPr>
          <w:color w:val="000000"/>
          <w:sz w:val="24"/>
          <w:szCs w:val="24"/>
        </w:rPr>
        <w:t xml:space="preserve">and piloted </w:t>
      </w:r>
      <w:r w:rsidRPr="00597D79">
        <w:rPr>
          <w:color w:val="000000"/>
          <w:sz w:val="24"/>
          <w:szCs w:val="24"/>
        </w:rPr>
        <w:t xml:space="preserve">a wide range of </w:t>
      </w:r>
      <w:r w:rsidR="003A0AA9" w:rsidRPr="00597D79">
        <w:rPr>
          <w:color w:val="000000"/>
          <w:sz w:val="24"/>
          <w:szCs w:val="24"/>
        </w:rPr>
        <w:t>new</w:t>
      </w:r>
      <w:r w:rsidR="00F85416">
        <w:rPr>
          <w:color w:val="000000"/>
          <w:sz w:val="24"/>
          <w:szCs w:val="24"/>
        </w:rPr>
        <w:t>,</w:t>
      </w:r>
      <w:r w:rsidR="003A0AA9" w:rsidRPr="00597D79">
        <w:rPr>
          <w:color w:val="000000"/>
          <w:sz w:val="24"/>
          <w:szCs w:val="24"/>
        </w:rPr>
        <w:t xml:space="preserve"> innovative approaches </w:t>
      </w:r>
      <w:r w:rsidRPr="00597D79">
        <w:rPr>
          <w:color w:val="000000"/>
          <w:sz w:val="24"/>
          <w:szCs w:val="24"/>
        </w:rPr>
        <w:t>including but not limi</w:t>
      </w:r>
      <w:r w:rsidR="003A0AA9" w:rsidRPr="00597D79">
        <w:rPr>
          <w:color w:val="000000"/>
          <w:sz w:val="24"/>
          <w:szCs w:val="24"/>
        </w:rPr>
        <w:t>ted to: whole school approach</w:t>
      </w:r>
      <w:r w:rsidR="00F85416">
        <w:rPr>
          <w:color w:val="000000"/>
          <w:sz w:val="24"/>
          <w:szCs w:val="24"/>
        </w:rPr>
        <w:t>es</w:t>
      </w:r>
      <w:r w:rsidR="003A0AA9" w:rsidRPr="00597D79">
        <w:rPr>
          <w:color w:val="000000"/>
          <w:sz w:val="24"/>
          <w:szCs w:val="24"/>
        </w:rPr>
        <w:t>;</w:t>
      </w:r>
      <w:r w:rsidRPr="00597D79">
        <w:rPr>
          <w:color w:val="000000"/>
          <w:sz w:val="24"/>
          <w:szCs w:val="24"/>
        </w:rPr>
        <w:t xml:space="preserve"> a series of teacher-training conferences; a series of events</w:t>
      </w:r>
      <w:r w:rsidR="008C7AB5" w:rsidRPr="00597D79">
        <w:rPr>
          <w:color w:val="000000"/>
          <w:sz w:val="24"/>
          <w:szCs w:val="24"/>
        </w:rPr>
        <w:t xml:space="preserve"> and </w:t>
      </w:r>
      <w:r w:rsidR="00597D79" w:rsidRPr="00597D79">
        <w:rPr>
          <w:color w:val="000000"/>
          <w:sz w:val="24"/>
          <w:szCs w:val="24"/>
        </w:rPr>
        <w:t>activities</w:t>
      </w:r>
      <w:r w:rsidRPr="00597D79">
        <w:rPr>
          <w:color w:val="000000"/>
          <w:sz w:val="24"/>
          <w:szCs w:val="24"/>
        </w:rPr>
        <w:t xml:space="preserve"> to raise pupil-awareness; and cascaded learning models. </w:t>
      </w:r>
    </w:p>
    <w:p w14:paraId="718F21A4" w14:textId="576620A1" w:rsidR="008C7AB5" w:rsidRPr="00597D79" w:rsidRDefault="002C4A06" w:rsidP="00C976A2">
      <w:pPr>
        <w:pStyle w:val="Numbered"/>
        <w:widowControl/>
        <w:spacing w:line="288" w:lineRule="auto"/>
        <w:rPr>
          <w:rFonts w:cs="Arial"/>
          <w:color w:val="000000"/>
          <w:sz w:val="24"/>
          <w:szCs w:val="24"/>
        </w:rPr>
      </w:pPr>
      <w:r>
        <w:rPr>
          <w:rFonts w:cs="Arial"/>
          <w:color w:val="000000"/>
          <w:sz w:val="24"/>
          <w:szCs w:val="24"/>
        </w:rPr>
        <w:t xml:space="preserve">Emerging evidence from the </w:t>
      </w:r>
      <w:r w:rsidR="008C7AB5" w:rsidRPr="00597D79">
        <w:rPr>
          <w:rFonts w:cs="Arial"/>
          <w:color w:val="000000"/>
          <w:sz w:val="24"/>
          <w:szCs w:val="24"/>
        </w:rPr>
        <w:t>evaluation of the pilot found that overall the programme was successful</w:t>
      </w:r>
      <w:r w:rsidR="008C7AB5" w:rsidRPr="00597D79">
        <w:rPr>
          <w:rFonts w:cs="Arial"/>
          <w:sz w:val="24"/>
          <w:szCs w:val="24"/>
        </w:rPr>
        <w:t xml:space="preserve"> in improving school staff capac</w:t>
      </w:r>
      <w:r w:rsidR="00D023F0">
        <w:rPr>
          <w:rFonts w:cs="Arial"/>
          <w:sz w:val="24"/>
          <w:szCs w:val="24"/>
        </w:rPr>
        <w:t>ity and confidence to tackle HB</w:t>
      </w:r>
      <w:r w:rsidR="008C7AB5" w:rsidRPr="00597D79">
        <w:rPr>
          <w:rFonts w:cs="Arial"/>
          <w:sz w:val="24"/>
          <w:szCs w:val="24"/>
        </w:rPr>
        <w:t>T bullying.</w:t>
      </w:r>
      <w:r w:rsidR="008C7AB5" w:rsidRPr="00597D79">
        <w:rPr>
          <w:rFonts w:cs="Arial"/>
          <w:color w:val="000000"/>
          <w:sz w:val="24"/>
          <w:szCs w:val="24"/>
        </w:rPr>
        <w:t xml:space="preserve"> </w:t>
      </w:r>
      <w:r w:rsidR="00B35222" w:rsidRPr="00597D79">
        <w:rPr>
          <w:rFonts w:cs="Arial"/>
          <w:color w:val="000000"/>
          <w:sz w:val="24"/>
          <w:szCs w:val="24"/>
        </w:rPr>
        <w:t>Further findings by theme included:</w:t>
      </w:r>
      <w:r w:rsidR="008C7AB5" w:rsidRPr="00597D79">
        <w:rPr>
          <w:rFonts w:cs="Arial"/>
          <w:color w:val="000000"/>
          <w:sz w:val="24"/>
          <w:szCs w:val="24"/>
        </w:rPr>
        <w:t xml:space="preserve"> </w:t>
      </w:r>
    </w:p>
    <w:p w14:paraId="47300DC1" w14:textId="0315DC7A" w:rsidR="008C7AB5" w:rsidRPr="00597D79" w:rsidRDefault="008C7AB5" w:rsidP="00C976A2">
      <w:pPr>
        <w:widowControl w:val="0"/>
        <w:numPr>
          <w:ilvl w:val="1"/>
          <w:numId w:val="33"/>
        </w:numPr>
        <w:overflowPunct w:val="0"/>
        <w:autoSpaceDE w:val="0"/>
        <w:autoSpaceDN w:val="0"/>
        <w:adjustRightInd w:val="0"/>
        <w:ind w:left="360"/>
        <w:contextualSpacing/>
        <w:textAlignment w:val="baseline"/>
        <w:rPr>
          <w:rFonts w:cs="Arial"/>
        </w:rPr>
      </w:pPr>
      <w:r w:rsidRPr="00597D79">
        <w:rPr>
          <w:rFonts w:cs="Arial"/>
          <w:b/>
        </w:rPr>
        <w:t>School policy development</w:t>
      </w:r>
      <w:r w:rsidRPr="00597D79">
        <w:rPr>
          <w:rFonts w:cs="Arial"/>
        </w:rPr>
        <w:t xml:space="preserve"> – Where senior school staff where sceptical or unsure about the importance of HBT bullying policy, training for governors and senior leadership teams helped </w:t>
      </w:r>
      <w:r w:rsidR="00B35222" w:rsidRPr="00597D79">
        <w:rPr>
          <w:rFonts w:cs="Arial"/>
        </w:rPr>
        <w:t>generate commitment</w:t>
      </w:r>
      <w:r w:rsidRPr="00597D79">
        <w:rPr>
          <w:rFonts w:cs="Arial"/>
        </w:rPr>
        <w:t xml:space="preserve">. </w:t>
      </w:r>
    </w:p>
    <w:p w14:paraId="198C8B51" w14:textId="77777777" w:rsidR="008C7AB5" w:rsidRPr="00597D79" w:rsidRDefault="008C7AB5" w:rsidP="00C976A2">
      <w:pPr>
        <w:widowControl w:val="0"/>
        <w:numPr>
          <w:ilvl w:val="1"/>
          <w:numId w:val="33"/>
        </w:numPr>
        <w:overflowPunct w:val="0"/>
        <w:autoSpaceDE w:val="0"/>
        <w:autoSpaceDN w:val="0"/>
        <w:adjustRightInd w:val="0"/>
        <w:ind w:left="360"/>
        <w:contextualSpacing/>
        <w:textAlignment w:val="baseline"/>
        <w:rPr>
          <w:rFonts w:cs="Arial"/>
        </w:rPr>
      </w:pPr>
      <w:r w:rsidRPr="00597D79">
        <w:rPr>
          <w:rFonts w:cs="Arial"/>
          <w:b/>
        </w:rPr>
        <w:t xml:space="preserve">Awareness, understanding and confidence of school staff </w:t>
      </w:r>
      <w:r w:rsidRPr="00597D79">
        <w:rPr>
          <w:rFonts w:cs="Arial"/>
        </w:rPr>
        <w:t>- Survey data showed that the awareness and understanding of staff in relation to HBT bullying improved. This increased their perceived confidence to challenge bullying, especially in relation to challenging the use of HBT language by pupils.</w:t>
      </w:r>
    </w:p>
    <w:p w14:paraId="3FC972F9" w14:textId="77777777" w:rsidR="008C7AB5" w:rsidRPr="00597D79" w:rsidRDefault="008C7AB5" w:rsidP="00C976A2">
      <w:pPr>
        <w:widowControl w:val="0"/>
        <w:numPr>
          <w:ilvl w:val="1"/>
          <w:numId w:val="33"/>
        </w:numPr>
        <w:overflowPunct w:val="0"/>
        <w:autoSpaceDE w:val="0"/>
        <w:autoSpaceDN w:val="0"/>
        <w:adjustRightInd w:val="0"/>
        <w:ind w:left="360"/>
        <w:contextualSpacing/>
        <w:textAlignment w:val="baseline"/>
        <w:rPr>
          <w:rFonts w:cs="Arial"/>
        </w:rPr>
      </w:pPr>
      <w:r w:rsidRPr="00597D79">
        <w:rPr>
          <w:rFonts w:cs="Arial"/>
          <w:b/>
        </w:rPr>
        <w:t>Teacher capacity and cascaded learning</w:t>
      </w:r>
      <w:r w:rsidRPr="00597D79">
        <w:rPr>
          <w:rFonts w:cs="Arial"/>
        </w:rPr>
        <w:t xml:space="preserve"> - Survey data indicated that building capacity among teachers to prevent and tackle HBT bullying was the most successful part of the programme. This included building teacher knowledge and skills as well as better provision of teaching resources.</w:t>
      </w:r>
    </w:p>
    <w:p w14:paraId="5504780C" w14:textId="3EE810B5" w:rsidR="008C7AB5" w:rsidRPr="00C976A2" w:rsidRDefault="008C7AB5" w:rsidP="00C976A2">
      <w:pPr>
        <w:widowControl w:val="0"/>
        <w:numPr>
          <w:ilvl w:val="1"/>
          <w:numId w:val="33"/>
        </w:numPr>
        <w:overflowPunct w:val="0"/>
        <w:autoSpaceDE w:val="0"/>
        <w:autoSpaceDN w:val="0"/>
        <w:adjustRightInd w:val="0"/>
        <w:ind w:left="360"/>
        <w:contextualSpacing/>
        <w:textAlignment w:val="baseline"/>
        <w:rPr>
          <w:rFonts w:cs="Arial"/>
        </w:rPr>
      </w:pPr>
      <w:r w:rsidRPr="00597D79">
        <w:rPr>
          <w:rFonts w:cs="Arial"/>
          <w:b/>
        </w:rPr>
        <w:t>Raising pupil awareness</w:t>
      </w:r>
      <w:r w:rsidRPr="00597D79">
        <w:rPr>
          <w:rFonts w:cs="Arial"/>
        </w:rPr>
        <w:t xml:space="preserve"> - Attempts to improve pupil awareness of HBT bullying and its effects among pupils </w:t>
      </w:r>
      <w:r w:rsidR="00B35222" w:rsidRPr="00597D79">
        <w:rPr>
          <w:rFonts w:cs="Arial"/>
        </w:rPr>
        <w:t xml:space="preserve">through one-off activities and events </w:t>
      </w:r>
      <w:r w:rsidRPr="00597D79">
        <w:rPr>
          <w:rFonts w:cs="Arial"/>
        </w:rPr>
        <w:t xml:space="preserve">were not as successful </w:t>
      </w:r>
      <w:r w:rsidRPr="00597D79">
        <w:rPr>
          <w:rFonts w:cs="Arial"/>
        </w:rPr>
        <w:lastRenderedPageBreak/>
        <w:t xml:space="preserve">as </w:t>
      </w:r>
      <w:r w:rsidR="00597D79">
        <w:rPr>
          <w:rFonts w:cs="Arial"/>
        </w:rPr>
        <w:t>other programme activities targeted at</w:t>
      </w:r>
      <w:r w:rsidRPr="00597D79">
        <w:rPr>
          <w:rFonts w:cs="Arial"/>
        </w:rPr>
        <w:t xml:space="preserve"> school staff. </w:t>
      </w:r>
    </w:p>
    <w:p w14:paraId="2368EB60" w14:textId="580F3163" w:rsidR="00465305" w:rsidRPr="00C976A2" w:rsidRDefault="00B35222" w:rsidP="00C976A2">
      <w:pPr>
        <w:pStyle w:val="Numbered"/>
        <w:widowControl/>
        <w:spacing w:line="288" w:lineRule="auto"/>
        <w:rPr>
          <w:rFonts w:cs="Arial"/>
          <w:color w:val="000000"/>
          <w:sz w:val="24"/>
          <w:szCs w:val="24"/>
        </w:rPr>
      </w:pPr>
      <w:r w:rsidRPr="00597D79">
        <w:rPr>
          <w:rFonts w:cs="Arial"/>
          <w:color w:val="000000"/>
          <w:sz w:val="24"/>
          <w:szCs w:val="24"/>
        </w:rPr>
        <w:t>The</w:t>
      </w:r>
      <w:r w:rsidR="008C7AB5" w:rsidRPr="00597D79">
        <w:rPr>
          <w:rFonts w:cs="Arial"/>
          <w:color w:val="000000"/>
          <w:sz w:val="24"/>
          <w:szCs w:val="24"/>
        </w:rPr>
        <w:t xml:space="preserve"> data also suggested that interventions were more effective when they moved away from a “one-size fits all approach” and were adaptable to the indiv</w:t>
      </w:r>
      <w:r w:rsidRPr="00597D79">
        <w:rPr>
          <w:rFonts w:cs="Arial"/>
          <w:color w:val="000000"/>
          <w:sz w:val="24"/>
          <w:szCs w:val="24"/>
        </w:rPr>
        <w:t>idu</w:t>
      </w:r>
      <w:r w:rsidR="008C7AB5" w:rsidRPr="00597D79">
        <w:rPr>
          <w:rFonts w:cs="Arial"/>
          <w:color w:val="000000"/>
          <w:sz w:val="24"/>
          <w:szCs w:val="24"/>
        </w:rPr>
        <w:t xml:space="preserve">al circumstances of schools. </w:t>
      </w:r>
    </w:p>
    <w:p w14:paraId="4EAA0FED" w14:textId="072A5E46" w:rsidR="00EA2593" w:rsidRPr="00597D79" w:rsidRDefault="00465305" w:rsidP="00C976A2">
      <w:pPr>
        <w:pStyle w:val="Numbered"/>
        <w:widowControl/>
        <w:spacing w:line="288" w:lineRule="auto"/>
        <w:rPr>
          <w:rFonts w:cs="Arial"/>
          <w:color w:val="000000"/>
          <w:sz w:val="24"/>
          <w:szCs w:val="24"/>
        </w:rPr>
      </w:pPr>
      <w:r w:rsidRPr="00597D79">
        <w:rPr>
          <w:color w:val="000000"/>
          <w:sz w:val="24"/>
          <w:szCs w:val="24"/>
        </w:rPr>
        <w:t xml:space="preserve">This second phase of the programme </w:t>
      </w:r>
      <w:r w:rsidR="003A0AA9" w:rsidRPr="00597D79">
        <w:rPr>
          <w:color w:val="000000"/>
          <w:sz w:val="24"/>
          <w:szCs w:val="24"/>
        </w:rPr>
        <w:t>seeks to further refine and build on that evidence base of what works</w:t>
      </w:r>
      <w:r w:rsidR="00873234">
        <w:rPr>
          <w:color w:val="000000"/>
          <w:sz w:val="24"/>
          <w:szCs w:val="24"/>
        </w:rPr>
        <w:t>,</w:t>
      </w:r>
      <w:r w:rsidR="003A0AA9" w:rsidRPr="00597D79">
        <w:rPr>
          <w:color w:val="000000"/>
          <w:sz w:val="24"/>
          <w:szCs w:val="24"/>
        </w:rPr>
        <w:t xml:space="preserve"> </w:t>
      </w:r>
      <w:r w:rsidR="00EA2593" w:rsidRPr="00597D79">
        <w:rPr>
          <w:rFonts w:cs="Arial"/>
          <w:color w:val="000000"/>
          <w:sz w:val="24"/>
          <w:szCs w:val="24"/>
        </w:rPr>
        <w:t>to reduce the incidence of HBT bullying in</w:t>
      </w:r>
      <w:r w:rsidR="00597D79">
        <w:rPr>
          <w:rFonts w:cs="Arial"/>
          <w:color w:val="000000"/>
          <w:sz w:val="24"/>
          <w:szCs w:val="24"/>
        </w:rPr>
        <w:t xml:space="preserve"> both</w:t>
      </w:r>
      <w:r w:rsidR="00EA2593" w:rsidRPr="00597D79">
        <w:rPr>
          <w:rFonts w:cs="Arial"/>
          <w:color w:val="000000"/>
          <w:sz w:val="24"/>
          <w:szCs w:val="24"/>
        </w:rPr>
        <w:t xml:space="preserve"> primary and secondary schools in England. It seeks to do this by transforming the culture of how schools prevent and address HBT bullying in a </w:t>
      </w:r>
      <w:r w:rsidR="00EA2593" w:rsidRPr="00597D79">
        <w:rPr>
          <w:rFonts w:cs="Arial"/>
          <w:b/>
          <w:color w:val="000000"/>
          <w:sz w:val="24"/>
          <w:szCs w:val="24"/>
        </w:rPr>
        <w:t>sustainable</w:t>
      </w:r>
      <w:r w:rsidR="00EA2593" w:rsidRPr="00597D79">
        <w:rPr>
          <w:rFonts w:cs="Arial"/>
          <w:color w:val="000000"/>
          <w:sz w:val="24"/>
          <w:szCs w:val="24"/>
        </w:rPr>
        <w:t xml:space="preserve"> way.</w:t>
      </w:r>
    </w:p>
    <w:p w14:paraId="2A184526" w14:textId="05B726B0" w:rsidR="00EA2593" w:rsidRPr="00C976A2" w:rsidRDefault="00534F1E" w:rsidP="00C976A2">
      <w:pPr>
        <w:pStyle w:val="Numbered"/>
        <w:widowControl/>
        <w:spacing w:line="288" w:lineRule="auto"/>
        <w:rPr>
          <w:rFonts w:cs="Arial"/>
          <w:color w:val="000000"/>
          <w:sz w:val="24"/>
          <w:szCs w:val="24"/>
        </w:rPr>
      </w:pPr>
      <w:r w:rsidRPr="00597D79">
        <w:rPr>
          <w:rFonts w:cs="Arial"/>
          <w:sz w:val="24"/>
          <w:szCs w:val="24"/>
        </w:rPr>
        <w:t>As such, this new programme will have</w:t>
      </w:r>
      <w:r w:rsidR="00EA2593" w:rsidRPr="00597D79">
        <w:rPr>
          <w:rFonts w:cs="Arial"/>
          <w:sz w:val="24"/>
          <w:szCs w:val="24"/>
        </w:rPr>
        <w:t xml:space="preserve"> a new and specific focus in funding organisations to deliver </w:t>
      </w:r>
      <w:r w:rsidR="00EA2593" w:rsidRPr="00597D79">
        <w:rPr>
          <w:rFonts w:cs="Arial"/>
          <w:b/>
          <w:sz w:val="24"/>
          <w:szCs w:val="24"/>
        </w:rPr>
        <w:t>two models</w:t>
      </w:r>
      <w:r w:rsidR="00EA2593" w:rsidRPr="00597D79">
        <w:rPr>
          <w:rFonts w:cs="Arial"/>
          <w:sz w:val="24"/>
          <w:szCs w:val="24"/>
        </w:rPr>
        <w:t xml:space="preserve"> of intervention across schools</w:t>
      </w:r>
      <w:r w:rsidR="000740FB" w:rsidRPr="00597D79">
        <w:rPr>
          <w:rFonts w:cs="Arial"/>
          <w:sz w:val="24"/>
          <w:szCs w:val="24"/>
        </w:rPr>
        <w:t xml:space="preserve">. </w:t>
      </w:r>
    </w:p>
    <w:p w14:paraId="00217DC7" w14:textId="4BC63ED7" w:rsidR="00EA2593" w:rsidRPr="00597D79" w:rsidRDefault="00EA2593" w:rsidP="00C976A2">
      <w:pPr>
        <w:pStyle w:val="Numbered"/>
        <w:widowControl/>
        <w:numPr>
          <w:ilvl w:val="0"/>
          <w:numId w:val="31"/>
        </w:numPr>
        <w:spacing w:line="288" w:lineRule="auto"/>
        <w:rPr>
          <w:rFonts w:cs="Arial"/>
          <w:color w:val="000000"/>
          <w:sz w:val="24"/>
          <w:szCs w:val="24"/>
        </w:rPr>
      </w:pPr>
      <w:r w:rsidRPr="00597D79">
        <w:rPr>
          <w:rFonts w:cs="Arial"/>
          <w:b/>
          <w:color w:val="000000"/>
          <w:sz w:val="24"/>
          <w:szCs w:val="24"/>
        </w:rPr>
        <w:t>Model One</w:t>
      </w:r>
      <w:r w:rsidR="00534F1E" w:rsidRPr="00597D79">
        <w:rPr>
          <w:rFonts w:cs="Arial"/>
          <w:color w:val="000000"/>
          <w:sz w:val="24"/>
          <w:szCs w:val="24"/>
        </w:rPr>
        <w:t xml:space="preserve">: A </w:t>
      </w:r>
      <w:r w:rsidR="00597D79">
        <w:rPr>
          <w:rFonts w:cs="Arial"/>
          <w:color w:val="000000"/>
          <w:sz w:val="24"/>
          <w:szCs w:val="24"/>
        </w:rPr>
        <w:t>“</w:t>
      </w:r>
      <w:r w:rsidR="00534F1E" w:rsidRPr="00597D79">
        <w:rPr>
          <w:rFonts w:cs="Arial"/>
          <w:color w:val="000000"/>
          <w:sz w:val="24"/>
          <w:szCs w:val="24"/>
        </w:rPr>
        <w:t>W</w:t>
      </w:r>
      <w:r w:rsidRPr="00597D79">
        <w:rPr>
          <w:rFonts w:cs="Arial"/>
          <w:color w:val="000000"/>
          <w:sz w:val="24"/>
          <w:szCs w:val="24"/>
        </w:rPr>
        <w:t>hole School Approach</w:t>
      </w:r>
      <w:r w:rsidR="00597D79">
        <w:rPr>
          <w:rFonts w:cs="Arial"/>
          <w:color w:val="000000"/>
          <w:sz w:val="24"/>
          <w:szCs w:val="24"/>
        </w:rPr>
        <w:t>”</w:t>
      </w:r>
      <w:r w:rsidRPr="00597D79">
        <w:rPr>
          <w:rFonts w:cs="Arial"/>
          <w:color w:val="000000"/>
          <w:sz w:val="24"/>
          <w:szCs w:val="24"/>
        </w:rPr>
        <w:t xml:space="preserve"> to addressing HBT bullying</w:t>
      </w:r>
    </w:p>
    <w:p w14:paraId="5FA6F079" w14:textId="2AD9CEF9" w:rsidR="00EA2593" w:rsidRPr="00C976A2" w:rsidRDefault="00EA2593" w:rsidP="00C976A2">
      <w:pPr>
        <w:pStyle w:val="Numbered"/>
        <w:widowControl/>
        <w:numPr>
          <w:ilvl w:val="0"/>
          <w:numId w:val="30"/>
        </w:numPr>
        <w:spacing w:line="288" w:lineRule="auto"/>
        <w:rPr>
          <w:color w:val="000000"/>
          <w:sz w:val="24"/>
          <w:szCs w:val="24"/>
        </w:rPr>
      </w:pPr>
      <w:r w:rsidRPr="00597D79">
        <w:rPr>
          <w:rFonts w:cs="Arial"/>
          <w:b/>
          <w:color w:val="000000"/>
          <w:sz w:val="24"/>
          <w:szCs w:val="24"/>
        </w:rPr>
        <w:t>Model Two</w:t>
      </w:r>
      <w:r w:rsidRPr="00597D79">
        <w:rPr>
          <w:rFonts w:cs="Arial"/>
          <w:color w:val="000000"/>
          <w:sz w:val="24"/>
          <w:szCs w:val="24"/>
        </w:rPr>
        <w:t xml:space="preserve">: </w:t>
      </w:r>
      <w:r w:rsidR="00F908E0">
        <w:rPr>
          <w:rFonts w:cs="Arial"/>
          <w:color w:val="000000"/>
          <w:sz w:val="24"/>
          <w:szCs w:val="24"/>
        </w:rPr>
        <w:t>Targeted</w:t>
      </w:r>
      <w:r w:rsidR="00597D79">
        <w:rPr>
          <w:rFonts w:cs="Arial"/>
          <w:color w:val="000000"/>
          <w:sz w:val="24"/>
          <w:szCs w:val="24"/>
        </w:rPr>
        <w:t xml:space="preserve"> training for</w:t>
      </w:r>
      <w:r w:rsidRPr="00597D79">
        <w:rPr>
          <w:rFonts w:cs="Arial"/>
          <w:color w:val="000000"/>
          <w:sz w:val="24"/>
          <w:szCs w:val="24"/>
        </w:rPr>
        <w:t xml:space="preserve"> school staff</w:t>
      </w:r>
      <w:r w:rsidRPr="00597D79">
        <w:rPr>
          <w:color w:val="000000"/>
          <w:sz w:val="24"/>
          <w:szCs w:val="24"/>
        </w:rPr>
        <w:t>, in order</w:t>
      </w:r>
      <w:r w:rsidR="00465305" w:rsidRPr="00597D79">
        <w:rPr>
          <w:color w:val="000000"/>
          <w:sz w:val="24"/>
          <w:szCs w:val="24"/>
        </w:rPr>
        <w:t xml:space="preserve"> to build </w:t>
      </w:r>
      <w:r w:rsidRPr="00597D79">
        <w:rPr>
          <w:color w:val="000000"/>
          <w:sz w:val="24"/>
          <w:szCs w:val="24"/>
        </w:rPr>
        <w:t xml:space="preserve">their </w:t>
      </w:r>
      <w:r w:rsidR="00465305" w:rsidRPr="00597D79">
        <w:rPr>
          <w:color w:val="000000"/>
          <w:sz w:val="24"/>
          <w:szCs w:val="24"/>
        </w:rPr>
        <w:t>confidence and capacity to prevent and respond to HBT bullying and build inclusive school environments.</w:t>
      </w:r>
    </w:p>
    <w:p w14:paraId="7838DF8C" w14:textId="30F28102" w:rsidR="00534F1E" w:rsidRPr="00597D79" w:rsidRDefault="003A0AA9" w:rsidP="00C976A2">
      <w:r w:rsidRPr="00597D79">
        <w:t>Applicants</w:t>
      </w:r>
      <w:r w:rsidR="00B048B9">
        <w:t>, including from consortiums,</w:t>
      </w:r>
      <w:r w:rsidRPr="00597D79">
        <w:t xml:space="preserve"> are invited to submit innovative bids that </w:t>
      </w:r>
      <w:r w:rsidR="00757CDD">
        <w:t>demonstrate</w:t>
      </w:r>
      <w:r w:rsidR="00EA2593" w:rsidRPr="00597D79">
        <w:t xml:space="preserve"> how they </w:t>
      </w:r>
      <w:r w:rsidRPr="00597D79">
        <w:t xml:space="preserve">will deliver </w:t>
      </w:r>
      <w:r w:rsidR="0059686B">
        <w:t xml:space="preserve">a mixture of </w:t>
      </w:r>
      <w:r w:rsidRPr="00597D79">
        <w:rPr>
          <w:b/>
        </w:rPr>
        <w:t xml:space="preserve">both </w:t>
      </w:r>
      <w:r w:rsidR="00EA2593" w:rsidRPr="00597D79">
        <w:rPr>
          <w:b/>
        </w:rPr>
        <w:t>models</w:t>
      </w:r>
      <w:r w:rsidRPr="00597D79">
        <w:t xml:space="preserve"> across schools in England. </w:t>
      </w:r>
      <w:r w:rsidR="00117B1F" w:rsidRPr="00597D79">
        <w:rPr>
          <w:rFonts w:cs="Arial"/>
        </w:rPr>
        <w:t xml:space="preserve">Funded initiatives will </w:t>
      </w:r>
      <w:r w:rsidR="00597D79">
        <w:rPr>
          <w:rFonts w:cs="Arial"/>
        </w:rPr>
        <w:t>be required to demonstrate how they will conduct a survey of schools to ide</w:t>
      </w:r>
      <w:r w:rsidR="00757CDD">
        <w:rPr>
          <w:rFonts w:cs="Arial"/>
        </w:rPr>
        <w:t>ntify a sample of school groups</w:t>
      </w:r>
      <w:r w:rsidR="00CC689E">
        <w:rPr>
          <w:rFonts w:cs="Arial"/>
        </w:rPr>
        <w:t xml:space="preserve"> that will receive the intervention</w:t>
      </w:r>
      <w:r w:rsidR="00597D79">
        <w:rPr>
          <w:rFonts w:cs="Arial"/>
        </w:rPr>
        <w:t xml:space="preserve">. </w:t>
      </w:r>
      <w:r w:rsidR="00757CDD">
        <w:rPr>
          <w:rFonts w:cs="Arial"/>
        </w:rPr>
        <w:t xml:space="preserve">Successful applicants will need to determine whether to deliver </w:t>
      </w:r>
      <w:r w:rsidR="00117B1F" w:rsidRPr="00597D79">
        <w:rPr>
          <w:rFonts w:cs="Arial"/>
        </w:rPr>
        <w:t>either model one or model two in each targeted school - depending on the level of</w:t>
      </w:r>
      <w:r w:rsidR="00873234">
        <w:rPr>
          <w:rFonts w:cs="Arial"/>
        </w:rPr>
        <w:t xml:space="preserve"> need and</w:t>
      </w:r>
      <w:r w:rsidR="00117B1F" w:rsidRPr="00597D79">
        <w:rPr>
          <w:rFonts w:cs="Arial"/>
        </w:rPr>
        <w:t xml:space="preserve"> intervention required to tackle homophobic bullying.</w:t>
      </w:r>
      <w:r w:rsidR="00082ED6" w:rsidRPr="00597D79">
        <w:rPr>
          <w:rFonts w:cs="Arial"/>
        </w:rPr>
        <w:t xml:space="preserve"> </w:t>
      </w:r>
      <w:r w:rsidR="00D93390">
        <w:rPr>
          <w:rFonts w:cs="Arial"/>
        </w:rPr>
        <w:t xml:space="preserve">Please note that we will not accept bids that only focus on one of these models. </w:t>
      </w:r>
    </w:p>
    <w:p w14:paraId="3FF14BCE" w14:textId="17299C07" w:rsidR="00EA2593" w:rsidRPr="00597D79" w:rsidRDefault="00EA2593" w:rsidP="00C976A2">
      <w:pPr>
        <w:rPr>
          <w:rFonts w:cs="Arial"/>
        </w:rPr>
      </w:pPr>
      <w:r w:rsidRPr="00597D79">
        <w:rPr>
          <w:rFonts w:cs="Arial"/>
        </w:rPr>
        <w:t xml:space="preserve">This dual approach </w:t>
      </w:r>
      <w:r w:rsidR="00117B1F" w:rsidRPr="00597D79">
        <w:rPr>
          <w:rFonts w:cs="Arial"/>
        </w:rPr>
        <w:t>builds on the evaluation</w:t>
      </w:r>
      <w:r w:rsidR="00873234">
        <w:rPr>
          <w:rFonts w:cs="Arial"/>
        </w:rPr>
        <w:t xml:space="preserve"> recommendations</w:t>
      </w:r>
      <w:r w:rsidR="00117B1F" w:rsidRPr="00597D79">
        <w:rPr>
          <w:rFonts w:cs="Arial"/>
        </w:rPr>
        <w:t xml:space="preserve">, which called for a new programme that is adaptable to the individual circumstances </w:t>
      </w:r>
      <w:r w:rsidR="00CC689E">
        <w:rPr>
          <w:rFonts w:cs="Arial"/>
        </w:rPr>
        <w:t xml:space="preserve">and needs </w:t>
      </w:r>
      <w:r w:rsidR="00117B1F" w:rsidRPr="00597D79">
        <w:rPr>
          <w:rFonts w:cs="Arial"/>
        </w:rPr>
        <w:t>of schools. It also</w:t>
      </w:r>
      <w:r w:rsidRPr="00597D79">
        <w:rPr>
          <w:rFonts w:cs="Arial"/>
        </w:rPr>
        <w:t xml:space="preserve"> moves away from </w:t>
      </w:r>
      <w:r w:rsidR="00B35222" w:rsidRPr="00597D79">
        <w:rPr>
          <w:rFonts w:cs="Arial"/>
        </w:rPr>
        <w:t>delivering</w:t>
      </w:r>
      <w:r w:rsidRPr="00597D79">
        <w:rPr>
          <w:rFonts w:cs="Arial"/>
        </w:rPr>
        <w:t xml:space="preserve"> one-off assemblies and workshops</w:t>
      </w:r>
      <w:r w:rsidR="00D023F0">
        <w:rPr>
          <w:rFonts w:cs="Arial"/>
        </w:rPr>
        <w:t xml:space="preserve"> for pupils</w:t>
      </w:r>
      <w:r w:rsidRPr="00597D79">
        <w:rPr>
          <w:rFonts w:cs="Arial"/>
        </w:rPr>
        <w:t xml:space="preserve"> towards a </w:t>
      </w:r>
      <w:r w:rsidR="00117B1F" w:rsidRPr="00597D79">
        <w:rPr>
          <w:rFonts w:cs="Arial"/>
        </w:rPr>
        <w:t xml:space="preserve">more sustained </w:t>
      </w:r>
      <w:r w:rsidRPr="00597D79">
        <w:rPr>
          <w:rFonts w:cs="Arial"/>
        </w:rPr>
        <w:t xml:space="preserve">school-led system approach. </w:t>
      </w:r>
    </w:p>
    <w:p w14:paraId="4373AD4E" w14:textId="07A16123" w:rsidR="003A0AA9" w:rsidRPr="00597D79" w:rsidRDefault="008C24D4" w:rsidP="00C976A2">
      <w:pPr>
        <w:pStyle w:val="Numbered"/>
        <w:widowControl/>
        <w:spacing w:line="288" w:lineRule="auto"/>
        <w:rPr>
          <w:color w:val="000000"/>
          <w:sz w:val="24"/>
          <w:szCs w:val="24"/>
        </w:rPr>
      </w:pPr>
      <w:r w:rsidRPr="00597D79">
        <w:rPr>
          <w:color w:val="000000"/>
          <w:sz w:val="24"/>
          <w:szCs w:val="24"/>
        </w:rPr>
        <w:t xml:space="preserve">This is an ambitious programme which </w:t>
      </w:r>
      <w:r w:rsidR="003A0AA9" w:rsidRPr="00597D79">
        <w:rPr>
          <w:color w:val="000000"/>
          <w:sz w:val="24"/>
          <w:szCs w:val="24"/>
        </w:rPr>
        <w:t xml:space="preserve">seeks to drive </w:t>
      </w:r>
      <w:r w:rsidR="00465305" w:rsidRPr="00597D79">
        <w:rPr>
          <w:color w:val="000000"/>
          <w:sz w:val="24"/>
          <w:szCs w:val="24"/>
        </w:rPr>
        <w:t>collaborati</w:t>
      </w:r>
      <w:r w:rsidR="003A0AA9" w:rsidRPr="00597D79">
        <w:rPr>
          <w:color w:val="000000"/>
          <w:sz w:val="24"/>
          <w:szCs w:val="24"/>
        </w:rPr>
        <w:t xml:space="preserve">on and joined-up working to embed and spread </w:t>
      </w:r>
      <w:r w:rsidR="00EA2593" w:rsidRPr="00597D79">
        <w:rPr>
          <w:color w:val="000000"/>
          <w:sz w:val="24"/>
          <w:szCs w:val="24"/>
        </w:rPr>
        <w:t>good</w:t>
      </w:r>
      <w:r w:rsidR="003A0AA9" w:rsidRPr="00597D79">
        <w:rPr>
          <w:color w:val="000000"/>
          <w:sz w:val="24"/>
          <w:szCs w:val="24"/>
        </w:rPr>
        <w:t xml:space="preserve"> practice. </w:t>
      </w:r>
    </w:p>
    <w:p w14:paraId="47CC736F" w14:textId="0D73C514" w:rsidR="00FF0C8D" w:rsidRPr="00597D79" w:rsidRDefault="00F6137D" w:rsidP="00C976A2">
      <w:r w:rsidRPr="00597D79">
        <w:t xml:space="preserve">In assessing the bids, we will compare </w:t>
      </w:r>
      <w:r w:rsidR="003A0AA9" w:rsidRPr="00597D79">
        <w:t>applications against the evaluation criteria, to ensure the high</w:t>
      </w:r>
      <w:r w:rsidR="00534F1E" w:rsidRPr="00597D79">
        <w:t>est</w:t>
      </w:r>
      <w:r w:rsidR="003A0AA9" w:rsidRPr="00597D79">
        <w:t xml:space="preserve"> quality projects are funded</w:t>
      </w:r>
      <w:r w:rsidR="00CC689E">
        <w:t>, as well as a good spread of projects across regions in England and across primary and secondary schools</w:t>
      </w:r>
      <w:r w:rsidR="003A0AA9" w:rsidRPr="00597D79">
        <w:t xml:space="preserve">. </w:t>
      </w:r>
      <w:r w:rsidR="00AD45EE" w:rsidRPr="00597D79">
        <w:t xml:space="preserve">Further detail about </w:t>
      </w:r>
      <w:r w:rsidR="00F12D41" w:rsidRPr="00597D79">
        <w:t>the criteria</w:t>
      </w:r>
      <w:r w:rsidR="00AD45EE" w:rsidRPr="00597D79">
        <w:t xml:space="preserve"> is outlined </w:t>
      </w:r>
      <w:bookmarkEnd w:id="0"/>
      <w:bookmarkEnd w:id="2"/>
      <w:bookmarkEnd w:id="3"/>
      <w:r w:rsidR="003A0AA9" w:rsidRPr="00597D79">
        <w:t>throughout this document</w:t>
      </w:r>
      <w:r w:rsidR="00597D79">
        <w:t>.</w:t>
      </w:r>
    </w:p>
    <w:p w14:paraId="09754AF6" w14:textId="77777777" w:rsidR="005A1384" w:rsidRDefault="005A1384" w:rsidP="00C976A2">
      <w:pPr>
        <w:pStyle w:val="Heading1"/>
        <w:spacing w:line="288" w:lineRule="auto"/>
      </w:pPr>
      <w:bookmarkStart w:id="4" w:name="_Toc455671164"/>
      <w:r>
        <w:lastRenderedPageBreak/>
        <w:t xml:space="preserve">The </w:t>
      </w:r>
      <w:r w:rsidR="007A1E9B">
        <w:t>g</w:t>
      </w:r>
      <w:r>
        <w:t xml:space="preserve">rant </w:t>
      </w:r>
      <w:r w:rsidR="007A1E9B">
        <w:t>r</w:t>
      </w:r>
      <w:r>
        <w:t>equirement</w:t>
      </w:r>
      <w:bookmarkEnd w:id="4"/>
    </w:p>
    <w:p w14:paraId="73C9667A" w14:textId="071D64B7" w:rsidR="00F12D41" w:rsidRPr="00CC689E" w:rsidRDefault="00321A43" w:rsidP="00C976A2">
      <w:r w:rsidRPr="00CC689E">
        <w:t xml:space="preserve">This section focuses on what the department requires from applications to </w:t>
      </w:r>
      <w:r w:rsidR="00CC689E">
        <w:t xml:space="preserve">the </w:t>
      </w:r>
      <w:r w:rsidR="00F12D41" w:rsidRPr="00CC689E">
        <w:t xml:space="preserve">HBT Bullying Fund. </w:t>
      </w:r>
    </w:p>
    <w:p w14:paraId="106D4F7C" w14:textId="77777777" w:rsidR="00F12D41" w:rsidRPr="00CC689E" w:rsidRDefault="00F12D41" w:rsidP="00C976A2">
      <w:pPr>
        <w:pStyle w:val="Numbered"/>
        <w:widowControl/>
        <w:spacing w:line="288" w:lineRule="auto"/>
        <w:rPr>
          <w:color w:val="000000"/>
          <w:sz w:val="24"/>
          <w:szCs w:val="24"/>
          <w:u w:val="single"/>
        </w:rPr>
      </w:pPr>
      <w:r w:rsidRPr="00CC689E">
        <w:rPr>
          <w:color w:val="000000"/>
          <w:sz w:val="24"/>
          <w:szCs w:val="24"/>
          <w:u w:val="single"/>
        </w:rPr>
        <w:t>Purpose</w:t>
      </w:r>
    </w:p>
    <w:p w14:paraId="4C8EF095" w14:textId="77777777" w:rsidR="00F12D41" w:rsidRPr="00CC689E" w:rsidRDefault="00F12D41" w:rsidP="00C976A2">
      <w:pPr>
        <w:pStyle w:val="Numbered"/>
        <w:widowControl/>
        <w:spacing w:line="288" w:lineRule="auto"/>
        <w:rPr>
          <w:color w:val="000000"/>
          <w:sz w:val="24"/>
          <w:szCs w:val="24"/>
        </w:rPr>
      </w:pPr>
      <w:r w:rsidRPr="00CC689E">
        <w:rPr>
          <w:color w:val="000000"/>
          <w:sz w:val="24"/>
          <w:szCs w:val="24"/>
        </w:rPr>
        <w:t xml:space="preserve">The overall purpose of this ambitious programme is to reduce the incidence of HBT bullying in primary and secondary schools in England by transforming the culture of how schools prevent and respond to HBT bullying in a </w:t>
      </w:r>
      <w:r w:rsidRPr="00CC689E">
        <w:rPr>
          <w:b/>
          <w:color w:val="000000"/>
          <w:sz w:val="24"/>
          <w:szCs w:val="24"/>
        </w:rPr>
        <w:t>sustainable</w:t>
      </w:r>
      <w:r w:rsidRPr="00CC689E">
        <w:rPr>
          <w:color w:val="000000"/>
          <w:sz w:val="24"/>
          <w:szCs w:val="24"/>
        </w:rPr>
        <w:t xml:space="preserve"> way.  </w:t>
      </w:r>
    </w:p>
    <w:p w14:paraId="22B0683C" w14:textId="77777777" w:rsidR="00F12D41" w:rsidRPr="00CC689E" w:rsidRDefault="00F12D41" w:rsidP="00C976A2">
      <w:pPr>
        <w:pStyle w:val="Numbered"/>
        <w:widowControl/>
        <w:spacing w:line="288" w:lineRule="auto"/>
        <w:rPr>
          <w:color w:val="000000"/>
          <w:sz w:val="24"/>
          <w:szCs w:val="24"/>
          <w:u w:val="single"/>
        </w:rPr>
      </w:pPr>
      <w:r w:rsidRPr="00CC689E">
        <w:rPr>
          <w:color w:val="000000"/>
          <w:sz w:val="24"/>
          <w:szCs w:val="24"/>
          <w:u w:val="single"/>
        </w:rPr>
        <w:t>Aims</w:t>
      </w:r>
    </w:p>
    <w:p w14:paraId="649B930C" w14:textId="77777777" w:rsidR="00F12D41" w:rsidRPr="00CC689E" w:rsidRDefault="00F12D41" w:rsidP="00C976A2">
      <w:pPr>
        <w:pStyle w:val="Numbered"/>
        <w:widowControl/>
        <w:spacing w:line="288" w:lineRule="auto"/>
        <w:rPr>
          <w:color w:val="000000"/>
          <w:sz w:val="24"/>
          <w:szCs w:val="24"/>
        </w:rPr>
      </w:pPr>
      <w:r w:rsidRPr="00CC689E">
        <w:rPr>
          <w:color w:val="000000"/>
          <w:sz w:val="24"/>
          <w:szCs w:val="24"/>
        </w:rPr>
        <w:t>The programme aims to do this in three main ways:</w:t>
      </w:r>
    </w:p>
    <w:p w14:paraId="3F65179D" w14:textId="77777777" w:rsidR="00F12D41" w:rsidRPr="00CC689E" w:rsidRDefault="00F12D41" w:rsidP="00C976A2">
      <w:pPr>
        <w:pStyle w:val="Numbered"/>
        <w:widowControl/>
        <w:numPr>
          <w:ilvl w:val="0"/>
          <w:numId w:val="28"/>
        </w:numPr>
        <w:spacing w:line="288" w:lineRule="auto"/>
        <w:rPr>
          <w:color w:val="000000"/>
          <w:sz w:val="24"/>
          <w:szCs w:val="24"/>
        </w:rPr>
      </w:pPr>
      <w:r w:rsidRPr="00CC689E">
        <w:rPr>
          <w:color w:val="000000"/>
          <w:sz w:val="24"/>
          <w:szCs w:val="24"/>
        </w:rPr>
        <w:t xml:space="preserve">To </w:t>
      </w:r>
      <w:r w:rsidRPr="00CC689E">
        <w:rPr>
          <w:b/>
          <w:color w:val="000000"/>
          <w:sz w:val="24"/>
          <w:szCs w:val="24"/>
        </w:rPr>
        <w:t>prevent</w:t>
      </w:r>
      <w:r w:rsidRPr="00CC689E">
        <w:rPr>
          <w:color w:val="000000"/>
          <w:sz w:val="24"/>
          <w:szCs w:val="24"/>
        </w:rPr>
        <w:t xml:space="preserve"> HBT bullying from happening in the first place;</w:t>
      </w:r>
    </w:p>
    <w:p w14:paraId="2447BD3A" w14:textId="77777777" w:rsidR="00F12D41" w:rsidRPr="00CC689E" w:rsidRDefault="00F12D41" w:rsidP="00C976A2">
      <w:pPr>
        <w:pStyle w:val="Numbered"/>
        <w:widowControl/>
        <w:numPr>
          <w:ilvl w:val="0"/>
          <w:numId w:val="28"/>
        </w:numPr>
        <w:spacing w:line="288" w:lineRule="auto"/>
        <w:rPr>
          <w:color w:val="000000"/>
          <w:sz w:val="24"/>
          <w:szCs w:val="24"/>
        </w:rPr>
      </w:pPr>
      <w:r w:rsidRPr="00CC689E">
        <w:rPr>
          <w:color w:val="000000"/>
          <w:sz w:val="24"/>
          <w:szCs w:val="24"/>
        </w:rPr>
        <w:t xml:space="preserve">To effectively </w:t>
      </w:r>
      <w:r w:rsidRPr="00CC689E">
        <w:rPr>
          <w:b/>
          <w:color w:val="000000"/>
          <w:sz w:val="24"/>
          <w:szCs w:val="24"/>
        </w:rPr>
        <w:t>respond to</w:t>
      </w:r>
      <w:r w:rsidRPr="00CC689E">
        <w:rPr>
          <w:color w:val="000000"/>
          <w:sz w:val="24"/>
          <w:szCs w:val="24"/>
        </w:rPr>
        <w:t xml:space="preserve"> HBT bullying when it does occur;</w:t>
      </w:r>
    </w:p>
    <w:p w14:paraId="6F330FB7" w14:textId="77777777" w:rsidR="00F12D41" w:rsidRPr="00CC689E" w:rsidRDefault="00F12D41" w:rsidP="00C976A2">
      <w:pPr>
        <w:pStyle w:val="Numbered"/>
        <w:widowControl/>
        <w:numPr>
          <w:ilvl w:val="0"/>
          <w:numId w:val="28"/>
        </w:numPr>
        <w:spacing w:line="288" w:lineRule="auto"/>
        <w:rPr>
          <w:color w:val="000000"/>
          <w:sz w:val="24"/>
          <w:szCs w:val="24"/>
        </w:rPr>
      </w:pPr>
      <w:r w:rsidRPr="00CC689E">
        <w:rPr>
          <w:color w:val="000000"/>
          <w:sz w:val="24"/>
          <w:szCs w:val="24"/>
        </w:rPr>
        <w:t xml:space="preserve">To create an </w:t>
      </w:r>
      <w:r w:rsidRPr="00CC689E">
        <w:rPr>
          <w:b/>
          <w:color w:val="000000"/>
          <w:sz w:val="24"/>
          <w:szCs w:val="24"/>
        </w:rPr>
        <w:t>inclusive school environment</w:t>
      </w:r>
      <w:r w:rsidRPr="00CC689E">
        <w:rPr>
          <w:color w:val="000000"/>
          <w:sz w:val="24"/>
          <w:szCs w:val="24"/>
        </w:rPr>
        <w:t xml:space="preserve"> for LGB&amp;T pupils and families.</w:t>
      </w:r>
    </w:p>
    <w:p w14:paraId="14EEE1C9" w14:textId="4BD7D87F" w:rsidR="00F12D41" w:rsidRPr="00CC689E" w:rsidRDefault="00CC689E" w:rsidP="00C976A2">
      <w:pPr>
        <w:pStyle w:val="Numbered"/>
        <w:widowControl/>
        <w:spacing w:line="288" w:lineRule="auto"/>
        <w:rPr>
          <w:color w:val="000000"/>
          <w:sz w:val="24"/>
          <w:szCs w:val="24"/>
        </w:rPr>
      </w:pPr>
      <w:r>
        <w:rPr>
          <w:color w:val="000000"/>
          <w:sz w:val="24"/>
          <w:szCs w:val="24"/>
        </w:rPr>
        <w:t>While the Department will accept applications focused on interventions in just primary or just secondary schools - t</w:t>
      </w:r>
      <w:r w:rsidR="00F12D41" w:rsidRPr="00CC689E">
        <w:rPr>
          <w:color w:val="000000"/>
          <w:sz w:val="24"/>
          <w:szCs w:val="24"/>
        </w:rPr>
        <w:t xml:space="preserve">he overall programme will seek to </w:t>
      </w:r>
      <w:r w:rsidR="00F16740">
        <w:rPr>
          <w:color w:val="000000"/>
          <w:sz w:val="24"/>
          <w:szCs w:val="24"/>
        </w:rPr>
        <w:t xml:space="preserve">fund a spread of projects </w:t>
      </w:r>
      <w:r>
        <w:rPr>
          <w:color w:val="000000"/>
          <w:sz w:val="24"/>
          <w:szCs w:val="24"/>
        </w:rPr>
        <w:t xml:space="preserve">across </w:t>
      </w:r>
      <w:r w:rsidR="00F12D41" w:rsidRPr="00CC689E">
        <w:rPr>
          <w:color w:val="000000"/>
          <w:sz w:val="24"/>
          <w:szCs w:val="24"/>
        </w:rPr>
        <w:t>primary and secondary schools in England</w:t>
      </w:r>
      <w:r>
        <w:rPr>
          <w:color w:val="000000"/>
          <w:sz w:val="24"/>
          <w:szCs w:val="24"/>
        </w:rPr>
        <w:t xml:space="preserve">. </w:t>
      </w:r>
    </w:p>
    <w:p w14:paraId="2B588AB4" w14:textId="77777777" w:rsidR="00F12D41" w:rsidRPr="00CC689E" w:rsidRDefault="00F12D41" w:rsidP="00C976A2">
      <w:pPr>
        <w:pStyle w:val="Numbered"/>
        <w:widowControl/>
        <w:spacing w:line="288" w:lineRule="auto"/>
        <w:rPr>
          <w:color w:val="000000"/>
          <w:sz w:val="24"/>
          <w:szCs w:val="24"/>
        </w:rPr>
      </w:pPr>
      <w:r w:rsidRPr="00CC689E">
        <w:rPr>
          <w:color w:val="000000"/>
          <w:sz w:val="24"/>
          <w:szCs w:val="24"/>
        </w:rPr>
        <w:t xml:space="preserve">The programme also aims to build the evidence base on what works to reduce HBT bullying. In order to do this, we will work with grant recipients to monitor and evaluate the impacts of their activity. </w:t>
      </w:r>
    </w:p>
    <w:p w14:paraId="7ECDD515" w14:textId="77777777" w:rsidR="00A90D7D" w:rsidRDefault="00A90D7D" w:rsidP="00C976A2">
      <w:pPr>
        <w:pStyle w:val="Heading2"/>
        <w:spacing w:before="0" w:line="288" w:lineRule="auto"/>
      </w:pPr>
      <w:bookmarkStart w:id="5" w:name="_Toc455671165"/>
      <w:r>
        <w:t xml:space="preserve">Overarching </w:t>
      </w:r>
      <w:r w:rsidR="007A1E9B">
        <w:t>c</w:t>
      </w:r>
      <w:r>
        <w:t>riteria</w:t>
      </w:r>
      <w:bookmarkEnd w:id="5"/>
    </w:p>
    <w:p w14:paraId="0A253CED" w14:textId="083D2901" w:rsidR="00CC689E" w:rsidRDefault="00A90D7D" w:rsidP="00C976A2">
      <w:r>
        <w:t>All bids must be able to demonstrate how they will s</w:t>
      </w:r>
      <w:r w:rsidR="00EA2593">
        <w:t>upport or make a differ</w:t>
      </w:r>
      <w:bookmarkStart w:id="6" w:name="_GoBack"/>
      <w:bookmarkEnd w:id="6"/>
      <w:r w:rsidR="00EA2593">
        <w:t>ence to preventing and responding to HBT bullying and creating an inclusive school environment.</w:t>
      </w:r>
      <w:r>
        <w:t xml:space="preserve"> </w:t>
      </w:r>
    </w:p>
    <w:p w14:paraId="2A47D860" w14:textId="5E5BF6B8" w:rsidR="00FA2E62" w:rsidRDefault="00FA2E62" w:rsidP="00C976A2">
      <w:r>
        <w:t xml:space="preserve">Applicants must clearly set out how they will </w:t>
      </w:r>
      <w:r w:rsidR="00C20EDD">
        <w:t xml:space="preserve">deliver both a whole school approach and staff training to </w:t>
      </w:r>
      <w:r>
        <w:t xml:space="preserve">achieve the </w:t>
      </w:r>
      <w:r w:rsidRPr="00FA2E62">
        <w:rPr>
          <w:b/>
        </w:rPr>
        <w:t>programme outcomes</w:t>
      </w:r>
      <w:r w:rsidR="00D93390">
        <w:t xml:space="preserve"> set out on </w:t>
      </w:r>
      <w:r w:rsidR="00D93390" w:rsidRPr="00171A5E">
        <w:t xml:space="preserve">page </w:t>
      </w:r>
      <w:r w:rsidR="009C76A6" w:rsidRPr="00171A5E">
        <w:t>13</w:t>
      </w:r>
      <w:r w:rsidR="00D93390" w:rsidRPr="00171A5E">
        <w:t xml:space="preserve"> onwards</w:t>
      </w:r>
      <w:r w:rsidRPr="00171A5E">
        <w:t>.</w:t>
      </w:r>
      <w:r>
        <w:t xml:space="preserve"> They</w:t>
      </w:r>
      <w:r w:rsidR="00CC689E">
        <w:t xml:space="preserve"> are</w:t>
      </w:r>
      <w:r>
        <w:t xml:space="preserve"> required to submit an evidence-based logic model for proposed interventions – using the template provided in Annex A</w:t>
      </w:r>
      <w:r w:rsidR="00D93390">
        <w:t xml:space="preserve"> of the application form</w:t>
      </w:r>
      <w:r>
        <w:t>. This must clearl</w:t>
      </w:r>
      <w:r w:rsidR="00D023F0">
        <w:t>y detail the inputs, activities and</w:t>
      </w:r>
      <w:r>
        <w:t xml:space="preserve"> outputs associated with the intervention. </w:t>
      </w:r>
    </w:p>
    <w:p w14:paraId="459C342E" w14:textId="7FC4CEA0" w:rsidR="00A90D7D" w:rsidRDefault="00A90D7D" w:rsidP="00C976A2">
      <w:r>
        <w:t xml:space="preserve">We are </w:t>
      </w:r>
      <w:r w:rsidR="00FA2E62">
        <w:t xml:space="preserve">also </w:t>
      </w:r>
      <w:r>
        <w:t xml:space="preserve">seeking applications which </w:t>
      </w:r>
      <w:r w:rsidR="00255A1C">
        <w:t xml:space="preserve">meet </w:t>
      </w:r>
      <w:r w:rsidR="00EB5061" w:rsidRPr="00FA2E62">
        <w:rPr>
          <w:b/>
          <w:u w:val="single"/>
        </w:rPr>
        <w:t>all</w:t>
      </w:r>
      <w:r>
        <w:t xml:space="preserve"> of the following high level criteria</w:t>
      </w:r>
      <w:r w:rsidR="00255A1C">
        <w:t xml:space="preserve"> and clearly demonstrate how they will</w:t>
      </w:r>
      <w:r>
        <w:t>:</w:t>
      </w:r>
    </w:p>
    <w:p w14:paraId="6A3A70AB" w14:textId="0437EBB5" w:rsidR="00931F15" w:rsidRPr="00931F15" w:rsidRDefault="00255A1C" w:rsidP="00C976A2">
      <w:pPr>
        <w:pStyle w:val="Numbered"/>
        <w:widowControl/>
        <w:numPr>
          <w:ilvl w:val="0"/>
          <w:numId w:val="37"/>
        </w:numPr>
        <w:spacing w:line="288" w:lineRule="auto"/>
        <w:rPr>
          <w:color w:val="000000"/>
          <w:sz w:val="24"/>
          <w:szCs w:val="24"/>
        </w:rPr>
      </w:pPr>
      <w:r w:rsidRPr="00931F15">
        <w:rPr>
          <w:b/>
          <w:sz w:val="24"/>
          <w:szCs w:val="24"/>
        </w:rPr>
        <w:t>Survey schools</w:t>
      </w:r>
      <w:r w:rsidR="00723CE9" w:rsidRPr="00931F15">
        <w:rPr>
          <w:sz w:val="24"/>
          <w:szCs w:val="24"/>
        </w:rPr>
        <w:t xml:space="preserve"> </w:t>
      </w:r>
      <w:r w:rsidR="00FA2E62" w:rsidRPr="00931F15">
        <w:rPr>
          <w:sz w:val="24"/>
          <w:szCs w:val="24"/>
        </w:rPr>
        <w:t>at the outset</w:t>
      </w:r>
      <w:r w:rsidR="00931F15">
        <w:rPr>
          <w:sz w:val="24"/>
          <w:szCs w:val="24"/>
        </w:rPr>
        <w:t xml:space="preserve">. Projects will need to </w:t>
      </w:r>
      <w:r w:rsidRPr="00931F15">
        <w:rPr>
          <w:sz w:val="24"/>
          <w:szCs w:val="24"/>
        </w:rPr>
        <w:t>assess</w:t>
      </w:r>
      <w:r w:rsidR="00931F15">
        <w:rPr>
          <w:sz w:val="24"/>
          <w:szCs w:val="24"/>
        </w:rPr>
        <w:t xml:space="preserve"> </w:t>
      </w:r>
      <w:r w:rsidR="00D023F0">
        <w:rPr>
          <w:sz w:val="24"/>
          <w:szCs w:val="24"/>
        </w:rPr>
        <w:t>in</w:t>
      </w:r>
      <w:r w:rsidR="00931F15">
        <w:rPr>
          <w:sz w:val="24"/>
          <w:szCs w:val="24"/>
        </w:rPr>
        <w:t xml:space="preserve"> school</w:t>
      </w:r>
      <w:r w:rsidR="00D023F0">
        <w:rPr>
          <w:sz w:val="24"/>
          <w:szCs w:val="24"/>
        </w:rPr>
        <w:t>s</w:t>
      </w:r>
      <w:r w:rsidRPr="00931F15">
        <w:rPr>
          <w:sz w:val="24"/>
          <w:szCs w:val="24"/>
        </w:rPr>
        <w:t xml:space="preserve"> the level</w:t>
      </w:r>
      <w:r w:rsidR="00931F15">
        <w:rPr>
          <w:sz w:val="24"/>
          <w:szCs w:val="24"/>
        </w:rPr>
        <w:t>s</w:t>
      </w:r>
      <w:r w:rsidRPr="00931F15">
        <w:rPr>
          <w:sz w:val="24"/>
          <w:szCs w:val="24"/>
        </w:rPr>
        <w:t xml:space="preserve"> of</w:t>
      </w:r>
      <w:r w:rsidR="00931F15" w:rsidRPr="00931F15">
        <w:rPr>
          <w:sz w:val="24"/>
          <w:szCs w:val="24"/>
        </w:rPr>
        <w:t>: knowledge and support to addressing HBT bullying</w:t>
      </w:r>
      <w:r w:rsidR="00931F15">
        <w:rPr>
          <w:sz w:val="24"/>
          <w:szCs w:val="24"/>
        </w:rPr>
        <w:t xml:space="preserve"> among school leadership teams</w:t>
      </w:r>
      <w:r w:rsidR="00931F15" w:rsidRPr="00931F15">
        <w:rPr>
          <w:sz w:val="24"/>
          <w:szCs w:val="24"/>
        </w:rPr>
        <w:t>; the extent of policies already in place; and evidence of need</w:t>
      </w:r>
      <w:r w:rsidRPr="00931F15">
        <w:rPr>
          <w:sz w:val="24"/>
          <w:szCs w:val="24"/>
        </w:rPr>
        <w:t xml:space="preserve"> </w:t>
      </w:r>
    </w:p>
    <w:p w14:paraId="784414A8" w14:textId="062E43FD" w:rsidR="00C976A2" w:rsidRPr="00C976A2" w:rsidRDefault="00255A1C" w:rsidP="00C976A2">
      <w:pPr>
        <w:pStyle w:val="Numbered"/>
        <w:widowControl/>
        <w:numPr>
          <w:ilvl w:val="0"/>
          <w:numId w:val="37"/>
        </w:numPr>
        <w:spacing w:line="288" w:lineRule="auto"/>
        <w:ind w:left="357" w:hanging="357"/>
        <w:contextualSpacing/>
        <w:rPr>
          <w:color w:val="000000"/>
          <w:sz w:val="24"/>
          <w:szCs w:val="24"/>
        </w:rPr>
      </w:pPr>
      <w:r w:rsidRPr="00C976A2">
        <w:rPr>
          <w:sz w:val="24"/>
          <w:szCs w:val="24"/>
        </w:rPr>
        <w:lastRenderedPageBreak/>
        <w:t xml:space="preserve">Use this survey to </w:t>
      </w:r>
      <w:r w:rsidRPr="00C976A2">
        <w:rPr>
          <w:b/>
          <w:sz w:val="24"/>
          <w:szCs w:val="24"/>
        </w:rPr>
        <w:t>recruit a sample</w:t>
      </w:r>
      <w:r w:rsidRPr="00C976A2">
        <w:rPr>
          <w:sz w:val="24"/>
          <w:szCs w:val="24"/>
        </w:rPr>
        <w:t xml:space="preserve"> of appropriate groups of schools</w:t>
      </w:r>
      <w:r w:rsidR="00931F15" w:rsidRPr="00C976A2">
        <w:rPr>
          <w:sz w:val="24"/>
          <w:szCs w:val="24"/>
        </w:rPr>
        <w:t xml:space="preserve"> they will target</w:t>
      </w:r>
      <w:r w:rsidR="009C6183" w:rsidRPr="00C976A2">
        <w:rPr>
          <w:sz w:val="24"/>
          <w:szCs w:val="24"/>
        </w:rPr>
        <w:t xml:space="preserve"> through either a whole school approach or through training</w:t>
      </w:r>
      <w:r w:rsidR="00931F15" w:rsidRPr="00C976A2">
        <w:rPr>
          <w:sz w:val="24"/>
          <w:szCs w:val="24"/>
        </w:rPr>
        <w:t>. Projects must</w:t>
      </w:r>
      <w:r w:rsidRPr="00C976A2">
        <w:rPr>
          <w:sz w:val="24"/>
          <w:szCs w:val="24"/>
        </w:rPr>
        <w:t xml:space="preserve"> ensure high levels of participation from a minimum of </w:t>
      </w:r>
      <w:r w:rsidR="00337273" w:rsidRPr="00A548D5">
        <w:rPr>
          <w:sz w:val="24"/>
          <w:szCs w:val="24"/>
        </w:rPr>
        <w:t>2</w:t>
      </w:r>
      <w:r w:rsidRPr="00A548D5">
        <w:rPr>
          <w:sz w:val="24"/>
          <w:szCs w:val="24"/>
        </w:rPr>
        <w:t>00 schools</w:t>
      </w:r>
      <w:r w:rsidRPr="00C976A2">
        <w:rPr>
          <w:sz w:val="24"/>
          <w:szCs w:val="24"/>
        </w:rPr>
        <w:t xml:space="preserve"> over the life of the</w:t>
      </w:r>
      <w:r w:rsidR="009C6183" w:rsidRPr="00C976A2">
        <w:rPr>
          <w:sz w:val="24"/>
          <w:szCs w:val="24"/>
        </w:rPr>
        <w:t xml:space="preserve"> 3-year</w:t>
      </w:r>
      <w:r w:rsidRPr="00C976A2">
        <w:rPr>
          <w:sz w:val="24"/>
          <w:szCs w:val="24"/>
        </w:rPr>
        <w:t xml:space="preserve"> programme</w:t>
      </w:r>
      <w:r w:rsidR="00337273" w:rsidRPr="00C976A2">
        <w:rPr>
          <w:sz w:val="24"/>
          <w:szCs w:val="24"/>
        </w:rPr>
        <w:t>. [You will need to set out how many schools you will reach through a whole school approach (model one) or just training (model two)].</w:t>
      </w:r>
    </w:p>
    <w:p w14:paraId="55D08DB5" w14:textId="5C34FFBE" w:rsidR="00255A1C" w:rsidRPr="00C976A2" w:rsidRDefault="00255A1C" w:rsidP="00C976A2">
      <w:pPr>
        <w:pStyle w:val="Numbered"/>
        <w:widowControl/>
        <w:numPr>
          <w:ilvl w:val="0"/>
          <w:numId w:val="37"/>
        </w:numPr>
        <w:spacing w:line="288" w:lineRule="auto"/>
        <w:ind w:left="357" w:hanging="357"/>
        <w:contextualSpacing/>
        <w:rPr>
          <w:color w:val="000000"/>
          <w:sz w:val="24"/>
          <w:szCs w:val="24"/>
        </w:rPr>
      </w:pPr>
      <w:r w:rsidRPr="00C976A2">
        <w:rPr>
          <w:b/>
          <w:sz w:val="24"/>
          <w:szCs w:val="24"/>
        </w:rPr>
        <w:t>Reach schools which currently have no, or ineffective, measures</w:t>
      </w:r>
      <w:r w:rsidRPr="00C976A2">
        <w:rPr>
          <w:sz w:val="24"/>
          <w:szCs w:val="24"/>
        </w:rPr>
        <w:t xml:space="preserve"> in place on HBT bullying – not just schools t</w:t>
      </w:r>
      <w:r w:rsidR="00635351" w:rsidRPr="00C976A2">
        <w:rPr>
          <w:sz w:val="24"/>
          <w:szCs w:val="24"/>
        </w:rPr>
        <w:t>hat are already committed to the</w:t>
      </w:r>
      <w:r w:rsidRPr="00C976A2">
        <w:rPr>
          <w:sz w:val="24"/>
          <w:szCs w:val="24"/>
        </w:rPr>
        <w:t xml:space="preserve"> programme aims</w:t>
      </w:r>
    </w:p>
    <w:p w14:paraId="575B89AF" w14:textId="0F840FE5" w:rsidR="00931F15" w:rsidRPr="00C976A2" w:rsidRDefault="00255A1C" w:rsidP="00C976A2">
      <w:pPr>
        <w:pStyle w:val="ListParagraph"/>
        <w:numPr>
          <w:ilvl w:val="0"/>
          <w:numId w:val="34"/>
        </w:numPr>
        <w:ind w:left="357" w:hanging="357"/>
      </w:pPr>
      <w:r w:rsidRPr="00C976A2">
        <w:t xml:space="preserve">Collect </w:t>
      </w:r>
      <w:r w:rsidRPr="00C976A2">
        <w:rPr>
          <w:b/>
        </w:rPr>
        <w:t>baseline data</w:t>
      </w:r>
      <w:r w:rsidR="009C6183" w:rsidRPr="00C976A2">
        <w:t xml:space="preserve"> </w:t>
      </w:r>
      <w:r w:rsidR="00635351" w:rsidRPr="00C976A2">
        <w:t xml:space="preserve">– including reported incidents of HBT bullying in schools - </w:t>
      </w:r>
      <w:r w:rsidRPr="00C976A2">
        <w:t>on the whole sample of identified schools</w:t>
      </w:r>
    </w:p>
    <w:p w14:paraId="3C2FF923" w14:textId="510A538E" w:rsidR="00255A1C" w:rsidRPr="00C976A2" w:rsidRDefault="00723CE9" w:rsidP="00C976A2">
      <w:pPr>
        <w:pStyle w:val="ListParagraph"/>
        <w:numPr>
          <w:ilvl w:val="0"/>
          <w:numId w:val="34"/>
        </w:numPr>
        <w:ind w:left="357" w:hanging="357"/>
      </w:pPr>
      <w:r w:rsidRPr="00C976A2">
        <w:t xml:space="preserve">Work with schools to develop a method for </w:t>
      </w:r>
      <w:r w:rsidRPr="00C976A2">
        <w:rPr>
          <w:b/>
        </w:rPr>
        <w:t>disseminating learning</w:t>
      </w:r>
      <w:r w:rsidRPr="00C976A2">
        <w:t xml:space="preserve"> and good practice between and beyond these school groups</w:t>
      </w:r>
    </w:p>
    <w:p w14:paraId="67E25EF1" w14:textId="1886975B" w:rsidR="00FA2E62" w:rsidRPr="00C976A2" w:rsidRDefault="001F491B" w:rsidP="00C976A2">
      <w:pPr>
        <w:pStyle w:val="ListParagraph"/>
        <w:numPr>
          <w:ilvl w:val="0"/>
          <w:numId w:val="35"/>
        </w:numPr>
        <w:ind w:left="357" w:hanging="357"/>
        <w:rPr>
          <w:b/>
        </w:rPr>
      </w:pPr>
      <w:r w:rsidRPr="00C976A2">
        <w:t xml:space="preserve">Ensure </w:t>
      </w:r>
      <w:r w:rsidRPr="00C976A2">
        <w:rPr>
          <w:b/>
        </w:rPr>
        <w:t xml:space="preserve">sustainability </w:t>
      </w:r>
      <w:r w:rsidRPr="00C976A2">
        <w:t xml:space="preserve">beyond the duration of the grant funding, by attracting further funding and supporting </w:t>
      </w:r>
      <w:r w:rsidR="00723CE9" w:rsidRPr="00C976A2">
        <w:rPr>
          <w:b/>
        </w:rPr>
        <w:t>schools that “graduate”</w:t>
      </w:r>
      <w:r w:rsidR="00723CE9" w:rsidRPr="00C976A2">
        <w:t xml:space="preserve"> from </w:t>
      </w:r>
      <w:r w:rsidR="00931F15" w:rsidRPr="00C976A2">
        <w:t>the</w:t>
      </w:r>
      <w:r w:rsidR="00723CE9" w:rsidRPr="00C976A2">
        <w:t xml:space="preserve"> project to effectively embed good practice</w:t>
      </w:r>
      <w:r w:rsidR="00FA2E62" w:rsidRPr="00C976A2">
        <w:t xml:space="preserve"> </w:t>
      </w:r>
    </w:p>
    <w:p w14:paraId="422F60DD" w14:textId="61742A36" w:rsidR="00D023F0" w:rsidRPr="00C976A2" w:rsidRDefault="00D023F0" w:rsidP="00C976A2">
      <w:pPr>
        <w:pStyle w:val="ListParagraph"/>
        <w:numPr>
          <w:ilvl w:val="0"/>
          <w:numId w:val="35"/>
        </w:numPr>
        <w:ind w:left="357" w:hanging="357"/>
      </w:pPr>
      <w:r w:rsidRPr="00C976A2">
        <w:t>Provide good value for money</w:t>
      </w:r>
    </w:p>
    <w:p w14:paraId="4F1D1606" w14:textId="385870D6" w:rsidR="00723CE9" w:rsidRDefault="00723CE9" w:rsidP="00C976A2">
      <w:pPr>
        <w:pStyle w:val="ListParagraph"/>
        <w:numPr>
          <w:ilvl w:val="0"/>
          <w:numId w:val="0"/>
        </w:numPr>
        <w:ind w:left="720"/>
      </w:pPr>
    </w:p>
    <w:p w14:paraId="148A96A4" w14:textId="4A41AE36" w:rsidR="00611372" w:rsidRDefault="00611372" w:rsidP="00C976A2">
      <w:r>
        <w:t xml:space="preserve">We will also score applications more highly if they meet </w:t>
      </w:r>
      <w:r w:rsidRPr="00FA2E62">
        <w:rPr>
          <w:b/>
          <w:u w:val="single"/>
        </w:rPr>
        <w:t>one or more</w:t>
      </w:r>
      <w:r>
        <w:t xml:space="preserve"> of the following criteria</w:t>
      </w:r>
      <w:r w:rsidR="008F2F52">
        <w:t>*</w:t>
      </w:r>
      <w:r>
        <w:t>:</w:t>
      </w:r>
    </w:p>
    <w:p w14:paraId="4C7A5C67" w14:textId="77777777" w:rsidR="001F491B" w:rsidRDefault="001F491B" w:rsidP="00C976A2">
      <w:pPr>
        <w:pStyle w:val="ListParagraph"/>
        <w:numPr>
          <w:ilvl w:val="0"/>
          <w:numId w:val="35"/>
        </w:numPr>
      </w:pPr>
      <w:r>
        <w:t xml:space="preserve">Design and produce </w:t>
      </w:r>
      <w:r w:rsidRPr="001F491B">
        <w:t>quality-assured resources</w:t>
      </w:r>
      <w:r>
        <w:t xml:space="preserve"> for schools and teachers to capture learning - in agreement with the Department. </w:t>
      </w:r>
    </w:p>
    <w:p w14:paraId="54C527FB" w14:textId="5372716B" w:rsidR="00723CE9" w:rsidRPr="00723CE9" w:rsidRDefault="00723CE9" w:rsidP="00C976A2">
      <w:pPr>
        <w:pStyle w:val="ListParagraph"/>
        <w:numPr>
          <w:ilvl w:val="0"/>
          <w:numId w:val="35"/>
        </w:numPr>
      </w:pPr>
      <w:r w:rsidRPr="00723CE9">
        <w:rPr>
          <w:color w:val="000000"/>
        </w:rPr>
        <w:t>S</w:t>
      </w:r>
      <w:r w:rsidR="00931F15">
        <w:rPr>
          <w:color w:val="000000"/>
        </w:rPr>
        <w:t>how</w:t>
      </w:r>
      <w:r w:rsidRPr="00723CE9">
        <w:rPr>
          <w:color w:val="000000"/>
        </w:rPr>
        <w:t xml:space="preserve"> how it will recognise and galvanise the range of expertise and specialisms within the LGB&amp;T charitable sector</w:t>
      </w:r>
    </w:p>
    <w:p w14:paraId="45425C4B" w14:textId="6B7BFA7C" w:rsidR="00723CE9" w:rsidRPr="00635351" w:rsidRDefault="00723CE9" w:rsidP="00C976A2">
      <w:pPr>
        <w:pStyle w:val="ListParagraph"/>
        <w:numPr>
          <w:ilvl w:val="0"/>
          <w:numId w:val="35"/>
        </w:numPr>
      </w:pPr>
      <w:r w:rsidRPr="00723CE9">
        <w:rPr>
          <w:color w:val="000000"/>
        </w:rPr>
        <w:t>Involve joint or consortium working – across the voluntary and community sector or across different sectors, for example with schools</w:t>
      </w:r>
    </w:p>
    <w:p w14:paraId="23C1C176" w14:textId="77777777" w:rsidR="008F2F52" w:rsidRDefault="008F2F52" w:rsidP="00C976A2">
      <w:pPr>
        <w:pStyle w:val="Heading2"/>
        <w:spacing w:before="0" w:line="288" w:lineRule="auto"/>
      </w:pPr>
      <w:bookmarkStart w:id="7" w:name="_Toc455671166"/>
      <w:r>
        <w:t>Evaluation of bids</w:t>
      </w:r>
      <w:bookmarkEnd w:id="7"/>
    </w:p>
    <w:p w14:paraId="5B2781F7" w14:textId="77777777" w:rsidR="008F2F52" w:rsidRDefault="008F2F52" w:rsidP="00C976A2">
      <w:r>
        <w:t>The following scoring mat</w:t>
      </w:r>
      <w:r w:rsidR="00534F1E">
        <w:t xml:space="preserve">rix will be used to assess bids.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3387"/>
        <w:gridCol w:w="1250"/>
        <w:gridCol w:w="1280"/>
        <w:gridCol w:w="1639"/>
      </w:tblGrid>
      <w:tr w:rsidR="00956794" w:rsidRPr="00F3002C" w14:paraId="46B45440" w14:textId="77777777" w:rsidTr="009C76A6">
        <w:trPr>
          <w:trHeight w:val="1298"/>
        </w:trPr>
        <w:tc>
          <w:tcPr>
            <w:tcW w:w="1793" w:type="dxa"/>
          </w:tcPr>
          <w:p w14:paraId="15B1C01E" w14:textId="5BFAE051" w:rsidR="00534F1E" w:rsidRPr="00F3002C" w:rsidRDefault="00956794" w:rsidP="00C976A2">
            <w:pPr>
              <w:pStyle w:val="Numbered"/>
              <w:spacing w:line="288" w:lineRule="auto"/>
              <w:rPr>
                <w:b/>
                <w:color w:val="000000"/>
              </w:rPr>
            </w:pPr>
            <w:r>
              <w:rPr>
                <w:b/>
                <w:color w:val="000000"/>
              </w:rPr>
              <w:t>Corresponding</w:t>
            </w:r>
            <w:r w:rsidR="006F3DD1">
              <w:rPr>
                <w:b/>
                <w:color w:val="000000"/>
              </w:rPr>
              <w:t xml:space="preserve"> </w:t>
            </w:r>
            <w:r>
              <w:rPr>
                <w:b/>
                <w:color w:val="000000"/>
              </w:rPr>
              <w:t>question in Application F</w:t>
            </w:r>
            <w:r w:rsidR="006F3DD1">
              <w:rPr>
                <w:b/>
                <w:color w:val="000000"/>
              </w:rPr>
              <w:t>orm</w:t>
            </w:r>
          </w:p>
        </w:tc>
        <w:tc>
          <w:tcPr>
            <w:tcW w:w="3618" w:type="dxa"/>
            <w:shd w:val="clear" w:color="auto" w:fill="auto"/>
          </w:tcPr>
          <w:p w14:paraId="5F23FB24" w14:textId="77777777" w:rsidR="00534F1E" w:rsidRPr="00F3002C" w:rsidRDefault="00534F1E" w:rsidP="00C976A2">
            <w:pPr>
              <w:pStyle w:val="Numbered"/>
              <w:spacing w:line="288" w:lineRule="auto"/>
              <w:rPr>
                <w:b/>
                <w:color w:val="000000"/>
              </w:rPr>
            </w:pPr>
            <w:r w:rsidRPr="00F3002C">
              <w:rPr>
                <w:b/>
                <w:color w:val="000000"/>
              </w:rPr>
              <w:t>Criteria</w:t>
            </w:r>
          </w:p>
        </w:tc>
        <w:tc>
          <w:tcPr>
            <w:tcW w:w="1304" w:type="dxa"/>
            <w:shd w:val="clear" w:color="auto" w:fill="auto"/>
          </w:tcPr>
          <w:p w14:paraId="02666F6B" w14:textId="4EDF16C8" w:rsidR="00534F1E" w:rsidRPr="00F3002C" w:rsidRDefault="00534F1E" w:rsidP="00C976A2">
            <w:pPr>
              <w:pStyle w:val="Numbered"/>
              <w:spacing w:line="288" w:lineRule="auto"/>
              <w:rPr>
                <w:b/>
                <w:color w:val="000000"/>
              </w:rPr>
            </w:pPr>
            <w:r w:rsidRPr="00F3002C">
              <w:rPr>
                <w:b/>
                <w:color w:val="000000"/>
              </w:rPr>
              <w:t>Score (0-</w:t>
            </w:r>
            <w:r w:rsidR="006F3DD1">
              <w:rPr>
                <w:b/>
                <w:color w:val="000000"/>
              </w:rPr>
              <w:t>5</w:t>
            </w:r>
            <w:r w:rsidRPr="00F3002C">
              <w:rPr>
                <w:b/>
                <w:color w:val="000000"/>
              </w:rPr>
              <w:t>)</w:t>
            </w:r>
          </w:p>
        </w:tc>
        <w:tc>
          <w:tcPr>
            <w:tcW w:w="940" w:type="dxa"/>
            <w:shd w:val="clear" w:color="auto" w:fill="auto"/>
          </w:tcPr>
          <w:p w14:paraId="2ECD1F75" w14:textId="77777777" w:rsidR="00534F1E" w:rsidRPr="00F3002C" w:rsidRDefault="00534F1E" w:rsidP="00C976A2">
            <w:pPr>
              <w:pStyle w:val="Numbered"/>
              <w:spacing w:line="288" w:lineRule="auto"/>
              <w:rPr>
                <w:b/>
                <w:color w:val="000000"/>
              </w:rPr>
            </w:pPr>
            <w:r w:rsidRPr="00F3002C">
              <w:rPr>
                <w:b/>
                <w:color w:val="000000"/>
              </w:rPr>
              <w:t>Weighting</w:t>
            </w:r>
          </w:p>
        </w:tc>
        <w:tc>
          <w:tcPr>
            <w:tcW w:w="1694" w:type="dxa"/>
            <w:shd w:val="clear" w:color="auto" w:fill="auto"/>
          </w:tcPr>
          <w:p w14:paraId="0E3C9F34" w14:textId="77777777" w:rsidR="00534F1E" w:rsidRPr="00F3002C" w:rsidRDefault="00534F1E" w:rsidP="00C976A2">
            <w:pPr>
              <w:pStyle w:val="Numbered"/>
              <w:spacing w:line="288" w:lineRule="auto"/>
              <w:rPr>
                <w:b/>
                <w:color w:val="000000"/>
              </w:rPr>
            </w:pPr>
            <w:r w:rsidRPr="00F3002C">
              <w:rPr>
                <w:b/>
                <w:color w:val="000000"/>
              </w:rPr>
              <w:t>Weighted Score</w:t>
            </w:r>
          </w:p>
        </w:tc>
      </w:tr>
      <w:tr w:rsidR="00956794" w:rsidRPr="00F3002C" w14:paraId="0ECCF15A" w14:textId="77777777" w:rsidTr="009C76A6">
        <w:tc>
          <w:tcPr>
            <w:tcW w:w="1793" w:type="dxa"/>
          </w:tcPr>
          <w:p w14:paraId="0F10E43C" w14:textId="5F79C435" w:rsidR="00534F1E" w:rsidRPr="00F3002C" w:rsidRDefault="006F3DD1" w:rsidP="00C976A2">
            <w:pPr>
              <w:pStyle w:val="Numbered"/>
              <w:spacing w:line="288" w:lineRule="auto"/>
              <w:rPr>
                <w:color w:val="000000"/>
              </w:rPr>
            </w:pPr>
            <w:r>
              <w:rPr>
                <w:color w:val="000000"/>
              </w:rPr>
              <w:t>3.3</w:t>
            </w:r>
          </w:p>
        </w:tc>
        <w:tc>
          <w:tcPr>
            <w:tcW w:w="3618" w:type="dxa"/>
            <w:shd w:val="clear" w:color="auto" w:fill="auto"/>
          </w:tcPr>
          <w:p w14:paraId="16108221" w14:textId="77777777" w:rsidR="00534F1E" w:rsidRPr="00F3002C" w:rsidRDefault="00534F1E" w:rsidP="00C976A2">
            <w:pPr>
              <w:pStyle w:val="Numbered"/>
              <w:spacing w:line="288" w:lineRule="auto"/>
              <w:rPr>
                <w:b/>
                <w:color w:val="000000"/>
              </w:rPr>
            </w:pPr>
            <w:r w:rsidRPr="00F3002C">
              <w:rPr>
                <w:color w:val="000000"/>
              </w:rPr>
              <w:t xml:space="preserve">Experience and track record of delivering anti HBT </w:t>
            </w:r>
            <w:r w:rsidRPr="00F3002C">
              <w:rPr>
                <w:vanish/>
                <w:color w:val="000000"/>
              </w:rPr>
              <w:t>BT</w:t>
            </w:r>
            <w:r w:rsidRPr="00F3002C">
              <w:rPr>
                <w:color w:val="000000"/>
              </w:rPr>
              <w:t xml:space="preserve">bullying projects </w:t>
            </w:r>
          </w:p>
        </w:tc>
        <w:tc>
          <w:tcPr>
            <w:tcW w:w="1304" w:type="dxa"/>
            <w:shd w:val="clear" w:color="auto" w:fill="auto"/>
          </w:tcPr>
          <w:p w14:paraId="125CE589" w14:textId="243251B8" w:rsidR="00534F1E" w:rsidRPr="00F3002C" w:rsidRDefault="00534F1E" w:rsidP="00C976A2">
            <w:pPr>
              <w:pStyle w:val="Numbered"/>
              <w:spacing w:line="288" w:lineRule="auto"/>
              <w:rPr>
                <w:color w:val="000000"/>
              </w:rPr>
            </w:pPr>
          </w:p>
        </w:tc>
        <w:tc>
          <w:tcPr>
            <w:tcW w:w="940" w:type="dxa"/>
            <w:shd w:val="clear" w:color="auto" w:fill="auto"/>
          </w:tcPr>
          <w:p w14:paraId="10DE7F6E" w14:textId="77777777" w:rsidR="00534F1E" w:rsidRPr="00F3002C" w:rsidRDefault="00534F1E" w:rsidP="00C976A2">
            <w:pPr>
              <w:pStyle w:val="Numbered"/>
              <w:spacing w:line="288" w:lineRule="auto"/>
              <w:rPr>
                <w:color w:val="000000"/>
              </w:rPr>
            </w:pPr>
            <w:r w:rsidRPr="00F3002C">
              <w:rPr>
                <w:color w:val="000000"/>
              </w:rPr>
              <w:t>3</w:t>
            </w:r>
          </w:p>
        </w:tc>
        <w:tc>
          <w:tcPr>
            <w:tcW w:w="1694" w:type="dxa"/>
            <w:shd w:val="clear" w:color="auto" w:fill="auto"/>
          </w:tcPr>
          <w:p w14:paraId="42CB5D74" w14:textId="181184AA" w:rsidR="00534F1E" w:rsidRPr="00F3002C" w:rsidRDefault="006F3DD1" w:rsidP="00C976A2">
            <w:pPr>
              <w:pStyle w:val="Numbered"/>
              <w:spacing w:line="288" w:lineRule="auto"/>
              <w:rPr>
                <w:b/>
                <w:color w:val="000000"/>
              </w:rPr>
            </w:pPr>
            <w:r>
              <w:rPr>
                <w:b/>
                <w:color w:val="000000"/>
              </w:rPr>
              <w:t>15</w:t>
            </w:r>
          </w:p>
        </w:tc>
      </w:tr>
      <w:tr w:rsidR="00956794" w:rsidRPr="00F3002C" w14:paraId="2C40CDCC" w14:textId="77777777" w:rsidTr="009C76A6">
        <w:tc>
          <w:tcPr>
            <w:tcW w:w="1793" w:type="dxa"/>
          </w:tcPr>
          <w:p w14:paraId="0BE3A17F" w14:textId="5D68FF04" w:rsidR="00D023F0" w:rsidRDefault="006F3DD1" w:rsidP="00C976A2">
            <w:pPr>
              <w:pStyle w:val="Numbered"/>
              <w:spacing w:line="288" w:lineRule="auto"/>
              <w:rPr>
                <w:color w:val="000000"/>
              </w:rPr>
            </w:pPr>
            <w:r>
              <w:rPr>
                <w:color w:val="000000"/>
              </w:rPr>
              <w:t>3.5</w:t>
            </w:r>
          </w:p>
        </w:tc>
        <w:tc>
          <w:tcPr>
            <w:tcW w:w="3618" w:type="dxa"/>
            <w:shd w:val="clear" w:color="auto" w:fill="auto"/>
          </w:tcPr>
          <w:p w14:paraId="36B72EA6" w14:textId="30859F70" w:rsidR="00D023F0" w:rsidRPr="00F3002C" w:rsidRDefault="001F491B" w:rsidP="00C976A2">
            <w:pPr>
              <w:pStyle w:val="Numbered"/>
              <w:spacing w:line="288" w:lineRule="auto"/>
              <w:rPr>
                <w:color w:val="000000"/>
              </w:rPr>
            </w:pPr>
            <w:r>
              <w:rPr>
                <w:color w:val="000000"/>
              </w:rPr>
              <w:t xml:space="preserve">Evidence </w:t>
            </w:r>
            <w:r w:rsidR="00B770D3">
              <w:rPr>
                <w:color w:val="000000"/>
              </w:rPr>
              <w:t>application has considered how it will</w:t>
            </w:r>
            <w:r>
              <w:rPr>
                <w:color w:val="000000"/>
              </w:rPr>
              <w:t xml:space="preserve"> meet the three programme outcomes. </w:t>
            </w:r>
          </w:p>
        </w:tc>
        <w:tc>
          <w:tcPr>
            <w:tcW w:w="1304" w:type="dxa"/>
            <w:shd w:val="clear" w:color="auto" w:fill="auto"/>
          </w:tcPr>
          <w:p w14:paraId="2C8561E9" w14:textId="77777777" w:rsidR="00D023F0" w:rsidRPr="00F3002C" w:rsidRDefault="00D023F0" w:rsidP="00C976A2">
            <w:pPr>
              <w:pStyle w:val="Numbered"/>
              <w:spacing w:line="288" w:lineRule="auto"/>
              <w:rPr>
                <w:color w:val="000000"/>
              </w:rPr>
            </w:pPr>
          </w:p>
        </w:tc>
        <w:tc>
          <w:tcPr>
            <w:tcW w:w="940" w:type="dxa"/>
            <w:shd w:val="clear" w:color="auto" w:fill="auto"/>
          </w:tcPr>
          <w:p w14:paraId="1409E5B0" w14:textId="14712B43" w:rsidR="00D023F0" w:rsidRPr="00F3002C" w:rsidRDefault="00F64384" w:rsidP="00C976A2">
            <w:pPr>
              <w:pStyle w:val="Numbered"/>
              <w:spacing w:line="288" w:lineRule="auto"/>
              <w:rPr>
                <w:color w:val="000000"/>
              </w:rPr>
            </w:pPr>
            <w:r>
              <w:rPr>
                <w:color w:val="000000"/>
              </w:rPr>
              <w:t>3</w:t>
            </w:r>
          </w:p>
        </w:tc>
        <w:tc>
          <w:tcPr>
            <w:tcW w:w="1694" w:type="dxa"/>
            <w:shd w:val="clear" w:color="auto" w:fill="auto"/>
          </w:tcPr>
          <w:p w14:paraId="5ABD53B3" w14:textId="33A24C15" w:rsidR="00D023F0" w:rsidRPr="00F3002C" w:rsidRDefault="006F3DD1" w:rsidP="00C976A2">
            <w:pPr>
              <w:pStyle w:val="Numbered"/>
              <w:spacing w:line="288" w:lineRule="auto"/>
              <w:rPr>
                <w:b/>
                <w:color w:val="000000"/>
              </w:rPr>
            </w:pPr>
            <w:r>
              <w:rPr>
                <w:b/>
                <w:color w:val="000000"/>
              </w:rPr>
              <w:t>15</w:t>
            </w:r>
          </w:p>
        </w:tc>
      </w:tr>
      <w:tr w:rsidR="00956794" w:rsidRPr="00F3002C" w14:paraId="550ECC4A" w14:textId="77777777" w:rsidTr="009C76A6">
        <w:tc>
          <w:tcPr>
            <w:tcW w:w="1793" w:type="dxa"/>
          </w:tcPr>
          <w:p w14:paraId="6753C4BD" w14:textId="2C5EA912" w:rsidR="00534F1E" w:rsidRDefault="00514F70" w:rsidP="00C976A2">
            <w:pPr>
              <w:pStyle w:val="Numbered"/>
              <w:spacing w:line="288" w:lineRule="auto"/>
              <w:rPr>
                <w:color w:val="000000"/>
              </w:rPr>
            </w:pPr>
            <w:r>
              <w:rPr>
                <w:color w:val="000000"/>
              </w:rPr>
              <w:lastRenderedPageBreak/>
              <w:t>3</w:t>
            </w:r>
            <w:r w:rsidR="006F3DD1">
              <w:rPr>
                <w:color w:val="000000"/>
              </w:rPr>
              <w:t>.6 and 3.7</w:t>
            </w:r>
          </w:p>
        </w:tc>
        <w:tc>
          <w:tcPr>
            <w:tcW w:w="3618" w:type="dxa"/>
            <w:shd w:val="clear" w:color="auto" w:fill="auto"/>
          </w:tcPr>
          <w:p w14:paraId="13AF6599" w14:textId="22A0C8B4" w:rsidR="00534F1E" w:rsidRPr="00F3002C" w:rsidRDefault="00BC3498" w:rsidP="00A548D5">
            <w:pPr>
              <w:pStyle w:val="Numbered"/>
              <w:spacing w:line="288" w:lineRule="auto"/>
              <w:rPr>
                <w:color w:val="000000"/>
              </w:rPr>
            </w:pPr>
            <w:r>
              <w:rPr>
                <w:color w:val="000000"/>
              </w:rPr>
              <w:t>Evidence of a considered approach as to how the project will:</w:t>
            </w:r>
            <w:r w:rsidR="001F491B">
              <w:rPr>
                <w:color w:val="000000"/>
              </w:rPr>
              <w:t xml:space="preserve"> </w:t>
            </w:r>
            <w:r>
              <w:rPr>
                <w:color w:val="000000"/>
              </w:rPr>
              <w:t>survey</w:t>
            </w:r>
            <w:r w:rsidR="001F491B">
              <w:rPr>
                <w:color w:val="000000"/>
              </w:rPr>
              <w:t xml:space="preserve"> schools</w:t>
            </w:r>
            <w:r>
              <w:rPr>
                <w:color w:val="000000"/>
              </w:rPr>
              <w:t>; recruit and retain</w:t>
            </w:r>
            <w:r w:rsidR="00A548D5">
              <w:rPr>
                <w:color w:val="000000"/>
              </w:rPr>
              <w:t xml:space="preserve"> a</w:t>
            </w:r>
            <w:r w:rsidR="00337273">
              <w:rPr>
                <w:color w:val="000000"/>
              </w:rPr>
              <w:t xml:space="preserve"> sample of 2</w:t>
            </w:r>
            <w:r w:rsidR="001F491B">
              <w:rPr>
                <w:color w:val="000000"/>
              </w:rPr>
              <w:t>00+ schools</w:t>
            </w:r>
            <w:r>
              <w:rPr>
                <w:color w:val="000000"/>
              </w:rPr>
              <w:t>; and collect</w:t>
            </w:r>
            <w:r w:rsidR="001F491B">
              <w:rPr>
                <w:color w:val="000000"/>
              </w:rPr>
              <w:t xml:space="preserve"> baseline data</w:t>
            </w:r>
          </w:p>
        </w:tc>
        <w:tc>
          <w:tcPr>
            <w:tcW w:w="1304" w:type="dxa"/>
            <w:shd w:val="clear" w:color="auto" w:fill="auto"/>
          </w:tcPr>
          <w:p w14:paraId="4AD95761" w14:textId="77777777" w:rsidR="00534F1E" w:rsidRPr="00F3002C" w:rsidRDefault="00534F1E" w:rsidP="00C976A2">
            <w:pPr>
              <w:pStyle w:val="Numbered"/>
              <w:spacing w:line="288" w:lineRule="auto"/>
              <w:rPr>
                <w:color w:val="000000"/>
              </w:rPr>
            </w:pPr>
          </w:p>
        </w:tc>
        <w:tc>
          <w:tcPr>
            <w:tcW w:w="940" w:type="dxa"/>
            <w:shd w:val="clear" w:color="auto" w:fill="auto"/>
          </w:tcPr>
          <w:p w14:paraId="0EF9F1F1" w14:textId="245A7AAD" w:rsidR="00534F1E" w:rsidRPr="00F3002C" w:rsidRDefault="00F64384" w:rsidP="00C976A2">
            <w:pPr>
              <w:pStyle w:val="Numbered"/>
              <w:spacing w:line="288" w:lineRule="auto"/>
              <w:rPr>
                <w:color w:val="000000"/>
              </w:rPr>
            </w:pPr>
            <w:r>
              <w:rPr>
                <w:color w:val="000000"/>
              </w:rPr>
              <w:t>2</w:t>
            </w:r>
          </w:p>
        </w:tc>
        <w:tc>
          <w:tcPr>
            <w:tcW w:w="1694" w:type="dxa"/>
            <w:shd w:val="clear" w:color="auto" w:fill="auto"/>
          </w:tcPr>
          <w:p w14:paraId="25C36BE4" w14:textId="1ED811F0" w:rsidR="00534F1E" w:rsidRPr="00F3002C" w:rsidRDefault="006F3DD1" w:rsidP="00C976A2">
            <w:pPr>
              <w:pStyle w:val="Numbered"/>
              <w:spacing w:line="288" w:lineRule="auto"/>
              <w:rPr>
                <w:b/>
                <w:color w:val="000000"/>
              </w:rPr>
            </w:pPr>
            <w:r>
              <w:rPr>
                <w:b/>
                <w:color w:val="000000"/>
              </w:rPr>
              <w:t>10</w:t>
            </w:r>
          </w:p>
        </w:tc>
      </w:tr>
      <w:tr w:rsidR="00956794" w:rsidRPr="00F3002C" w14:paraId="1DCF03C2" w14:textId="77777777" w:rsidTr="009C76A6">
        <w:tc>
          <w:tcPr>
            <w:tcW w:w="1793" w:type="dxa"/>
          </w:tcPr>
          <w:p w14:paraId="33C01125" w14:textId="1BD39ED7" w:rsidR="00534F1E" w:rsidRPr="00F3002C" w:rsidRDefault="006F3DD1" w:rsidP="00C976A2">
            <w:pPr>
              <w:pStyle w:val="Numbered"/>
              <w:spacing w:line="288" w:lineRule="auto"/>
              <w:rPr>
                <w:color w:val="000000"/>
              </w:rPr>
            </w:pPr>
            <w:r>
              <w:rPr>
                <w:color w:val="000000"/>
              </w:rPr>
              <w:t>3.8</w:t>
            </w:r>
          </w:p>
        </w:tc>
        <w:tc>
          <w:tcPr>
            <w:tcW w:w="3618" w:type="dxa"/>
            <w:shd w:val="clear" w:color="auto" w:fill="auto"/>
          </w:tcPr>
          <w:p w14:paraId="6A5E7F3F" w14:textId="74A5562B" w:rsidR="00534F1E" w:rsidRPr="00F3002C" w:rsidRDefault="001F491B" w:rsidP="00C976A2">
            <w:pPr>
              <w:pStyle w:val="Numbered"/>
              <w:spacing w:line="288" w:lineRule="auto"/>
              <w:rPr>
                <w:b/>
                <w:color w:val="000000"/>
              </w:rPr>
            </w:pPr>
            <w:r>
              <w:rPr>
                <w:color w:val="000000"/>
              </w:rPr>
              <w:t>Ability to</w:t>
            </w:r>
            <w:r w:rsidRPr="00F3002C">
              <w:rPr>
                <w:color w:val="000000"/>
              </w:rPr>
              <w:t xml:space="preserve"> reach</w:t>
            </w:r>
            <w:r>
              <w:rPr>
                <w:color w:val="000000"/>
              </w:rPr>
              <w:t xml:space="preserve"> </w:t>
            </w:r>
            <w:r w:rsidRPr="006C02FA">
              <w:rPr>
                <w:color w:val="000000"/>
              </w:rPr>
              <w:t>schools which currently have no, or ineffective, measures in place on HBT bullying</w:t>
            </w:r>
            <w:r w:rsidRPr="00F3002C">
              <w:rPr>
                <w:color w:val="000000"/>
              </w:rPr>
              <w:t xml:space="preserve"> </w:t>
            </w:r>
          </w:p>
        </w:tc>
        <w:tc>
          <w:tcPr>
            <w:tcW w:w="1304" w:type="dxa"/>
            <w:shd w:val="clear" w:color="auto" w:fill="auto"/>
          </w:tcPr>
          <w:p w14:paraId="464486AD" w14:textId="77777777" w:rsidR="00534F1E" w:rsidRPr="00F3002C" w:rsidRDefault="00534F1E" w:rsidP="00C976A2">
            <w:pPr>
              <w:pStyle w:val="Numbered"/>
              <w:spacing w:line="288" w:lineRule="auto"/>
              <w:rPr>
                <w:color w:val="000000"/>
              </w:rPr>
            </w:pPr>
          </w:p>
        </w:tc>
        <w:tc>
          <w:tcPr>
            <w:tcW w:w="940" w:type="dxa"/>
            <w:shd w:val="clear" w:color="auto" w:fill="auto"/>
          </w:tcPr>
          <w:p w14:paraId="4DEF7F2D" w14:textId="77777777" w:rsidR="00534F1E" w:rsidRPr="00F3002C" w:rsidRDefault="00534F1E" w:rsidP="00C976A2">
            <w:pPr>
              <w:pStyle w:val="Numbered"/>
              <w:spacing w:line="288" w:lineRule="auto"/>
              <w:rPr>
                <w:color w:val="000000"/>
              </w:rPr>
            </w:pPr>
            <w:r w:rsidRPr="00F3002C">
              <w:rPr>
                <w:color w:val="000000"/>
              </w:rPr>
              <w:t>2</w:t>
            </w:r>
          </w:p>
        </w:tc>
        <w:tc>
          <w:tcPr>
            <w:tcW w:w="1694" w:type="dxa"/>
            <w:shd w:val="clear" w:color="auto" w:fill="auto"/>
          </w:tcPr>
          <w:p w14:paraId="77EEC380" w14:textId="3E78220A" w:rsidR="00534F1E" w:rsidRPr="00F3002C" w:rsidRDefault="006F3DD1" w:rsidP="00C976A2">
            <w:pPr>
              <w:pStyle w:val="Numbered"/>
              <w:spacing w:line="288" w:lineRule="auto"/>
              <w:rPr>
                <w:b/>
                <w:color w:val="000000"/>
              </w:rPr>
            </w:pPr>
            <w:r>
              <w:rPr>
                <w:b/>
                <w:color w:val="000000"/>
              </w:rPr>
              <w:t>10</w:t>
            </w:r>
          </w:p>
        </w:tc>
      </w:tr>
      <w:tr w:rsidR="00956794" w:rsidRPr="00F3002C" w14:paraId="787B95B6" w14:textId="77777777" w:rsidTr="009C76A6">
        <w:tc>
          <w:tcPr>
            <w:tcW w:w="1793" w:type="dxa"/>
          </w:tcPr>
          <w:p w14:paraId="29CFDF80" w14:textId="200C2D86" w:rsidR="00534F1E" w:rsidRPr="00F3002C" w:rsidRDefault="006F3DD1" w:rsidP="00C976A2">
            <w:pPr>
              <w:pStyle w:val="Numbered"/>
              <w:spacing w:line="288" w:lineRule="auto"/>
              <w:rPr>
                <w:color w:val="000000"/>
              </w:rPr>
            </w:pPr>
            <w:r>
              <w:rPr>
                <w:color w:val="000000"/>
              </w:rPr>
              <w:t>3.9</w:t>
            </w:r>
          </w:p>
        </w:tc>
        <w:tc>
          <w:tcPr>
            <w:tcW w:w="3618" w:type="dxa"/>
            <w:shd w:val="clear" w:color="auto" w:fill="auto"/>
          </w:tcPr>
          <w:p w14:paraId="26BE09EB" w14:textId="2F5B5B24" w:rsidR="00534F1E" w:rsidRPr="00F3002C" w:rsidRDefault="00BC3498" w:rsidP="00C976A2">
            <w:pPr>
              <w:pStyle w:val="Numbered"/>
              <w:spacing w:line="288" w:lineRule="auto"/>
              <w:rPr>
                <w:color w:val="000000"/>
              </w:rPr>
            </w:pPr>
            <w:r>
              <w:rPr>
                <w:color w:val="000000"/>
              </w:rPr>
              <w:t>Will</w:t>
            </w:r>
            <w:r w:rsidR="001F491B">
              <w:rPr>
                <w:color w:val="000000"/>
              </w:rPr>
              <w:t xml:space="preserve"> disseminate learning and good </w:t>
            </w:r>
            <w:r w:rsidR="001F491B">
              <w:t xml:space="preserve">practice </w:t>
            </w:r>
          </w:p>
        </w:tc>
        <w:tc>
          <w:tcPr>
            <w:tcW w:w="1304" w:type="dxa"/>
            <w:shd w:val="clear" w:color="auto" w:fill="auto"/>
          </w:tcPr>
          <w:p w14:paraId="638F3CBC" w14:textId="77777777" w:rsidR="00534F1E" w:rsidRPr="00F3002C" w:rsidRDefault="00534F1E" w:rsidP="00C976A2">
            <w:pPr>
              <w:pStyle w:val="Numbered"/>
              <w:spacing w:line="288" w:lineRule="auto"/>
              <w:rPr>
                <w:color w:val="000000"/>
              </w:rPr>
            </w:pPr>
          </w:p>
        </w:tc>
        <w:tc>
          <w:tcPr>
            <w:tcW w:w="940" w:type="dxa"/>
            <w:shd w:val="clear" w:color="auto" w:fill="auto"/>
          </w:tcPr>
          <w:p w14:paraId="0919D343" w14:textId="77777777" w:rsidR="00534F1E" w:rsidRPr="00F3002C" w:rsidRDefault="00534F1E" w:rsidP="00C976A2">
            <w:pPr>
              <w:pStyle w:val="Numbered"/>
              <w:spacing w:line="288" w:lineRule="auto"/>
              <w:rPr>
                <w:color w:val="000000"/>
              </w:rPr>
            </w:pPr>
            <w:r w:rsidRPr="00F3002C">
              <w:rPr>
                <w:color w:val="000000"/>
              </w:rPr>
              <w:t>1</w:t>
            </w:r>
          </w:p>
        </w:tc>
        <w:tc>
          <w:tcPr>
            <w:tcW w:w="1694" w:type="dxa"/>
            <w:shd w:val="clear" w:color="auto" w:fill="auto"/>
          </w:tcPr>
          <w:p w14:paraId="3ECA7872" w14:textId="018B6F10" w:rsidR="00534F1E" w:rsidRPr="00F3002C" w:rsidRDefault="006F3DD1" w:rsidP="00C976A2">
            <w:pPr>
              <w:pStyle w:val="Numbered"/>
              <w:spacing w:line="288" w:lineRule="auto"/>
              <w:rPr>
                <w:b/>
                <w:color w:val="000000"/>
              </w:rPr>
            </w:pPr>
            <w:r>
              <w:rPr>
                <w:b/>
                <w:color w:val="000000"/>
              </w:rPr>
              <w:t>5</w:t>
            </w:r>
          </w:p>
        </w:tc>
      </w:tr>
      <w:tr w:rsidR="00956794" w:rsidRPr="00F3002C" w14:paraId="75AD534A" w14:textId="77777777" w:rsidTr="009C76A6">
        <w:tc>
          <w:tcPr>
            <w:tcW w:w="1793" w:type="dxa"/>
          </w:tcPr>
          <w:p w14:paraId="4A1F9635" w14:textId="0E3B24D5" w:rsidR="00534F1E" w:rsidRPr="00F3002C" w:rsidRDefault="006F3DD1" w:rsidP="00C976A2">
            <w:pPr>
              <w:pStyle w:val="Numbered"/>
              <w:spacing w:line="288" w:lineRule="auto"/>
              <w:rPr>
                <w:color w:val="000000"/>
              </w:rPr>
            </w:pPr>
            <w:r>
              <w:rPr>
                <w:color w:val="000000"/>
              </w:rPr>
              <w:t>3.10</w:t>
            </w:r>
          </w:p>
        </w:tc>
        <w:tc>
          <w:tcPr>
            <w:tcW w:w="3618" w:type="dxa"/>
            <w:shd w:val="clear" w:color="auto" w:fill="auto"/>
          </w:tcPr>
          <w:p w14:paraId="38D25A2D" w14:textId="34CC0A45" w:rsidR="00534F1E" w:rsidRPr="00B770D3" w:rsidRDefault="001F491B" w:rsidP="00C976A2">
            <w:pPr>
              <w:rPr>
                <w:sz w:val="22"/>
                <w:szCs w:val="22"/>
              </w:rPr>
            </w:pPr>
            <w:r w:rsidRPr="00B770D3">
              <w:rPr>
                <w:sz w:val="22"/>
                <w:szCs w:val="22"/>
              </w:rPr>
              <w:t xml:space="preserve">Will </w:t>
            </w:r>
            <w:r w:rsidR="00B770D3" w:rsidRPr="00B770D3">
              <w:rPr>
                <w:sz w:val="22"/>
                <w:szCs w:val="22"/>
              </w:rPr>
              <w:t xml:space="preserve">ensure </w:t>
            </w:r>
            <w:r w:rsidRPr="00B770D3">
              <w:rPr>
                <w:sz w:val="22"/>
                <w:szCs w:val="22"/>
              </w:rPr>
              <w:t xml:space="preserve">sustainability beyond the duration of the grant funding, by attracting further funding and </w:t>
            </w:r>
            <w:r w:rsidR="00B770D3" w:rsidRPr="00B770D3">
              <w:rPr>
                <w:sz w:val="22"/>
                <w:szCs w:val="22"/>
              </w:rPr>
              <w:t xml:space="preserve">by </w:t>
            </w:r>
            <w:r w:rsidRPr="00B770D3">
              <w:rPr>
                <w:sz w:val="22"/>
                <w:szCs w:val="22"/>
              </w:rPr>
              <w:t xml:space="preserve">supporting schools that “graduate” from the project to effectively embed good practice </w:t>
            </w:r>
          </w:p>
        </w:tc>
        <w:tc>
          <w:tcPr>
            <w:tcW w:w="1304" w:type="dxa"/>
            <w:shd w:val="clear" w:color="auto" w:fill="auto"/>
          </w:tcPr>
          <w:p w14:paraId="78DA51E7" w14:textId="77777777" w:rsidR="00534F1E" w:rsidRPr="00F3002C" w:rsidRDefault="00534F1E" w:rsidP="00C976A2">
            <w:pPr>
              <w:pStyle w:val="Numbered"/>
              <w:spacing w:line="288" w:lineRule="auto"/>
              <w:rPr>
                <w:color w:val="000000"/>
              </w:rPr>
            </w:pPr>
          </w:p>
        </w:tc>
        <w:tc>
          <w:tcPr>
            <w:tcW w:w="940" w:type="dxa"/>
            <w:shd w:val="clear" w:color="auto" w:fill="auto"/>
          </w:tcPr>
          <w:p w14:paraId="6A84F7C9" w14:textId="33420DDA" w:rsidR="00534F1E" w:rsidRPr="00F3002C" w:rsidRDefault="00F64384" w:rsidP="00C976A2">
            <w:pPr>
              <w:pStyle w:val="Numbered"/>
              <w:spacing w:line="288" w:lineRule="auto"/>
              <w:rPr>
                <w:color w:val="000000"/>
              </w:rPr>
            </w:pPr>
            <w:r>
              <w:rPr>
                <w:color w:val="000000"/>
              </w:rPr>
              <w:t>1</w:t>
            </w:r>
          </w:p>
        </w:tc>
        <w:tc>
          <w:tcPr>
            <w:tcW w:w="1694" w:type="dxa"/>
            <w:shd w:val="clear" w:color="auto" w:fill="auto"/>
          </w:tcPr>
          <w:p w14:paraId="0A22D761" w14:textId="45AE0D9F" w:rsidR="00534F1E" w:rsidRPr="00F3002C" w:rsidRDefault="006F3DD1" w:rsidP="00C976A2">
            <w:pPr>
              <w:pStyle w:val="Numbered"/>
              <w:spacing w:line="288" w:lineRule="auto"/>
              <w:rPr>
                <w:b/>
                <w:color w:val="000000"/>
              </w:rPr>
            </w:pPr>
            <w:r>
              <w:rPr>
                <w:b/>
                <w:color w:val="000000"/>
              </w:rPr>
              <w:t>5</w:t>
            </w:r>
          </w:p>
        </w:tc>
      </w:tr>
      <w:tr w:rsidR="00956794" w:rsidRPr="00F3002C" w14:paraId="0FF0D760" w14:textId="77777777" w:rsidTr="009C76A6">
        <w:tc>
          <w:tcPr>
            <w:tcW w:w="1793" w:type="dxa"/>
          </w:tcPr>
          <w:p w14:paraId="156140C9" w14:textId="093C38CA" w:rsidR="00534F1E" w:rsidRPr="00F3002C" w:rsidRDefault="00956794" w:rsidP="00C976A2">
            <w:pPr>
              <w:pStyle w:val="Numbered"/>
              <w:spacing w:line="288" w:lineRule="auto"/>
              <w:rPr>
                <w:color w:val="000000"/>
              </w:rPr>
            </w:pPr>
            <w:r>
              <w:rPr>
                <w:color w:val="000000"/>
              </w:rPr>
              <w:t>4.9</w:t>
            </w:r>
          </w:p>
        </w:tc>
        <w:tc>
          <w:tcPr>
            <w:tcW w:w="3618" w:type="dxa"/>
            <w:shd w:val="clear" w:color="auto" w:fill="auto"/>
          </w:tcPr>
          <w:p w14:paraId="4EFF1F15" w14:textId="10E87218" w:rsidR="00534F1E" w:rsidRPr="00F3002C" w:rsidRDefault="00BC3498" w:rsidP="00C976A2">
            <w:pPr>
              <w:pStyle w:val="Numbered"/>
              <w:spacing w:line="288" w:lineRule="auto"/>
              <w:rPr>
                <w:b/>
                <w:color w:val="000000"/>
              </w:rPr>
            </w:pPr>
            <w:r>
              <w:rPr>
                <w:color w:val="000000"/>
              </w:rPr>
              <w:t>Effective m</w:t>
            </w:r>
            <w:r w:rsidR="00534F1E" w:rsidRPr="00F3002C">
              <w:rPr>
                <w:color w:val="000000"/>
              </w:rPr>
              <w:t>anagement and governance arrangements</w:t>
            </w:r>
            <w:r>
              <w:rPr>
                <w:color w:val="000000"/>
              </w:rPr>
              <w:t xml:space="preserve"> in place</w:t>
            </w:r>
            <w:r w:rsidR="00534F1E" w:rsidRPr="00F3002C">
              <w:rPr>
                <w:color w:val="000000"/>
              </w:rPr>
              <w:t xml:space="preserve">, including </w:t>
            </w:r>
            <w:r>
              <w:rPr>
                <w:color w:val="000000"/>
              </w:rPr>
              <w:t>to identify and manage</w:t>
            </w:r>
            <w:r w:rsidR="00534F1E" w:rsidRPr="00F3002C">
              <w:rPr>
                <w:color w:val="000000"/>
              </w:rPr>
              <w:t xml:space="preserve"> risk</w:t>
            </w:r>
          </w:p>
        </w:tc>
        <w:tc>
          <w:tcPr>
            <w:tcW w:w="1304" w:type="dxa"/>
            <w:shd w:val="clear" w:color="auto" w:fill="auto"/>
          </w:tcPr>
          <w:p w14:paraId="2C584E15" w14:textId="77777777" w:rsidR="00534F1E" w:rsidRPr="00F3002C" w:rsidRDefault="00534F1E" w:rsidP="00C976A2">
            <w:pPr>
              <w:pStyle w:val="Numbered"/>
              <w:spacing w:line="288" w:lineRule="auto"/>
              <w:rPr>
                <w:color w:val="000000"/>
              </w:rPr>
            </w:pPr>
          </w:p>
        </w:tc>
        <w:tc>
          <w:tcPr>
            <w:tcW w:w="940" w:type="dxa"/>
            <w:shd w:val="clear" w:color="auto" w:fill="auto"/>
          </w:tcPr>
          <w:p w14:paraId="52B85338" w14:textId="77777777" w:rsidR="00534F1E" w:rsidRPr="00F3002C" w:rsidRDefault="00534F1E" w:rsidP="00C976A2">
            <w:pPr>
              <w:pStyle w:val="Numbered"/>
              <w:spacing w:line="288" w:lineRule="auto"/>
              <w:rPr>
                <w:color w:val="000000"/>
              </w:rPr>
            </w:pPr>
            <w:r>
              <w:rPr>
                <w:color w:val="000000"/>
              </w:rPr>
              <w:t>2</w:t>
            </w:r>
          </w:p>
        </w:tc>
        <w:tc>
          <w:tcPr>
            <w:tcW w:w="1694" w:type="dxa"/>
            <w:shd w:val="clear" w:color="auto" w:fill="auto"/>
          </w:tcPr>
          <w:p w14:paraId="045D7226" w14:textId="11F2432E" w:rsidR="00534F1E" w:rsidRPr="00F3002C" w:rsidRDefault="006F3DD1" w:rsidP="00C976A2">
            <w:pPr>
              <w:pStyle w:val="Numbered"/>
              <w:spacing w:line="288" w:lineRule="auto"/>
              <w:rPr>
                <w:b/>
                <w:color w:val="000000"/>
              </w:rPr>
            </w:pPr>
            <w:r>
              <w:rPr>
                <w:b/>
                <w:color w:val="000000"/>
              </w:rPr>
              <w:t>10</w:t>
            </w:r>
          </w:p>
        </w:tc>
      </w:tr>
      <w:tr w:rsidR="00956794" w:rsidRPr="00F3002C" w14:paraId="5FEAD6F5" w14:textId="77777777" w:rsidTr="009C76A6">
        <w:tc>
          <w:tcPr>
            <w:tcW w:w="1793" w:type="dxa"/>
          </w:tcPr>
          <w:p w14:paraId="258340DD" w14:textId="40CCF0A9" w:rsidR="00534F1E" w:rsidRDefault="00956794" w:rsidP="00C976A2">
            <w:pPr>
              <w:pStyle w:val="Numbered"/>
              <w:spacing w:line="288" w:lineRule="auto"/>
              <w:rPr>
                <w:color w:val="000000"/>
              </w:rPr>
            </w:pPr>
            <w:r>
              <w:rPr>
                <w:color w:val="000000"/>
              </w:rPr>
              <w:t>4.5 and 4.6</w:t>
            </w:r>
          </w:p>
        </w:tc>
        <w:tc>
          <w:tcPr>
            <w:tcW w:w="3618" w:type="dxa"/>
            <w:shd w:val="clear" w:color="auto" w:fill="auto"/>
          </w:tcPr>
          <w:p w14:paraId="375C2099" w14:textId="10784578" w:rsidR="00534F1E" w:rsidRPr="00F3002C" w:rsidRDefault="00B770D3" w:rsidP="00C976A2">
            <w:pPr>
              <w:pStyle w:val="Numbered"/>
              <w:spacing w:line="288" w:lineRule="auto"/>
              <w:rPr>
                <w:color w:val="000000"/>
              </w:rPr>
            </w:pPr>
            <w:r>
              <w:rPr>
                <w:color w:val="000000"/>
              </w:rPr>
              <w:t>Evidence of v</w:t>
            </w:r>
            <w:r w:rsidR="00C8276D">
              <w:rPr>
                <w:color w:val="000000"/>
              </w:rPr>
              <w:t>alue for money</w:t>
            </w:r>
            <w:r>
              <w:rPr>
                <w:color w:val="000000"/>
              </w:rPr>
              <w:t xml:space="preserve"> and inclusion of detailed budget and breakdown of spend</w:t>
            </w:r>
          </w:p>
        </w:tc>
        <w:tc>
          <w:tcPr>
            <w:tcW w:w="1304" w:type="dxa"/>
            <w:shd w:val="clear" w:color="auto" w:fill="auto"/>
          </w:tcPr>
          <w:p w14:paraId="645B5DE7" w14:textId="77777777" w:rsidR="00534F1E" w:rsidRPr="00F3002C" w:rsidRDefault="00534F1E" w:rsidP="00C976A2">
            <w:pPr>
              <w:pStyle w:val="Numbered"/>
              <w:spacing w:line="288" w:lineRule="auto"/>
              <w:rPr>
                <w:color w:val="000000"/>
              </w:rPr>
            </w:pPr>
          </w:p>
        </w:tc>
        <w:tc>
          <w:tcPr>
            <w:tcW w:w="940" w:type="dxa"/>
            <w:shd w:val="clear" w:color="auto" w:fill="auto"/>
          </w:tcPr>
          <w:p w14:paraId="202E5C55" w14:textId="7D09CF7E" w:rsidR="00534F1E" w:rsidRDefault="00F64384" w:rsidP="00C976A2">
            <w:pPr>
              <w:pStyle w:val="Numbered"/>
              <w:spacing w:line="288" w:lineRule="auto"/>
              <w:rPr>
                <w:color w:val="000000"/>
              </w:rPr>
            </w:pPr>
            <w:r>
              <w:rPr>
                <w:color w:val="000000"/>
              </w:rPr>
              <w:t>1</w:t>
            </w:r>
          </w:p>
        </w:tc>
        <w:tc>
          <w:tcPr>
            <w:tcW w:w="1694" w:type="dxa"/>
            <w:shd w:val="clear" w:color="auto" w:fill="auto"/>
          </w:tcPr>
          <w:p w14:paraId="2D98F48F" w14:textId="41BB00AA" w:rsidR="00534F1E" w:rsidRPr="00F3002C" w:rsidRDefault="006F3DD1" w:rsidP="00C976A2">
            <w:pPr>
              <w:pStyle w:val="Numbered"/>
              <w:spacing w:line="288" w:lineRule="auto"/>
              <w:rPr>
                <w:b/>
                <w:color w:val="000000"/>
              </w:rPr>
            </w:pPr>
            <w:r>
              <w:rPr>
                <w:b/>
                <w:color w:val="000000"/>
              </w:rPr>
              <w:t>5</w:t>
            </w:r>
          </w:p>
        </w:tc>
      </w:tr>
      <w:tr w:rsidR="00956794" w:rsidRPr="00F3002C" w14:paraId="24116F18" w14:textId="77777777" w:rsidTr="009C76A6">
        <w:tc>
          <w:tcPr>
            <w:tcW w:w="1793" w:type="dxa"/>
          </w:tcPr>
          <w:p w14:paraId="34670025" w14:textId="7C482622" w:rsidR="00723CE9" w:rsidRDefault="006F3DD1" w:rsidP="00C976A2">
            <w:pPr>
              <w:pStyle w:val="Numbered"/>
              <w:spacing w:line="288" w:lineRule="auto"/>
              <w:rPr>
                <w:color w:val="000000"/>
              </w:rPr>
            </w:pPr>
            <w:r>
              <w:rPr>
                <w:color w:val="000000"/>
              </w:rPr>
              <w:t>3.11</w:t>
            </w:r>
          </w:p>
        </w:tc>
        <w:tc>
          <w:tcPr>
            <w:tcW w:w="3618" w:type="dxa"/>
            <w:shd w:val="clear" w:color="auto" w:fill="auto"/>
          </w:tcPr>
          <w:p w14:paraId="6E7D47FB" w14:textId="3AF25648" w:rsidR="00723CE9" w:rsidRDefault="00723CE9" w:rsidP="00C976A2">
            <w:pPr>
              <w:pStyle w:val="Numbered"/>
              <w:spacing w:line="288" w:lineRule="auto"/>
              <w:rPr>
                <w:color w:val="000000"/>
              </w:rPr>
            </w:pPr>
            <w:r>
              <w:rPr>
                <w:color w:val="000000"/>
              </w:rPr>
              <w:t>The extent to which the bid meets one or more of the desirable criteria mentioned above*</w:t>
            </w:r>
          </w:p>
        </w:tc>
        <w:tc>
          <w:tcPr>
            <w:tcW w:w="1304" w:type="dxa"/>
            <w:shd w:val="clear" w:color="auto" w:fill="auto"/>
          </w:tcPr>
          <w:p w14:paraId="573F5F65" w14:textId="77777777" w:rsidR="00723CE9" w:rsidRPr="00F3002C" w:rsidRDefault="00723CE9" w:rsidP="00C976A2">
            <w:pPr>
              <w:pStyle w:val="Numbered"/>
              <w:spacing w:line="288" w:lineRule="auto"/>
              <w:rPr>
                <w:color w:val="000000"/>
              </w:rPr>
            </w:pPr>
          </w:p>
        </w:tc>
        <w:tc>
          <w:tcPr>
            <w:tcW w:w="940" w:type="dxa"/>
            <w:shd w:val="clear" w:color="auto" w:fill="auto"/>
          </w:tcPr>
          <w:p w14:paraId="353B7F3B" w14:textId="16ACB9A4" w:rsidR="00723CE9" w:rsidRDefault="00F64384" w:rsidP="00C976A2">
            <w:pPr>
              <w:pStyle w:val="Numbered"/>
              <w:spacing w:line="288" w:lineRule="auto"/>
              <w:rPr>
                <w:color w:val="000000"/>
              </w:rPr>
            </w:pPr>
            <w:r>
              <w:rPr>
                <w:color w:val="000000"/>
              </w:rPr>
              <w:t>2</w:t>
            </w:r>
          </w:p>
        </w:tc>
        <w:tc>
          <w:tcPr>
            <w:tcW w:w="1694" w:type="dxa"/>
            <w:shd w:val="clear" w:color="auto" w:fill="auto"/>
          </w:tcPr>
          <w:p w14:paraId="468CD698" w14:textId="59478D50" w:rsidR="00723CE9" w:rsidRPr="00F3002C" w:rsidRDefault="006F3DD1" w:rsidP="00C976A2">
            <w:pPr>
              <w:pStyle w:val="Numbered"/>
              <w:spacing w:line="288" w:lineRule="auto"/>
              <w:rPr>
                <w:b/>
                <w:color w:val="000000"/>
              </w:rPr>
            </w:pPr>
            <w:r>
              <w:rPr>
                <w:b/>
                <w:color w:val="000000"/>
              </w:rPr>
              <w:t>10</w:t>
            </w:r>
          </w:p>
        </w:tc>
      </w:tr>
      <w:tr w:rsidR="00956794" w:rsidRPr="00F3002C" w14:paraId="38C463E8" w14:textId="77777777" w:rsidTr="009C76A6">
        <w:tc>
          <w:tcPr>
            <w:tcW w:w="1793" w:type="dxa"/>
          </w:tcPr>
          <w:p w14:paraId="4F455A02" w14:textId="77777777" w:rsidR="00534F1E" w:rsidRPr="00F3002C" w:rsidRDefault="00534F1E" w:rsidP="00C976A2">
            <w:pPr>
              <w:pStyle w:val="Numbered"/>
              <w:spacing w:line="288" w:lineRule="auto"/>
              <w:rPr>
                <w:b/>
                <w:color w:val="000000"/>
              </w:rPr>
            </w:pPr>
          </w:p>
        </w:tc>
        <w:tc>
          <w:tcPr>
            <w:tcW w:w="3618" w:type="dxa"/>
            <w:shd w:val="clear" w:color="auto" w:fill="auto"/>
          </w:tcPr>
          <w:p w14:paraId="329AD2DF" w14:textId="77777777" w:rsidR="00534F1E" w:rsidRPr="00F3002C" w:rsidRDefault="00534F1E" w:rsidP="00C976A2">
            <w:pPr>
              <w:pStyle w:val="Numbered"/>
              <w:spacing w:line="288" w:lineRule="auto"/>
              <w:rPr>
                <w:b/>
                <w:color w:val="000000"/>
              </w:rPr>
            </w:pPr>
            <w:r w:rsidRPr="00F3002C">
              <w:rPr>
                <w:b/>
                <w:color w:val="000000"/>
              </w:rPr>
              <w:t>Total</w:t>
            </w:r>
          </w:p>
        </w:tc>
        <w:tc>
          <w:tcPr>
            <w:tcW w:w="1304" w:type="dxa"/>
            <w:shd w:val="clear" w:color="auto" w:fill="auto"/>
          </w:tcPr>
          <w:p w14:paraId="78988E2C" w14:textId="4A0E61EC" w:rsidR="00534F1E" w:rsidRPr="00F3002C" w:rsidRDefault="00534F1E" w:rsidP="00C976A2">
            <w:pPr>
              <w:pStyle w:val="Numbered"/>
              <w:spacing w:line="288" w:lineRule="auto"/>
              <w:rPr>
                <w:b/>
                <w:color w:val="000000"/>
              </w:rPr>
            </w:pPr>
            <w:r w:rsidRPr="00F3002C">
              <w:rPr>
                <w:b/>
                <w:color w:val="000000"/>
              </w:rPr>
              <w:t>/</w:t>
            </w:r>
            <w:r w:rsidR="006F3DD1">
              <w:rPr>
                <w:b/>
                <w:color w:val="000000"/>
              </w:rPr>
              <w:t>45</w:t>
            </w:r>
          </w:p>
        </w:tc>
        <w:tc>
          <w:tcPr>
            <w:tcW w:w="940" w:type="dxa"/>
            <w:shd w:val="clear" w:color="auto" w:fill="auto"/>
          </w:tcPr>
          <w:p w14:paraId="0F933409" w14:textId="3A1F6A8D" w:rsidR="00534F1E" w:rsidRPr="00F3002C" w:rsidRDefault="00534F1E" w:rsidP="00C976A2">
            <w:pPr>
              <w:pStyle w:val="Numbered"/>
              <w:spacing w:line="288" w:lineRule="auto"/>
              <w:rPr>
                <w:b/>
                <w:color w:val="000000"/>
              </w:rPr>
            </w:pPr>
          </w:p>
        </w:tc>
        <w:tc>
          <w:tcPr>
            <w:tcW w:w="1694" w:type="dxa"/>
            <w:shd w:val="clear" w:color="auto" w:fill="auto"/>
          </w:tcPr>
          <w:p w14:paraId="1D3FEF19" w14:textId="46BAB16F" w:rsidR="00534F1E" w:rsidRPr="00F3002C" w:rsidRDefault="00F64384" w:rsidP="00C976A2">
            <w:pPr>
              <w:pStyle w:val="Numbered"/>
              <w:spacing w:line="288" w:lineRule="auto"/>
              <w:rPr>
                <w:b/>
                <w:color w:val="000000"/>
              </w:rPr>
            </w:pPr>
            <w:r>
              <w:rPr>
                <w:b/>
                <w:color w:val="000000"/>
              </w:rPr>
              <w:t>/</w:t>
            </w:r>
            <w:r w:rsidR="006F3DD1">
              <w:rPr>
                <w:b/>
                <w:color w:val="000000"/>
              </w:rPr>
              <w:t>85</w:t>
            </w:r>
          </w:p>
        </w:tc>
      </w:tr>
    </w:tbl>
    <w:p w14:paraId="61397C3E" w14:textId="6A6BECC1" w:rsidR="00534F1E" w:rsidRDefault="00534F1E" w:rsidP="00C976A2"/>
    <w:p w14:paraId="496695F5" w14:textId="3D9D60A7" w:rsidR="006F3DD1" w:rsidRPr="00C976A2" w:rsidRDefault="006F3DD1" w:rsidP="00C976A2">
      <w:pPr>
        <w:rPr>
          <w:b/>
          <w:u w:val="single"/>
        </w:rPr>
      </w:pPr>
      <w:r w:rsidRPr="00C976A2">
        <w:rPr>
          <w:b/>
          <w:u w:val="single"/>
        </w:rPr>
        <w:t>Score Guidance:</w:t>
      </w:r>
    </w:p>
    <w:p w14:paraId="6904E934" w14:textId="77777777" w:rsidR="006F3DD1" w:rsidRDefault="006F3DD1" w:rsidP="00C976A2">
      <w:pPr>
        <w:rPr>
          <w:b/>
          <w:bCs/>
          <w:color w:val="auto"/>
          <w:sz w:val="22"/>
          <w:szCs w:val="22"/>
        </w:rPr>
      </w:pPr>
      <w:r>
        <w:rPr>
          <w:b/>
          <w:bCs/>
        </w:rPr>
        <w:t>Score of 5:</w:t>
      </w:r>
    </w:p>
    <w:p w14:paraId="713EB5CE" w14:textId="352DA97D" w:rsidR="006F3DD1" w:rsidRDefault="006F3DD1" w:rsidP="00C976A2">
      <w:r>
        <w:t xml:space="preserve">A score of 5 will reflect that bidders as well as addressing all, or the vast majority, of requirements will demonstrate a deep understanding of the project.  All solutions offered are linked directly to project requirements and show how they will be delivered and the impact that they will have on other areas/stakeholders.  Proposals will contain novel or </w:t>
      </w:r>
      <w:r>
        <w:lastRenderedPageBreak/>
        <w:t>creative ideas which are realistic and which would enhance the service provision.  To award a score of 5 bids would exceed normal expectations and should clearly be seen as offering value added solutions.</w:t>
      </w:r>
    </w:p>
    <w:p w14:paraId="0DD1970D" w14:textId="77777777" w:rsidR="006F3DD1" w:rsidRDefault="006F3DD1" w:rsidP="00C976A2">
      <w:pPr>
        <w:rPr>
          <w:b/>
          <w:bCs/>
        </w:rPr>
      </w:pPr>
      <w:r>
        <w:rPr>
          <w:b/>
          <w:bCs/>
        </w:rPr>
        <w:t>Score of 4:</w:t>
      </w:r>
    </w:p>
    <w:p w14:paraId="5B09D3B7" w14:textId="152B32E0" w:rsidR="006F3DD1" w:rsidRPr="00956794" w:rsidRDefault="006F3DD1" w:rsidP="00C976A2">
      <w:r>
        <w:t>A score of 4 will reflect that bidders will have addressed, in some detail, all or the majority of requirements as stated in the specification.  Evidence will have been provided to show not only what will be provided but will give some detail on how this will be achieved.  Bidders should make clear how their proposals relate directly to the aims of the project and be specific, rather than general, in the way proposed solutions will deliver the desired outcomes.</w:t>
      </w:r>
    </w:p>
    <w:p w14:paraId="230BFD5B" w14:textId="77777777" w:rsidR="006F3DD1" w:rsidRDefault="006F3DD1" w:rsidP="00C976A2">
      <w:r>
        <w:rPr>
          <w:b/>
          <w:bCs/>
        </w:rPr>
        <w:t>Score of 3</w:t>
      </w:r>
      <w:r>
        <w:t>:</w:t>
      </w:r>
    </w:p>
    <w:p w14:paraId="0171F0DD" w14:textId="2464B4E8" w:rsidR="006F3DD1" w:rsidRDefault="006F3DD1" w:rsidP="00C976A2">
      <w:r>
        <w:t>A score of 3 will again address the majority of the requirements as stated in the specification but will lack some clarity or detail in how the proposed solutions will be achieved.  Evidence provided while giving generic or general statements is not specifically directed toward the aims/objectives of this project.  Any significant omission of key information will point towards a score of 3.</w:t>
      </w:r>
    </w:p>
    <w:p w14:paraId="0B31F999" w14:textId="77777777" w:rsidR="006F3DD1" w:rsidRDefault="006F3DD1" w:rsidP="00C976A2">
      <w:pPr>
        <w:rPr>
          <w:b/>
          <w:bCs/>
        </w:rPr>
      </w:pPr>
      <w:r>
        <w:rPr>
          <w:b/>
          <w:bCs/>
        </w:rPr>
        <w:t xml:space="preserve">Score between 1 or 2: </w:t>
      </w:r>
    </w:p>
    <w:p w14:paraId="36E6DB66" w14:textId="5C72BB35" w:rsidR="006F3DD1" w:rsidRDefault="006F3DD1" w:rsidP="00C976A2">
      <w:r>
        <w:t>A score in this range will reflect that the bidder has not have provided evidence to suggest how they will address a number of or elements of the requirements.  Tenders will in parts be sketchy with little or no detail given on how they will meet project requirements.  Evidence provided is considered weak or inappropriate and it is unclear on how this relates to desired outcomes.</w:t>
      </w:r>
    </w:p>
    <w:p w14:paraId="517BB274" w14:textId="77777777" w:rsidR="006F3DD1" w:rsidRDefault="006F3DD1" w:rsidP="00C976A2">
      <w:pPr>
        <w:rPr>
          <w:b/>
          <w:bCs/>
        </w:rPr>
      </w:pPr>
      <w:r>
        <w:rPr>
          <w:b/>
          <w:bCs/>
        </w:rPr>
        <w:t>Score of 0:</w:t>
      </w:r>
    </w:p>
    <w:p w14:paraId="1179FEEF" w14:textId="77777777" w:rsidR="006F3DD1" w:rsidRDefault="006F3DD1" w:rsidP="00C976A2">
      <w:r>
        <w:t xml:space="preserve">A score of 0 will result if no response is given and/or if the response is not acceptable and/or does not cover the required criteria. </w:t>
      </w:r>
    </w:p>
    <w:p w14:paraId="64840077" w14:textId="77777777" w:rsidR="006F3DD1" w:rsidRPr="00E00BE5" w:rsidRDefault="006F3DD1" w:rsidP="00C976A2"/>
    <w:p w14:paraId="756042DE" w14:textId="77777777" w:rsidR="00FB5FA3" w:rsidRDefault="00AE0533" w:rsidP="00C976A2">
      <w:pPr>
        <w:pStyle w:val="Heading2"/>
        <w:spacing w:before="0" w:line="288" w:lineRule="auto"/>
      </w:pPr>
      <w:bookmarkStart w:id="8" w:name="_Toc455671167"/>
      <w:r>
        <w:t>Grant awards</w:t>
      </w:r>
      <w:bookmarkEnd w:id="8"/>
    </w:p>
    <w:p w14:paraId="08F23184" w14:textId="77777777" w:rsidR="00EA5783" w:rsidRDefault="00E873E8" w:rsidP="00C976A2">
      <w:r>
        <w:t>U</w:t>
      </w:r>
      <w:r w:rsidR="00AE0533">
        <w:t>p to £</w:t>
      </w:r>
      <w:r w:rsidR="00EB541B">
        <w:t xml:space="preserve">2.8 million is available for this programme.  </w:t>
      </w:r>
      <w:r w:rsidR="00A90D7D">
        <w:t xml:space="preserve">Funding will be available for </w:t>
      </w:r>
      <w:r w:rsidR="00EB541B">
        <w:t>three</w:t>
      </w:r>
      <w:r w:rsidR="00A90D7D">
        <w:t xml:space="preserve"> years (</w:t>
      </w:r>
      <w:r w:rsidR="00FD3CD3">
        <w:t xml:space="preserve">until </w:t>
      </w:r>
      <w:r w:rsidR="00EB541B">
        <w:t>31 March 2019</w:t>
      </w:r>
      <w:r w:rsidR="00A90D7D">
        <w:t>)</w:t>
      </w:r>
      <w:r w:rsidR="00722A63">
        <w:t>. We expect</w:t>
      </w:r>
      <w:r w:rsidR="00A90D7D">
        <w:t xml:space="preserve"> that organisations will progressively develop alternative sources of funding to become self-sustaining. </w:t>
      </w:r>
    </w:p>
    <w:p w14:paraId="4E6259F6" w14:textId="77777777" w:rsidR="00EA5783" w:rsidRDefault="00EA5783" w:rsidP="00C976A2">
      <w:pPr>
        <w:rPr>
          <w:lang w:eastAsia="en-US"/>
        </w:rPr>
      </w:pPr>
      <w:r>
        <w:rPr>
          <w:lang w:eastAsia="en-US"/>
        </w:rPr>
        <w:t>Grants are open to voluntary, community and social enterprise organisations. Other organisations can be part of a partnership or consortium bid (but not the lead organisation) made on a “not for profit” basis. The impact of the activity and any direct delivery of the services must be in England only.</w:t>
      </w:r>
    </w:p>
    <w:p w14:paraId="4D7A8EFF" w14:textId="77777777" w:rsidR="00EA5783" w:rsidRDefault="00EA5783" w:rsidP="00C976A2">
      <w:pPr>
        <w:rPr>
          <w:color w:val="000000"/>
        </w:rPr>
      </w:pPr>
      <w:r>
        <w:lastRenderedPageBreak/>
        <w:t xml:space="preserve">The exact number and size of individual grants will depend on the range and quality of bids received. </w:t>
      </w:r>
      <w:r>
        <w:rPr>
          <w:color w:val="000000"/>
        </w:rPr>
        <w:t xml:space="preserve">There is a maximum grant award of £500,000 per bid for the entirety of the programme. Joint applications are welcome with the maximum bid still applicable, so a joint bid by two or more organisations could be made for up to £500,000.  </w:t>
      </w:r>
    </w:p>
    <w:p w14:paraId="71CCB2B0" w14:textId="77777777" w:rsidR="00EA5783" w:rsidRDefault="00EA5783" w:rsidP="00C976A2">
      <w:pPr>
        <w:contextualSpacing/>
      </w:pPr>
      <w:r>
        <w:t xml:space="preserve">Grants will be awarded for all eligible direct project costs (revenue funding). Capital expenditure will not be eligible. </w:t>
      </w:r>
    </w:p>
    <w:p w14:paraId="54EFF2E9" w14:textId="77777777" w:rsidR="00EA5783" w:rsidRDefault="00EA5783" w:rsidP="00C976A2">
      <w:pPr>
        <w:contextualSpacing/>
      </w:pPr>
    </w:p>
    <w:p w14:paraId="1446C0EB" w14:textId="4FB610C5" w:rsidR="00EA5783" w:rsidRDefault="00EA5783" w:rsidP="00C976A2">
      <w:pPr>
        <w:contextualSpacing/>
      </w:pPr>
      <w:r>
        <w:t xml:space="preserve">Usually payments are made in arrears on a quarterly basis; </w:t>
      </w:r>
      <w:r w:rsidR="00B35222">
        <w:t>however,</w:t>
      </w:r>
      <w:r>
        <w:t xml:space="preserve"> payment schedules will be organised between the department and grant recipient in advance. </w:t>
      </w:r>
      <w:r>
        <w:rPr>
          <w:rFonts w:cs="Arial"/>
        </w:rPr>
        <w:t>The department will consider paying a small proportion of the funding upfront to successful organisations which would not otherwise have the means to deliver their project</w:t>
      </w:r>
      <w:r>
        <w:rPr>
          <w:rFonts w:cs="Arial"/>
          <w:color w:val="1F497D"/>
        </w:rPr>
        <w:t xml:space="preserve"> </w:t>
      </w:r>
      <w:r w:rsidRPr="00E27EA1">
        <w:rPr>
          <w:rFonts w:cs="Arial"/>
          <w:color w:val="auto"/>
        </w:rPr>
        <w:t xml:space="preserve">and will agree a suitable profile for the remaining funding. </w:t>
      </w:r>
      <w:r>
        <w:rPr>
          <w:rFonts w:cs="Arial"/>
          <w:color w:val="auto"/>
        </w:rPr>
        <w:t>T</w:t>
      </w:r>
      <w:r w:rsidRPr="00E27EA1">
        <w:rPr>
          <w:rFonts w:cs="Arial"/>
          <w:color w:val="auto"/>
        </w:rPr>
        <w:t xml:space="preserve">he </w:t>
      </w:r>
      <w:r>
        <w:rPr>
          <w:rFonts w:cs="Arial"/>
        </w:rPr>
        <w:t>department will claw back any money for which the organisation does not provide adequate evidence of being spent as agreed.</w:t>
      </w:r>
      <w:r w:rsidRPr="00EA5783">
        <w:t xml:space="preserve"> </w:t>
      </w:r>
    </w:p>
    <w:p w14:paraId="7963BCE7" w14:textId="77777777" w:rsidR="00EA5783" w:rsidRDefault="00EA5783" w:rsidP="00C976A2">
      <w:pPr>
        <w:contextualSpacing/>
      </w:pPr>
    </w:p>
    <w:p w14:paraId="0252D957" w14:textId="77777777" w:rsidR="00EA5783" w:rsidRDefault="00EA5783" w:rsidP="00C976A2">
      <w:pPr>
        <w:contextualSpacing/>
      </w:pPr>
      <w:r>
        <w:t xml:space="preserve">The Department will specify the format for providing management information as part of the process of issuing the grant agreements. </w:t>
      </w:r>
    </w:p>
    <w:p w14:paraId="3F6895FA" w14:textId="77777777" w:rsidR="00EA5783" w:rsidRDefault="00EA5783" w:rsidP="00C976A2"/>
    <w:p w14:paraId="2A4E7A94" w14:textId="77777777" w:rsidR="00AE0533" w:rsidRDefault="00AE0533" w:rsidP="00C976A2">
      <w:pPr>
        <w:rPr>
          <w:b/>
          <w:color w:val="104F75"/>
          <w:sz w:val="32"/>
          <w:szCs w:val="32"/>
        </w:rPr>
      </w:pPr>
    </w:p>
    <w:p w14:paraId="6676F26C" w14:textId="1AC817E2" w:rsidR="008C7AB5" w:rsidRDefault="008C7AB5" w:rsidP="00C976A2">
      <w:pPr>
        <w:pStyle w:val="Heading1"/>
        <w:spacing w:line="288" w:lineRule="auto"/>
      </w:pPr>
      <w:bookmarkStart w:id="9" w:name="_Toc455671168"/>
      <w:r>
        <w:lastRenderedPageBreak/>
        <w:t>Background</w:t>
      </w:r>
      <w:bookmarkEnd w:id="9"/>
    </w:p>
    <w:p w14:paraId="63927E3A" w14:textId="540419C8" w:rsidR="008C7AB5" w:rsidRPr="008C7AB5" w:rsidRDefault="008C7AB5" w:rsidP="00C976A2">
      <w:pPr>
        <w:pStyle w:val="Numbered"/>
        <w:widowControl/>
        <w:spacing w:line="288" w:lineRule="auto"/>
        <w:rPr>
          <w:color w:val="000000"/>
          <w:sz w:val="24"/>
          <w:szCs w:val="24"/>
        </w:rPr>
      </w:pPr>
      <w:r w:rsidRPr="008C7AB5">
        <w:rPr>
          <w:color w:val="000000"/>
          <w:sz w:val="24"/>
          <w:szCs w:val="24"/>
        </w:rPr>
        <w:t xml:space="preserve">The UK has made enormous strides towards equality for LGB&amp;T people. We have one of the world’s strongest legislative frameworks to prevent and tackle discrimination; we have the highest number of openly LG or B parliamentarians in the world; and more than 15,000 couples have chosen to marry or convert their civil partnerships to marriage since the Marriage (Same Sex Couples) Act was introduced in 2013. </w:t>
      </w:r>
    </w:p>
    <w:p w14:paraId="6C25DC42" w14:textId="45195413" w:rsidR="008C7AB5" w:rsidRPr="008C7AB5" w:rsidRDefault="008C7AB5" w:rsidP="00C976A2">
      <w:pPr>
        <w:pStyle w:val="Default"/>
        <w:spacing w:after="240" w:line="288" w:lineRule="auto"/>
      </w:pPr>
      <w:r w:rsidRPr="008C7AB5">
        <w:t>Yet homophobia, biphobia and transphobia remain significant barriers to achieving substantive LGB&amp;T equality.  Young people who identify as LGB are more likely to experience bullying than those who are heterosexual;  analysis of data from the Longitudinal Survey of Young People in England shows that between the ages of 14-16, young people who later went on to identify as LGB had a 56% chance of having been bullied in the past year compared to a 45% chance for their heterosexual peers.</w:t>
      </w:r>
      <w:r w:rsidRPr="008C7AB5">
        <w:rPr>
          <w:rStyle w:val="FootnoteReference"/>
        </w:rPr>
        <w:footnoteReference w:id="2"/>
      </w:r>
      <w:r w:rsidRPr="008C7AB5">
        <w:t xml:space="preserve">  Research by Whittle, Turner and Al-</w:t>
      </w:r>
      <w:proofErr w:type="spellStart"/>
      <w:r w:rsidRPr="008C7AB5">
        <w:t>Alami</w:t>
      </w:r>
      <w:proofErr w:type="spellEnd"/>
      <w:r w:rsidRPr="008C7AB5">
        <w:t xml:space="preserve"> (2007) found extensive bullying of transgender pupils: out of a non-representative online survey of 872 trans people, 64% of trans men and 44% of trans women reported experiencing some kind of harassment or bullying at school</w:t>
      </w:r>
      <w:r w:rsidRPr="008C7AB5">
        <w:rPr>
          <w:rStyle w:val="FootnoteReference"/>
        </w:rPr>
        <w:footnoteReference w:id="3"/>
      </w:r>
      <w:r w:rsidRPr="008C7AB5">
        <w:t>.</w:t>
      </w:r>
    </w:p>
    <w:p w14:paraId="56B6253C" w14:textId="086F813F" w:rsidR="008C7AB5" w:rsidRPr="008C7AB5" w:rsidRDefault="008C7AB5" w:rsidP="00C976A2">
      <w:pPr>
        <w:pStyle w:val="Numbered"/>
        <w:widowControl/>
        <w:spacing w:line="288" w:lineRule="auto"/>
        <w:rPr>
          <w:color w:val="000000"/>
          <w:sz w:val="24"/>
          <w:szCs w:val="24"/>
        </w:rPr>
      </w:pPr>
      <w:r w:rsidRPr="008C7AB5">
        <w:rPr>
          <w:rFonts w:cs="Arial"/>
          <w:sz w:val="24"/>
          <w:szCs w:val="24"/>
        </w:rPr>
        <w:t>One form of bullying is the casual use of HBT language; this is a behavioural issue that can negatively affect all pupils, not just LGB&amp;T pupils. Young people who are perceived to be different are also often the victims of this type of bullying and the stigma that association carries.</w:t>
      </w:r>
    </w:p>
    <w:p w14:paraId="5D8E1621" w14:textId="79F6DDF7" w:rsidR="008C7AB5" w:rsidRPr="00C976A2" w:rsidRDefault="008C7AB5" w:rsidP="00C976A2">
      <w:pPr>
        <w:pStyle w:val="Numbered"/>
        <w:widowControl/>
        <w:spacing w:line="288" w:lineRule="auto"/>
        <w:rPr>
          <w:rFonts w:cs="Arial"/>
          <w:sz w:val="24"/>
          <w:szCs w:val="24"/>
        </w:rPr>
      </w:pPr>
      <w:r w:rsidRPr="008C7AB5">
        <w:rPr>
          <w:color w:val="000000"/>
          <w:sz w:val="24"/>
          <w:szCs w:val="24"/>
        </w:rPr>
        <w:t xml:space="preserve">The costs to individuals and society in not addressing HBT bullying are significant, affecting educational attainment, truancy and absence levels and emotional wellbeing. This limits the equality of opportunity for LGB&amp;T people – a key priority for societal equality – and places economic costs on society. </w:t>
      </w:r>
    </w:p>
    <w:p w14:paraId="5C641B3A" w14:textId="33FA6B9B" w:rsidR="008C7AB5" w:rsidRPr="008C7AB5" w:rsidRDefault="008C7AB5" w:rsidP="00C976A2">
      <w:pPr>
        <w:pStyle w:val="Numbered"/>
        <w:widowControl/>
        <w:spacing w:line="288" w:lineRule="auto"/>
        <w:rPr>
          <w:rFonts w:cs="Arial"/>
          <w:sz w:val="24"/>
          <w:szCs w:val="24"/>
        </w:rPr>
      </w:pPr>
      <w:r w:rsidRPr="008C7AB5">
        <w:rPr>
          <w:rFonts w:cs="Arial"/>
          <w:sz w:val="24"/>
          <w:szCs w:val="24"/>
        </w:rPr>
        <w:t xml:space="preserve">The Government expects schools to take a strong stand against all forms of bullying. All schools are required by law to have a behaviour policy which sets out how they will do this, as well as outlining measures to encourage good behaviour. </w:t>
      </w:r>
    </w:p>
    <w:p w14:paraId="07755AE3" w14:textId="77777777" w:rsidR="008C7AB5" w:rsidRPr="008C7AB5" w:rsidRDefault="008C7AB5" w:rsidP="00C976A2">
      <w:pPr>
        <w:pStyle w:val="Numbered"/>
        <w:widowControl/>
        <w:spacing w:line="288" w:lineRule="auto"/>
        <w:rPr>
          <w:rFonts w:cs="Arial"/>
          <w:sz w:val="24"/>
          <w:szCs w:val="24"/>
        </w:rPr>
      </w:pPr>
      <w:r w:rsidRPr="008C7AB5">
        <w:rPr>
          <w:color w:val="000000"/>
          <w:sz w:val="24"/>
          <w:szCs w:val="24"/>
        </w:rPr>
        <w:t xml:space="preserve">The Government does not set out a particular approach to tackling bullying that schools should follow. </w:t>
      </w:r>
      <w:r w:rsidRPr="008C7AB5">
        <w:rPr>
          <w:rFonts w:cs="Arial"/>
          <w:sz w:val="24"/>
          <w:szCs w:val="24"/>
        </w:rPr>
        <w:t>Schools are free to develop their own anti-bullying strategies.</w:t>
      </w:r>
    </w:p>
    <w:p w14:paraId="3C2C6FA3" w14:textId="77777777" w:rsidR="008C7AB5" w:rsidRPr="008C7AB5" w:rsidRDefault="008C7AB5" w:rsidP="00C976A2">
      <w:pPr>
        <w:pStyle w:val="ListParagraph"/>
        <w:numPr>
          <w:ilvl w:val="0"/>
          <w:numId w:val="0"/>
        </w:numPr>
        <w:rPr>
          <w:rFonts w:cs="Arial"/>
        </w:rPr>
      </w:pPr>
    </w:p>
    <w:p w14:paraId="0FC38A66" w14:textId="77777777" w:rsidR="008C7AB5" w:rsidRPr="008C7AB5" w:rsidRDefault="008C7AB5" w:rsidP="00C976A2">
      <w:pPr>
        <w:pStyle w:val="ListParagraph"/>
        <w:numPr>
          <w:ilvl w:val="0"/>
          <w:numId w:val="0"/>
        </w:numPr>
        <w:rPr>
          <w:rFonts w:cs="Arial"/>
          <w:u w:val="single"/>
        </w:rPr>
      </w:pPr>
      <w:r w:rsidRPr="008C7AB5">
        <w:rPr>
          <w:rFonts w:cs="Arial"/>
          <w:u w:val="single"/>
        </w:rPr>
        <w:t>What is the evidence base?</w:t>
      </w:r>
    </w:p>
    <w:p w14:paraId="5BA117C9" w14:textId="77777777" w:rsidR="008C7AB5" w:rsidRPr="008C7AB5" w:rsidRDefault="008C7AB5" w:rsidP="00C976A2">
      <w:pPr>
        <w:pStyle w:val="ListParagraph"/>
        <w:numPr>
          <w:ilvl w:val="0"/>
          <w:numId w:val="0"/>
        </w:numPr>
        <w:ind w:left="720"/>
        <w:rPr>
          <w:rFonts w:cs="Arial"/>
        </w:rPr>
      </w:pPr>
    </w:p>
    <w:p w14:paraId="4E1A64B8" w14:textId="77777777" w:rsidR="008C7AB5" w:rsidRPr="008C7AB5" w:rsidRDefault="008C7AB5" w:rsidP="00C976A2">
      <w:pPr>
        <w:pStyle w:val="ListParagraph"/>
        <w:numPr>
          <w:ilvl w:val="0"/>
          <w:numId w:val="0"/>
        </w:numPr>
        <w:rPr>
          <w:rFonts w:cs="Arial"/>
        </w:rPr>
      </w:pPr>
      <w:r w:rsidRPr="008C7AB5">
        <w:rPr>
          <w:rFonts w:cs="Arial"/>
        </w:rPr>
        <w:t xml:space="preserve">To understand about what was effective in reducing HBT bullying in schools, the GEO commissioned </w:t>
      </w:r>
      <w:proofErr w:type="spellStart"/>
      <w:r w:rsidRPr="008C7AB5">
        <w:rPr>
          <w:rFonts w:cs="Arial"/>
        </w:rPr>
        <w:t>NatCen</w:t>
      </w:r>
      <w:proofErr w:type="spellEnd"/>
      <w:r w:rsidRPr="008C7AB5">
        <w:rPr>
          <w:rFonts w:cs="Arial"/>
        </w:rPr>
        <w:t xml:space="preserve"> Social Research in 2014 to conduct an evidence review and primary research among teachers, pupils and providers of anti-HBT bullying initiatives. The research highlighted the perceived importance to using and developing a strategic, long-term, ‘whole-school’ approach to tackling HBT bullying, which involved incorporating LGB&amp;T people in teaching across the curriculum in age-appropriate ways from an early age. It also found that teaching to address HBT bullying appeared to work better </w:t>
      </w:r>
      <w:r w:rsidRPr="008C7AB5">
        <w:t xml:space="preserve">where staff were knowledgeable about LGB and/ or T issues and/or </w:t>
      </w:r>
      <w:r w:rsidRPr="008C7AB5">
        <w:rPr>
          <w:rFonts w:cs="Arial"/>
        </w:rPr>
        <w:t xml:space="preserve">had received training on sexual orientation and gender identity and drawn on information about previous good teaching practice in tackling bullying. The research however did not find robust evidence of what works to reduce HBT bullying in schools. The findings can be found </w:t>
      </w:r>
      <w:hyperlink r:id="rId13" w:history="1">
        <w:r w:rsidRPr="008C7AB5">
          <w:rPr>
            <w:rStyle w:val="Hyperlink"/>
            <w:rFonts w:cs="Arial"/>
          </w:rPr>
          <w:t>here</w:t>
        </w:r>
      </w:hyperlink>
      <w:r w:rsidRPr="008C7AB5">
        <w:rPr>
          <w:rFonts w:cs="Arial"/>
        </w:rPr>
        <w:t>.</w:t>
      </w:r>
    </w:p>
    <w:p w14:paraId="6596B37E" w14:textId="77777777" w:rsidR="008C7AB5" w:rsidRPr="008C7AB5" w:rsidRDefault="008C7AB5" w:rsidP="00C976A2">
      <w:pPr>
        <w:pStyle w:val="ListParagraph"/>
        <w:numPr>
          <w:ilvl w:val="0"/>
          <w:numId w:val="0"/>
        </w:numPr>
        <w:rPr>
          <w:rFonts w:cs="Arial"/>
        </w:rPr>
      </w:pPr>
    </w:p>
    <w:p w14:paraId="6170E201" w14:textId="69BCDEE7" w:rsidR="008C7AB5" w:rsidRPr="008C7AB5" w:rsidRDefault="008C7AB5" w:rsidP="00C976A2">
      <w:pPr>
        <w:pStyle w:val="ListParagraph"/>
        <w:numPr>
          <w:ilvl w:val="0"/>
          <w:numId w:val="0"/>
        </w:numPr>
        <w:rPr>
          <w:rFonts w:cs="Arial"/>
        </w:rPr>
      </w:pPr>
      <w:r w:rsidRPr="008C7AB5">
        <w:rPr>
          <w:rFonts w:cs="Arial"/>
        </w:rPr>
        <w:t xml:space="preserve">To, therefore, develop the evidence base further, the GEO commissioned an independent evaluation of the 2015-2016 pilot programme. </w:t>
      </w:r>
      <w:r w:rsidRPr="00A548D5">
        <w:rPr>
          <w:rFonts w:cs="Arial"/>
        </w:rPr>
        <w:t>This is due to be published shortly.</w:t>
      </w:r>
      <w:r w:rsidRPr="008C7AB5">
        <w:rPr>
          <w:rFonts w:cs="Arial"/>
        </w:rPr>
        <w:t xml:space="preserve"> The interim findings have been used to shape this grant specification. An open </w:t>
      </w:r>
      <w:r w:rsidR="00AF0558">
        <w:rPr>
          <w:rFonts w:cs="Arial"/>
        </w:rPr>
        <w:t>session</w:t>
      </w:r>
      <w:r w:rsidRPr="008C7AB5">
        <w:rPr>
          <w:rFonts w:cs="Arial"/>
        </w:rPr>
        <w:t xml:space="preserve"> will be scheduled </w:t>
      </w:r>
      <w:r w:rsidR="00790044">
        <w:rPr>
          <w:rFonts w:cs="Arial"/>
        </w:rPr>
        <w:t>in July</w:t>
      </w:r>
      <w:r w:rsidRPr="008C7AB5">
        <w:rPr>
          <w:rFonts w:cs="Arial"/>
        </w:rPr>
        <w:t xml:space="preserve"> where bidders can attend to hear and discuss learning and findings from the first phase of the programme and its evaluation. </w:t>
      </w:r>
      <w:r w:rsidR="00790044" w:rsidRPr="00C976A2">
        <w:rPr>
          <w:rFonts w:cs="Arial"/>
        </w:rPr>
        <w:t xml:space="preserve">Please contact </w:t>
      </w:r>
      <w:hyperlink r:id="rId14" w:history="1">
        <w:r w:rsidR="00C976A2" w:rsidRPr="00C976A2">
          <w:rPr>
            <w:rStyle w:val="Hyperlink"/>
          </w:rPr>
          <w:t>LGBT.team@geo.gov.uk</w:t>
        </w:r>
      </w:hyperlink>
      <w:r w:rsidR="00C976A2" w:rsidRPr="00C976A2">
        <w:rPr>
          <w:color w:val="1F497D"/>
        </w:rPr>
        <w:t xml:space="preserve"> </w:t>
      </w:r>
      <w:r w:rsidR="00790044" w:rsidRPr="00C976A2">
        <w:rPr>
          <w:rFonts w:cs="Arial"/>
        </w:rPr>
        <w:t xml:space="preserve">if you are interested in attending this </w:t>
      </w:r>
      <w:r w:rsidR="00AF0558" w:rsidRPr="00C976A2">
        <w:rPr>
          <w:rFonts w:cs="Arial"/>
        </w:rPr>
        <w:t>session and further details will be provided</w:t>
      </w:r>
      <w:r w:rsidR="00790044" w:rsidRPr="00C976A2">
        <w:rPr>
          <w:rFonts w:cs="Arial"/>
        </w:rPr>
        <w:t>.</w:t>
      </w:r>
      <w:r w:rsidR="00790044">
        <w:rPr>
          <w:rFonts w:cs="Arial"/>
        </w:rPr>
        <w:t xml:space="preserve"> </w:t>
      </w:r>
    </w:p>
    <w:p w14:paraId="5B6D7218" w14:textId="77777777" w:rsidR="008C7AB5" w:rsidRPr="008C7AB5" w:rsidRDefault="008C7AB5" w:rsidP="00C976A2"/>
    <w:p w14:paraId="1FC159AF" w14:textId="7ECBAB48" w:rsidR="00FB5FA3" w:rsidRDefault="00FB5FA3" w:rsidP="00C976A2">
      <w:pPr>
        <w:pStyle w:val="Heading1"/>
        <w:spacing w:line="288" w:lineRule="auto"/>
      </w:pPr>
      <w:bookmarkStart w:id="10" w:name="_Toc455671169"/>
      <w:r>
        <w:lastRenderedPageBreak/>
        <w:t xml:space="preserve">Further information on </w:t>
      </w:r>
      <w:r w:rsidR="00642769">
        <w:t>what we are looking for</w:t>
      </w:r>
      <w:bookmarkEnd w:id="10"/>
    </w:p>
    <w:p w14:paraId="24886586" w14:textId="77777777" w:rsidR="00790766" w:rsidRPr="00790766" w:rsidRDefault="009868D8" w:rsidP="00C976A2">
      <w:pPr>
        <w:pStyle w:val="Numbered"/>
        <w:widowControl/>
        <w:spacing w:line="288" w:lineRule="auto"/>
        <w:rPr>
          <w:rFonts w:cs="Arial"/>
          <w:color w:val="000000"/>
          <w:sz w:val="24"/>
          <w:szCs w:val="24"/>
        </w:rPr>
      </w:pPr>
      <w:r w:rsidRPr="00790766">
        <w:rPr>
          <w:rFonts w:cs="Arial"/>
          <w:color w:val="000000"/>
          <w:sz w:val="24"/>
          <w:szCs w:val="24"/>
        </w:rPr>
        <w:t xml:space="preserve">Going beyond a ‘one size fits all’ approach, </w:t>
      </w:r>
      <w:r w:rsidR="00790766" w:rsidRPr="00790766">
        <w:rPr>
          <w:rFonts w:cs="Arial"/>
          <w:color w:val="000000"/>
          <w:sz w:val="24"/>
          <w:szCs w:val="24"/>
        </w:rPr>
        <w:t>applications</w:t>
      </w:r>
      <w:r w:rsidRPr="00790766">
        <w:rPr>
          <w:rFonts w:cs="Arial"/>
          <w:color w:val="000000"/>
          <w:sz w:val="24"/>
          <w:szCs w:val="24"/>
        </w:rPr>
        <w:t xml:space="preserve"> are expected to demonstrate how they</w:t>
      </w:r>
      <w:r w:rsidR="00790766" w:rsidRPr="00790766">
        <w:rPr>
          <w:rFonts w:cs="Arial"/>
          <w:color w:val="000000"/>
          <w:sz w:val="24"/>
          <w:szCs w:val="24"/>
        </w:rPr>
        <w:t xml:space="preserve"> will</w:t>
      </w:r>
      <w:r w:rsidRPr="00790766">
        <w:rPr>
          <w:rFonts w:cs="Arial"/>
          <w:color w:val="000000"/>
          <w:sz w:val="24"/>
          <w:szCs w:val="24"/>
        </w:rPr>
        <w:t xml:space="preserve"> </w:t>
      </w:r>
      <w:r w:rsidR="00790766" w:rsidRPr="00790766">
        <w:rPr>
          <w:rFonts w:cs="Arial"/>
          <w:color w:val="000000"/>
          <w:sz w:val="24"/>
          <w:szCs w:val="24"/>
        </w:rPr>
        <w:t xml:space="preserve">further develop and go about offering both model one and model two to schools. </w:t>
      </w:r>
    </w:p>
    <w:p w14:paraId="695F34E6" w14:textId="0E8878A1" w:rsidR="009868D8" w:rsidRPr="00790766" w:rsidRDefault="00790766" w:rsidP="00C976A2">
      <w:pPr>
        <w:pStyle w:val="Numbered"/>
        <w:widowControl/>
        <w:spacing w:line="288" w:lineRule="auto"/>
        <w:rPr>
          <w:rFonts w:cs="Arial"/>
          <w:color w:val="000000"/>
          <w:sz w:val="24"/>
          <w:szCs w:val="24"/>
        </w:rPr>
      </w:pPr>
      <w:r w:rsidRPr="00790766">
        <w:rPr>
          <w:rFonts w:cs="Arial"/>
          <w:sz w:val="24"/>
          <w:szCs w:val="24"/>
        </w:rPr>
        <w:t>If successful, applicants will conduct surveying to determine whether to deliver either model one or model two in each targeted school - depending on the level of need and intervention required to tackle homophobic bullying.</w:t>
      </w:r>
    </w:p>
    <w:p w14:paraId="047D3B51" w14:textId="590E1726" w:rsidR="009868D8" w:rsidRPr="009868D8" w:rsidRDefault="009868D8" w:rsidP="00C976A2">
      <w:pPr>
        <w:pStyle w:val="Numbered"/>
        <w:widowControl/>
        <w:spacing w:line="288" w:lineRule="auto"/>
        <w:rPr>
          <w:rFonts w:cs="Arial"/>
          <w:color w:val="000000"/>
          <w:sz w:val="24"/>
          <w:szCs w:val="24"/>
        </w:rPr>
      </w:pPr>
      <w:r w:rsidRPr="009868D8">
        <w:rPr>
          <w:rFonts w:cs="Arial"/>
          <w:b/>
          <w:color w:val="000000"/>
          <w:sz w:val="24"/>
          <w:szCs w:val="24"/>
        </w:rPr>
        <w:t>Model One</w:t>
      </w:r>
      <w:r w:rsidR="0080050F">
        <w:rPr>
          <w:rFonts w:cs="Arial"/>
          <w:color w:val="000000"/>
          <w:sz w:val="24"/>
          <w:szCs w:val="24"/>
        </w:rPr>
        <w:t>: Whole School Approach</w:t>
      </w:r>
    </w:p>
    <w:p w14:paraId="53594B25" w14:textId="783F941D" w:rsidR="009868D8" w:rsidRPr="009868D8" w:rsidRDefault="009868D8" w:rsidP="00C976A2">
      <w:pPr>
        <w:pStyle w:val="Numbered"/>
        <w:widowControl/>
        <w:spacing w:line="288" w:lineRule="auto"/>
        <w:ind w:left="360"/>
        <w:rPr>
          <w:rFonts w:cs="Arial"/>
          <w:color w:val="000000"/>
          <w:sz w:val="24"/>
          <w:szCs w:val="24"/>
        </w:rPr>
      </w:pPr>
      <w:r w:rsidRPr="009868D8">
        <w:rPr>
          <w:rFonts w:cs="Arial"/>
          <w:color w:val="000000"/>
          <w:sz w:val="24"/>
          <w:szCs w:val="24"/>
        </w:rPr>
        <w:t>This is the most intensive model, needed where schools are not advanced in efforts to prevent and tackle HBT bullying.  Activities are focussed on:</w:t>
      </w:r>
    </w:p>
    <w:p w14:paraId="656BD090" w14:textId="77777777" w:rsidR="00184EC7" w:rsidRDefault="009868D8" w:rsidP="00184EC7">
      <w:pPr>
        <w:pStyle w:val="Numbered"/>
        <w:widowControl/>
        <w:numPr>
          <w:ilvl w:val="0"/>
          <w:numId w:val="30"/>
        </w:numPr>
        <w:spacing w:line="288" w:lineRule="auto"/>
        <w:rPr>
          <w:rFonts w:cs="Arial"/>
          <w:i/>
          <w:color w:val="000000"/>
          <w:sz w:val="24"/>
          <w:szCs w:val="24"/>
        </w:rPr>
      </w:pPr>
      <w:r w:rsidRPr="009868D8">
        <w:rPr>
          <w:rFonts w:cs="Arial"/>
          <w:color w:val="000000"/>
          <w:sz w:val="24"/>
          <w:szCs w:val="24"/>
        </w:rPr>
        <w:t xml:space="preserve">Supporting school senior leadership teams to make tailored changes to their policy and curricula. </w:t>
      </w:r>
      <w:r w:rsidRPr="009868D8">
        <w:rPr>
          <w:rFonts w:cs="Arial"/>
          <w:i/>
          <w:color w:val="000000"/>
          <w:sz w:val="24"/>
          <w:szCs w:val="24"/>
        </w:rPr>
        <w:t>This corresponds to outcome 1: More schools have policies and curricula embedded, which are targeted at preventing and tackling HBT bullying and building inclusive LGB&amp;T environments</w:t>
      </w:r>
    </w:p>
    <w:p w14:paraId="5EE6AB13" w14:textId="77777777" w:rsidR="00184EC7" w:rsidRDefault="009868D8" w:rsidP="00184EC7">
      <w:pPr>
        <w:pStyle w:val="Numbered"/>
        <w:widowControl/>
        <w:numPr>
          <w:ilvl w:val="0"/>
          <w:numId w:val="30"/>
        </w:numPr>
        <w:spacing w:line="288" w:lineRule="auto"/>
        <w:rPr>
          <w:rFonts w:cs="Arial"/>
          <w:i/>
          <w:color w:val="000000"/>
          <w:sz w:val="24"/>
          <w:szCs w:val="24"/>
        </w:rPr>
      </w:pPr>
      <w:r w:rsidRPr="00184EC7">
        <w:rPr>
          <w:rFonts w:cs="Arial"/>
          <w:color w:val="000000"/>
          <w:sz w:val="24"/>
          <w:szCs w:val="24"/>
        </w:rPr>
        <w:t xml:space="preserve">Provision of training to staff. </w:t>
      </w:r>
      <w:r w:rsidRPr="00184EC7">
        <w:rPr>
          <w:rFonts w:cs="Arial"/>
          <w:i/>
          <w:color w:val="000000"/>
          <w:sz w:val="24"/>
          <w:szCs w:val="24"/>
        </w:rPr>
        <w:t>This corresponds to outcome 2: More teachers and non-teaching staff report they feel supported, confident and capable of preventing and tackling HBT bullying and building more inclusive school environments.</w:t>
      </w:r>
    </w:p>
    <w:p w14:paraId="0DCAFF4F" w14:textId="325E18B5" w:rsidR="009868D8" w:rsidRPr="00184EC7" w:rsidRDefault="009868D8" w:rsidP="00184EC7">
      <w:pPr>
        <w:pStyle w:val="Numbered"/>
        <w:widowControl/>
        <w:numPr>
          <w:ilvl w:val="0"/>
          <w:numId w:val="30"/>
        </w:numPr>
        <w:spacing w:line="288" w:lineRule="auto"/>
        <w:rPr>
          <w:rFonts w:cs="Arial"/>
          <w:i/>
          <w:color w:val="000000"/>
          <w:sz w:val="24"/>
          <w:szCs w:val="24"/>
        </w:rPr>
      </w:pPr>
      <w:r w:rsidRPr="00184EC7">
        <w:rPr>
          <w:rFonts w:cs="Arial"/>
          <w:color w:val="000000"/>
          <w:sz w:val="24"/>
          <w:szCs w:val="24"/>
        </w:rPr>
        <w:t xml:space="preserve">Engaging pupils. </w:t>
      </w:r>
      <w:r w:rsidRPr="00184EC7">
        <w:rPr>
          <w:rFonts w:cs="Arial"/>
          <w:i/>
          <w:color w:val="000000"/>
          <w:sz w:val="24"/>
          <w:szCs w:val="24"/>
        </w:rPr>
        <w:t xml:space="preserve">This corresponds to outcome 3: More pupils report that they feel confident in reporting HBT bullying, feel more resilient towards bullying, and feel their school is inclusive towards LGB&amp;T pupils and families. </w:t>
      </w:r>
    </w:p>
    <w:p w14:paraId="3FB1351E" w14:textId="77777777" w:rsidR="009868D8" w:rsidRPr="009868D8" w:rsidRDefault="009868D8" w:rsidP="00C976A2">
      <w:pPr>
        <w:pStyle w:val="Numbered"/>
        <w:widowControl/>
        <w:spacing w:line="288" w:lineRule="auto"/>
        <w:rPr>
          <w:rFonts w:cs="Arial"/>
          <w:color w:val="000000"/>
          <w:sz w:val="24"/>
          <w:szCs w:val="24"/>
        </w:rPr>
      </w:pPr>
      <w:r w:rsidRPr="009868D8">
        <w:rPr>
          <w:rFonts w:cs="Arial"/>
          <w:b/>
          <w:color w:val="000000"/>
          <w:sz w:val="24"/>
          <w:szCs w:val="24"/>
        </w:rPr>
        <w:t>Model Two</w:t>
      </w:r>
      <w:r w:rsidRPr="009868D8">
        <w:rPr>
          <w:rFonts w:cs="Arial"/>
          <w:color w:val="000000"/>
          <w:sz w:val="24"/>
          <w:szCs w:val="24"/>
        </w:rPr>
        <w:t>: Staff training only</w:t>
      </w:r>
    </w:p>
    <w:p w14:paraId="0C4FA6D1" w14:textId="26CFDD69" w:rsidR="009868D8" w:rsidRPr="009868D8" w:rsidRDefault="009868D8" w:rsidP="00C976A2">
      <w:pPr>
        <w:pStyle w:val="Numbered"/>
        <w:widowControl/>
        <w:spacing w:line="288" w:lineRule="auto"/>
        <w:ind w:left="360"/>
        <w:rPr>
          <w:rFonts w:cs="Arial"/>
          <w:color w:val="000000"/>
          <w:sz w:val="24"/>
          <w:szCs w:val="24"/>
        </w:rPr>
      </w:pPr>
      <w:r w:rsidRPr="009868D8">
        <w:rPr>
          <w:rFonts w:cs="Arial"/>
          <w:color w:val="000000"/>
          <w:sz w:val="24"/>
          <w:szCs w:val="24"/>
        </w:rPr>
        <w:t xml:space="preserve">This is the least intensive model, for schools where there is existing knowledge and support among senior leadership teams to prevent and respond to HBT bullying. This approach therefore builds on any existing practice already taking place in the school. It will provide staff training and support to further improve awareness, confidence and competence to prevent and address HBT bullying. </w:t>
      </w:r>
      <w:r w:rsidR="00E4092D">
        <w:rPr>
          <w:rFonts w:cs="Arial"/>
          <w:color w:val="000000"/>
          <w:sz w:val="24"/>
          <w:szCs w:val="24"/>
        </w:rPr>
        <w:t xml:space="preserve">Training activity may include student teachers linked to or associated with the identified school groups. </w:t>
      </w:r>
    </w:p>
    <w:p w14:paraId="66BF52BA" w14:textId="77777777" w:rsidR="009868D8" w:rsidRPr="009868D8" w:rsidRDefault="009868D8" w:rsidP="00C976A2">
      <w:pPr>
        <w:pStyle w:val="Numbered"/>
        <w:widowControl/>
        <w:spacing w:line="288" w:lineRule="auto"/>
        <w:ind w:left="360"/>
        <w:rPr>
          <w:rFonts w:cs="Arial"/>
          <w:color w:val="000000"/>
          <w:sz w:val="24"/>
          <w:szCs w:val="24"/>
        </w:rPr>
      </w:pPr>
      <w:r w:rsidRPr="009868D8">
        <w:rPr>
          <w:rFonts w:cs="Arial"/>
          <w:color w:val="000000"/>
          <w:sz w:val="24"/>
          <w:szCs w:val="24"/>
        </w:rPr>
        <w:t xml:space="preserve">This corresponds to outcome 2 only: </w:t>
      </w:r>
      <w:r w:rsidRPr="00C76805">
        <w:rPr>
          <w:rFonts w:cs="Arial"/>
          <w:i/>
          <w:color w:val="000000"/>
          <w:sz w:val="24"/>
          <w:szCs w:val="24"/>
        </w:rPr>
        <w:t>More teachers and non-teaching staff report they feel supported, confident and capable of preventing and tackling HBT bullying and building more inclusive school environments.</w:t>
      </w:r>
    </w:p>
    <w:p w14:paraId="1EFF5ABB" w14:textId="35AB245B" w:rsidR="009868D8" w:rsidRPr="009868D8" w:rsidRDefault="009868D8" w:rsidP="00C976A2">
      <w:pPr>
        <w:pStyle w:val="Numbered"/>
        <w:widowControl/>
        <w:spacing w:line="288" w:lineRule="auto"/>
        <w:rPr>
          <w:rFonts w:cs="Arial"/>
          <w:color w:val="000000"/>
          <w:sz w:val="24"/>
          <w:szCs w:val="24"/>
        </w:rPr>
      </w:pPr>
    </w:p>
    <w:p w14:paraId="3BE54CDF" w14:textId="77777777" w:rsidR="00184EC7" w:rsidRDefault="00184EC7" w:rsidP="00C976A2">
      <w:pPr>
        <w:pStyle w:val="Numbered"/>
        <w:widowControl/>
        <w:spacing w:line="288" w:lineRule="auto"/>
        <w:rPr>
          <w:rFonts w:cs="Arial"/>
          <w:b/>
          <w:color w:val="000000"/>
          <w:sz w:val="24"/>
          <w:szCs w:val="24"/>
        </w:rPr>
      </w:pPr>
    </w:p>
    <w:p w14:paraId="18891258" w14:textId="77777777" w:rsidR="00184EC7" w:rsidRDefault="00184EC7" w:rsidP="00C976A2">
      <w:pPr>
        <w:pStyle w:val="Numbered"/>
        <w:widowControl/>
        <w:spacing w:line="288" w:lineRule="auto"/>
        <w:rPr>
          <w:rFonts w:cs="Arial"/>
          <w:b/>
          <w:color w:val="000000"/>
          <w:sz w:val="24"/>
          <w:szCs w:val="24"/>
        </w:rPr>
      </w:pPr>
    </w:p>
    <w:p w14:paraId="454882C9" w14:textId="403A52D9" w:rsidR="009868D8" w:rsidRPr="009868D8" w:rsidRDefault="009868D8" w:rsidP="00C976A2">
      <w:pPr>
        <w:pStyle w:val="Numbered"/>
        <w:widowControl/>
        <w:spacing w:line="288" w:lineRule="auto"/>
        <w:rPr>
          <w:rFonts w:cs="Arial"/>
          <w:b/>
          <w:color w:val="000000"/>
          <w:sz w:val="24"/>
          <w:szCs w:val="24"/>
        </w:rPr>
      </w:pPr>
      <w:r w:rsidRPr="009868D8">
        <w:rPr>
          <w:rFonts w:cs="Arial"/>
          <w:b/>
          <w:color w:val="000000"/>
          <w:sz w:val="24"/>
          <w:szCs w:val="24"/>
        </w:rPr>
        <w:lastRenderedPageBreak/>
        <w:t>INTENDED OUTCOMES AND PROJECT COMPONENTS</w:t>
      </w:r>
    </w:p>
    <w:p w14:paraId="09CE4478" w14:textId="0BFF5E28" w:rsidR="009868D8" w:rsidRPr="009868D8" w:rsidRDefault="009868D8" w:rsidP="00C976A2">
      <w:pPr>
        <w:pStyle w:val="Numbered"/>
        <w:widowControl/>
        <w:spacing w:line="288" w:lineRule="auto"/>
        <w:rPr>
          <w:rFonts w:cs="Arial"/>
          <w:color w:val="000000"/>
          <w:sz w:val="24"/>
          <w:szCs w:val="24"/>
        </w:rPr>
      </w:pPr>
      <w:r w:rsidRPr="009868D8">
        <w:rPr>
          <w:rFonts w:cs="Arial"/>
          <w:color w:val="000000"/>
          <w:sz w:val="24"/>
          <w:szCs w:val="24"/>
        </w:rPr>
        <w:t xml:space="preserve">Applicants should set out an evidence-based logic model for proposed interventions. Please use the template in </w:t>
      </w:r>
      <w:r w:rsidRPr="009868D8">
        <w:rPr>
          <w:rFonts w:cs="Arial"/>
          <w:color w:val="000000"/>
          <w:sz w:val="24"/>
          <w:szCs w:val="24"/>
          <w:u w:val="single"/>
        </w:rPr>
        <w:t>Annex A</w:t>
      </w:r>
      <w:r w:rsidR="00790766">
        <w:rPr>
          <w:rFonts w:cs="Arial"/>
          <w:color w:val="000000"/>
          <w:sz w:val="24"/>
          <w:szCs w:val="24"/>
          <w:u w:val="single"/>
        </w:rPr>
        <w:t xml:space="preserve"> of the application form</w:t>
      </w:r>
      <w:r w:rsidRPr="009868D8">
        <w:rPr>
          <w:rFonts w:cs="Arial"/>
          <w:color w:val="000000"/>
          <w:sz w:val="24"/>
          <w:szCs w:val="24"/>
          <w:u w:val="single"/>
        </w:rPr>
        <w:t>.</w:t>
      </w:r>
      <w:r w:rsidRPr="009868D8">
        <w:rPr>
          <w:rFonts w:cs="Arial"/>
          <w:color w:val="000000"/>
          <w:sz w:val="24"/>
          <w:szCs w:val="24"/>
        </w:rPr>
        <w:t xml:space="preserve"> This must clearly set out and explain the inputs, activity, outputs and outcomes associated with the intervention. </w:t>
      </w:r>
    </w:p>
    <w:p w14:paraId="3D0E1BEA" w14:textId="67C52EB8" w:rsidR="009868D8" w:rsidRPr="009868D8" w:rsidRDefault="009868D8" w:rsidP="00C976A2">
      <w:pPr>
        <w:pStyle w:val="Numbered"/>
        <w:widowControl/>
        <w:spacing w:line="288" w:lineRule="auto"/>
        <w:rPr>
          <w:rFonts w:cs="Arial"/>
          <w:color w:val="000000"/>
          <w:sz w:val="24"/>
          <w:szCs w:val="24"/>
        </w:rPr>
      </w:pPr>
      <w:r w:rsidRPr="009868D8">
        <w:rPr>
          <w:rFonts w:cs="Arial"/>
          <w:color w:val="000000"/>
          <w:sz w:val="24"/>
          <w:szCs w:val="24"/>
        </w:rPr>
        <w:t xml:space="preserve">We are looking for project proposals that clearly demonstrate how they will achieve the intended outcomes set out below. </w:t>
      </w:r>
      <w:r w:rsidRPr="009868D8">
        <w:rPr>
          <w:rFonts w:cs="Arial"/>
          <w:sz w:val="24"/>
          <w:szCs w:val="24"/>
          <w:lang w:eastAsia="en-US"/>
        </w:rPr>
        <w:t>The Department will look for clear evidence and rationale that projects are likely to be effective in achieving these outcomes.</w:t>
      </w:r>
      <w:r w:rsidRPr="009868D8">
        <w:rPr>
          <w:rFonts w:cs="Arial"/>
          <w:color w:val="000000"/>
          <w:sz w:val="24"/>
          <w:szCs w:val="24"/>
        </w:rPr>
        <w:t xml:space="preserve"> More refined activities and key performance indicators will be agreed in discussion with successful applicants. </w:t>
      </w:r>
    </w:p>
    <w:p w14:paraId="6151B98C" w14:textId="77777777" w:rsidR="009868D8" w:rsidRPr="009868D8" w:rsidRDefault="009868D8" w:rsidP="00C976A2">
      <w:pPr>
        <w:pStyle w:val="Numbered"/>
        <w:widowControl/>
        <w:spacing w:line="288" w:lineRule="auto"/>
        <w:rPr>
          <w:rFonts w:cs="Arial"/>
          <w:color w:val="000000"/>
          <w:sz w:val="24"/>
          <w:szCs w:val="24"/>
        </w:rPr>
      </w:pPr>
      <w:r w:rsidRPr="009868D8">
        <w:rPr>
          <w:rFonts w:cs="Arial"/>
          <w:b/>
          <w:color w:val="000000"/>
          <w:sz w:val="24"/>
          <w:szCs w:val="24"/>
        </w:rPr>
        <w:t>Outcome 1:</w:t>
      </w:r>
      <w:r w:rsidRPr="009868D8">
        <w:rPr>
          <w:rFonts w:cs="Arial"/>
          <w:color w:val="000000"/>
          <w:sz w:val="24"/>
          <w:szCs w:val="24"/>
        </w:rPr>
        <w:t xml:space="preserve"> More schools have policies and curricula embedded, which are targeted at preventing and tackling HBT bullying and building inclusive LGB&amp;T environments </w:t>
      </w:r>
    </w:p>
    <w:p w14:paraId="17480C06" w14:textId="684E098B" w:rsidR="009868D8" w:rsidRPr="009868D8" w:rsidRDefault="009868D8" w:rsidP="00C976A2">
      <w:pPr>
        <w:pStyle w:val="Numbered"/>
        <w:widowControl/>
        <w:spacing w:line="288" w:lineRule="auto"/>
        <w:rPr>
          <w:rFonts w:cs="Arial"/>
          <w:color w:val="000000"/>
          <w:sz w:val="24"/>
          <w:szCs w:val="24"/>
        </w:rPr>
      </w:pPr>
      <w:r w:rsidRPr="009868D8">
        <w:rPr>
          <w:rFonts w:cs="Arial"/>
          <w:color w:val="000000"/>
          <w:sz w:val="24"/>
          <w:szCs w:val="24"/>
        </w:rPr>
        <w:t xml:space="preserve">To achieve this outcome, initiatives </w:t>
      </w:r>
      <w:r w:rsidR="009C6183">
        <w:rPr>
          <w:rFonts w:cs="Arial"/>
          <w:color w:val="000000"/>
          <w:sz w:val="24"/>
          <w:szCs w:val="24"/>
        </w:rPr>
        <w:t>should</w:t>
      </w:r>
      <w:r w:rsidRPr="009868D8">
        <w:rPr>
          <w:rFonts w:cs="Arial"/>
          <w:color w:val="000000"/>
          <w:sz w:val="24"/>
          <w:szCs w:val="24"/>
        </w:rPr>
        <w:t xml:space="preserve"> focus on supporting schools’ senior leadership teams to embed effective </w:t>
      </w:r>
      <w:r w:rsidRPr="009868D8">
        <w:rPr>
          <w:rFonts w:cs="Arial"/>
          <w:b/>
          <w:color w:val="000000"/>
          <w:sz w:val="24"/>
          <w:szCs w:val="24"/>
        </w:rPr>
        <w:t>school policies and curricula</w:t>
      </w:r>
      <w:r w:rsidRPr="009868D8">
        <w:rPr>
          <w:rFonts w:cs="Arial"/>
          <w:color w:val="000000"/>
          <w:sz w:val="24"/>
          <w:szCs w:val="24"/>
        </w:rPr>
        <w:t xml:space="preserve">. As </w:t>
      </w:r>
      <w:proofErr w:type="gramStart"/>
      <w:r w:rsidRPr="009868D8">
        <w:rPr>
          <w:rFonts w:cs="Arial"/>
          <w:color w:val="000000"/>
          <w:sz w:val="24"/>
          <w:szCs w:val="24"/>
        </w:rPr>
        <w:t>a minimum initiatives</w:t>
      </w:r>
      <w:proofErr w:type="gramEnd"/>
      <w:r w:rsidRPr="009868D8">
        <w:rPr>
          <w:rFonts w:cs="Arial"/>
          <w:color w:val="000000"/>
          <w:sz w:val="24"/>
          <w:szCs w:val="24"/>
        </w:rPr>
        <w:t xml:space="preserve"> should show in their logic model how they will deliver the following components. These components were identified in the pilot evaluation as active ingredients and features that were believed to have contributed to this outcome:</w:t>
      </w:r>
    </w:p>
    <w:p w14:paraId="420205B1" w14:textId="77777777" w:rsidR="009868D8" w:rsidRPr="009868D8" w:rsidRDefault="009868D8" w:rsidP="00C976A2">
      <w:pPr>
        <w:pStyle w:val="Numbered"/>
        <w:widowControl/>
        <w:numPr>
          <w:ilvl w:val="0"/>
          <w:numId w:val="30"/>
        </w:numPr>
        <w:spacing w:line="288" w:lineRule="auto"/>
        <w:rPr>
          <w:rFonts w:cs="Arial"/>
          <w:color w:val="000000"/>
          <w:sz w:val="24"/>
          <w:szCs w:val="24"/>
        </w:rPr>
      </w:pPr>
      <w:r w:rsidRPr="009868D8">
        <w:rPr>
          <w:rFonts w:cs="Arial"/>
          <w:color w:val="000000"/>
          <w:sz w:val="24"/>
          <w:szCs w:val="24"/>
        </w:rPr>
        <w:t xml:space="preserve">At each school a survey or an </w:t>
      </w:r>
      <w:r w:rsidRPr="009868D8">
        <w:rPr>
          <w:rFonts w:cs="Arial"/>
          <w:b/>
          <w:color w:val="000000"/>
          <w:sz w:val="24"/>
          <w:szCs w:val="24"/>
        </w:rPr>
        <w:t>assessment of need</w:t>
      </w:r>
      <w:r w:rsidRPr="009868D8">
        <w:rPr>
          <w:rFonts w:cs="Arial"/>
          <w:color w:val="000000"/>
          <w:sz w:val="24"/>
          <w:szCs w:val="24"/>
        </w:rPr>
        <w:t xml:space="preserve"> is conducted to identify bespoke changes needed to policy, reporting and curricula</w:t>
      </w:r>
    </w:p>
    <w:p w14:paraId="62A12407" w14:textId="77777777" w:rsidR="009868D8" w:rsidRPr="009868D8" w:rsidRDefault="009868D8" w:rsidP="00C976A2">
      <w:pPr>
        <w:pStyle w:val="Numbered"/>
        <w:widowControl/>
        <w:numPr>
          <w:ilvl w:val="0"/>
          <w:numId w:val="30"/>
        </w:numPr>
        <w:spacing w:line="288" w:lineRule="auto"/>
        <w:rPr>
          <w:rFonts w:cs="Arial"/>
          <w:color w:val="000000"/>
          <w:sz w:val="24"/>
          <w:szCs w:val="24"/>
        </w:rPr>
      </w:pPr>
      <w:r w:rsidRPr="009868D8">
        <w:rPr>
          <w:rFonts w:cs="Arial"/>
          <w:color w:val="000000"/>
          <w:sz w:val="24"/>
          <w:szCs w:val="24"/>
        </w:rPr>
        <w:t xml:space="preserve">School </w:t>
      </w:r>
      <w:r w:rsidRPr="009868D8">
        <w:rPr>
          <w:rFonts w:cs="Arial"/>
          <w:b/>
          <w:color w:val="000000"/>
          <w:sz w:val="24"/>
          <w:szCs w:val="24"/>
        </w:rPr>
        <w:t>leaders</w:t>
      </w:r>
      <w:r w:rsidRPr="009868D8">
        <w:rPr>
          <w:rFonts w:cs="Arial"/>
          <w:color w:val="000000"/>
          <w:sz w:val="24"/>
          <w:szCs w:val="24"/>
        </w:rPr>
        <w:t xml:space="preserve"> are involved and engaged in any reviews of policy, curricula and staff training</w:t>
      </w:r>
    </w:p>
    <w:p w14:paraId="5AEFFA61" w14:textId="77777777" w:rsidR="009868D8" w:rsidRPr="009868D8" w:rsidRDefault="009868D8" w:rsidP="00C976A2">
      <w:pPr>
        <w:pStyle w:val="Numbered"/>
        <w:widowControl/>
        <w:numPr>
          <w:ilvl w:val="0"/>
          <w:numId w:val="30"/>
        </w:numPr>
        <w:spacing w:line="288" w:lineRule="auto"/>
        <w:rPr>
          <w:rFonts w:cs="Arial"/>
          <w:color w:val="000000"/>
          <w:sz w:val="24"/>
          <w:szCs w:val="24"/>
        </w:rPr>
      </w:pPr>
      <w:r w:rsidRPr="009868D8">
        <w:rPr>
          <w:rFonts w:cs="Arial"/>
          <w:color w:val="000000"/>
          <w:sz w:val="24"/>
          <w:szCs w:val="24"/>
        </w:rPr>
        <w:t xml:space="preserve">Schools are supported to implement and measure policies and curricula that </w:t>
      </w:r>
      <w:r w:rsidRPr="009868D8">
        <w:rPr>
          <w:rFonts w:cs="Arial"/>
          <w:b/>
          <w:color w:val="000000"/>
          <w:sz w:val="24"/>
          <w:szCs w:val="24"/>
        </w:rPr>
        <w:t>prevent</w:t>
      </w:r>
      <w:r w:rsidRPr="009868D8">
        <w:rPr>
          <w:rFonts w:cs="Arial"/>
          <w:color w:val="000000"/>
          <w:sz w:val="24"/>
          <w:szCs w:val="24"/>
        </w:rPr>
        <w:t xml:space="preserve"> HBT bullying</w:t>
      </w:r>
    </w:p>
    <w:p w14:paraId="43655346" w14:textId="77777777" w:rsidR="009868D8" w:rsidRPr="009868D8" w:rsidRDefault="009868D8" w:rsidP="00C976A2">
      <w:pPr>
        <w:pStyle w:val="Numbered"/>
        <w:widowControl/>
        <w:numPr>
          <w:ilvl w:val="0"/>
          <w:numId w:val="30"/>
        </w:numPr>
        <w:spacing w:line="288" w:lineRule="auto"/>
        <w:rPr>
          <w:rFonts w:cs="Arial"/>
          <w:color w:val="000000"/>
          <w:sz w:val="24"/>
          <w:szCs w:val="24"/>
        </w:rPr>
      </w:pPr>
      <w:r w:rsidRPr="009868D8">
        <w:rPr>
          <w:rFonts w:cs="Arial"/>
          <w:color w:val="000000"/>
          <w:sz w:val="24"/>
          <w:szCs w:val="24"/>
        </w:rPr>
        <w:t xml:space="preserve">Schools supported to implement practical and actionable </w:t>
      </w:r>
      <w:r w:rsidRPr="009868D8">
        <w:rPr>
          <w:rFonts w:cs="Arial"/>
          <w:b/>
          <w:color w:val="000000"/>
          <w:sz w:val="24"/>
          <w:szCs w:val="24"/>
        </w:rPr>
        <w:t>reporting and monitoring</w:t>
      </w:r>
      <w:r w:rsidRPr="009868D8">
        <w:rPr>
          <w:rFonts w:cs="Arial"/>
          <w:color w:val="000000"/>
          <w:sz w:val="24"/>
          <w:szCs w:val="24"/>
        </w:rPr>
        <w:t xml:space="preserve"> of HBT bullying</w:t>
      </w:r>
    </w:p>
    <w:p w14:paraId="21387DD2" w14:textId="77777777" w:rsidR="009868D8" w:rsidRPr="009868D8" w:rsidRDefault="009868D8" w:rsidP="00C976A2">
      <w:pPr>
        <w:pStyle w:val="Numbered"/>
        <w:widowControl/>
        <w:numPr>
          <w:ilvl w:val="0"/>
          <w:numId w:val="30"/>
        </w:numPr>
        <w:spacing w:line="288" w:lineRule="auto"/>
        <w:rPr>
          <w:rFonts w:cs="Arial"/>
          <w:color w:val="000000"/>
          <w:sz w:val="24"/>
          <w:szCs w:val="24"/>
        </w:rPr>
      </w:pPr>
      <w:r w:rsidRPr="009868D8">
        <w:rPr>
          <w:rFonts w:cs="Arial"/>
          <w:color w:val="000000"/>
          <w:sz w:val="24"/>
          <w:szCs w:val="24"/>
        </w:rPr>
        <w:t xml:space="preserve">School policies and curricula implemented to support the </w:t>
      </w:r>
      <w:r w:rsidRPr="009868D8">
        <w:rPr>
          <w:rFonts w:cs="Arial"/>
          <w:b/>
          <w:color w:val="000000"/>
          <w:sz w:val="24"/>
          <w:szCs w:val="24"/>
        </w:rPr>
        <w:t>everyday inclusion</w:t>
      </w:r>
      <w:r w:rsidRPr="009868D8">
        <w:rPr>
          <w:rFonts w:cs="Arial"/>
          <w:color w:val="000000"/>
          <w:sz w:val="24"/>
          <w:szCs w:val="24"/>
        </w:rPr>
        <w:t xml:space="preserve"> of LGB&amp;T children, young people and families</w:t>
      </w:r>
    </w:p>
    <w:p w14:paraId="0F3FAF84" w14:textId="77777777" w:rsidR="009868D8" w:rsidRPr="009868D8" w:rsidRDefault="009868D8" w:rsidP="00C976A2">
      <w:pPr>
        <w:pStyle w:val="Numbered"/>
        <w:widowControl/>
        <w:numPr>
          <w:ilvl w:val="0"/>
          <w:numId w:val="30"/>
        </w:numPr>
        <w:spacing w:line="288" w:lineRule="auto"/>
        <w:rPr>
          <w:rFonts w:cs="Arial"/>
          <w:color w:val="000000"/>
          <w:sz w:val="24"/>
          <w:szCs w:val="24"/>
        </w:rPr>
      </w:pPr>
      <w:r w:rsidRPr="009868D8">
        <w:rPr>
          <w:rFonts w:cs="Arial"/>
          <w:color w:val="000000"/>
          <w:sz w:val="24"/>
          <w:szCs w:val="24"/>
        </w:rPr>
        <w:t xml:space="preserve">Staff and pupils are </w:t>
      </w:r>
      <w:r w:rsidRPr="009868D8">
        <w:rPr>
          <w:rFonts w:cs="Arial"/>
          <w:b/>
          <w:color w:val="000000"/>
          <w:sz w:val="24"/>
          <w:szCs w:val="24"/>
        </w:rPr>
        <w:t>aware of and committed to</w:t>
      </w:r>
      <w:r w:rsidRPr="009868D8">
        <w:rPr>
          <w:rFonts w:cs="Arial"/>
          <w:color w:val="000000"/>
          <w:sz w:val="24"/>
          <w:szCs w:val="24"/>
        </w:rPr>
        <w:t xml:space="preserve"> policy and curricula changes</w:t>
      </w:r>
    </w:p>
    <w:p w14:paraId="193D26B5" w14:textId="77777777" w:rsidR="009868D8" w:rsidRPr="009868D8" w:rsidRDefault="009868D8" w:rsidP="00C976A2">
      <w:pPr>
        <w:pStyle w:val="Numbered"/>
        <w:widowControl/>
        <w:spacing w:line="288" w:lineRule="auto"/>
        <w:rPr>
          <w:rFonts w:cs="Arial"/>
          <w:color w:val="000000"/>
          <w:sz w:val="24"/>
          <w:szCs w:val="24"/>
        </w:rPr>
      </w:pPr>
      <w:r w:rsidRPr="009868D8">
        <w:rPr>
          <w:rFonts w:cs="Arial"/>
          <w:color w:val="000000"/>
          <w:sz w:val="24"/>
          <w:szCs w:val="24"/>
        </w:rPr>
        <w:t xml:space="preserve">We are particularly keen to see applications which demonstrate plans to effectively </w:t>
      </w:r>
      <w:r w:rsidRPr="00C76805">
        <w:rPr>
          <w:rFonts w:cs="Arial"/>
          <w:b/>
          <w:color w:val="000000"/>
          <w:sz w:val="24"/>
          <w:szCs w:val="24"/>
        </w:rPr>
        <w:t>engage pupils in the process</w:t>
      </w:r>
      <w:r w:rsidRPr="009868D8">
        <w:rPr>
          <w:rFonts w:cs="Arial"/>
          <w:color w:val="000000"/>
          <w:sz w:val="24"/>
          <w:szCs w:val="24"/>
        </w:rPr>
        <w:t>.</w:t>
      </w:r>
    </w:p>
    <w:p w14:paraId="5A02B9BB" w14:textId="77777777" w:rsidR="009868D8" w:rsidRPr="009868D8" w:rsidRDefault="009868D8" w:rsidP="00C976A2">
      <w:pPr>
        <w:pStyle w:val="Numbered"/>
        <w:widowControl/>
        <w:spacing w:line="288" w:lineRule="auto"/>
        <w:ind w:left="720"/>
        <w:rPr>
          <w:rFonts w:cs="Arial"/>
          <w:color w:val="000000"/>
          <w:sz w:val="24"/>
          <w:szCs w:val="24"/>
        </w:rPr>
      </w:pPr>
    </w:p>
    <w:p w14:paraId="359C1BD1" w14:textId="77777777" w:rsidR="009868D8" w:rsidRPr="009868D8" w:rsidRDefault="009868D8" w:rsidP="00C976A2">
      <w:pPr>
        <w:pStyle w:val="Numbered"/>
        <w:widowControl/>
        <w:spacing w:line="288" w:lineRule="auto"/>
        <w:rPr>
          <w:rFonts w:cs="Arial"/>
          <w:color w:val="000000"/>
          <w:sz w:val="24"/>
          <w:szCs w:val="24"/>
        </w:rPr>
      </w:pPr>
      <w:r w:rsidRPr="009868D8">
        <w:rPr>
          <w:rFonts w:cs="Arial"/>
          <w:b/>
          <w:color w:val="000000"/>
          <w:sz w:val="24"/>
          <w:szCs w:val="24"/>
        </w:rPr>
        <w:t>Outcome 2:</w:t>
      </w:r>
      <w:r w:rsidRPr="009868D8">
        <w:rPr>
          <w:rFonts w:cs="Arial"/>
          <w:color w:val="000000"/>
          <w:sz w:val="24"/>
          <w:szCs w:val="24"/>
        </w:rPr>
        <w:t xml:space="preserve"> More teachers and non-teaching staff report they feel supported, confident and capable of preventing and tackling HBT bullying and building more inclusive school environments.</w:t>
      </w:r>
    </w:p>
    <w:p w14:paraId="40E3F572" w14:textId="77777777" w:rsidR="009868D8" w:rsidRPr="009868D8" w:rsidRDefault="009868D8" w:rsidP="00C976A2">
      <w:pPr>
        <w:pStyle w:val="Numbered"/>
        <w:widowControl/>
        <w:spacing w:line="288" w:lineRule="auto"/>
        <w:rPr>
          <w:rFonts w:cs="Arial"/>
          <w:color w:val="000000"/>
          <w:sz w:val="24"/>
          <w:szCs w:val="24"/>
        </w:rPr>
      </w:pPr>
      <w:r w:rsidRPr="009868D8">
        <w:rPr>
          <w:rFonts w:cs="Arial"/>
          <w:color w:val="000000"/>
          <w:sz w:val="24"/>
          <w:szCs w:val="24"/>
        </w:rPr>
        <w:lastRenderedPageBreak/>
        <w:t xml:space="preserve">To achieve this outcome, initiatives will focus on conducting staff training. As </w:t>
      </w:r>
      <w:proofErr w:type="gramStart"/>
      <w:r w:rsidRPr="009868D8">
        <w:rPr>
          <w:rFonts w:cs="Arial"/>
          <w:color w:val="000000"/>
          <w:sz w:val="24"/>
          <w:szCs w:val="24"/>
        </w:rPr>
        <w:t>a minimum initiatives</w:t>
      </w:r>
      <w:proofErr w:type="gramEnd"/>
      <w:r w:rsidRPr="009868D8">
        <w:rPr>
          <w:rFonts w:cs="Arial"/>
          <w:color w:val="000000"/>
          <w:sz w:val="24"/>
          <w:szCs w:val="24"/>
        </w:rPr>
        <w:t xml:space="preserve"> should show in their logic model how they will deliver the following components. These components were identified in the pilot evaluation as active ingredients and features that are believed to have contributed to this outcome:</w:t>
      </w:r>
    </w:p>
    <w:p w14:paraId="044BEC10" w14:textId="77777777" w:rsidR="009868D8" w:rsidRPr="009868D8" w:rsidRDefault="009868D8" w:rsidP="00C976A2">
      <w:pPr>
        <w:pStyle w:val="Numbered"/>
        <w:widowControl/>
        <w:numPr>
          <w:ilvl w:val="0"/>
          <w:numId w:val="39"/>
        </w:numPr>
        <w:spacing w:line="288" w:lineRule="auto"/>
        <w:rPr>
          <w:rFonts w:cs="Arial"/>
          <w:color w:val="000000"/>
          <w:sz w:val="24"/>
          <w:szCs w:val="24"/>
        </w:rPr>
      </w:pPr>
      <w:r w:rsidRPr="009868D8">
        <w:rPr>
          <w:rFonts w:cs="Arial"/>
          <w:color w:val="000000"/>
          <w:sz w:val="24"/>
          <w:szCs w:val="24"/>
        </w:rPr>
        <w:t xml:space="preserve">Direct </w:t>
      </w:r>
      <w:r w:rsidRPr="009868D8">
        <w:rPr>
          <w:rFonts w:cs="Arial"/>
          <w:b/>
          <w:color w:val="000000"/>
          <w:sz w:val="24"/>
          <w:szCs w:val="24"/>
        </w:rPr>
        <w:t>face-to-face training</w:t>
      </w:r>
      <w:r w:rsidRPr="009868D8">
        <w:rPr>
          <w:rFonts w:cs="Arial"/>
          <w:color w:val="000000"/>
          <w:sz w:val="24"/>
          <w:szCs w:val="24"/>
        </w:rPr>
        <w:t xml:space="preserve"> to a mixture of teaching and non-teaching staff which </w:t>
      </w:r>
      <w:r w:rsidRPr="009868D8">
        <w:rPr>
          <w:rFonts w:cs="Arial"/>
          <w:b/>
          <w:color w:val="000000"/>
          <w:sz w:val="24"/>
          <w:szCs w:val="24"/>
        </w:rPr>
        <w:t>fosters group learning and responsibility</w:t>
      </w:r>
      <w:r w:rsidRPr="009868D8">
        <w:rPr>
          <w:rFonts w:cs="Arial"/>
          <w:color w:val="000000"/>
          <w:sz w:val="24"/>
          <w:szCs w:val="24"/>
        </w:rPr>
        <w:t>. This training should focus on:</w:t>
      </w:r>
    </w:p>
    <w:p w14:paraId="6FABC686" w14:textId="77777777" w:rsidR="009868D8" w:rsidRPr="009868D8" w:rsidRDefault="009868D8" w:rsidP="00C976A2">
      <w:pPr>
        <w:pStyle w:val="Numbered"/>
        <w:widowControl/>
        <w:numPr>
          <w:ilvl w:val="0"/>
          <w:numId w:val="39"/>
        </w:numPr>
        <w:spacing w:line="288" w:lineRule="auto"/>
        <w:ind w:left="1080"/>
        <w:rPr>
          <w:rFonts w:cs="Arial"/>
          <w:color w:val="000000"/>
          <w:sz w:val="24"/>
          <w:szCs w:val="24"/>
        </w:rPr>
      </w:pPr>
      <w:r w:rsidRPr="009868D8">
        <w:rPr>
          <w:rFonts w:cs="Arial"/>
          <w:color w:val="000000"/>
          <w:sz w:val="24"/>
          <w:szCs w:val="24"/>
        </w:rPr>
        <w:t xml:space="preserve">Improving awareness and understanding of the </w:t>
      </w:r>
      <w:r w:rsidRPr="009868D8">
        <w:rPr>
          <w:rFonts w:cs="Arial"/>
          <w:b/>
          <w:color w:val="000000"/>
          <w:sz w:val="24"/>
          <w:szCs w:val="24"/>
        </w:rPr>
        <w:t>impact</w:t>
      </w:r>
      <w:r w:rsidRPr="009868D8">
        <w:rPr>
          <w:rFonts w:cs="Arial"/>
          <w:color w:val="000000"/>
          <w:sz w:val="24"/>
          <w:szCs w:val="24"/>
        </w:rPr>
        <w:t xml:space="preserve"> of HBT bullying</w:t>
      </w:r>
    </w:p>
    <w:p w14:paraId="2BEC0309" w14:textId="77777777" w:rsidR="009868D8" w:rsidRPr="009868D8" w:rsidRDefault="009868D8" w:rsidP="00C976A2">
      <w:pPr>
        <w:pStyle w:val="Numbered"/>
        <w:widowControl/>
        <w:numPr>
          <w:ilvl w:val="0"/>
          <w:numId w:val="39"/>
        </w:numPr>
        <w:spacing w:line="288" w:lineRule="auto"/>
        <w:ind w:left="1080"/>
        <w:rPr>
          <w:rFonts w:cs="Arial"/>
          <w:color w:val="000000"/>
          <w:sz w:val="24"/>
          <w:szCs w:val="24"/>
        </w:rPr>
      </w:pPr>
      <w:r w:rsidRPr="009868D8">
        <w:rPr>
          <w:rFonts w:cs="Arial"/>
          <w:color w:val="000000"/>
          <w:sz w:val="24"/>
          <w:szCs w:val="24"/>
        </w:rPr>
        <w:t xml:space="preserve">Improving understanding of the link between homophobia, biphobia and transphobia and </w:t>
      </w:r>
      <w:r w:rsidRPr="009868D8">
        <w:rPr>
          <w:rFonts w:cs="Arial"/>
          <w:b/>
          <w:color w:val="000000"/>
          <w:sz w:val="24"/>
          <w:szCs w:val="24"/>
        </w:rPr>
        <w:t>sexism</w:t>
      </w:r>
      <w:r w:rsidRPr="009868D8">
        <w:rPr>
          <w:rStyle w:val="FootnoteReference"/>
          <w:rFonts w:cs="Arial"/>
          <w:color w:val="000000"/>
          <w:sz w:val="24"/>
          <w:szCs w:val="24"/>
        </w:rPr>
        <w:footnoteReference w:id="4"/>
      </w:r>
      <w:r w:rsidRPr="009868D8">
        <w:rPr>
          <w:rFonts w:cs="Arial"/>
          <w:color w:val="000000"/>
          <w:sz w:val="24"/>
          <w:szCs w:val="24"/>
        </w:rPr>
        <w:t xml:space="preserve">. </w:t>
      </w:r>
    </w:p>
    <w:p w14:paraId="183D2998" w14:textId="77777777" w:rsidR="009868D8" w:rsidRPr="009868D8" w:rsidRDefault="009868D8" w:rsidP="00C976A2">
      <w:pPr>
        <w:pStyle w:val="Numbered"/>
        <w:widowControl/>
        <w:numPr>
          <w:ilvl w:val="0"/>
          <w:numId w:val="30"/>
        </w:numPr>
        <w:spacing w:line="288" w:lineRule="auto"/>
        <w:ind w:left="1080"/>
        <w:rPr>
          <w:rFonts w:cs="Arial"/>
          <w:color w:val="000000"/>
          <w:sz w:val="24"/>
          <w:szCs w:val="24"/>
        </w:rPr>
      </w:pPr>
      <w:r w:rsidRPr="009868D8">
        <w:rPr>
          <w:rFonts w:cs="Arial"/>
          <w:color w:val="000000"/>
          <w:sz w:val="24"/>
          <w:szCs w:val="24"/>
        </w:rPr>
        <w:t xml:space="preserve">Increasing confidence and capacity to </w:t>
      </w:r>
      <w:r w:rsidRPr="009868D8">
        <w:rPr>
          <w:rFonts w:cs="Arial"/>
          <w:b/>
          <w:color w:val="000000"/>
          <w:sz w:val="24"/>
          <w:szCs w:val="24"/>
        </w:rPr>
        <w:t>challenge HBT language and behaviour</w:t>
      </w:r>
    </w:p>
    <w:p w14:paraId="7D715DF8" w14:textId="77777777" w:rsidR="009868D8" w:rsidRPr="009868D8" w:rsidRDefault="009868D8" w:rsidP="00C976A2">
      <w:pPr>
        <w:pStyle w:val="Numbered"/>
        <w:widowControl/>
        <w:numPr>
          <w:ilvl w:val="0"/>
          <w:numId w:val="30"/>
        </w:numPr>
        <w:spacing w:line="288" w:lineRule="auto"/>
        <w:ind w:left="1080"/>
        <w:rPr>
          <w:rFonts w:cs="Arial"/>
          <w:color w:val="000000"/>
          <w:sz w:val="24"/>
          <w:szCs w:val="24"/>
        </w:rPr>
      </w:pPr>
      <w:r w:rsidRPr="009868D8">
        <w:rPr>
          <w:rFonts w:cs="Arial"/>
          <w:color w:val="000000"/>
          <w:sz w:val="24"/>
          <w:szCs w:val="24"/>
        </w:rPr>
        <w:t xml:space="preserve">Improving commitment and capacity to make LGBT identities part of </w:t>
      </w:r>
      <w:r w:rsidRPr="009868D8">
        <w:rPr>
          <w:rFonts w:cs="Arial"/>
          <w:b/>
          <w:color w:val="000000"/>
          <w:sz w:val="24"/>
          <w:szCs w:val="24"/>
        </w:rPr>
        <w:t xml:space="preserve">everyday </w:t>
      </w:r>
      <w:r w:rsidRPr="009868D8">
        <w:rPr>
          <w:rFonts w:cs="Arial"/>
          <w:color w:val="000000"/>
          <w:sz w:val="24"/>
          <w:szCs w:val="24"/>
        </w:rPr>
        <w:t>school life</w:t>
      </w:r>
    </w:p>
    <w:p w14:paraId="012EE451" w14:textId="14AAF77F" w:rsidR="009868D8" w:rsidRPr="009868D8" w:rsidRDefault="009868D8" w:rsidP="00C976A2">
      <w:pPr>
        <w:pStyle w:val="Numbered"/>
        <w:widowControl/>
        <w:spacing w:line="288" w:lineRule="auto"/>
        <w:rPr>
          <w:rFonts w:cs="Arial"/>
          <w:color w:val="000000"/>
          <w:sz w:val="24"/>
          <w:szCs w:val="24"/>
        </w:rPr>
      </w:pPr>
      <w:r w:rsidRPr="009868D8">
        <w:rPr>
          <w:rFonts w:cs="Arial"/>
          <w:color w:val="000000"/>
          <w:sz w:val="24"/>
          <w:szCs w:val="24"/>
        </w:rPr>
        <w:t>While not a requirement, initiatives may also wish to design training that includes the following format</w:t>
      </w:r>
      <w:r w:rsidR="00C76805">
        <w:rPr>
          <w:rFonts w:cs="Arial"/>
          <w:color w:val="000000"/>
          <w:sz w:val="24"/>
          <w:szCs w:val="24"/>
        </w:rPr>
        <w:t xml:space="preserve"> that was </w:t>
      </w:r>
      <w:r w:rsidR="004F7054">
        <w:rPr>
          <w:rFonts w:cs="Arial"/>
          <w:color w:val="000000"/>
          <w:sz w:val="24"/>
          <w:szCs w:val="24"/>
        </w:rPr>
        <w:t>identified</w:t>
      </w:r>
      <w:r w:rsidR="00C76805">
        <w:rPr>
          <w:rFonts w:cs="Arial"/>
          <w:color w:val="000000"/>
          <w:sz w:val="24"/>
          <w:szCs w:val="24"/>
        </w:rPr>
        <w:t xml:space="preserve"> as effective in indicative findings of the evaluation</w:t>
      </w:r>
      <w:r w:rsidRPr="009868D8">
        <w:rPr>
          <w:rFonts w:cs="Arial"/>
          <w:color w:val="000000"/>
          <w:sz w:val="24"/>
          <w:szCs w:val="24"/>
        </w:rPr>
        <w:t>:</w:t>
      </w:r>
    </w:p>
    <w:p w14:paraId="7EF99638" w14:textId="77777777" w:rsidR="009868D8" w:rsidRPr="009868D8" w:rsidRDefault="009868D8" w:rsidP="00C976A2">
      <w:pPr>
        <w:pStyle w:val="Numbered"/>
        <w:widowControl/>
        <w:numPr>
          <w:ilvl w:val="0"/>
          <w:numId w:val="40"/>
        </w:numPr>
        <w:spacing w:line="288" w:lineRule="auto"/>
        <w:rPr>
          <w:rFonts w:cs="Arial"/>
          <w:color w:val="000000"/>
          <w:sz w:val="24"/>
          <w:szCs w:val="24"/>
        </w:rPr>
      </w:pPr>
      <w:r w:rsidRPr="009868D8">
        <w:rPr>
          <w:rFonts w:cs="Arial"/>
          <w:color w:val="000000"/>
          <w:sz w:val="24"/>
          <w:szCs w:val="24"/>
        </w:rPr>
        <w:t>Dedicated time for teachers to start developing a strategy and action plan for their schools or time to practically explore how to use resources</w:t>
      </w:r>
    </w:p>
    <w:p w14:paraId="4804D549" w14:textId="77777777" w:rsidR="009868D8" w:rsidRPr="009868D8" w:rsidRDefault="009868D8" w:rsidP="00C976A2">
      <w:pPr>
        <w:pStyle w:val="Numbered"/>
        <w:widowControl/>
        <w:numPr>
          <w:ilvl w:val="0"/>
          <w:numId w:val="40"/>
        </w:numPr>
        <w:spacing w:line="288" w:lineRule="auto"/>
        <w:rPr>
          <w:rFonts w:cs="Arial"/>
          <w:color w:val="000000"/>
          <w:sz w:val="24"/>
          <w:szCs w:val="24"/>
        </w:rPr>
      </w:pPr>
      <w:r w:rsidRPr="009868D8">
        <w:rPr>
          <w:rFonts w:cs="Arial"/>
          <w:color w:val="000000"/>
          <w:sz w:val="24"/>
          <w:szCs w:val="24"/>
        </w:rPr>
        <w:t>Post training support or follow-up to assist in the implementation of learning</w:t>
      </w:r>
    </w:p>
    <w:p w14:paraId="7C7728F5" w14:textId="77777777" w:rsidR="009868D8" w:rsidRPr="009868D8" w:rsidRDefault="009868D8" w:rsidP="00C976A2">
      <w:pPr>
        <w:pStyle w:val="Numbered"/>
        <w:widowControl/>
        <w:numPr>
          <w:ilvl w:val="0"/>
          <w:numId w:val="40"/>
        </w:numPr>
        <w:spacing w:line="288" w:lineRule="auto"/>
        <w:rPr>
          <w:rFonts w:cs="Arial"/>
          <w:color w:val="000000"/>
          <w:sz w:val="24"/>
          <w:szCs w:val="24"/>
        </w:rPr>
      </w:pPr>
      <w:r w:rsidRPr="009868D8">
        <w:rPr>
          <w:rFonts w:cs="Arial"/>
          <w:color w:val="000000"/>
          <w:sz w:val="24"/>
          <w:szCs w:val="24"/>
        </w:rPr>
        <w:t>Training provided to more than one representative in a school</w:t>
      </w:r>
    </w:p>
    <w:p w14:paraId="026B3E3C" w14:textId="77777777" w:rsidR="009868D8" w:rsidRPr="009868D8" w:rsidRDefault="009868D8" w:rsidP="00C976A2">
      <w:pPr>
        <w:pStyle w:val="Numbered"/>
        <w:widowControl/>
        <w:spacing w:line="288" w:lineRule="auto"/>
        <w:rPr>
          <w:rFonts w:cs="Arial"/>
          <w:color w:val="000000"/>
          <w:sz w:val="24"/>
          <w:szCs w:val="24"/>
        </w:rPr>
      </w:pPr>
      <w:r w:rsidRPr="009868D8">
        <w:rPr>
          <w:rFonts w:cs="Arial"/>
          <w:color w:val="000000"/>
          <w:sz w:val="24"/>
          <w:szCs w:val="24"/>
        </w:rPr>
        <w:t>Or training that includes the following content:</w:t>
      </w:r>
    </w:p>
    <w:p w14:paraId="673F47C1" w14:textId="77777777" w:rsidR="009868D8" w:rsidRPr="009868D8" w:rsidRDefault="009868D8" w:rsidP="00C976A2">
      <w:pPr>
        <w:pStyle w:val="Numbered"/>
        <w:widowControl/>
        <w:numPr>
          <w:ilvl w:val="0"/>
          <w:numId w:val="38"/>
        </w:numPr>
        <w:spacing w:line="288" w:lineRule="auto"/>
        <w:rPr>
          <w:rFonts w:cs="Arial"/>
          <w:color w:val="000000"/>
          <w:sz w:val="24"/>
          <w:szCs w:val="24"/>
        </w:rPr>
      </w:pPr>
      <w:r w:rsidRPr="009868D8">
        <w:rPr>
          <w:rFonts w:cs="Arial"/>
          <w:color w:val="000000"/>
          <w:sz w:val="24"/>
          <w:szCs w:val="24"/>
        </w:rPr>
        <w:t xml:space="preserve">An overview of legal, statutory and regulatory obligations </w:t>
      </w:r>
    </w:p>
    <w:p w14:paraId="01B0ADA8" w14:textId="77777777" w:rsidR="009868D8" w:rsidRPr="009868D8" w:rsidRDefault="009868D8" w:rsidP="00C976A2">
      <w:pPr>
        <w:pStyle w:val="Numbered"/>
        <w:widowControl/>
        <w:numPr>
          <w:ilvl w:val="0"/>
          <w:numId w:val="38"/>
        </w:numPr>
        <w:spacing w:line="288" w:lineRule="auto"/>
        <w:rPr>
          <w:rFonts w:cs="Arial"/>
          <w:color w:val="000000"/>
          <w:sz w:val="24"/>
          <w:szCs w:val="24"/>
        </w:rPr>
      </w:pPr>
      <w:r w:rsidRPr="009868D8">
        <w:rPr>
          <w:rFonts w:cs="Arial"/>
          <w:color w:val="000000"/>
          <w:sz w:val="24"/>
          <w:szCs w:val="24"/>
        </w:rPr>
        <w:t>Use of facts and figures around the nature and extent of HBT bullying or personal accounts to generate greater understanding of the harm</w:t>
      </w:r>
    </w:p>
    <w:p w14:paraId="7202B7C8" w14:textId="77777777" w:rsidR="009868D8" w:rsidRPr="009868D8" w:rsidRDefault="009868D8" w:rsidP="00C976A2">
      <w:pPr>
        <w:pStyle w:val="Numbered"/>
        <w:widowControl/>
        <w:numPr>
          <w:ilvl w:val="0"/>
          <w:numId w:val="38"/>
        </w:numPr>
        <w:spacing w:line="288" w:lineRule="auto"/>
        <w:rPr>
          <w:rFonts w:cs="Arial"/>
          <w:color w:val="000000"/>
          <w:sz w:val="24"/>
          <w:szCs w:val="24"/>
        </w:rPr>
      </w:pPr>
      <w:r w:rsidRPr="009868D8">
        <w:rPr>
          <w:rFonts w:cs="Arial"/>
          <w:color w:val="000000"/>
          <w:sz w:val="24"/>
          <w:szCs w:val="24"/>
        </w:rPr>
        <w:t>Activities that explore and challenge gender and LGB&amp;T stereotypes</w:t>
      </w:r>
    </w:p>
    <w:p w14:paraId="6D5164DF" w14:textId="77777777" w:rsidR="009868D8" w:rsidRPr="009868D8" w:rsidRDefault="009868D8" w:rsidP="00C976A2">
      <w:pPr>
        <w:pStyle w:val="Numbered"/>
        <w:widowControl/>
        <w:numPr>
          <w:ilvl w:val="0"/>
          <w:numId w:val="38"/>
        </w:numPr>
        <w:spacing w:line="288" w:lineRule="auto"/>
        <w:rPr>
          <w:rFonts w:cs="Arial"/>
          <w:color w:val="000000"/>
          <w:sz w:val="24"/>
          <w:szCs w:val="24"/>
        </w:rPr>
      </w:pPr>
      <w:r w:rsidRPr="009868D8">
        <w:rPr>
          <w:rFonts w:cs="Arial"/>
          <w:color w:val="000000"/>
          <w:sz w:val="24"/>
          <w:szCs w:val="24"/>
        </w:rPr>
        <w:t xml:space="preserve">Examples and case studies of how LGB&amp;T </w:t>
      </w:r>
      <w:proofErr w:type="spellStart"/>
      <w:r w:rsidRPr="009868D8">
        <w:rPr>
          <w:rFonts w:cs="Arial"/>
          <w:color w:val="000000"/>
          <w:sz w:val="24"/>
          <w:szCs w:val="24"/>
        </w:rPr>
        <w:t>usualisation</w:t>
      </w:r>
      <w:proofErr w:type="spellEnd"/>
      <w:r w:rsidRPr="009868D8">
        <w:rPr>
          <w:rFonts w:cs="Arial"/>
          <w:color w:val="000000"/>
          <w:sz w:val="24"/>
          <w:szCs w:val="24"/>
        </w:rPr>
        <w:t xml:space="preserve"> and/or HBT bullying has been addressed in other schools</w:t>
      </w:r>
    </w:p>
    <w:p w14:paraId="6697C176" w14:textId="77777777" w:rsidR="009868D8" w:rsidRPr="009868D8" w:rsidRDefault="009868D8" w:rsidP="00C976A2">
      <w:pPr>
        <w:pStyle w:val="Numbered"/>
        <w:widowControl/>
        <w:numPr>
          <w:ilvl w:val="0"/>
          <w:numId w:val="38"/>
        </w:numPr>
        <w:spacing w:line="288" w:lineRule="auto"/>
        <w:rPr>
          <w:rFonts w:cs="Arial"/>
          <w:color w:val="000000"/>
          <w:sz w:val="24"/>
          <w:szCs w:val="24"/>
        </w:rPr>
      </w:pPr>
      <w:r w:rsidRPr="009868D8">
        <w:rPr>
          <w:rFonts w:cs="Arial"/>
          <w:color w:val="000000"/>
          <w:sz w:val="24"/>
          <w:szCs w:val="24"/>
        </w:rPr>
        <w:lastRenderedPageBreak/>
        <w:t>Specific or separate information on transgender identities</w:t>
      </w:r>
    </w:p>
    <w:p w14:paraId="147192A7" w14:textId="2336D95D" w:rsidR="009868D8" w:rsidRPr="009868D8" w:rsidRDefault="009868D8" w:rsidP="00C976A2">
      <w:pPr>
        <w:pStyle w:val="Numbered"/>
        <w:widowControl/>
        <w:numPr>
          <w:ilvl w:val="0"/>
          <w:numId w:val="38"/>
        </w:numPr>
        <w:spacing w:line="288" w:lineRule="auto"/>
        <w:rPr>
          <w:rFonts w:cs="Arial"/>
          <w:color w:val="000000"/>
          <w:sz w:val="24"/>
          <w:szCs w:val="24"/>
        </w:rPr>
      </w:pPr>
      <w:r w:rsidRPr="009868D8">
        <w:rPr>
          <w:rFonts w:cs="Arial"/>
          <w:color w:val="000000"/>
          <w:sz w:val="24"/>
          <w:szCs w:val="24"/>
        </w:rPr>
        <w:t>Strategies to tackle HBT language and bullying and practical guidance on how to implement these</w:t>
      </w:r>
    </w:p>
    <w:p w14:paraId="6413BFA5" w14:textId="17D1F423" w:rsidR="009868D8" w:rsidRPr="009868D8" w:rsidRDefault="00E4092D" w:rsidP="00C976A2">
      <w:pPr>
        <w:pStyle w:val="Numbered"/>
        <w:widowControl/>
        <w:spacing w:line="288" w:lineRule="auto"/>
        <w:rPr>
          <w:rFonts w:cs="Arial"/>
          <w:b/>
          <w:color w:val="000000"/>
          <w:sz w:val="24"/>
          <w:szCs w:val="24"/>
        </w:rPr>
      </w:pPr>
      <w:r>
        <w:rPr>
          <w:rFonts w:cs="Arial"/>
          <w:color w:val="000000"/>
          <w:sz w:val="24"/>
          <w:szCs w:val="24"/>
        </w:rPr>
        <w:t>Applications are permitted to include training activity for student teachers linked to or associated with the identified school groups.</w:t>
      </w:r>
    </w:p>
    <w:p w14:paraId="64AC18DF" w14:textId="77777777" w:rsidR="009868D8" w:rsidRPr="009868D8" w:rsidRDefault="009868D8" w:rsidP="00C976A2">
      <w:pPr>
        <w:pStyle w:val="Numbered"/>
        <w:widowControl/>
        <w:spacing w:line="288" w:lineRule="auto"/>
        <w:rPr>
          <w:rFonts w:cs="Arial"/>
          <w:color w:val="000000"/>
          <w:sz w:val="24"/>
          <w:szCs w:val="24"/>
        </w:rPr>
      </w:pPr>
      <w:r w:rsidRPr="009868D8">
        <w:rPr>
          <w:rFonts w:cs="Arial"/>
          <w:b/>
          <w:color w:val="000000"/>
          <w:sz w:val="24"/>
          <w:szCs w:val="24"/>
        </w:rPr>
        <w:t>Outcome 3:</w:t>
      </w:r>
      <w:r w:rsidRPr="009868D8">
        <w:rPr>
          <w:rFonts w:cs="Arial"/>
          <w:color w:val="000000"/>
          <w:sz w:val="24"/>
          <w:szCs w:val="24"/>
        </w:rPr>
        <w:t xml:space="preserve"> More pupils report that they feel confident in reporting HBT bullying, feel more resilient towards bullying, and feel their school is inclusive towards LGB&amp;T pupils and families</w:t>
      </w:r>
    </w:p>
    <w:p w14:paraId="39430D7C" w14:textId="77777777" w:rsidR="009868D8" w:rsidRPr="009868D8" w:rsidRDefault="009868D8" w:rsidP="00C976A2">
      <w:pPr>
        <w:pStyle w:val="Numbered"/>
        <w:widowControl/>
        <w:spacing w:line="288" w:lineRule="auto"/>
        <w:rPr>
          <w:rFonts w:cs="Arial"/>
          <w:color w:val="000000"/>
          <w:sz w:val="24"/>
          <w:szCs w:val="24"/>
        </w:rPr>
      </w:pPr>
      <w:r w:rsidRPr="009868D8">
        <w:rPr>
          <w:rFonts w:cs="Arial"/>
          <w:color w:val="000000"/>
          <w:sz w:val="24"/>
          <w:szCs w:val="24"/>
        </w:rPr>
        <w:t>To achieve this outcome, initiatives should focus on engaging pupils in whole school approaches. We will also welcome approaches that:</w:t>
      </w:r>
    </w:p>
    <w:p w14:paraId="5C692C28" w14:textId="77777777" w:rsidR="009868D8" w:rsidRPr="009868D8" w:rsidRDefault="009868D8" w:rsidP="00C976A2">
      <w:pPr>
        <w:pStyle w:val="Numbered"/>
        <w:widowControl/>
        <w:numPr>
          <w:ilvl w:val="0"/>
          <w:numId w:val="41"/>
        </w:numPr>
        <w:spacing w:line="288" w:lineRule="auto"/>
        <w:rPr>
          <w:rFonts w:cs="Arial"/>
          <w:color w:val="000000"/>
          <w:sz w:val="24"/>
          <w:szCs w:val="24"/>
        </w:rPr>
      </w:pPr>
      <w:r w:rsidRPr="009868D8">
        <w:rPr>
          <w:rFonts w:cs="Arial"/>
          <w:color w:val="000000"/>
          <w:sz w:val="24"/>
          <w:szCs w:val="24"/>
        </w:rPr>
        <w:t xml:space="preserve">strengthen pupil referrals to existing school and community support services </w:t>
      </w:r>
    </w:p>
    <w:p w14:paraId="49CFD9C4" w14:textId="77777777" w:rsidR="009868D8" w:rsidRPr="009868D8" w:rsidRDefault="009868D8" w:rsidP="00C976A2">
      <w:pPr>
        <w:pStyle w:val="Numbered"/>
        <w:widowControl/>
        <w:numPr>
          <w:ilvl w:val="0"/>
          <w:numId w:val="41"/>
        </w:numPr>
        <w:spacing w:line="288" w:lineRule="auto"/>
        <w:rPr>
          <w:rFonts w:cs="Arial"/>
          <w:color w:val="000000"/>
          <w:sz w:val="24"/>
          <w:szCs w:val="24"/>
        </w:rPr>
      </w:pPr>
      <w:r w:rsidRPr="009868D8">
        <w:rPr>
          <w:rFonts w:cs="Arial"/>
          <w:color w:val="000000"/>
          <w:sz w:val="24"/>
          <w:szCs w:val="24"/>
        </w:rPr>
        <w:t xml:space="preserve">or provide direct support to pupils experiencing bullying or issues associated with pupils’ LGB or T identity </w:t>
      </w:r>
    </w:p>
    <w:p w14:paraId="45E208DF" w14:textId="77777777" w:rsidR="009868D8" w:rsidRPr="009868D8" w:rsidRDefault="009868D8" w:rsidP="00C976A2">
      <w:pPr>
        <w:pStyle w:val="Numbered"/>
        <w:widowControl/>
        <w:spacing w:line="288" w:lineRule="auto"/>
        <w:rPr>
          <w:rFonts w:cs="Arial"/>
          <w:color w:val="000000"/>
          <w:sz w:val="24"/>
          <w:szCs w:val="24"/>
        </w:rPr>
      </w:pPr>
      <w:r w:rsidRPr="009868D8">
        <w:rPr>
          <w:rFonts w:cs="Arial"/>
          <w:color w:val="000000"/>
          <w:sz w:val="24"/>
          <w:szCs w:val="24"/>
        </w:rPr>
        <w:t xml:space="preserve">However, funding will </w:t>
      </w:r>
      <w:r w:rsidRPr="009868D8">
        <w:rPr>
          <w:rFonts w:cs="Arial"/>
          <w:b/>
          <w:color w:val="000000"/>
          <w:sz w:val="24"/>
          <w:szCs w:val="24"/>
          <w:u w:val="single"/>
        </w:rPr>
        <w:t>not</w:t>
      </w:r>
      <w:r w:rsidRPr="009868D8">
        <w:rPr>
          <w:rFonts w:cs="Arial"/>
          <w:color w:val="000000"/>
          <w:sz w:val="24"/>
          <w:szCs w:val="24"/>
        </w:rPr>
        <w:t xml:space="preserve"> be granted for project staff to deliver assemblies or classes. </w:t>
      </w:r>
    </w:p>
    <w:p w14:paraId="0B7B3698" w14:textId="77777777" w:rsidR="009868D8" w:rsidRDefault="009868D8" w:rsidP="00C976A2">
      <w:pPr>
        <w:pStyle w:val="Numbered"/>
        <w:widowControl/>
        <w:spacing w:line="288" w:lineRule="auto"/>
        <w:rPr>
          <w:color w:val="000000"/>
        </w:rPr>
      </w:pPr>
    </w:p>
    <w:p w14:paraId="4F23120A" w14:textId="77777777" w:rsidR="00184EC7" w:rsidRDefault="00184EC7">
      <w:pPr>
        <w:spacing w:after="0" w:line="240" w:lineRule="auto"/>
        <w:rPr>
          <w:rFonts w:cs="Mangal"/>
          <w:b/>
          <w:color w:val="000000"/>
          <w:sz w:val="22"/>
          <w:szCs w:val="22"/>
        </w:rPr>
      </w:pPr>
      <w:r>
        <w:rPr>
          <w:b/>
          <w:color w:val="000000"/>
        </w:rPr>
        <w:br w:type="page"/>
      </w:r>
    </w:p>
    <w:p w14:paraId="10EA280F" w14:textId="1FBA74E4" w:rsidR="009868D8" w:rsidRPr="005C6516" w:rsidRDefault="009868D8" w:rsidP="00C976A2">
      <w:pPr>
        <w:pStyle w:val="Numbered"/>
        <w:widowControl/>
        <w:spacing w:line="288" w:lineRule="auto"/>
        <w:rPr>
          <w:b/>
          <w:color w:val="000000"/>
        </w:rPr>
      </w:pPr>
      <w:r>
        <w:rPr>
          <w:b/>
          <w:color w:val="000000"/>
        </w:rPr>
        <w:lastRenderedPageBreak/>
        <w:t xml:space="preserve">DIAGRAM 1: </w:t>
      </w:r>
      <w:r w:rsidRPr="005C6516">
        <w:rPr>
          <w:b/>
          <w:color w:val="000000"/>
        </w:rPr>
        <w:t xml:space="preserve">METHODOLOGY </w:t>
      </w:r>
      <w:r>
        <w:rPr>
          <w:b/>
          <w:color w:val="000000"/>
        </w:rPr>
        <w:t>FOR MEETING REQUIREMENTS AND INTENDED OUTCOMES</w:t>
      </w:r>
    </w:p>
    <w:p w14:paraId="55BFC0AA" w14:textId="57935AB5" w:rsidR="009868D8" w:rsidRDefault="009868D8" w:rsidP="00C976A2">
      <w:pPr>
        <w:rPr>
          <w:lang w:val="en-US"/>
        </w:rPr>
      </w:pPr>
    </w:p>
    <w:p w14:paraId="71C378F7" w14:textId="21207673" w:rsidR="009868D8" w:rsidRPr="00942E86" w:rsidRDefault="009868D8" w:rsidP="00C976A2">
      <w:pPr>
        <w:rPr>
          <w:lang w:val="en-US"/>
        </w:rPr>
      </w:pPr>
      <w:r>
        <w:rPr>
          <w:noProof/>
          <w:color w:val="000000"/>
        </w:rPr>
        <w:drawing>
          <wp:inline distT="0" distB="0" distL="0" distR="0" wp14:anchorId="428F2922" wp14:editId="4A2F1126">
            <wp:extent cx="7056000" cy="5184000"/>
            <wp:effectExtent l="0" t="0" r="0" b="171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4827559" w14:textId="77777777" w:rsidR="00B93840" w:rsidRDefault="00B93840" w:rsidP="00C976A2">
      <w:r>
        <w:br w:type="page"/>
      </w:r>
    </w:p>
    <w:p w14:paraId="4BDCBB10" w14:textId="77777777" w:rsidR="008769A0" w:rsidRDefault="008769A0" w:rsidP="00C976A2">
      <w:pPr>
        <w:pStyle w:val="Heading1"/>
        <w:spacing w:line="288" w:lineRule="auto"/>
      </w:pPr>
      <w:bookmarkStart w:id="11" w:name="_Toc455671170"/>
      <w:r>
        <w:lastRenderedPageBreak/>
        <w:t xml:space="preserve">The </w:t>
      </w:r>
      <w:r w:rsidR="007A1E9B">
        <w:t>a</w:t>
      </w:r>
      <w:r w:rsidRPr="00763F44">
        <w:t>pplication</w:t>
      </w:r>
      <w:r>
        <w:t xml:space="preserve"> </w:t>
      </w:r>
      <w:r w:rsidR="007A1E9B">
        <w:t>p</w:t>
      </w:r>
      <w:r>
        <w:t>rocess</w:t>
      </w:r>
      <w:bookmarkEnd w:id="11"/>
    </w:p>
    <w:p w14:paraId="6E0125A8" w14:textId="77777777" w:rsidR="008769A0" w:rsidRPr="00B93840" w:rsidRDefault="008769A0" w:rsidP="00C976A2">
      <w:bookmarkStart w:id="12" w:name="_Toc357771641"/>
      <w:bookmarkStart w:id="13" w:name="_Toc346793419"/>
      <w:r w:rsidRPr="00B93840">
        <w:t xml:space="preserve">Organisations must prepare applications in accordance with this document and the application form. All information requested on the application form must be provided to enable your application to be fully considered. </w:t>
      </w:r>
    </w:p>
    <w:p w14:paraId="3D0E9DDC" w14:textId="77777777" w:rsidR="008769A0" w:rsidRPr="00B93840" w:rsidRDefault="008769A0" w:rsidP="00C976A2">
      <w:r w:rsidRPr="00B93840">
        <w:t xml:space="preserve">Your application is not an agreement or contract. Meeting the selection criteria does not guarantee funding. Funding is limited and applications will be assessed and prioritised according to the extent to which they meet the selection criteria. Only high quality applications are likely to be considered for funding. </w:t>
      </w:r>
    </w:p>
    <w:p w14:paraId="74CAD643" w14:textId="77777777" w:rsidR="008769A0" w:rsidRPr="00B93840" w:rsidRDefault="008769A0" w:rsidP="00C976A2">
      <w:pPr>
        <w:pStyle w:val="Heading2"/>
        <w:spacing w:before="0" w:line="288" w:lineRule="auto"/>
      </w:pPr>
      <w:bookmarkStart w:id="14" w:name="_Toc455671171"/>
      <w:r w:rsidRPr="00B93840">
        <w:t xml:space="preserve">How to </w:t>
      </w:r>
      <w:r w:rsidR="007A1E9B">
        <w:t>a</w:t>
      </w:r>
      <w:r w:rsidRPr="00B93840">
        <w:t>pply</w:t>
      </w:r>
      <w:bookmarkEnd w:id="14"/>
    </w:p>
    <w:p w14:paraId="248AC446" w14:textId="2AE228C6" w:rsidR="008321FB" w:rsidRDefault="008769A0" w:rsidP="00C976A2">
      <w:r w:rsidRPr="00B93840">
        <w:t xml:space="preserve">Eligible organisations must submit a bid using the application form </w:t>
      </w:r>
      <w:r w:rsidR="003C0551">
        <w:t xml:space="preserve">available </w:t>
      </w:r>
      <w:r w:rsidR="001253BD">
        <w:t>on</w:t>
      </w:r>
      <w:r w:rsidR="00C976A2">
        <w:t xml:space="preserve"> </w:t>
      </w:r>
      <w:hyperlink r:id="rId20" w:history="1">
        <w:r w:rsidR="00C976A2">
          <w:rPr>
            <w:rStyle w:val="Hyperlink"/>
          </w:rPr>
          <w:t>Contract Fi</w:t>
        </w:r>
        <w:r w:rsidR="00C976A2" w:rsidRPr="00C976A2">
          <w:rPr>
            <w:rStyle w:val="Hyperlink"/>
          </w:rPr>
          <w:t>nder</w:t>
        </w:r>
      </w:hyperlink>
      <w:r w:rsidR="001253BD">
        <w:t xml:space="preserve"> alongside this guidance</w:t>
      </w:r>
      <w:r w:rsidRPr="00D9750B">
        <w:t>.</w:t>
      </w:r>
      <w:r w:rsidRPr="00B93840">
        <w:t xml:space="preserve"> </w:t>
      </w:r>
      <w:r w:rsidR="00AB0672">
        <w:rPr>
          <w:bCs/>
        </w:rPr>
        <w:t>The application form must be</w:t>
      </w:r>
      <w:r w:rsidRPr="00B93840">
        <w:t xml:space="preserve"> submitted in a format that is compatible with Word 2003/ PDF. The maximum size for </w:t>
      </w:r>
      <w:r w:rsidR="00C9078F">
        <w:t xml:space="preserve">email </w:t>
      </w:r>
      <w:r w:rsidRPr="00B93840">
        <w:t xml:space="preserve">attachments is 5MB. </w:t>
      </w:r>
      <w:bookmarkStart w:id="15" w:name="_Toc447721513"/>
    </w:p>
    <w:p w14:paraId="7A9875B0" w14:textId="77777777" w:rsidR="008769A0" w:rsidRPr="00B93840" w:rsidRDefault="008769A0" w:rsidP="00C976A2">
      <w:pPr>
        <w:pStyle w:val="Heading3"/>
        <w:spacing w:before="0" w:line="288" w:lineRule="auto"/>
      </w:pPr>
      <w:bookmarkStart w:id="16" w:name="_Toc447898543"/>
      <w:bookmarkStart w:id="17" w:name="_Toc455671172"/>
      <w:r w:rsidRPr="00B93840">
        <w:t>Supporting documentation</w:t>
      </w:r>
      <w:bookmarkEnd w:id="15"/>
      <w:bookmarkEnd w:id="16"/>
      <w:bookmarkEnd w:id="17"/>
      <w:r w:rsidRPr="00B93840">
        <w:t xml:space="preserve"> </w:t>
      </w:r>
    </w:p>
    <w:p w14:paraId="4CC2110C" w14:textId="77777777" w:rsidR="00C976A2" w:rsidRDefault="008769A0" w:rsidP="00C976A2">
      <w:pPr>
        <w:rPr>
          <w:color w:val="1F497D"/>
        </w:rPr>
      </w:pPr>
      <w:r w:rsidRPr="00B93840">
        <w:t xml:space="preserve">Please submit your application form by e-mail </w:t>
      </w:r>
      <w:r w:rsidRPr="00C976A2">
        <w:t xml:space="preserve">to </w:t>
      </w:r>
      <w:hyperlink r:id="rId21" w:history="1">
        <w:r w:rsidR="00C976A2" w:rsidRPr="00C976A2">
          <w:rPr>
            <w:rStyle w:val="Hyperlink"/>
          </w:rPr>
          <w:t>LGBT.team@geo.gov.uk</w:t>
        </w:r>
      </w:hyperlink>
      <w:r w:rsidR="00C976A2" w:rsidRPr="00C976A2">
        <w:rPr>
          <w:color w:val="1F497D"/>
        </w:rPr>
        <w:t>.</w:t>
      </w:r>
      <w:r w:rsidR="00C976A2">
        <w:rPr>
          <w:color w:val="1F497D"/>
        </w:rPr>
        <w:t xml:space="preserve"> </w:t>
      </w:r>
    </w:p>
    <w:p w14:paraId="68AFB6B0" w14:textId="6765F056" w:rsidR="008769A0" w:rsidRPr="00AB0672" w:rsidRDefault="008769A0" w:rsidP="00C976A2">
      <w:r w:rsidRPr="00AD45EE">
        <w:t xml:space="preserve">Your proposal must arrive by </w:t>
      </w:r>
      <w:r w:rsidR="000740FB" w:rsidRPr="00C976A2">
        <w:rPr>
          <w:b/>
        </w:rPr>
        <w:t>noon on 5 August</w:t>
      </w:r>
      <w:r w:rsidR="00D9750B" w:rsidRPr="00C976A2">
        <w:rPr>
          <w:b/>
        </w:rPr>
        <w:t xml:space="preserve"> 2016</w:t>
      </w:r>
      <w:r w:rsidRPr="00AD45EE">
        <w:t xml:space="preserve">. You will receive an automatic email response letting you know that your bid has arrived with us. Late proposals will </w:t>
      </w:r>
      <w:r w:rsidRPr="00AD45EE">
        <w:rPr>
          <w:u w:val="single"/>
        </w:rPr>
        <w:t>not</w:t>
      </w:r>
      <w:r w:rsidRPr="007A1E9B">
        <w:t xml:space="preserve"> </w:t>
      </w:r>
      <w:r w:rsidRPr="00AD45EE">
        <w:t xml:space="preserve">be considered so please factor in the time it takes to receive your e-mail. We will aim to announce the final results </w:t>
      </w:r>
      <w:r w:rsidR="00D9750B">
        <w:t>of</w:t>
      </w:r>
      <w:r w:rsidRPr="00AD45EE">
        <w:t xml:space="preserve"> the competition by </w:t>
      </w:r>
      <w:r w:rsidR="000740FB">
        <w:t xml:space="preserve">end of August </w:t>
      </w:r>
      <w:r w:rsidRPr="00AD45EE">
        <w:t xml:space="preserve">(see timetable below for key stages of the application process). This is a guide and, whilst the </w:t>
      </w:r>
      <w:r w:rsidR="003A7133">
        <w:t>d</w:t>
      </w:r>
      <w:r w:rsidRPr="00AD45EE">
        <w:t>epartment does not intend to depart from the timetable, we reserve the right to do so at any time.</w:t>
      </w:r>
      <w:bookmarkEnd w:id="12"/>
      <w:bookmarkEnd w:id="13"/>
    </w:p>
    <w:p w14:paraId="3800614B" w14:textId="77777777" w:rsidR="008769A0" w:rsidRDefault="008769A0" w:rsidP="00C976A2">
      <w:pPr>
        <w:pStyle w:val="Heading3"/>
        <w:spacing w:before="0" w:line="288" w:lineRule="auto"/>
      </w:pPr>
      <w:bookmarkStart w:id="18" w:name="_Toc447721514"/>
      <w:bookmarkStart w:id="19" w:name="_Toc447898544"/>
      <w:bookmarkStart w:id="20" w:name="_Toc455671173"/>
      <w:r>
        <w:t>Timetable</w:t>
      </w:r>
      <w:bookmarkEnd w:id="18"/>
      <w:bookmarkEnd w:id="19"/>
      <w:bookmarkEnd w:id="20"/>
    </w:p>
    <w:p w14:paraId="01A14E8B" w14:textId="77777777" w:rsidR="008769A0" w:rsidRDefault="008769A0" w:rsidP="00C976A2">
      <w:bookmarkStart w:id="21" w:name="_Toc357771679"/>
      <w:bookmarkStart w:id="22" w:name="_Toc346793420"/>
      <w:r>
        <w:t xml:space="preserve">Set out below is the proposed timetable for organisations interested in bidding. This is a guide and, whilst the </w:t>
      </w:r>
      <w:r w:rsidR="003A7133">
        <w:t>d</w:t>
      </w:r>
      <w:r>
        <w:t xml:space="preserve">epartment does not intend to depart from the timetable, we reserve the right to do so at any time.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389"/>
      </w:tblGrid>
      <w:tr w:rsidR="008769A0" w:rsidRPr="00AD45EE" w14:paraId="4A17EC87" w14:textId="77777777" w:rsidTr="00771A90">
        <w:trPr>
          <w:trHeight w:val="159"/>
        </w:trPr>
        <w:tc>
          <w:tcPr>
            <w:tcW w:w="6629" w:type="dxa"/>
          </w:tcPr>
          <w:p w14:paraId="244EEB3C" w14:textId="77777777" w:rsidR="008769A0" w:rsidRPr="00AD45EE" w:rsidRDefault="008769A0" w:rsidP="00C976A2">
            <w:pPr>
              <w:pStyle w:val="TableRow"/>
              <w:spacing w:before="0" w:after="240" w:line="288" w:lineRule="auto"/>
            </w:pPr>
            <w:r>
              <w:t>Fund opens for applications</w:t>
            </w:r>
            <w:r w:rsidRPr="00AD45EE">
              <w:t xml:space="preserve"> </w:t>
            </w:r>
          </w:p>
        </w:tc>
        <w:tc>
          <w:tcPr>
            <w:tcW w:w="2389" w:type="dxa"/>
          </w:tcPr>
          <w:p w14:paraId="02A3343E" w14:textId="77777777" w:rsidR="008769A0" w:rsidRPr="00AD45EE" w:rsidRDefault="000740FB" w:rsidP="00C976A2">
            <w:pPr>
              <w:pStyle w:val="TableRow"/>
              <w:spacing w:before="0" w:after="240" w:line="288" w:lineRule="auto"/>
            </w:pPr>
            <w:r>
              <w:t>8 July</w:t>
            </w:r>
            <w:r w:rsidR="008769A0">
              <w:t xml:space="preserve"> 2016</w:t>
            </w:r>
          </w:p>
        </w:tc>
      </w:tr>
      <w:tr w:rsidR="008769A0" w:rsidRPr="00AD45EE" w14:paraId="4A07B273" w14:textId="77777777" w:rsidTr="00771A90">
        <w:trPr>
          <w:trHeight w:val="297"/>
        </w:trPr>
        <w:tc>
          <w:tcPr>
            <w:tcW w:w="6629" w:type="dxa"/>
          </w:tcPr>
          <w:p w14:paraId="12D9C982" w14:textId="77777777" w:rsidR="008769A0" w:rsidRPr="00AD45EE" w:rsidRDefault="008769A0" w:rsidP="00C976A2">
            <w:pPr>
              <w:pStyle w:val="TableRow"/>
              <w:spacing w:before="0" w:after="240" w:line="288" w:lineRule="auto"/>
            </w:pPr>
            <w:r w:rsidRPr="00AD45EE">
              <w:t xml:space="preserve">Deadline for organisations to submit proposals to </w:t>
            </w:r>
            <w:proofErr w:type="spellStart"/>
            <w:r w:rsidRPr="00AD45EE">
              <w:t>DfE</w:t>
            </w:r>
            <w:proofErr w:type="spellEnd"/>
            <w:r w:rsidRPr="00AD45EE">
              <w:t xml:space="preserve"> </w:t>
            </w:r>
          </w:p>
        </w:tc>
        <w:tc>
          <w:tcPr>
            <w:tcW w:w="2389" w:type="dxa"/>
          </w:tcPr>
          <w:p w14:paraId="4814337A" w14:textId="77777777" w:rsidR="008769A0" w:rsidRPr="00AD45EE" w:rsidRDefault="008769A0" w:rsidP="00C976A2">
            <w:pPr>
              <w:pStyle w:val="TableRow"/>
              <w:spacing w:before="0" w:after="240" w:line="288" w:lineRule="auto"/>
            </w:pPr>
            <w:r w:rsidRPr="00AD45EE">
              <w:t xml:space="preserve">Noon </w:t>
            </w:r>
            <w:r w:rsidR="000740FB">
              <w:t>5 August</w:t>
            </w:r>
            <w:r>
              <w:t xml:space="preserve"> 2016</w:t>
            </w:r>
            <w:r w:rsidRPr="00AD45EE">
              <w:t xml:space="preserve"> </w:t>
            </w:r>
          </w:p>
        </w:tc>
      </w:tr>
      <w:tr w:rsidR="008769A0" w:rsidRPr="00AD45EE" w14:paraId="363D6A8B" w14:textId="77777777" w:rsidTr="00771A90">
        <w:trPr>
          <w:trHeight w:val="297"/>
        </w:trPr>
        <w:tc>
          <w:tcPr>
            <w:tcW w:w="6629" w:type="dxa"/>
          </w:tcPr>
          <w:p w14:paraId="2455CB88" w14:textId="77777777" w:rsidR="008769A0" w:rsidRPr="00AD45EE" w:rsidRDefault="008769A0" w:rsidP="00C976A2">
            <w:pPr>
              <w:pStyle w:val="TableRow"/>
              <w:spacing w:before="0" w:after="240" w:line="288" w:lineRule="auto"/>
            </w:pPr>
            <w:r>
              <w:t>A</w:t>
            </w:r>
            <w:r w:rsidRPr="00AD45EE">
              <w:t xml:space="preserve">pplicants notified </w:t>
            </w:r>
            <w:r>
              <w:t xml:space="preserve">of results of bids </w:t>
            </w:r>
          </w:p>
        </w:tc>
        <w:tc>
          <w:tcPr>
            <w:tcW w:w="2389" w:type="dxa"/>
          </w:tcPr>
          <w:p w14:paraId="0A6DED83" w14:textId="77777777" w:rsidR="008769A0" w:rsidRPr="00AD45EE" w:rsidRDefault="000740FB" w:rsidP="00C976A2">
            <w:pPr>
              <w:pStyle w:val="TableRow"/>
              <w:spacing w:before="0" w:after="240" w:line="288" w:lineRule="auto"/>
            </w:pPr>
            <w:r>
              <w:t>21 August</w:t>
            </w:r>
            <w:r w:rsidR="00771A90">
              <w:t xml:space="preserve"> </w:t>
            </w:r>
            <w:r w:rsidR="008769A0">
              <w:t>2016</w:t>
            </w:r>
            <w:r w:rsidR="008769A0" w:rsidRPr="00AD45EE">
              <w:t xml:space="preserve"> </w:t>
            </w:r>
          </w:p>
        </w:tc>
      </w:tr>
      <w:tr w:rsidR="003A7133" w:rsidRPr="00AD45EE" w14:paraId="4C5DF08D" w14:textId="77777777" w:rsidTr="00771A90">
        <w:trPr>
          <w:trHeight w:val="297"/>
        </w:trPr>
        <w:tc>
          <w:tcPr>
            <w:tcW w:w="6629" w:type="dxa"/>
          </w:tcPr>
          <w:p w14:paraId="6D2D39EC" w14:textId="77777777" w:rsidR="003A7133" w:rsidRDefault="003A7133" w:rsidP="00C976A2">
            <w:pPr>
              <w:pStyle w:val="TableRow"/>
              <w:spacing w:before="0" w:after="240" w:line="288" w:lineRule="auto"/>
            </w:pPr>
            <w:r>
              <w:t>Work plans negotiated and agreed with successful bidders</w:t>
            </w:r>
          </w:p>
        </w:tc>
        <w:tc>
          <w:tcPr>
            <w:tcW w:w="2389" w:type="dxa"/>
          </w:tcPr>
          <w:p w14:paraId="7B14145B" w14:textId="77777777" w:rsidR="003A7133" w:rsidRDefault="000740FB" w:rsidP="00C976A2">
            <w:pPr>
              <w:pStyle w:val="TableRow"/>
              <w:spacing w:before="0" w:after="240" w:line="288" w:lineRule="auto"/>
            </w:pPr>
            <w:r>
              <w:t>August</w:t>
            </w:r>
            <w:r w:rsidR="003A7133">
              <w:t xml:space="preserve"> 2016</w:t>
            </w:r>
          </w:p>
        </w:tc>
      </w:tr>
      <w:tr w:rsidR="008769A0" w:rsidRPr="00AD45EE" w14:paraId="78255AF0" w14:textId="77777777" w:rsidTr="00771A90">
        <w:trPr>
          <w:trHeight w:val="159"/>
        </w:trPr>
        <w:tc>
          <w:tcPr>
            <w:tcW w:w="6629" w:type="dxa"/>
          </w:tcPr>
          <w:p w14:paraId="4AE2370D" w14:textId="77777777" w:rsidR="008769A0" w:rsidRPr="00AD45EE" w:rsidRDefault="008769A0" w:rsidP="00C976A2">
            <w:pPr>
              <w:pStyle w:val="TableRow"/>
              <w:spacing w:before="0" w:after="240" w:line="288" w:lineRule="auto"/>
            </w:pPr>
            <w:r w:rsidRPr="00AD45EE">
              <w:t xml:space="preserve">Grant Funding Agreements agreed and signed </w:t>
            </w:r>
          </w:p>
        </w:tc>
        <w:tc>
          <w:tcPr>
            <w:tcW w:w="2389" w:type="dxa"/>
          </w:tcPr>
          <w:p w14:paraId="6366C1CA" w14:textId="77777777" w:rsidR="008769A0" w:rsidRPr="00AD45EE" w:rsidRDefault="000740FB" w:rsidP="00C976A2">
            <w:pPr>
              <w:pStyle w:val="TableRow"/>
              <w:spacing w:before="0" w:after="240" w:line="288" w:lineRule="auto"/>
            </w:pPr>
            <w:r>
              <w:t xml:space="preserve">September </w:t>
            </w:r>
            <w:r w:rsidR="008769A0">
              <w:t>2016</w:t>
            </w:r>
            <w:r w:rsidR="008769A0" w:rsidRPr="00AD45EE">
              <w:t xml:space="preserve"> </w:t>
            </w:r>
          </w:p>
        </w:tc>
      </w:tr>
      <w:tr w:rsidR="008769A0" w:rsidRPr="00AD45EE" w14:paraId="5D2763D9" w14:textId="77777777" w:rsidTr="00771A90">
        <w:trPr>
          <w:trHeight w:val="159"/>
        </w:trPr>
        <w:tc>
          <w:tcPr>
            <w:tcW w:w="6629" w:type="dxa"/>
          </w:tcPr>
          <w:p w14:paraId="4C1EB35B" w14:textId="77777777" w:rsidR="008769A0" w:rsidRPr="00AD45EE" w:rsidRDefault="008769A0" w:rsidP="00C976A2">
            <w:pPr>
              <w:pStyle w:val="TableRow"/>
              <w:spacing w:before="0" w:after="240" w:line="288" w:lineRule="auto"/>
            </w:pPr>
            <w:r w:rsidRPr="00AD45EE">
              <w:t xml:space="preserve">Funded activity begins </w:t>
            </w:r>
          </w:p>
        </w:tc>
        <w:tc>
          <w:tcPr>
            <w:tcW w:w="2389" w:type="dxa"/>
          </w:tcPr>
          <w:p w14:paraId="50D381CD" w14:textId="77777777" w:rsidR="008769A0" w:rsidRPr="00AD45EE" w:rsidRDefault="000740FB" w:rsidP="00C976A2">
            <w:pPr>
              <w:pStyle w:val="TableRow"/>
              <w:spacing w:before="0" w:after="240" w:line="288" w:lineRule="auto"/>
            </w:pPr>
            <w:r>
              <w:t>September</w:t>
            </w:r>
            <w:r w:rsidR="008769A0">
              <w:t xml:space="preserve"> 2016</w:t>
            </w:r>
          </w:p>
        </w:tc>
      </w:tr>
    </w:tbl>
    <w:p w14:paraId="43DEC588" w14:textId="21D658AE" w:rsidR="003C2E5E" w:rsidRPr="00506B9B" w:rsidRDefault="003C2E5E" w:rsidP="00C976A2">
      <w:pPr>
        <w:pStyle w:val="Heading3"/>
        <w:spacing w:before="0" w:line="288" w:lineRule="auto"/>
      </w:pPr>
      <w:bookmarkStart w:id="23" w:name="_Toc447721516"/>
      <w:bookmarkStart w:id="24" w:name="_Toc447898546"/>
      <w:bookmarkStart w:id="25" w:name="_Toc455671174"/>
      <w:bookmarkEnd w:id="21"/>
      <w:bookmarkEnd w:id="22"/>
      <w:r w:rsidRPr="00506B9B">
        <w:lastRenderedPageBreak/>
        <w:t>Inducements</w:t>
      </w:r>
      <w:bookmarkEnd w:id="23"/>
      <w:bookmarkEnd w:id="24"/>
      <w:bookmarkEnd w:id="25"/>
      <w:r w:rsidRPr="00506B9B">
        <w:t xml:space="preserve"> </w:t>
      </w:r>
    </w:p>
    <w:p w14:paraId="544CCF2B" w14:textId="77777777" w:rsidR="003C2E5E" w:rsidRDefault="003C2E5E" w:rsidP="00C976A2">
      <w:r>
        <w:t xml:space="preserve">Offering an inducement of any kind in relation to obtaining this or any other grant with the </w:t>
      </w:r>
      <w:r w:rsidR="00506B9B">
        <w:t>d</w:t>
      </w:r>
      <w:r>
        <w:t xml:space="preserve">epartment will disqualify your application from being considered and may constitute a criminal offence. </w:t>
      </w:r>
    </w:p>
    <w:p w14:paraId="21B47984" w14:textId="77777777" w:rsidR="003C2E5E" w:rsidRPr="00506B9B" w:rsidRDefault="003C2E5E" w:rsidP="00C976A2">
      <w:pPr>
        <w:pStyle w:val="Heading3"/>
        <w:spacing w:before="0" w:line="288" w:lineRule="auto"/>
      </w:pPr>
      <w:bookmarkStart w:id="26" w:name="_Toc447721517"/>
      <w:bookmarkStart w:id="27" w:name="_Toc447898547"/>
      <w:bookmarkStart w:id="28" w:name="_Toc455671175"/>
      <w:r w:rsidRPr="00506B9B">
        <w:t xml:space="preserve">Costs and </w:t>
      </w:r>
      <w:r w:rsidR="007A1E9B">
        <w:t>e</w:t>
      </w:r>
      <w:r w:rsidRPr="00506B9B">
        <w:t>xpenses</w:t>
      </w:r>
      <w:bookmarkEnd w:id="26"/>
      <w:bookmarkEnd w:id="27"/>
      <w:bookmarkEnd w:id="28"/>
      <w:r w:rsidRPr="00506B9B">
        <w:t xml:space="preserve"> </w:t>
      </w:r>
    </w:p>
    <w:p w14:paraId="23A68F14" w14:textId="77777777" w:rsidR="003C2E5E" w:rsidRDefault="003C2E5E" w:rsidP="00C976A2">
      <w:r>
        <w:t xml:space="preserve">You will not be entitled to claim from the </w:t>
      </w:r>
      <w:r w:rsidR="00506B9B">
        <w:t>d</w:t>
      </w:r>
      <w:r>
        <w:t xml:space="preserve">epartment any costs or expenses which you may incur in preparing your proposal whether or not your proposal is successful. </w:t>
      </w:r>
    </w:p>
    <w:p w14:paraId="47CBA8BD" w14:textId="77777777" w:rsidR="003C2E5E" w:rsidRPr="00506B9B" w:rsidRDefault="003C2E5E" w:rsidP="00C976A2">
      <w:pPr>
        <w:pStyle w:val="Heading3"/>
        <w:spacing w:before="0" w:line="288" w:lineRule="auto"/>
      </w:pPr>
      <w:bookmarkStart w:id="29" w:name="_Toc447721518"/>
      <w:bookmarkStart w:id="30" w:name="_Toc447898548"/>
      <w:bookmarkStart w:id="31" w:name="_Toc455671176"/>
      <w:r w:rsidRPr="00506B9B">
        <w:t>Feedback</w:t>
      </w:r>
      <w:bookmarkEnd w:id="29"/>
      <w:bookmarkEnd w:id="30"/>
      <w:bookmarkEnd w:id="31"/>
      <w:r w:rsidRPr="00506B9B">
        <w:t xml:space="preserve"> </w:t>
      </w:r>
    </w:p>
    <w:p w14:paraId="6B153685" w14:textId="77777777" w:rsidR="003C2E5E" w:rsidRDefault="003C2E5E" w:rsidP="00C976A2">
      <w:r>
        <w:t xml:space="preserve">Following the award of grants, feedback will be available to unsuccessful bidders on request. </w:t>
      </w:r>
    </w:p>
    <w:p w14:paraId="27D980AF" w14:textId="77777777" w:rsidR="003C2E5E" w:rsidRPr="00506B9B" w:rsidRDefault="003C2E5E" w:rsidP="00C976A2">
      <w:pPr>
        <w:pStyle w:val="Heading3"/>
        <w:spacing w:before="0" w:line="288" w:lineRule="auto"/>
      </w:pPr>
      <w:bookmarkStart w:id="32" w:name="_Toc447721519"/>
      <w:bookmarkStart w:id="33" w:name="_Toc447898549"/>
      <w:bookmarkStart w:id="34" w:name="_Toc455671177"/>
      <w:r w:rsidRPr="00506B9B">
        <w:t xml:space="preserve">Freedom of </w:t>
      </w:r>
      <w:r w:rsidR="007A1E9B">
        <w:t>i</w:t>
      </w:r>
      <w:r w:rsidRPr="00506B9B">
        <w:t>nformation</w:t>
      </w:r>
      <w:bookmarkEnd w:id="32"/>
      <w:bookmarkEnd w:id="33"/>
      <w:bookmarkEnd w:id="34"/>
      <w:r w:rsidRPr="00506B9B">
        <w:t xml:space="preserve"> </w:t>
      </w:r>
    </w:p>
    <w:p w14:paraId="5E2A707F" w14:textId="77777777" w:rsidR="003C2E5E" w:rsidRDefault="003C2E5E" w:rsidP="00C976A2">
      <w:r>
        <w:t xml:space="preserve">The </w:t>
      </w:r>
      <w:r w:rsidR="00506B9B">
        <w:t>d</w:t>
      </w:r>
      <w:r>
        <w:t xml:space="preserve">epartment is committed to open government and to meeting its responsibilities under the Freedom of Information Act 2000. Accordingly, all information submitted to the </w:t>
      </w:r>
      <w:r w:rsidR="00506B9B">
        <w:t>d</w:t>
      </w:r>
      <w:r>
        <w:t xml:space="preserve">epartment may need to be disclosed in response to a request under the Act. If you consider that any of the information included in your proposal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the </w:t>
      </w:r>
      <w:r w:rsidR="00506B9B">
        <w:t>d</w:t>
      </w:r>
      <w:r>
        <w:t xml:space="preserve">epartment should not be taken to mean that we accept any duty of confidence by virtue of that marking. If a request is received, we may also be required to disclose details of unsuccessful proposals. </w:t>
      </w:r>
    </w:p>
    <w:p w14:paraId="1D2A9773" w14:textId="77777777" w:rsidR="003C2E5E" w:rsidRPr="00506B9B" w:rsidRDefault="003C2E5E" w:rsidP="00C976A2">
      <w:pPr>
        <w:pStyle w:val="Heading3"/>
        <w:spacing w:before="0" w:line="288" w:lineRule="auto"/>
      </w:pPr>
      <w:bookmarkStart w:id="35" w:name="_Toc447721520"/>
      <w:bookmarkStart w:id="36" w:name="_Toc447898550"/>
      <w:bookmarkStart w:id="37" w:name="_Toc455671178"/>
      <w:r w:rsidRPr="00506B9B">
        <w:t xml:space="preserve">Management </w:t>
      </w:r>
      <w:r w:rsidR="007A1E9B">
        <w:t>i</w:t>
      </w:r>
      <w:r w:rsidRPr="00506B9B">
        <w:t>nformation</w:t>
      </w:r>
      <w:bookmarkEnd w:id="35"/>
      <w:bookmarkEnd w:id="36"/>
      <w:bookmarkEnd w:id="37"/>
      <w:r w:rsidRPr="00506B9B">
        <w:t xml:space="preserve"> </w:t>
      </w:r>
    </w:p>
    <w:p w14:paraId="0600CC0E" w14:textId="77777777" w:rsidR="00EA5783" w:rsidRPr="0080050F" w:rsidRDefault="00EA5783" w:rsidP="00C976A2">
      <w:pPr>
        <w:pStyle w:val="Numbered"/>
        <w:widowControl/>
        <w:spacing w:line="288" w:lineRule="auto"/>
        <w:rPr>
          <w:i/>
          <w:color w:val="000000"/>
          <w:sz w:val="24"/>
          <w:szCs w:val="24"/>
        </w:rPr>
      </w:pPr>
      <w:r w:rsidRPr="0080050F">
        <w:rPr>
          <w:sz w:val="24"/>
          <w:szCs w:val="24"/>
        </w:rPr>
        <w:t>The successful grant recipients will be asked to provide management information to meet the needs of the Department. These will be subject to further negotiation but the Department’s minimum information needs are:</w:t>
      </w:r>
    </w:p>
    <w:p w14:paraId="67A0EE2E" w14:textId="77777777" w:rsidR="00EA5783" w:rsidRPr="0080050F" w:rsidRDefault="00EA5783" w:rsidP="00C976A2">
      <w:pPr>
        <w:numPr>
          <w:ilvl w:val="1"/>
          <w:numId w:val="32"/>
        </w:numPr>
        <w:autoSpaceDN w:val="0"/>
        <w:ind w:left="714" w:hanging="357"/>
        <w:contextualSpacing/>
        <w:rPr>
          <w:lang w:eastAsia="en-US"/>
        </w:rPr>
      </w:pPr>
      <w:r w:rsidRPr="0080050F">
        <w:rPr>
          <w:lang w:eastAsia="en-US"/>
        </w:rPr>
        <w:t>Quarterly written reports on achievement of key outputs and milestones as set out in the Delivery Plan, which will be agreed between the department and grant recipients</w:t>
      </w:r>
    </w:p>
    <w:p w14:paraId="23DE4449" w14:textId="77777777" w:rsidR="00EA5783" w:rsidRPr="0080050F" w:rsidRDefault="00EA5783" w:rsidP="00C976A2">
      <w:pPr>
        <w:numPr>
          <w:ilvl w:val="1"/>
          <w:numId w:val="32"/>
        </w:numPr>
        <w:autoSpaceDN w:val="0"/>
        <w:ind w:left="714" w:hanging="357"/>
        <w:contextualSpacing/>
        <w:rPr>
          <w:lang w:eastAsia="en-US"/>
        </w:rPr>
      </w:pPr>
      <w:r w:rsidRPr="0080050F">
        <w:rPr>
          <w:lang w:eastAsia="en-US"/>
        </w:rPr>
        <w:t>Regular monitoring data</w:t>
      </w:r>
    </w:p>
    <w:p w14:paraId="20EE7BBD" w14:textId="77777777" w:rsidR="00EA5783" w:rsidRPr="0080050F" w:rsidRDefault="00EA5783" w:rsidP="00C976A2">
      <w:pPr>
        <w:numPr>
          <w:ilvl w:val="1"/>
          <w:numId w:val="32"/>
        </w:numPr>
        <w:autoSpaceDN w:val="0"/>
        <w:ind w:left="714" w:hanging="357"/>
        <w:contextualSpacing/>
        <w:rPr>
          <w:lang w:eastAsia="en-US"/>
        </w:rPr>
      </w:pPr>
      <w:r w:rsidRPr="0080050F">
        <w:rPr>
          <w:lang w:eastAsia="en-US"/>
        </w:rPr>
        <w:t xml:space="preserve">Two meetings per grant-funded year with </w:t>
      </w:r>
      <w:proofErr w:type="spellStart"/>
      <w:r w:rsidRPr="0080050F">
        <w:rPr>
          <w:lang w:eastAsia="en-US"/>
        </w:rPr>
        <w:t>DfE</w:t>
      </w:r>
      <w:proofErr w:type="spellEnd"/>
      <w:r w:rsidRPr="0080050F">
        <w:rPr>
          <w:lang w:eastAsia="en-US"/>
        </w:rPr>
        <w:t xml:space="preserve"> policy leads to review overall performance, including progress the grant-funded organisation is making towards securing financial sustainability for the project once </w:t>
      </w:r>
      <w:proofErr w:type="spellStart"/>
      <w:r w:rsidRPr="0080050F">
        <w:rPr>
          <w:lang w:eastAsia="en-US"/>
        </w:rPr>
        <w:t>DfE</w:t>
      </w:r>
      <w:proofErr w:type="spellEnd"/>
      <w:r w:rsidRPr="0080050F">
        <w:rPr>
          <w:lang w:eastAsia="en-US"/>
        </w:rPr>
        <w:t xml:space="preserve"> funding ends.</w:t>
      </w:r>
    </w:p>
    <w:p w14:paraId="780DC59E" w14:textId="77777777" w:rsidR="00EA5783" w:rsidRPr="0080050F" w:rsidRDefault="00EA5783" w:rsidP="00C976A2"/>
    <w:p w14:paraId="436334EF" w14:textId="77777777" w:rsidR="00EA5783" w:rsidRPr="0080050F" w:rsidRDefault="00EA5783" w:rsidP="00C976A2">
      <w:pPr>
        <w:contextualSpacing/>
      </w:pPr>
      <w:r w:rsidRPr="0080050F">
        <w:lastRenderedPageBreak/>
        <w:t xml:space="preserve">The Department expects applicants to set out in their proposal how intended outputs and outcomes (identified as part of the logic model) will be measured. Organisations which are subsequently awarded a grant will be required to provide accurate, timely and robust monitoring data. </w:t>
      </w:r>
    </w:p>
    <w:p w14:paraId="4FF29C73" w14:textId="77777777" w:rsidR="00EA5783" w:rsidRPr="0080050F" w:rsidRDefault="00EA5783" w:rsidP="00C976A2">
      <w:pPr>
        <w:contextualSpacing/>
      </w:pPr>
    </w:p>
    <w:p w14:paraId="2968C9A3" w14:textId="77777777" w:rsidR="00EA5783" w:rsidRPr="0080050F" w:rsidRDefault="00EA5783" w:rsidP="00C976A2">
      <w:pPr>
        <w:rPr>
          <w:u w:val="single"/>
        </w:rPr>
      </w:pPr>
      <w:r w:rsidRPr="0080050F">
        <w:rPr>
          <w:u w:val="single"/>
        </w:rPr>
        <w:t>Independent evaluation</w:t>
      </w:r>
    </w:p>
    <w:p w14:paraId="0A6F785D" w14:textId="77777777" w:rsidR="00635351" w:rsidRPr="0080050F" w:rsidRDefault="00EA5783" w:rsidP="00C976A2">
      <w:pPr>
        <w:contextualSpacing/>
      </w:pPr>
      <w:r w:rsidRPr="0080050F">
        <w:t xml:space="preserve">The Department will be funding an independent evaluation of specific interventions. The evaluation will involve an experimental design which will enable us to determine whether changes in outcomes can be attributed to the intervention. </w:t>
      </w:r>
    </w:p>
    <w:p w14:paraId="3CF69ABE" w14:textId="77777777" w:rsidR="00635351" w:rsidRPr="0080050F" w:rsidRDefault="00635351" w:rsidP="00C976A2">
      <w:pPr>
        <w:contextualSpacing/>
      </w:pPr>
    </w:p>
    <w:p w14:paraId="52567A3B" w14:textId="709AA962" w:rsidR="00EA5783" w:rsidRPr="0080050F" w:rsidRDefault="00635351" w:rsidP="00C976A2">
      <w:r w:rsidRPr="0080050F">
        <w:t xml:space="preserve">Successful applicants will be required to work collaboratively with GEO and the research contractors commissioned by the GEO to </w:t>
      </w:r>
      <w:r w:rsidR="00F16740" w:rsidRPr="0080050F">
        <w:t>conduct and deliver this</w:t>
      </w:r>
      <w:r w:rsidRPr="0080050F">
        <w:t xml:space="preserve"> evaluation. This </w:t>
      </w:r>
      <w:r w:rsidR="00F16740" w:rsidRPr="0080050F">
        <w:t xml:space="preserve">process </w:t>
      </w:r>
      <w:r w:rsidR="00A548D5">
        <w:t xml:space="preserve">is likely to </w:t>
      </w:r>
      <w:r w:rsidRPr="0080050F">
        <w:t>involve the creation of a clear counterfactual (</w:t>
      </w:r>
      <w:proofErr w:type="spellStart"/>
      <w:r w:rsidRPr="0080050F">
        <w:t>ie</w:t>
      </w:r>
      <w:proofErr w:type="spellEnd"/>
      <w:r w:rsidRPr="0080050F">
        <w:t xml:space="preserve"> what would have happened in the absence of an intervention) – and could be achieved through randomisation. This would </w:t>
      </w:r>
      <w:r w:rsidR="00F16740" w:rsidRPr="0080050F">
        <w:t>mean</w:t>
      </w:r>
      <w:r w:rsidRPr="0080050F">
        <w:t xml:space="preserve"> schools across the whole sample will be allocated to one of two groups – early intervention groups (intervention group) or delayed intervention groups (control group). In order to do this effectively, grant recipients may be required to have clearly agreed their sample within the first four months and work carefully with schools to agree a timetable for delivering interventions. </w:t>
      </w:r>
    </w:p>
    <w:p w14:paraId="2CBAF72D" w14:textId="2D2DED0F" w:rsidR="00EA5783" w:rsidRPr="0080050F" w:rsidRDefault="00EA5783" w:rsidP="00C976A2">
      <w:pPr>
        <w:contextualSpacing/>
      </w:pPr>
      <w:r w:rsidRPr="0080050F">
        <w:t xml:space="preserve">Applicants are therefore </w:t>
      </w:r>
      <w:r w:rsidRPr="0080050F">
        <w:rPr>
          <w:b/>
        </w:rPr>
        <w:t>not</w:t>
      </w:r>
      <w:r w:rsidRPr="0080050F">
        <w:t xml:space="preserve"> required to submit a separate evaluation for each initiative.</w:t>
      </w:r>
      <w:bookmarkStart w:id="38" w:name="_Toc447721521"/>
      <w:bookmarkStart w:id="39" w:name="_Toc447898551"/>
    </w:p>
    <w:p w14:paraId="1BA93345" w14:textId="77777777" w:rsidR="00FB5FA3" w:rsidRDefault="00C24E1B" w:rsidP="00C976A2">
      <w:pPr>
        <w:pStyle w:val="Heading3"/>
        <w:spacing w:before="0" w:line="288" w:lineRule="auto"/>
      </w:pPr>
      <w:bookmarkStart w:id="40" w:name="_Toc455671179"/>
      <w:r>
        <w:t>Grant funding agreement</w:t>
      </w:r>
      <w:bookmarkEnd w:id="38"/>
      <w:bookmarkEnd w:id="39"/>
      <w:bookmarkEnd w:id="40"/>
    </w:p>
    <w:p w14:paraId="4520A134" w14:textId="77777777" w:rsidR="00C24E1B" w:rsidRDefault="00C24E1B" w:rsidP="00C976A2">
      <w:r>
        <w:t xml:space="preserve">We will provide all organisations which are successful with the </w:t>
      </w:r>
      <w:proofErr w:type="spellStart"/>
      <w:r>
        <w:t>DfE</w:t>
      </w:r>
      <w:proofErr w:type="spellEnd"/>
      <w:r>
        <w:t xml:space="preserve"> grant funding agreement. This agreement will set out </w:t>
      </w:r>
      <w:r w:rsidRPr="00C24E1B">
        <w:t xml:space="preserve">our expectations of all successful applicants and all bidders will be required to accept the final version in full. A grant funding agreement with each successful organisation will be finalised in </w:t>
      </w:r>
      <w:r w:rsidR="000740FB">
        <w:t>September</w:t>
      </w:r>
      <w:r>
        <w:t xml:space="preserve"> 2016.</w:t>
      </w:r>
    </w:p>
    <w:p w14:paraId="0FD51824" w14:textId="77777777" w:rsidR="00C24E1B" w:rsidRPr="00C24E1B" w:rsidRDefault="00C24E1B" w:rsidP="00C976A2">
      <w:pPr>
        <w:pStyle w:val="Heading3"/>
        <w:spacing w:before="0" w:line="288" w:lineRule="auto"/>
      </w:pPr>
      <w:bookmarkStart w:id="41" w:name="_Toc447721522"/>
      <w:bookmarkStart w:id="42" w:name="_Toc447898552"/>
      <w:bookmarkStart w:id="43" w:name="_Toc455671180"/>
      <w:r w:rsidRPr="00C976A2">
        <w:t xml:space="preserve">State </w:t>
      </w:r>
      <w:r w:rsidR="007A1E9B" w:rsidRPr="00C976A2">
        <w:t>a</w:t>
      </w:r>
      <w:r w:rsidRPr="00C976A2">
        <w:t>id</w:t>
      </w:r>
      <w:bookmarkEnd w:id="41"/>
      <w:bookmarkEnd w:id="42"/>
      <w:bookmarkEnd w:id="43"/>
      <w:r w:rsidRPr="00C24E1B">
        <w:t xml:space="preserve"> </w:t>
      </w:r>
    </w:p>
    <w:p w14:paraId="7D0BE528" w14:textId="5DFD370C" w:rsidR="00C24E1B" w:rsidRPr="00C24E1B" w:rsidRDefault="00C24E1B" w:rsidP="00C976A2">
      <w:r w:rsidRPr="00C24E1B">
        <w:t xml:space="preserve">State Aid rules must be adhered to. State Aid is a European law term which refers to forms of financial support from a public body or publicly-funded body, given to organisations engaged in economic activity on a selective basis, which has the potential to distort competition and affect trade between member states of the European Union. Unauthorised State Aid is unlawful aid and if public authorities award State Aid in breach of the rules, the European Commission has the power to require repayment with interest from the aid beneficiary. State Aid may be permitted if it falls under a certain threshold. This is known as de </w:t>
      </w:r>
      <w:r w:rsidR="00B35222" w:rsidRPr="00C24E1B">
        <w:t>minimise</w:t>
      </w:r>
      <w:r w:rsidRPr="00C24E1B">
        <w:t xml:space="preserve"> aid. Currently the total de </w:t>
      </w:r>
      <w:r w:rsidR="00B35222" w:rsidRPr="00C24E1B">
        <w:t>minimise</w:t>
      </w:r>
      <w:r w:rsidRPr="00C24E1B">
        <w:t xml:space="preserve"> aid granted to any one organisation must not exceed €200,000 over any period of three financial years. </w:t>
      </w:r>
    </w:p>
    <w:p w14:paraId="4C6325B1" w14:textId="518209B9" w:rsidR="00C24E1B" w:rsidRPr="00C24E1B" w:rsidRDefault="00C24E1B" w:rsidP="00C976A2">
      <w:r w:rsidRPr="00C24E1B">
        <w:t xml:space="preserve">We consider it unlikely that the funding to be provided under this scheme would be considered State Aid. However, applicants should form their own view, taking advice if necessary, as to whether the funding they receive is unlawful State Aid. Furthermore, if </w:t>
      </w:r>
      <w:r w:rsidRPr="00C24E1B">
        <w:lastRenderedPageBreak/>
        <w:t xml:space="preserve">you have received State Aid from any public body in the previous three financial years you must let us know on the application form. If your organisation has received State Aid in the previous three financial years below the de </w:t>
      </w:r>
      <w:r w:rsidR="00B35222" w:rsidRPr="00C24E1B">
        <w:t>minimise</w:t>
      </w:r>
      <w:r w:rsidRPr="00C24E1B">
        <w:t xml:space="preserve"> threshold, this could possibly limit the amount for which you are eligible. </w:t>
      </w:r>
    </w:p>
    <w:p w14:paraId="12A9E260" w14:textId="77777777" w:rsidR="00C24E1B" w:rsidRPr="00C24E1B" w:rsidRDefault="00C24E1B" w:rsidP="00C976A2">
      <w:pPr>
        <w:pStyle w:val="Heading3"/>
        <w:spacing w:before="0" w:line="288" w:lineRule="auto"/>
      </w:pPr>
      <w:bookmarkStart w:id="44" w:name="_Toc447721523"/>
      <w:bookmarkStart w:id="45" w:name="_Toc447898553"/>
      <w:bookmarkStart w:id="46" w:name="_Toc455671181"/>
      <w:r w:rsidRPr="00C24E1B">
        <w:t xml:space="preserve">Government </w:t>
      </w:r>
      <w:r w:rsidR="007A1E9B">
        <w:t>e</w:t>
      </w:r>
      <w:r w:rsidRPr="00C24E1B">
        <w:t xml:space="preserve">fficiency </w:t>
      </w:r>
      <w:r w:rsidR="007A1E9B">
        <w:t>c</w:t>
      </w:r>
      <w:r w:rsidRPr="00C24E1B">
        <w:t xml:space="preserve">ontrols: </w:t>
      </w:r>
      <w:r w:rsidR="007A1E9B">
        <w:t>m</w:t>
      </w:r>
      <w:r w:rsidRPr="00C24E1B">
        <w:t xml:space="preserve">arketing and </w:t>
      </w:r>
      <w:r w:rsidR="007A1E9B">
        <w:t>a</w:t>
      </w:r>
      <w:r w:rsidRPr="00C24E1B">
        <w:t xml:space="preserve">dvertising and </w:t>
      </w:r>
      <w:r w:rsidR="007A1E9B">
        <w:t>c</w:t>
      </w:r>
      <w:r w:rsidRPr="00C24E1B">
        <w:t>onsultancy</w:t>
      </w:r>
      <w:bookmarkEnd w:id="44"/>
      <w:bookmarkEnd w:id="45"/>
      <w:bookmarkEnd w:id="46"/>
      <w:r w:rsidRPr="00C24E1B">
        <w:t xml:space="preserve"> </w:t>
      </w:r>
    </w:p>
    <w:p w14:paraId="1A5E4602" w14:textId="77777777" w:rsidR="00C24E1B" w:rsidRDefault="00C24E1B" w:rsidP="00C976A2">
      <w:r w:rsidRPr="00C24E1B">
        <w:t>As part of the Government’s commitment to deliver value for money in public spending, bidders should be aware that there are restrictions on what grant funding can be used for in relation to all paid-for communications, marketing and consultancy activities. The controls apply to most communications activity including printing and publications, events, PR and digital communications activity, and engagement of consultants. Exemptions may be granted for essential activities where cost-effectiveness can be evidenced and where other no cost or low cost options have been exhausted.</w:t>
      </w:r>
    </w:p>
    <w:p w14:paraId="2DB078FE" w14:textId="77777777" w:rsidR="00C24E1B" w:rsidRPr="00C24E1B" w:rsidRDefault="00C24E1B" w:rsidP="00C976A2">
      <w:pPr>
        <w:pStyle w:val="Heading3"/>
        <w:spacing w:before="0" w:line="288" w:lineRule="auto"/>
      </w:pPr>
      <w:bookmarkStart w:id="47" w:name="_Toc447721524"/>
      <w:bookmarkStart w:id="48" w:name="_Toc447898554"/>
      <w:bookmarkStart w:id="49" w:name="_Toc455671182"/>
      <w:r w:rsidRPr="00C24E1B">
        <w:t xml:space="preserve">Marketing and </w:t>
      </w:r>
      <w:r w:rsidR="007A1E9B">
        <w:t>a</w:t>
      </w:r>
      <w:r w:rsidRPr="00C24E1B">
        <w:t>dvertising</w:t>
      </w:r>
      <w:bookmarkEnd w:id="47"/>
      <w:bookmarkEnd w:id="48"/>
      <w:bookmarkEnd w:id="49"/>
      <w:r w:rsidRPr="00C24E1B">
        <w:t xml:space="preserve"> </w:t>
      </w:r>
    </w:p>
    <w:p w14:paraId="661E7FF0" w14:textId="77777777" w:rsidR="00C24E1B" w:rsidRPr="00C24E1B" w:rsidRDefault="00C24E1B" w:rsidP="00C976A2">
      <w:r w:rsidRPr="00C24E1B">
        <w:t xml:space="preserve">Exemptions for expenditure under £100k can be approved within </w:t>
      </w:r>
      <w:proofErr w:type="spellStart"/>
      <w:r w:rsidRPr="00C24E1B">
        <w:t>DfE</w:t>
      </w:r>
      <w:proofErr w:type="spellEnd"/>
      <w:r w:rsidRPr="00C24E1B">
        <w:t xml:space="preserve"> where proposed communications related activity is judged to be critical to delivery of the project and meeting agreed national priorities for the Government. </w:t>
      </w:r>
    </w:p>
    <w:p w14:paraId="3B1F07F5" w14:textId="77777777" w:rsidR="00C24E1B" w:rsidRPr="00C24E1B" w:rsidRDefault="00C24E1B" w:rsidP="00C976A2">
      <w:r w:rsidRPr="00C24E1B">
        <w:t xml:space="preserve">Exemptions for expenditure over £100k require clearance within </w:t>
      </w:r>
      <w:proofErr w:type="spellStart"/>
      <w:r w:rsidRPr="00C24E1B">
        <w:t>DfE</w:t>
      </w:r>
      <w:proofErr w:type="spellEnd"/>
      <w:r w:rsidRPr="00C24E1B">
        <w:t xml:space="preserve"> and also the Cabinet Office in line with the Government’s Marketing and Advertising Efficiency Controls. </w:t>
      </w:r>
      <w:proofErr w:type="gramStart"/>
      <w:r w:rsidRPr="00C24E1B">
        <w:t>Therefore</w:t>
      </w:r>
      <w:proofErr w:type="gramEnd"/>
      <w:r w:rsidRPr="00C24E1B">
        <w:t xml:space="preserve"> organisations whose proposals fall into this category may need to provide further information which might result in a delay in clearing funding. </w:t>
      </w:r>
    </w:p>
    <w:p w14:paraId="30811FD1" w14:textId="77777777" w:rsidR="00C24E1B" w:rsidRPr="00C24E1B" w:rsidRDefault="00C24E1B" w:rsidP="00C976A2">
      <w:pPr>
        <w:pStyle w:val="Heading3"/>
        <w:spacing w:before="0" w:line="288" w:lineRule="auto"/>
      </w:pPr>
      <w:bookmarkStart w:id="50" w:name="_Toc447721525"/>
      <w:bookmarkStart w:id="51" w:name="_Toc447898555"/>
      <w:bookmarkStart w:id="52" w:name="_Toc455671183"/>
      <w:r w:rsidRPr="00C24E1B">
        <w:t>Consultancy</w:t>
      </w:r>
      <w:bookmarkEnd w:id="50"/>
      <w:bookmarkEnd w:id="51"/>
      <w:bookmarkEnd w:id="52"/>
      <w:r w:rsidRPr="00C24E1B">
        <w:t xml:space="preserve"> </w:t>
      </w:r>
    </w:p>
    <w:p w14:paraId="64AE5849" w14:textId="77777777" w:rsidR="00C24E1B" w:rsidRPr="00C24E1B" w:rsidRDefault="00C24E1B" w:rsidP="00C976A2">
      <w:r w:rsidRPr="00C24E1B">
        <w:t xml:space="preserve">Consultancy exemptions under £20k can be approved within </w:t>
      </w:r>
      <w:proofErr w:type="spellStart"/>
      <w:r w:rsidRPr="00C24E1B">
        <w:t>DfE</w:t>
      </w:r>
      <w:proofErr w:type="spellEnd"/>
      <w:r w:rsidRPr="00C24E1B">
        <w:t xml:space="preserve">. Consultancy over £20k may require </w:t>
      </w:r>
      <w:proofErr w:type="spellStart"/>
      <w:r w:rsidRPr="00C24E1B">
        <w:t>DfE</w:t>
      </w:r>
      <w:proofErr w:type="spellEnd"/>
      <w:r w:rsidRPr="00C24E1B">
        <w:t xml:space="preserve"> and Cabinet Office clearance. </w:t>
      </w:r>
    </w:p>
    <w:p w14:paraId="0F7DCDAD" w14:textId="77777777" w:rsidR="00C24E1B" w:rsidRDefault="00C24E1B" w:rsidP="00C976A2">
      <w:pPr>
        <w:rPr>
          <w:b/>
          <w:bCs/>
        </w:rPr>
      </w:pPr>
      <w:r w:rsidRPr="00C24E1B">
        <w:t xml:space="preserve">Cabinet Office guidance on the controls can be accessed at: </w:t>
      </w:r>
      <w:hyperlink r:id="rId22" w:history="1">
        <w:r w:rsidRPr="00BA575B">
          <w:rPr>
            <w:rStyle w:val="Hyperlink"/>
            <w:b/>
            <w:bCs/>
          </w:rPr>
          <w:t>http://www.cabinetoffice.gov.uk/resource-library/cabinet-office-controls-guidance</w:t>
        </w:r>
      </w:hyperlink>
      <w:r>
        <w:rPr>
          <w:b/>
          <w:bCs/>
        </w:rPr>
        <w:t xml:space="preserve"> </w:t>
      </w:r>
    </w:p>
    <w:p w14:paraId="68482190" w14:textId="77777777" w:rsidR="00B253F6" w:rsidRDefault="00675A5D" w:rsidP="00C976A2">
      <w:pPr>
        <w:pStyle w:val="Heading1"/>
        <w:spacing w:line="288" w:lineRule="auto"/>
      </w:pPr>
      <w:bookmarkStart w:id="53" w:name="_Toc455671184"/>
      <w:r>
        <w:lastRenderedPageBreak/>
        <w:t>Clarification for bidders</w:t>
      </w:r>
      <w:bookmarkEnd w:id="53"/>
    </w:p>
    <w:p w14:paraId="323C8899" w14:textId="66E88F6A" w:rsidR="008547AE" w:rsidRDefault="008547AE" w:rsidP="00C976A2">
      <w:r>
        <w:t xml:space="preserve">To supplement the information in the Fund guide, we have included below information </w:t>
      </w:r>
      <w:r w:rsidR="00B16E3A">
        <w:t xml:space="preserve">which will keep up to date should we receive any questions from </w:t>
      </w:r>
      <w:r>
        <w:t>potential bidders.</w:t>
      </w:r>
    </w:p>
    <w:p w14:paraId="57513603" w14:textId="77777777" w:rsidR="00D2751D" w:rsidRPr="00D2751D" w:rsidRDefault="00D2751D" w:rsidP="00C976A2">
      <w:pPr>
        <w:pStyle w:val="ListParagraph"/>
        <w:numPr>
          <w:ilvl w:val="0"/>
          <w:numId w:val="26"/>
        </w:numPr>
      </w:pPr>
      <w:r w:rsidRPr="00D2751D">
        <w:t xml:space="preserve">We are following the </w:t>
      </w:r>
      <w:proofErr w:type="spellStart"/>
      <w:r w:rsidRPr="00D2751D">
        <w:t>DfE</w:t>
      </w:r>
      <w:proofErr w:type="spellEnd"/>
      <w:r w:rsidRPr="00D2751D">
        <w:t xml:space="preserve"> procurement rules for the competition of these grants.</w:t>
      </w:r>
    </w:p>
    <w:p w14:paraId="61920886" w14:textId="77777777" w:rsidR="00D2751D" w:rsidRDefault="00D2751D" w:rsidP="00C976A2">
      <w:pPr>
        <w:pStyle w:val="ListParagraph"/>
        <w:numPr>
          <w:ilvl w:val="0"/>
          <w:numId w:val="26"/>
        </w:numPr>
      </w:pPr>
      <w:r>
        <w:t>We will consider how the different bids fit together as a whole when evaluating them to take account of the overall impact that projects will have when making decisions on funding.</w:t>
      </w:r>
    </w:p>
    <w:p w14:paraId="400F1A8E" w14:textId="77777777" w:rsidR="00BF46F8" w:rsidRDefault="00B253F6" w:rsidP="00C976A2">
      <w:pPr>
        <w:pStyle w:val="ListParagraph"/>
        <w:numPr>
          <w:ilvl w:val="0"/>
          <w:numId w:val="26"/>
        </w:numPr>
      </w:pPr>
      <w:r>
        <w:t>The funds should be used to provide something additional to what already exists, not subsidising core costs. However, agencies can use the funds to pay for new staff costs if staff are reallocated to work on the project.</w:t>
      </w:r>
    </w:p>
    <w:p w14:paraId="1E7A8258" w14:textId="28FBF7FA" w:rsidR="00B253F6" w:rsidRDefault="00C9078F" w:rsidP="00C976A2">
      <w:pPr>
        <w:pStyle w:val="ListParagraph"/>
        <w:numPr>
          <w:ilvl w:val="0"/>
          <w:numId w:val="26"/>
        </w:numPr>
      </w:pPr>
      <w:r>
        <w:t xml:space="preserve">Our Grant </w:t>
      </w:r>
      <w:r w:rsidR="00B253F6">
        <w:t>rules do not allow alterations to bids once they have been submitted</w:t>
      </w:r>
      <w:r w:rsidR="00BF46F8">
        <w:t>.</w:t>
      </w:r>
      <w:r w:rsidR="00B253F6">
        <w:t xml:space="preserve"> We have to consider individual bids on their own merits.</w:t>
      </w:r>
    </w:p>
    <w:p w14:paraId="7F1CE63E" w14:textId="77777777" w:rsidR="00FB596A" w:rsidRDefault="00FB596A" w:rsidP="00C976A2">
      <w:pPr>
        <w:pStyle w:val="ListParagraph"/>
        <w:numPr>
          <w:ilvl w:val="0"/>
          <w:numId w:val="26"/>
        </w:numPr>
      </w:pPr>
      <w:r>
        <w:t>The government’s usual position regarding ownership of IPR is that copyright in any materials produced using public money is vested to the Crown with the material being made available to anyone under the Open Government License. We would be happy to discuss any alternative proposals in advance of submitting your bid.</w:t>
      </w:r>
    </w:p>
    <w:p w14:paraId="46B0A9F1" w14:textId="77777777" w:rsidR="00AF28C7" w:rsidRDefault="00AF28C7" w:rsidP="00C976A2">
      <w:pPr>
        <w:pStyle w:val="Logos"/>
        <w:tabs>
          <w:tab w:val="right" w:pos="9498"/>
        </w:tabs>
      </w:pPr>
      <w:r>
        <w:lastRenderedPageBreak/>
        <w:drawing>
          <wp:inline distT="0" distB="0" distL="0" distR="0" wp14:anchorId="754D72A8" wp14:editId="373495BC">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02745666" w14:textId="77777777" w:rsidR="009F41B6" w:rsidRDefault="009F41B6" w:rsidP="00C976A2">
      <w:pPr>
        <w:pStyle w:val="CopyrightSpacing"/>
        <w:spacing w:before="0" w:after="240"/>
      </w:pPr>
      <w:r>
        <w:t xml:space="preserve">© Crown copyright </w:t>
      </w:r>
      <w:r w:rsidR="00AD45EE">
        <w:t>2016</w:t>
      </w:r>
    </w:p>
    <w:p w14:paraId="44234459" w14:textId="77777777" w:rsidR="005A4AE2" w:rsidRPr="0090521B" w:rsidRDefault="009A602D" w:rsidP="00C976A2">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1801D424" w14:textId="77777777" w:rsidR="005A4AE2" w:rsidRDefault="006155C4" w:rsidP="00C976A2">
      <w:pPr>
        <w:pStyle w:val="LicenceIntro"/>
        <w:spacing w:after="240"/>
      </w:pPr>
      <w:r>
        <w:t xml:space="preserve">To view </w:t>
      </w:r>
      <w:r w:rsidR="005A4AE2">
        <w:t>this licence:</w:t>
      </w:r>
    </w:p>
    <w:p w14:paraId="19343056" w14:textId="77777777" w:rsidR="00F96EB7" w:rsidRDefault="005A4AE2" w:rsidP="00C976A2">
      <w:pPr>
        <w:pStyle w:val="Licence"/>
      </w:pPr>
      <w:r>
        <w:t xml:space="preserve">visit </w:t>
      </w:r>
      <w:r>
        <w:tab/>
      </w:r>
      <w:hyperlink r:id="rId23" w:tooltip="Link to National Archives website" w:history="1">
        <w:r w:rsidR="00F96EB7">
          <w:rPr>
            <w:rStyle w:val="Hyperlink"/>
            <w:rFonts w:cs="Arial"/>
          </w:rPr>
          <w:t>www.nationalarchives.gov.uk/doc/open-government-licence/version/3</w:t>
        </w:r>
      </w:hyperlink>
      <w:r w:rsidR="00F96EB7">
        <w:rPr>
          <w:rFonts w:cs="Arial"/>
        </w:rPr>
        <w:t> </w:t>
      </w:r>
    </w:p>
    <w:p w14:paraId="022F231F" w14:textId="77777777" w:rsidR="005A4AE2" w:rsidRDefault="005A4AE2" w:rsidP="00C976A2">
      <w:pPr>
        <w:pStyle w:val="Licence"/>
        <w:rPr>
          <w:rStyle w:val="Hyperlink"/>
        </w:rPr>
      </w:pPr>
      <w:r>
        <w:t xml:space="preserve">email </w:t>
      </w:r>
      <w:r>
        <w:tab/>
      </w:r>
      <w:hyperlink r:id="rId24" w:tooltip="The National Archives' email address" w:history="1">
        <w:r>
          <w:rPr>
            <w:rStyle w:val="Hyperlink"/>
          </w:rPr>
          <w:t>psi@nationalarchives.gsi.gov.uk</w:t>
        </w:r>
      </w:hyperlink>
    </w:p>
    <w:p w14:paraId="65630180" w14:textId="77777777" w:rsidR="009A602D" w:rsidRDefault="009A602D" w:rsidP="00C976A2">
      <w:pPr>
        <w:pStyle w:val="Licence"/>
      </w:pPr>
      <w:r>
        <w:t>write to</w:t>
      </w:r>
      <w:r>
        <w:tab/>
        <w:t>Information Policy Team, The National Archives, Kew, London, TW9 4DU</w:t>
      </w:r>
    </w:p>
    <w:p w14:paraId="223D6FE9" w14:textId="77777777" w:rsidR="005A4AE2" w:rsidRDefault="005A4AE2" w:rsidP="00C976A2">
      <w:pPr>
        <w:pStyle w:val="LicenceIntro"/>
        <w:spacing w:after="240"/>
      </w:pPr>
      <w:r>
        <w:t>About this publication:</w:t>
      </w:r>
    </w:p>
    <w:p w14:paraId="29FAF10C" w14:textId="77777777" w:rsidR="005A4AE2" w:rsidRDefault="005A4AE2" w:rsidP="00C976A2">
      <w:pPr>
        <w:pStyle w:val="Licence"/>
      </w:pPr>
      <w:r>
        <w:t xml:space="preserve">enquiries  </w:t>
      </w:r>
      <w:r>
        <w:tab/>
      </w:r>
      <w:hyperlink r:id="rId25" w:tooltip="Department for Education contact us list" w:history="1">
        <w:r>
          <w:rPr>
            <w:rStyle w:val="Hyperlink"/>
          </w:rPr>
          <w:t>www.education.gov.uk/contactus</w:t>
        </w:r>
      </w:hyperlink>
      <w:r>
        <w:t xml:space="preserve"> </w:t>
      </w:r>
    </w:p>
    <w:p w14:paraId="1AFE2411" w14:textId="77777777" w:rsidR="005A4AE2" w:rsidRDefault="005A4AE2" w:rsidP="00C976A2">
      <w:pPr>
        <w:pStyle w:val="Licence"/>
      </w:pPr>
      <w:r>
        <w:t xml:space="preserve">download </w:t>
      </w:r>
      <w:r>
        <w:tab/>
      </w:r>
      <w:hyperlink r:id="rId26" w:tooltip="Link to GOV.UK" w:history="1">
        <w:r w:rsidR="006E22B1" w:rsidRPr="00D42B65">
          <w:rPr>
            <w:rStyle w:val="Hyperlink"/>
          </w:rPr>
          <w:t>www.gov.uk/government/publications</w:t>
        </w:r>
      </w:hyperlink>
      <w:r>
        <w:t xml:space="preserve"> </w:t>
      </w:r>
    </w:p>
    <w:p w14:paraId="22BA5753" w14:textId="77777777" w:rsidR="005A4AE2" w:rsidRPr="007D29D3" w:rsidRDefault="005A4AE2" w:rsidP="00C976A2">
      <w:pPr>
        <w:pStyle w:val="Reference"/>
        <w:spacing w:before="0"/>
      </w:pPr>
      <w:r w:rsidRPr="007D29D3">
        <w:t xml:space="preserve">Reference: </w:t>
      </w:r>
      <w:r w:rsidRPr="007D29D3">
        <w:tab/>
      </w:r>
      <w:r w:rsidR="00997A62">
        <w:t>DFE-00122-2016</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7761B8F8" w14:textId="77777777" w:rsidTr="005A4AE2">
        <w:trPr>
          <w:tblHeader/>
        </w:trPr>
        <w:tc>
          <w:tcPr>
            <w:tcW w:w="1276" w:type="dxa"/>
            <w:hideMark/>
          </w:tcPr>
          <w:p w14:paraId="61B4D900" w14:textId="77777777" w:rsidR="005A4AE2" w:rsidRDefault="005A4AE2" w:rsidP="00C976A2">
            <w:pPr>
              <w:pStyle w:val="SocialMedia"/>
              <w:tabs>
                <w:tab w:val="clear" w:pos="4253"/>
                <w:tab w:val="left" w:pos="176"/>
              </w:tabs>
              <w:spacing w:after="240" w:line="288" w:lineRule="auto"/>
            </w:pPr>
            <w:r>
              <w:tab/>
            </w:r>
            <w:r>
              <w:drawing>
                <wp:inline distT="0" distB="0" distL="0" distR="0" wp14:anchorId="77612D21" wp14:editId="660D310A">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71F5CAA2" w14:textId="77777777" w:rsidR="005A4AE2" w:rsidRDefault="006429B3" w:rsidP="00C976A2">
            <w:pPr>
              <w:pStyle w:val="SocialMedia"/>
              <w:spacing w:after="240" w:line="288" w:lineRule="auto"/>
            </w:pPr>
            <w:r>
              <w:t>Follow us on T</w:t>
            </w:r>
            <w:r w:rsidR="005A4AE2">
              <w:t xml:space="preserve">witter: </w:t>
            </w:r>
            <w:hyperlink r:id="rId28" w:tooltip="View the DfE Twitter profile page" w:history="1">
              <w:r w:rsidR="005A4AE2">
                <w:rPr>
                  <w:rStyle w:val="Hyperlink"/>
                </w:rPr>
                <w:t>@educationgovuk</w:t>
              </w:r>
            </w:hyperlink>
          </w:p>
        </w:tc>
        <w:tc>
          <w:tcPr>
            <w:tcW w:w="935" w:type="dxa"/>
            <w:hideMark/>
          </w:tcPr>
          <w:p w14:paraId="7D6BAFCB" w14:textId="77777777" w:rsidR="005A4AE2" w:rsidRDefault="005A4AE2" w:rsidP="00C976A2">
            <w:pPr>
              <w:pStyle w:val="SocialMedia"/>
              <w:spacing w:after="240" w:line="288" w:lineRule="auto"/>
            </w:pPr>
            <w:r>
              <w:drawing>
                <wp:inline distT="0" distB="0" distL="0" distR="0" wp14:anchorId="231F35C2" wp14:editId="7F5E273E">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27440432" w14:textId="77777777" w:rsidR="005A4AE2" w:rsidRDefault="006429B3" w:rsidP="00C976A2">
            <w:pPr>
              <w:pStyle w:val="SocialMedia"/>
              <w:spacing w:after="240" w:line="288" w:lineRule="auto"/>
            </w:pPr>
            <w:r>
              <w:t>Like us on F</w:t>
            </w:r>
            <w:r w:rsidR="005A4AE2">
              <w:t>acebook:</w:t>
            </w:r>
            <w:r w:rsidR="005A4AE2">
              <w:br/>
            </w:r>
            <w:hyperlink r:id="rId30" w:tooltip="Link the DfE on Facebook" w:history="1">
              <w:r w:rsidR="005A4AE2">
                <w:rPr>
                  <w:rStyle w:val="Hyperlink"/>
                </w:rPr>
                <w:t>facebook.com/educationgovuk</w:t>
              </w:r>
            </w:hyperlink>
          </w:p>
        </w:tc>
      </w:tr>
    </w:tbl>
    <w:p w14:paraId="7B01F4E1" w14:textId="77777777" w:rsidR="009F41B6" w:rsidRDefault="009F41B6" w:rsidP="00C976A2">
      <w:pPr>
        <w:pStyle w:val="CopyrightBox"/>
      </w:pPr>
    </w:p>
    <w:sectPr w:rsidR="009F41B6" w:rsidSect="00814D1A">
      <w:headerReference w:type="even" r:id="rId31"/>
      <w:headerReference w:type="default" r:id="rId32"/>
      <w:footerReference w:type="even" r:id="rId33"/>
      <w:footerReference w:type="default" r:id="rId34"/>
      <w:headerReference w:type="first" r:id="rId35"/>
      <w:footerReference w:type="first" r:id="rId36"/>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2C050" w14:textId="77777777" w:rsidR="00C976A2" w:rsidRDefault="00C976A2" w:rsidP="009F41B6">
      <w:r>
        <w:separator/>
      </w:r>
    </w:p>
    <w:p w14:paraId="72688178" w14:textId="77777777" w:rsidR="00C976A2" w:rsidRDefault="00C976A2" w:rsidP="009F41B6"/>
  </w:endnote>
  <w:endnote w:type="continuationSeparator" w:id="0">
    <w:p w14:paraId="480A4684" w14:textId="77777777" w:rsidR="00C976A2" w:rsidRDefault="00C976A2" w:rsidP="009F41B6">
      <w:r>
        <w:continuationSeparator/>
      </w:r>
    </w:p>
    <w:p w14:paraId="4D400C1F" w14:textId="77777777" w:rsidR="00C976A2" w:rsidRDefault="00C976A2"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E2565" w14:textId="77777777" w:rsidR="00C976A2" w:rsidRDefault="00C97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0013D65F" w14:textId="521A4E36" w:rsidR="00C976A2" w:rsidRDefault="00C976A2" w:rsidP="005A65F5">
        <w:pPr>
          <w:pStyle w:val="Footer"/>
          <w:ind w:firstLine="4513"/>
        </w:pPr>
        <w:r>
          <w:fldChar w:fldCharType="begin"/>
        </w:r>
        <w:r>
          <w:instrText xml:space="preserve"> PAGE   \* MERGEFORMAT </w:instrText>
        </w:r>
        <w:r>
          <w:fldChar w:fldCharType="separate"/>
        </w:r>
        <w:r w:rsidR="00171A5E">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F17B" w14:textId="77777777" w:rsidR="00C976A2" w:rsidRDefault="00C9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30DDD" w14:textId="77777777" w:rsidR="00C976A2" w:rsidRDefault="00C976A2" w:rsidP="009F41B6">
      <w:r>
        <w:separator/>
      </w:r>
    </w:p>
    <w:p w14:paraId="15A7C702" w14:textId="77777777" w:rsidR="00C976A2" w:rsidRDefault="00C976A2" w:rsidP="009F41B6"/>
  </w:footnote>
  <w:footnote w:type="continuationSeparator" w:id="0">
    <w:p w14:paraId="33740713" w14:textId="77777777" w:rsidR="00C976A2" w:rsidRDefault="00C976A2" w:rsidP="009F41B6">
      <w:r>
        <w:continuationSeparator/>
      </w:r>
    </w:p>
    <w:p w14:paraId="05402C70" w14:textId="77777777" w:rsidR="00C976A2" w:rsidRDefault="00C976A2" w:rsidP="009F41B6"/>
  </w:footnote>
  <w:footnote w:id="1">
    <w:p w14:paraId="222E07F9" w14:textId="062BB3C5" w:rsidR="00C976A2" w:rsidRDefault="00C976A2" w:rsidP="00757CDD">
      <w:pPr>
        <w:pStyle w:val="FootnoteText"/>
      </w:pPr>
      <w:r>
        <w:rPr>
          <w:rStyle w:val="FootnoteReference"/>
        </w:rPr>
        <w:footnoteRef/>
      </w:r>
      <w:r>
        <w:t xml:space="preserve"> </w:t>
      </w:r>
      <w:r w:rsidRPr="00A3107F">
        <w:t>Henderson,</w:t>
      </w:r>
      <w:r>
        <w:t xml:space="preserve"> M. (2015</w:t>
      </w:r>
      <w:proofErr w:type="gramStart"/>
      <w:r>
        <w:t xml:space="preserve">) </w:t>
      </w:r>
      <w:r w:rsidRPr="00A3107F">
        <w:t xml:space="preserve"> Bullying</w:t>
      </w:r>
      <w:proofErr w:type="gramEnd"/>
      <w:r w:rsidRPr="00A3107F">
        <w:t xml:space="preserve"> among lesbian, gay and bisexual young people in England, Institute of Education</w:t>
      </w:r>
      <w:r>
        <w:t xml:space="preserve">. For trans bullying, see </w:t>
      </w:r>
      <w:r w:rsidRPr="00E5656A">
        <w:t>Whittle,</w:t>
      </w:r>
      <w:r>
        <w:t xml:space="preserve"> S.,</w:t>
      </w:r>
      <w:r w:rsidRPr="00E5656A">
        <w:t xml:space="preserve"> Turner</w:t>
      </w:r>
      <w:r>
        <w:t>, L.</w:t>
      </w:r>
      <w:r w:rsidRPr="00E5656A">
        <w:t xml:space="preserve"> and </w:t>
      </w:r>
      <w:r>
        <w:t xml:space="preserve">M. </w:t>
      </w:r>
      <w:r w:rsidRPr="00E5656A">
        <w:t>Al-</w:t>
      </w:r>
      <w:proofErr w:type="spellStart"/>
      <w:r w:rsidRPr="00E5656A">
        <w:t>Alami</w:t>
      </w:r>
      <w:proofErr w:type="spellEnd"/>
      <w:r w:rsidRPr="00E5656A">
        <w:t xml:space="preserve"> (2007</w:t>
      </w:r>
      <w:r>
        <w:t>) Engendered penaltie4s: transgender and transsexual people’s experiences of inequality and discrimination. The Equalities Review.</w:t>
      </w:r>
    </w:p>
  </w:footnote>
  <w:footnote w:id="2">
    <w:p w14:paraId="04C0EE4E" w14:textId="77777777" w:rsidR="00C976A2" w:rsidRDefault="00C976A2" w:rsidP="008C7AB5">
      <w:pPr>
        <w:pStyle w:val="FootnoteText"/>
      </w:pPr>
      <w:r>
        <w:rPr>
          <w:rStyle w:val="FootnoteReference"/>
        </w:rPr>
        <w:footnoteRef/>
      </w:r>
      <w:r>
        <w:t xml:space="preserve"> </w:t>
      </w:r>
      <w:r w:rsidRPr="00A3107F">
        <w:t>Henderson,</w:t>
      </w:r>
      <w:r>
        <w:t xml:space="preserve"> M. (2015</w:t>
      </w:r>
      <w:proofErr w:type="gramStart"/>
      <w:r>
        <w:t xml:space="preserve">) </w:t>
      </w:r>
      <w:r w:rsidRPr="00A3107F">
        <w:t xml:space="preserve"> Bullying</w:t>
      </w:r>
      <w:proofErr w:type="gramEnd"/>
      <w:r w:rsidRPr="00A3107F">
        <w:t xml:space="preserve"> among lesbian, gay and bisexual young people in England, Institute of Education</w:t>
      </w:r>
      <w:r>
        <w:t>.</w:t>
      </w:r>
    </w:p>
  </w:footnote>
  <w:footnote w:id="3">
    <w:p w14:paraId="7882DA09" w14:textId="77777777" w:rsidR="00C976A2" w:rsidRDefault="00C976A2" w:rsidP="008C7AB5">
      <w:pPr>
        <w:pStyle w:val="FootnoteText"/>
      </w:pPr>
      <w:r>
        <w:rPr>
          <w:rStyle w:val="FootnoteReference"/>
        </w:rPr>
        <w:footnoteRef/>
      </w:r>
      <w:r>
        <w:t xml:space="preserve"> </w:t>
      </w:r>
      <w:r w:rsidRPr="00E5656A">
        <w:t>Whittle,</w:t>
      </w:r>
      <w:r>
        <w:t xml:space="preserve"> S.,</w:t>
      </w:r>
      <w:r w:rsidRPr="00E5656A">
        <w:t xml:space="preserve"> Turner</w:t>
      </w:r>
      <w:r>
        <w:t>, L.</w:t>
      </w:r>
      <w:r w:rsidRPr="00E5656A">
        <w:t xml:space="preserve"> and </w:t>
      </w:r>
      <w:r>
        <w:t xml:space="preserve">M. </w:t>
      </w:r>
      <w:r w:rsidRPr="00E5656A">
        <w:t>Al-</w:t>
      </w:r>
      <w:proofErr w:type="spellStart"/>
      <w:r w:rsidRPr="00E5656A">
        <w:t>Alami</w:t>
      </w:r>
      <w:proofErr w:type="spellEnd"/>
      <w:r w:rsidRPr="00E5656A">
        <w:t xml:space="preserve"> (2007</w:t>
      </w:r>
      <w:r>
        <w:t>) Engendered penaltie4s: transgender and transsexual people’s experiences of inequality and discrimination. The Equalities Review.</w:t>
      </w:r>
    </w:p>
  </w:footnote>
  <w:footnote w:id="4">
    <w:p w14:paraId="020F7BD4" w14:textId="4EB2FC86" w:rsidR="00C976A2" w:rsidRDefault="00C976A2" w:rsidP="009868D8">
      <w:pPr>
        <w:pStyle w:val="FootnoteText"/>
      </w:pPr>
      <w:r>
        <w:rPr>
          <w:rStyle w:val="FootnoteReference"/>
        </w:rPr>
        <w:footnoteRef/>
      </w:r>
      <w:r>
        <w:t xml:space="preserve"> </w:t>
      </w:r>
      <w:r w:rsidRPr="0038208E">
        <w:rPr>
          <w:color w:val="000000"/>
        </w:rPr>
        <w:t xml:space="preserve">The evaluation of the pilot </w:t>
      </w:r>
      <w:r>
        <w:rPr>
          <w:color w:val="000000"/>
        </w:rPr>
        <w:t xml:space="preserve">programme </w:t>
      </w:r>
      <w:r w:rsidRPr="0038208E">
        <w:rPr>
          <w:color w:val="000000"/>
        </w:rPr>
        <w:t>identified a need for preventing HBT bullying to be linked with work to tackle</w:t>
      </w:r>
      <w:r>
        <w:rPr>
          <w:color w:val="000000"/>
        </w:rPr>
        <w:t xml:space="preserve"> gender stereotyping and sexism</w:t>
      </w:r>
      <w:r w:rsidRPr="0038208E">
        <w:rPr>
          <w:color w:val="000000"/>
        </w:rPr>
        <w:t>.</w:t>
      </w:r>
      <w:r>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48D9E" w14:textId="77777777" w:rsidR="00C976A2" w:rsidRDefault="00C97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A76D" w14:textId="77777777" w:rsidR="00C976A2" w:rsidRDefault="00C97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043F3" w14:textId="77777777" w:rsidR="00C976A2" w:rsidRDefault="00C97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26F7B29"/>
    <w:multiLevelType w:val="hybridMultilevel"/>
    <w:tmpl w:val="471EB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013D94"/>
    <w:multiLevelType w:val="hybridMultilevel"/>
    <w:tmpl w:val="34E6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B64EB"/>
    <w:multiLevelType w:val="hybridMultilevel"/>
    <w:tmpl w:val="94A2B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977E09"/>
    <w:multiLevelType w:val="hybridMultilevel"/>
    <w:tmpl w:val="0AEAEF58"/>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FBF55E9"/>
    <w:multiLevelType w:val="hybridMultilevel"/>
    <w:tmpl w:val="4C303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75D50"/>
    <w:multiLevelType w:val="hybridMultilevel"/>
    <w:tmpl w:val="7A4085BE"/>
    <w:lvl w:ilvl="0" w:tplc="08090019">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4F23AE"/>
    <w:multiLevelType w:val="hybridMultilevel"/>
    <w:tmpl w:val="137E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BEE3426"/>
    <w:multiLevelType w:val="hybridMultilevel"/>
    <w:tmpl w:val="C48C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131D4"/>
    <w:multiLevelType w:val="hybridMultilevel"/>
    <w:tmpl w:val="923E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BE0984"/>
    <w:multiLevelType w:val="hybridMultilevel"/>
    <w:tmpl w:val="9A8C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141911"/>
    <w:multiLevelType w:val="hybridMultilevel"/>
    <w:tmpl w:val="93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497855"/>
    <w:multiLevelType w:val="hybridMultilevel"/>
    <w:tmpl w:val="05C6D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D962DC"/>
    <w:multiLevelType w:val="hybridMultilevel"/>
    <w:tmpl w:val="DCB2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4B6C04"/>
    <w:multiLevelType w:val="hybridMultilevel"/>
    <w:tmpl w:val="2F48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AA1D54"/>
    <w:multiLevelType w:val="hybridMultilevel"/>
    <w:tmpl w:val="89F6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EE3AAD"/>
    <w:multiLevelType w:val="hybridMultilevel"/>
    <w:tmpl w:val="CF58E2AA"/>
    <w:lvl w:ilvl="0" w:tplc="E8AA5A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B66D48"/>
    <w:multiLevelType w:val="hybridMultilevel"/>
    <w:tmpl w:val="85B2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4F08C6"/>
    <w:multiLevelType w:val="hybridMultilevel"/>
    <w:tmpl w:val="A524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8B5F06"/>
    <w:multiLevelType w:val="hybridMultilevel"/>
    <w:tmpl w:val="859A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CB5027"/>
    <w:multiLevelType w:val="hybridMultilevel"/>
    <w:tmpl w:val="779AC8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62964F6"/>
    <w:multiLevelType w:val="hybridMultilevel"/>
    <w:tmpl w:val="EFE0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F2C1E09"/>
    <w:multiLevelType w:val="hybridMultilevel"/>
    <w:tmpl w:val="BF14F67C"/>
    <w:lvl w:ilvl="0" w:tplc="7B94751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803ACE"/>
    <w:multiLevelType w:val="hybridMultilevel"/>
    <w:tmpl w:val="3C30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B40F0"/>
    <w:multiLevelType w:val="hybridMultilevel"/>
    <w:tmpl w:val="1270B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503634"/>
    <w:multiLevelType w:val="hybridMultilevel"/>
    <w:tmpl w:val="697C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A1395"/>
    <w:multiLevelType w:val="hybridMultilevel"/>
    <w:tmpl w:val="CBCA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BEC7EAE"/>
    <w:multiLevelType w:val="hybridMultilevel"/>
    <w:tmpl w:val="64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24742F"/>
    <w:multiLevelType w:val="hybridMultilevel"/>
    <w:tmpl w:val="1B54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342B8"/>
    <w:multiLevelType w:val="hybridMultilevel"/>
    <w:tmpl w:val="3FC86E7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8233BB3"/>
    <w:multiLevelType w:val="hybridMultilevel"/>
    <w:tmpl w:val="EF58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7E5246"/>
    <w:multiLevelType w:val="hybridMultilevel"/>
    <w:tmpl w:val="9A867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0"/>
  </w:num>
  <w:num w:numId="4">
    <w:abstractNumId w:val="7"/>
  </w:num>
  <w:num w:numId="5">
    <w:abstractNumId w:val="2"/>
  </w:num>
  <w:num w:numId="6">
    <w:abstractNumId w:val="1"/>
  </w:num>
  <w:num w:numId="7">
    <w:abstractNumId w:val="22"/>
  </w:num>
  <w:num w:numId="8">
    <w:abstractNumId w:val="12"/>
  </w:num>
  <w:num w:numId="9">
    <w:abstractNumId w:val="28"/>
  </w:num>
  <w:num w:numId="10">
    <w:abstractNumId w:val="11"/>
  </w:num>
  <w:num w:numId="11">
    <w:abstractNumId w:val="20"/>
  </w:num>
  <w:num w:numId="12">
    <w:abstractNumId w:val="23"/>
  </w:num>
  <w:num w:numId="13">
    <w:abstractNumId w:val="36"/>
  </w:num>
  <w:num w:numId="14">
    <w:abstractNumId w:val="18"/>
  </w:num>
  <w:num w:numId="15">
    <w:abstractNumId w:val="32"/>
  </w:num>
  <w:num w:numId="16">
    <w:abstractNumId w:val="38"/>
  </w:num>
  <w:num w:numId="17">
    <w:abstractNumId w:val="13"/>
  </w:num>
  <w:num w:numId="18">
    <w:abstractNumId w:val="16"/>
  </w:num>
  <w:num w:numId="19">
    <w:abstractNumId w:val="27"/>
  </w:num>
  <w:num w:numId="20">
    <w:abstractNumId w:val="21"/>
  </w:num>
  <w:num w:numId="21">
    <w:abstractNumId w:val="9"/>
  </w:num>
  <w:num w:numId="22">
    <w:abstractNumId w:val="6"/>
  </w:num>
  <w:num w:numId="23">
    <w:abstractNumId w:val="14"/>
  </w:num>
  <w:num w:numId="24">
    <w:abstractNumId w:val="3"/>
  </w:num>
  <w:num w:numId="25">
    <w:abstractNumId w:val="3"/>
  </w:num>
  <w:num w:numId="26">
    <w:abstractNumId w:val="33"/>
  </w:num>
  <w:num w:numId="27">
    <w:abstractNumId w:val="15"/>
  </w:num>
  <w:num w:numId="28">
    <w:abstractNumId w:val="35"/>
  </w:num>
  <w:num w:numId="29">
    <w:abstractNumId w:val="29"/>
  </w:num>
  <w:num w:numId="30">
    <w:abstractNumId w:val="39"/>
  </w:num>
  <w:num w:numId="31">
    <w:abstractNumId w:val="17"/>
  </w:num>
  <w:num w:numId="32">
    <w:abstractNumId w:val="26"/>
  </w:num>
  <w:num w:numId="33">
    <w:abstractNumId w:val="37"/>
  </w:num>
  <w:num w:numId="34">
    <w:abstractNumId w:val="5"/>
  </w:num>
  <w:num w:numId="35">
    <w:abstractNumId w:val="24"/>
  </w:num>
  <w:num w:numId="36">
    <w:abstractNumId w:val="10"/>
  </w:num>
  <w:num w:numId="37">
    <w:abstractNumId w:val="31"/>
  </w:num>
  <w:num w:numId="38">
    <w:abstractNumId w:val="25"/>
  </w:num>
  <w:num w:numId="39">
    <w:abstractNumId w:val="19"/>
  </w:num>
  <w:num w:numId="40">
    <w:abstractNumId w:val="30"/>
  </w:num>
  <w:num w:numId="4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1843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5C02"/>
    <w:rsid w:val="0002203B"/>
    <w:rsid w:val="00023913"/>
    <w:rsid w:val="00030ABD"/>
    <w:rsid w:val="00031F36"/>
    <w:rsid w:val="000442BD"/>
    <w:rsid w:val="00051E2E"/>
    <w:rsid w:val="00053503"/>
    <w:rsid w:val="00056099"/>
    <w:rsid w:val="00057100"/>
    <w:rsid w:val="00066B1C"/>
    <w:rsid w:val="000708C6"/>
    <w:rsid w:val="0007258F"/>
    <w:rsid w:val="000740FB"/>
    <w:rsid w:val="00074179"/>
    <w:rsid w:val="00082ED6"/>
    <w:rsid w:val="00083A73"/>
    <w:rsid w:val="000907F4"/>
    <w:rsid w:val="00095901"/>
    <w:rsid w:val="000A10F4"/>
    <w:rsid w:val="000B1CA2"/>
    <w:rsid w:val="000B3DE0"/>
    <w:rsid w:val="000B4A3E"/>
    <w:rsid w:val="000D1D30"/>
    <w:rsid w:val="000D4433"/>
    <w:rsid w:val="000D5697"/>
    <w:rsid w:val="000E3350"/>
    <w:rsid w:val="000F1A98"/>
    <w:rsid w:val="000F22D0"/>
    <w:rsid w:val="000F73F3"/>
    <w:rsid w:val="00103E77"/>
    <w:rsid w:val="00107ECC"/>
    <w:rsid w:val="00113E8C"/>
    <w:rsid w:val="0011494F"/>
    <w:rsid w:val="00117B1F"/>
    <w:rsid w:val="00121C6C"/>
    <w:rsid w:val="001253BD"/>
    <w:rsid w:val="00125C22"/>
    <w:rsid w:val="001319AD"/>
    <w:rsid w:val="001321D2"/>
    <w:rsid w:val="0013263B"/>
    <w:rsid w:val="00133075"/>
    <w:rsid w:val="0013394C"/>
    <w:rsid w:val="00141852"/>
    <w:rsid w:val="00147214"/>
    <w:rsid w:val="0015071B"/>
    <w:rsid w:val="00152A3A"/>
    <w:rsid w:val="001540AB"/>
    <w:rsid w:val="00155ECC"/>
    <w:rsid w:val="001615DF"/>
    <w:rsid w:val="00161A13"/>
    <w:rsid w:val="00164A91"/>
    <w:rsid w:val="00171A5E"/>
    <w:rsid w:val="00171F6B"/>
    <w:rsid w:val="00174104"/>
    <w:rsid w:val="001747E2"/>
    <w:rsid w:val="00176EB9"/>
    <w:rsid w:val="00184EC7"/>
    <w:rsid w:val="00190C3A"/>
    <w:rsid w:val="0019468A"/>
    <w:rsid w:val="0019611A"/>
    <w:rsid w:val="00196306"/>
    <w:rsid w:val="00197235"/>
    <w:rsid w:val="001A3A04"/>
    <w:rsid w:val="001B2AE2"/>
    <w:rsid w:val="001B4452"/>
    <w:rsid w:val="001B5C15"/>
    <w:rsid w:val="001B796F"/>
    <w:rsid w:val="001C1B75"/>
    <w:rsid w:val="001C4E9C"/>
    <w:rsid w:val="001C55FC"/>
    <w:rsid w:val="001C5A63"/>
    <w:rsid w:val="001C5EB6"/>
    <w:rsid w:val="001D09EC"/>
    <w:rsid w:val="001D5770"/>
    <w:rsid w:val="001E3581"/>
    <w:rsid w:val="001F112A"/>
    <w:rsid w:val="001F491B"/>
    <w:rsid w:val="00201D58"/>
    <w:rsid w:val="00203ACA"/>
    <w:rsid w:val="00203EC9"/>
    <w:rsid w:val="002042E8"/>
    <w:rsid w:val="00210E6D"/>
    <w:rsid w:val="002113CF"/>
    <w:rsid w:val="00214378"/>
    <w:rsid w:val="00214713"/>
    <w:rsid w:val="00214FB3"/>
    <w:rsid w:val="00216672"/>
    <w:rsid w:val="0022255C"/>
    <w:rsid w:val="0022489D"/>
    <w:rsid w:val="002262F3"/>
    <w:rsid w:val="00230559"/>
    <w:rsid w:val="002332F8"/>
    <w:rsid w:val="00234F75"/>
    <w:rsid w:val="00240F4B"/>
    <w:rsid w:val="00255A1C"/>
    <w:rsid w:val="002575C5"/>
    <w:rsid w:val="002634E2"/>
    <w:rsid w:val="0027230F"/>
    <w:rsid w:val="0027252F"/>
    <w:rsid w:val="00273718"/>
    <w:rsid w:val="002839B5"/>
    <w:rsid w:val="00287788"/>
    <w:rsid w:val="00290622"/>
    <w:rsid w:val="00292DED"/>
    <w:rsid w:val="002A28F7"/>
    <w:rsid w:val="002A3153"/>
    <w:rsid w:val="002B2775"/>
    <w:rsid w:val="002C1497"/>
    <w:rsid w:val="002C163D"/>
    <w:rsid w:val="002C3AA4"/>
    <w:rsid w:val="002C4A06"/>
    <w:rsid w:val="002D4B69"/>
    <w:rsid w:val="002E463F"/>
    <w:rsid w:val="002E4E9A"/>
    <w:rsid w:val="002E508B"/>
    <w:rsid w:val="002E5F9F"/>
    <w:rsid w:val="002E7368"/>
    <w:rsid w:val="002E7849"/>
    <w:rsid w:val="002F15EE"/>
    <w:rsid w:val="002F241F"/>
    <w:rsid w:val="002F6A4F"/>
    <w:rsid w:val="002F7128"/>
    <w:rsid w:val="00300F99"/>
    <w:rsid w:val="00302F33"/>
    <w:rsid w:val="0030799B"/>
    <w:rsid w:val="003154AC"/>
    <w:rsid w:val="00316DD9"/>
    <w:rsid w:val="00321A43"/>
    <w:rsid w:val="003221F7"/>
    <w:rsid w:val="00323776"/>
    <w:rsid w:val="00325D84"/>
    <w:rsid w:val="00337273"/>
    <w:rsid w:val="0034222D"/>
    <w:rsid w:val="00343BBA"/>
    <w:rsid w:val="00361752"/>
    <w:rsid w:val="00361FE6"/>
    <w:rsid w:val="00362CCF"/>
    <w:rsid w:val="00367D39"/>
    <w:rsid w:val="00372392"/>
    <w:rsid w:val="00374981"/>
    <w:rsid w:val="003810D8"/>
    <w:rsid w:val="003853A4"/>
    <w:rsid w:val="003A01C4"/>
    <w:rsid w:val="003A0AA9"/>
    <w:rsid w:val="003A1CC2"/>
    <w:rsid w:val="003A7133"/>
    <w:rsid w:val="003B28EE"/>
    <w:rsid w:val="003C0551"/>
    <w:rsid w:val="003C2E5E"/>
    <w:rsid w:val="003C60B5"/>
    <w:rsid w:val="003D1914"/>
    <w:rsid w:val="003D1EFE"/>
    <w:rsid w:val="003D764C"/>
    <w:rsid w:val="003E129B"/>
    <w:rsid w:val="003E1329"/>
    <w:rsid w:val="003E4B03"/>
    <w:rsid w:val="003E7063"/>
    <w:rsid w:val="003F63E0"/>
    <w:rsid w:val="003F751E"/>
    <w:rsid w:val="004021B7"/>
    <w:rsid w:val="00407032"/>
    <w:rsid w:val="00410E8D"/>
    <w:rsid w:val="004141D8"/>
    <w:rsid w:val="00416220"/>
    <w:rsid w:val="00421F3D"/>
    <w:rsid w:val="004242C5"/>
    <w:rsid w:val="0043261E"/>
    <w:rsid w:val="004339FB"/>
    <w:rsid w:val="00445D60"/>
    <w:rsid w:val="00445E79"/>
    <w:rsid w:val="004509BE"/>
    <w:rsid w:val="004572EE"/>
    <w:rsid w:val="00465305"/>
    <w:rsid w:val="00467BC5"/>
    <w:rsid w:val="00470223"/>
    <w:rsid w:val="00471FEE"/>
    <w:rsid w:val="004726CF"/>
    <w:rsid w:val="004866AD"/>
    <w:rsid w:val="004A25DF"/>
    <w:rsid w:val="004B19E5"/>
    <w:rsid w:val="004B4394"/>
    <w:rsid w:val="004B6B92"/>
    <w:rsid w:val="004D0B5A"/>
    <w:rsid w:val="004D13A3"/>
    <w:rsid w:val="004E6CD9"/>
    <w:rsid w:val="004F20E3"/>
    <w:rsid w:val="004F211A"/>
    <w:rsid w:val="004F3159"/>
    <w:rsid w:val="004F4AEF"/>
    <w:rsid w:val="004F7054"/>
    <w:rsid w:val="004F70A9"/>
    <w:rsid w:val="00506B9B"/>
    <w:rsid w:val="00514F70"/>
    <w:rsid w:val="0052566B"/>
    <w:rsid w:val="00534F1E"/>
    <w:rsid w:val="00536E0B"/>
    <w:rsid w:val="005371F1"/>
    <w:rsid w:val="0054178B"/>
    <w:rsid w:val="00547282"/>
    <w:rsid w:val="00550AC6"/>
    <w:rsid w:val="00550E2B"/>
    <w:rsid w:val="005535E5"/>
    <w:rsid w:val="00553E4E"/>
    <w:rsid w:val="005552BF"/>
    <w:rsid w:val="00560451"/>
    <w:rsid w:val="00562261"/>
    <w:rsid w:val="0056283E"/>
    <w:rsid w:val="00564639"/>
    <w:rsid w:val="00566C31"/>
    <w:rsid w:val="0057250B"/>
    <w:rsid w:val="00574294"/>
    <w:rsid w:val="005749C5"/>
    <w:rsid w:val="0057670A"/>
    <w:rsid w:val="00581252"/>
    <w:rsid w:val="00581D79"/>
    <w:rsid w:val="00585490"/>
    <w:rsid w:val="005905B1"/>
    <w:rsid w:val="005914F1"/>
    <w:rsid w:val="0059494A"/>
    <w:rsid w:val="0059686B"/>
    <w:rsid w:val="00597D79"/>
    <w:rsid w:val="005A07FF"/>
    <w:rsid w:val="005A1384"/>
    <w:rsid w:val="005A4AE2"/>
    <w:rsid w:val="005A65F5"/>
    <w:rsid w:val="005A67AA"/>
    <w:rsid w:val="005A6DE5"/>
    <w:rsid w:val="005A7D82"/>
    <w:rsid w:val="005B0620"/>
    <w:rsid w:val="005B1536"/>
    <w:rsid w:val="005B2FD4"/>
    <w:rsid w:val="005B4F7A"/>
    <w:rsid w:val="005C0B41"/>
    <w:rsid w:val="005C1447"/>
    <w:rsid w:val="005C1770"/>
    <w:rsid w:val="005C2466"/>
    <w:rsid w:val="005C6416"/>
    <w:rsid w:val="005C657D"/>
    <w:rsid w:val="005D05CE"/>
    <w:rsid w:val="005D252F"/>
    <w:rsid w:val="005D380A"/>
    <w:rsid w:val="005E3379"/>
    <w:rsid w:val="005F107C"/>
    <w:rsid w:val="005F3FE9"/>
    <w:rsid w:val="00602008"/>
    <w:rsid w:val="00605648"/>
    <w:rsid w:val="0060702F"/>
    <w:rsid w:val="006108B3"/>
    <w:rsid w:val="00611372"/>
    <w:rsid w:val="00611F91"/>
    <w:rsid w:val="006155C4"/>
    <w:rsid w:val="006237FB"/>
    <w:rsid w:val="006248B1"/>
    <w:rsid w:val="00626DD2"/>
    <w:rsid w:val="00630BF9"/>
    <w:rsid w:val="00630ECC"/>
    <w:rsid w:val="00633E4E"/>
    <w:rsid w:val="00635351"/>
    <w:rsid w:val="006359E8"/>
    <w:rsid w:val="00635D57"/>
    <w:rsid w:val="006418B2"/>
    <w:rsid w:val="00642404"/>
    <w:rsid w:val="00642769"/>
    <w:rsid w:val="006429B3"/>
    <w:rsid w:val="00647EFA"/>
    <w:rsid w:val="00652973"/>
    <w:rsid w:val="006558CA"/>
    <w:rsid w:val="00657E79"/>
    <w:rsid w:val="006606F5"/>
    <w:rsid w:val="00665A3B"/>
    <w:rsid w:val="0067185E"/>
    <w:rsid w:val="00671B64"/>
    <w:rsid w:val="00671D5B"/>
    <w:rsid w:val="00675A5D"/>
    <w:rsid w:val="006775FA"/>
    <w:rsid w:val="006814D7"/>
    <w:rsid w:val="00681841"/>
    <w:rsid w:val="0068544D"/>
    <w:rsid w:val="0069409E"/>
    <w:rsid w:val="00695D08"/>
    <w:rsid w:val="00697996"/>
    <w:rsid w:val="006A27AA"/>
    <w:rsid w:val="006A3602"/>
    <w:rsid w:val="006A3FF7"/>
    <w:rsid w:val="006B1F9F"/>
    <w:rsid w:val="006C382D"/>
    <w:rsid w:val="006D00D9"/>
    <w:rsid w:val="006D1162"/>
    <w:rsid w:val="006D67EB"/>
    <w:rsid w:val="006E22B1"/>
    <w:rsid w:val="006E7F39"/>
    <w:rsid w:val="006F1F96"/>
    <w:rsid w:val="006F3DD1"/>
    <w:rsid w:val="006F6DC9"/>
    <w:rsid w:val="00700337"/>
    <w:rsid w:val="00700B01"/>
    <w:rsid w:val="00702EBF"/>
    <w:rsid w:val="00713414"/>
    <w:rsid w:val="00722A63"/>
    <w:rsid w:val="00723CE9"/>
    <w:rsid w:val="00730058"/>
    <w:rsid w:val="00730350"/>
    <w:rsid w:val="00730EF3"/>
    <w:rsid w:val="0073516C"/>
    <w:rsid w:val="007403F5"/>
    <w:rsid w:val="007426B3"/>
    <w:rsid w:val="00743353"/>
    <w:rsid w:val="007456AC"/>
    <w:rsid w:val="00745C9F"/>
    <w:rsid w:val="00747CD7"/>
    <w:rsid w:val="0075096B"/>
    <w:rsid w:val="00751648"/>
    <w:rsid w:val="00757CDD"/>
    <w:rsid w:val="00760615"/>
    <w:rsid w:val="0076231A"/>
    <w:rsid w:val="00763F44"/>
    <w:rsid w:val="00764D03"/>
    <w:rsid w:val="00765E95"/>
    <w:rsid w:val="00766306"/>
    <w:rsid w:val="00771A90"/>
    <w:rsid w:val="00774F55"/>
    <w:rsid w:val="00775D8A"/>
    <w:rsid w:val="0077659E"/>
    <w:rsid w:val="00777901"/>
    <w:rsid w:val="00777AD4"/>
    <w:rsid w:val="00780950"/>
    <w:rsid w:val="007809EF"/>
    <w:rsid w:val="00783D2C"/>
    <w:rsid w:val="00790044"/>
    <w:rsid w:val="00790766"/>
    <w:rsid w:val="00794F29"/>
    <w:rsid w:val="007A0750"/>
    <w:rsid w:val="007A1E9B"/>
    <w:rsid w:val="007A2250"/>
    <w:rsid w:val="007A4103"/>
    <w:rsid w:val="007A5759"/>
    <w:rsid w:val="007B3CFE"/>
    <w:rsid w:val="007C321D"/>
    <w:rsid w:val="007C41A5"/>
    <w:rsid w:val="007C58BE"/>
    <w:rsid w:val="007C7EEE"/>
    <w:rsid w:val="007D0537"/>
    <w:rsid w:val="007D080B"/>
    <w:rsid w:val="007D29D3"/>
    <w:rsid w:val="007E06DD"/>
    <w:rsid w:val="007E35BC"/>
    <w:rsid w:val="007F1ACB"/>
    <w:rsid w:val="007F670A"/>
    <w:rsid w:val="007F7235"/>
    <w:rsid w:val="0080050F"/>
    <w:rsid w:val="00814D1A"/>
    <w:rsid w:val="008168A2"/>
    <w:rsid w:val="00816E77"/>
    <w:rsid w:val="00821CD3"/>
    <w:rsid w:val="00824E92"/>
    <w:rsid w:val="00827FF1"/>
    <w:rsid w:val="00831263"/>
    <w:rsid w:val="00831DB7"/>
    <w:rsid w:val="008321FB"/>
    <w:rsid w:val="00832EBF"/>
    <w:rsid w:val="008366CB"/>
    <w:rsid w:val="00837F3A"/>
    <w:rsid w:val="008419B8"/>
    <w:rsid w:val="00847967"/>
    <w:rsid w:val="008515CE"/>
    <w:rsid w:val="008547AE"/>
    <w:rsid w:val="008620F3"/>
    <w:rsid w:val="008637C5"/>
    <w:rsid w:val="00863986"/>
    <w:rsid w:val="00866257"/>
    <w:rsid w:val="00873234"/>
    <w:rsid w:val="00874F24"/>
    <w:rsid w:val="00876230"/>
    <w:rsid w:val="008769A0"/>
    <w:rsid w:val="00877D5B"/>
    <w:rsid w:val="00877ECD"/>
    <w:rsid w:val="00886B1E"/>
    <w:rsid w:val="0089094C"/>
    <w:rsid w:val="008A460D"/>
    <w:rsid w:val="008A4CD5"/>
    <w:rsid w:val="008A588F"/>
    <w:rsid w:val="008A644A"/>
    <w:rsid w:val="008B05BD"/>
    <w:rsid w:val="008B0C03"/>
    <w:rsid w:val="008B0DD1"/>
    <w:rsid w:val="008B1297"/>
    <w:rsid w:val="008B250D"/>
    <w:rsid w:val="008B427B"/>
    <w:rsid w:val="008B6009"/>
    <w:rsid w:val="008C24D4"/>
    <w:rsid w:val="008C46DC"/>
    <w:rsid w:val="008C7AB5"/>
    <w:rsid w:val="008D15AA"/>
    <w:rsid w:val="008D1D4D"/>
    <w:rsid w:val="008D6968"/>
    <w:rsid w:val="008E3B15"/>
    <w:rsid w:val="008E3F07"/>
    <w:rsid w:val="008E4B40"/>
    <w:rsid w:val="008E537B"/>
    <w:rsid w:val="008E5F36"/>
    <w:rsid w:val="008F2757"/>
    <w:rsid w:val="008F2E4F"/>
    <w:rsid w:val="008F2F52"/>
    <w:rsid w:val="008F6CA2"/>
    <w:rsid w:val="008F6F8B"/>
    <w:rsid w:val="008F7436"/>
    <w:rsid w:val="0090521B"/>
    <w:rsid w:val="009055E4"/>
    <w:rsid w:val="009106EF"/>
    <w:rsid w:val="00917E9C"/>
    <w:rsid w:val="0092379D"/>
    <w:rsid w:val="00924E3D"/>
    <w:rsid w:val="00925160"/>
    <w:rsid w:val="0092542E"/>
    <w:rsid w:val="00931F15"/>
    <w:rsid w:val="0094167D"/>
    <w:rsid w:val="00942E86"/>
    <w:rsid w:val="00946104"/>
    <w:rsid w:val="009514E5"/>
    <w:rsid w:val="00951C56"/>
    <w:rsid w:val="00955907"/>
    <w:rsid w:val="0095599F"/>
    <w:rsid w:val="00956794"/>
    <w:rsid w:val="00956CF7"/>
    <w:rsid w:val="0096424B"/>
    <w:rsid w:val="009716FA"/>
    <w:rsid w:val="0097188C"/>
    <w:rsid w:val="00972751"/>
    <w:rsid w:val="00984AA8"/>
    <w:rsid w:val="00985088"/>
    <w:rsid w:val="0098648B"/>
    <w:rsid w:val="009868D8"/>
    <w:rsid w:val="00997A62"/>
    <w:rsid w:val="009A244C"/>
    <w:rsid w:val="009A602D"/>
    <w:rsid w:val="009B0DAA"/>
    <w:rsid w:val="009B32FA"/>
    <w:rsid w:val="009C13DC"/>
    <w:rsid w:val="009C6183"/>
    <w:rsid w:val="009C73CF"/>
    <w:rsid w:val="009C76A6"/>
    <w:rsid w:val="009C7FB2"/>
    <w:rsid w:val="009E00AE"/>
    <w:rsid w:val="009E09D3"/>
    <w:rsid w:val="009E5350"/>
    <w:rsid w:val="009E6E74"/>
    <w:rsid w:val="009F41B6"/>
    <w:rsid w:val="00A0665A"/>
    <w:rsid w:val="00A15FD8"/>
    <w:rsid w:val="00A30BA1"/>
    <w:rsid w:val="00A37DEE"/>
    <w:rsid w:val="00A433C3"/>
    <w:rsid w:val="00A50806"/>
    <w:rsid w:val="00A548D5"/>
    <w:rsid w:val="00A54BB7"/>
    <w:rsid w:val="00A5643A"/>
    <w:rsid w:val="00A56E19"/>
    <w:rsid w:val="00A5723C"/>
    <w:rsid w:val="00A60D43"/>
    <w:rsid w:val="00A66499"/>
    <w:rsid w:val="00A707A4"/>
    <w:rsid w:val="00A7274B"/>
    <w:rsid w:val="00A73FB8"/>
    <w:rsid w:val="00A763CB"/>
    <w:rsid w:val="00A772FF"/>
    <w:rsid w:val="00A801D1"/>
    <w:rsid w:val="00A81F69"/>
    <w:rsid w:val="00A85762"/>
    <w:rsid w:val="00A905AE"/>
    <w:rsid w:val="00A90D7D"/>
    <w:rsid w:val="00A91CB0"/>
    <w:rsid w:val="00A93FC0"/>
    <w:rsid w:val="00A95D3F"/>
    <w:rsid w:val="00AA000B"/>
    <w:rsid w:val="00AA3484"/>
    <w:rsid w:val="00AA48E6"/>
    <w:rsid w:val="00AA7E7B"/>
    <w:rsid w:val="00AA7EE7"/>
    <w:rsid w:val="00AB0672"/>
    <w:rsid w:val="00AB1AF9"/>
    <w:rsid w:val="00AB6D0F"/>
    <w:rsid w:val="00AB7858"/>
    <w:rsid w:val="00AC340C"/>
    <w:rsid w:val="00AC61A6"/>
    <w:rsid w:val="00AD1DD2"/>
    <w:rsid w:val="00AD2062"/>
    <w:rsid w:val="00AD2F1D"/>
    <w:rsid w:val="00AD45EE"/>
    <w:rsid w:val="00AD6CF9"/>
    <w:rsid w:val="00AE0533"/>
    <w:rsid w:val="00AE1E46"/>
    <w:rsid w:val="00AE5177"/>
    <w:rsid w:val="00AF0558"/>
    <w:rsid w:val="00AF0989"/>
    <w:rsid w:val="00AF28C7"/>
    <w:rsid w:val="00AF785C"/>
    <w:rsid w:val="00B048B9"/>
    <w:rsid w:val="00B05DDC"/>
    <w:rsid w:val="00B1029F"/>
    <w:rsid w:val="00B10ED9"/>
    <w:rsid w:val="00B11916"/>
    <w:rsid w:val="00B12197"/>
    <w:rsid w:val="00B16E3A"/>
    <w:rsid w:val="00B17A2A"/>
    <w:rsid w:val="00B253F6"/>
    <w:rsid w:val="00B3498C"/>
    <w:rsid w:val="00B34F49"/>
    <w:rsid w:val="00B35222"/>
    <w:rsid w:val="00B35EEF"/>
    <w:rsid w:val="00B43CAD"/>
    <w:rsid w:val="00B51536"/>
    <w:rsid w:val="00B55A49"/>
    <w:rsid w:val="00B64265"/>
    <w:rsid w:val="00B67F76"/>
    <w:rsid w:val="00B70EFF"/>
    <w:rsid w:val="00B728C7"/>
    <w:rsid w:val="00B7558C"/>
    <w:rsid w:val="00B770D3"/>
    <w:rsid w:val="00B81D83"/>
    <w:rsid w:val="00B85794"/>
    <w:rsid w:val="00B9194F"/>
    <w:rsid w:val="00B93840"/>
    <w:rsid w:val="00B95536"/>
    <w:rsid w:val="00B964FD"/>
    <w:rsid w:val="00B96D4C"/>
    <w:rsid w:val="00BA003B"/>
    <w:rsid w:val="00BA00B3"/>
    <w:rsid w:val="00BA2625"/>
    <w:rsid w:val="00BB05E2"/>
    <w:rsid w:val="00BB7C04"/>
    <w:rsid w:val="00BC3498"/>
    <w:rsid w:val="00BC65AE"/>
    <w:rsid w:val="00BD1111"/>
    <w:rsid w:val="00BD1538"/>
    <w:rsid w:val="00BD26B6"/>
    <w:rsid w:val="00BD7DF4"/>
    <w:rsid w:val="00BE01C6"/>
    <w:rsid w:val="00BE22B3"/>
    <w:rsid w:val="00BE4DAC"/>
    <w:rsid w:val="00BF13F8"/>
    <w:rsid w:val="00BF46F8"/>
    <w:rsid w:val="00BF68F1"/>
    <w:rsid w:val="00C01CFF"/>
    <w:rsid w:val="00C026F9"/>
    <w:rsid w:val="00C02C7D"/>
    <w:rsid w:val="00C073B9"/>
    <w:rsid w:val="00C1366B"/>
    <w:rsid w:val="00C1494D"/>
    <w:rsid w:val="00C15B78"/>
    <w:rsid w:val="00C20EDD"/>
    <w:rsid w:val="00C2207B"/>
    <w:rsid w:val="00C24E1B"/>
    <w:rsid w:val="00C3393A"/>
    <w:rsid w:val="00C46129"/>
    <w:rsid w:val="00C51224"/>
    <w:rsid w:val="00C529E8"/>
    <w:rsid w:val="00C6013F"/>
    <w:rsid w:val="00C63537"/>
    <w:rsid w:val="00C66273"/>
    <w:rsid w:val="00C6636B"/>
    <w:rsid w:val="00C71561"/>
    <w:rsid w:val="00C71E70"/>
    <w:rsid w:val="00C75A77"/>
    <w:rsid w:val="00C76805"/>
    <w:rsid w:val="00C8124F"/>
    <w:rsid w:val="00C81513"/>
    <w:rsid w:val="00C8276D"/>
    <w:rsid w:val="00C84637"/>
    <w:rsid w:val="00C858E6"/>
    <w:rsid w:val="00C9078F"/>
    <w:rsid w:val="00C9157E"/>
    <w:rsid w:val="00C92AD3"/>
    <w:rsid w:val="00C93999"/>
    <w:rsid w:val="00C976A2"/>
    <w:rsid w:val="00CA1009"/>
    <w:rsid w:val="00CA30B4"/>
    <w:rsid w:val="00CA4180"/>
    <w:rsid w:val="00CA72FC"/>
    <w:rsid w:val="00CB56F5"/>
    <w:rsid w:val="00CB6E04"/>
    <w:rsid w:val="00CC2512"/>
    <w:rsid w:val="00CC4C58"/>
    <w:rsid w:val="00CC547F"/>
    <w:rsid w:val="00CC689E"/>
    <w:rsid w:val="00CD5D21"/>
    <w:rsid w:val="00CE0E9F"/>
    <w:rsid w:val="00CE40D7"/>
    <w:rsid w:val="00CE5F52"/>
    <w:rsid w:val="00CE7906"/>
    <w:rsid w:val="00CF0E19"/>
    <w:rsid w:val="00D023F0"/>
    <w:rsid w:val="00D05342"/>
    <w:rsid w:val="00D11E5A"/>
    <w:rsid w:val="00D141B4"/>
    <w:rsid w:val="00D207A7"/>
    <w:rsid w:val="00D21B4A"/>
    <w:rsid w:val="00D2751D"/>
    <w:rsid w:val="00D27D9B"/>
    <w:rsid w:val="00D37255"/>
    <w:rsid w:val="00D376DB"/>
    <w:rsid w:val="00D40DE9"/>
    <w:rsid w:val="00D41212"/>
    <w:rsid w:val="00D42B45"/>
    <w:rsid w:val="00D470A3"/>
    <w:rsid w:val="00D5073A"/>
    <w:rsid w:val="00D55BDC"/>
    <w:rsid w:val="00D57CFC"/>
    <w:rsid w:val="00D64A19"/>
    <w:rsid w:val="00D660A1"/>
    <w:rsid w:val="00D66FFC"/>
    <w:rsid w:val="00D71F30"/>
    <w:rsid w:val="00D736C0"/>
    <w:rsid w:val="00D915D7"/>
    <w:rsid w:val="00D92274"/>
    <w:rsid w:val="00D93390"/>
    <w:rsid w:val="00D94339"/>
    <w:rsid w:val="00D9707F"/>
    <w:rsid w:val="00D9750B"/>
    <w:rsid w:val="00DA1F8E"/>
    <w:rsid w:val="00DA57A4"/>
    <w:rsid w:val="00DA6F1B"/>
    <w:rsid w:val="00DB0D07"/>
    <w:rsid w:val="00DC39E8"/>
    <w:rsid w:val="00DC4922"/>
    <w:rsid w:val="00DC4950"/>
    <w:rsid w:val="00DC585C"/>
    <w:rsid w:val="00DD3A4E"/>
    <w:rsid w:val="00DD51B7"/>
    <w:rsid w:val="00DD699B"/>
    <w:rsid w:val="00DD788A"/>
    <w:rsid w:val="00DE2205"/>
    <w:rsid w:val="00DE249D"/>
    <w:rsid w:val="00DE6998"/>
    <w:rsid w:val="00DE75CC"/>
    <w:rsid w:val="00DF0054"/>
    <w:rsid w:val="00DF3309"/>
    <w:rsid w:val="00DF5124"/>
    <w:rsid w:val="00DF7F39"/>
    <w:rsid w:val="00E10496"/>
    <w:rsid w:val="00E1702C"/>
    <w:rsid w:val="00E2257D"/>
    <w:rsid w:val="00E22EE8"/>
    <w:rsid w:val="00E23ABB"/>
    <w:rsid w:val="00E23E99"/>
    <w:rsid w:val="00E24502"/>
    <w:rsid w:val="00E27EA1"/>
    <w:rsid w:val="00E3093A"/>
    <w:rsid w:val="00E33078"/>
    <w:rsid w:val="00E335AB"/>
    <w:rsid w:val="00E33AB6"/>
    <w:rsid w:val="00E35C31"/>
    <w:rsid w:val="00E4012C"/>
    <w:rsid w:val="00E4092D"/>
    <w:rsid w:val="00E42A8F"/>
    <w:rsid w:val="00E50AA2"/>
    <w:rsid w:val="00E5223F"/>
    <w:rsid w:val="00E6185D"/>
    <w:rsid w:val="00E66B4F"/>
    <w:rsid w:val="00E741D5"/>
    <w:rsid w:val="00E74474"/>
    <w:rsid w:val="00E74C28"/>
    <w:rsid w:val="00E873E8"/>
    <w:rsid w:val="00E87A6A"/>
    <w:rsid w:val="00E9232A"/>
    <w:rsid w:val="00EA2593"/>
    <w:rsid w:val="00EA4D1B"/>
    <w:rsid w:val="00EA5783"/>
    <w:rsid w:val="00EB1D11"/>
    <w:rsid w:val="00EB281B"/>
    <w:rsid w:val="00EB5061"/>
    <w:rsid w:val="00EB541B"/>
    <w:rsid w:val="00EC1C50"/>
    <w:rsid w:val="00ED3D05"/>
    <w:rsid w:val="00ED5025"/>
    <w:rsid w:val="00EE5713"/>
    <w:rsid w:val="00EE64AE"/>
    <w:rsid w:val="00EE6D1D"/>
    <w:rsid w:val="00EE715F"/>
    <w:rsid w:val="00F02841"/>
    <w:rsid w:val="00F06445"/>
    <w:rsid w:val="00F07114"/>
    <w:rsid w:val="00F12D41"/>
    <w:rsid w:val="00F16740"/>
    <w:rsid w:val="00F168FD"/>
    <w:rsid w:val="00F206A7"/>
    <w:rsid w:val="00F3105E"/>
    <w:rsid w:val="00F31AAB"/>
    <w:rsid w:val="00F41591"/>
    <w:rsid w:val="00F41A63"/>
    <w:rsid w:val="00F45BEB"/>
    <w:rsid w:val="00F54523"/>
    <w:rsid w:val="00F56324"/>
    <w:rsid w:val="00F6137D"/>
    <w:rsid w:val="00F64384"/>
    <w:rsid w:val="00F70793"/>
    <w:rsid w:val="00F763B2"/>
    <w:rsid w:val="00F84544"/>
    <w:rsid w:val="00F85416"/>
    <w:rsid w:val="00F857F2"/>
    <w:rsid w:val="00F90552"/>
    <w:rsid w:val="00F908B7"/>
    <w:rsid w:val="00F908E0"/>
    <w:rsid w:val="00F954FA"/>
    <w:rsid w:val="00F95B1F"/>
    <w:rsid w:val="00F96EB7"/>
    <w:rsid w:val="00FA05B2"/>
    <w:rsid w:val="00FA0889"/>
    <w:rsid w:val="00FA2E62"/>
    <w:rsid w:val="00FA38F0"/>
    <w:rsid w:val="00FA4A2D"/>
    <w:rsid w:val="00FA68A7"/>
    <w:rsid w:val="00FB2814"/>
    <w:rsid w:val="00FB596A"/>
    <w:rsid w:val="00FB5FA3"/>
    <w:rsid w:val="00FC0C51"/>
    <w:rsid w:val="00FC3903"/>
    <w:rsid w:val="00FC4365"/>
    <w:rsid w:val="00FC6848"/>
    <w:rsid w:val="00FD3CD3"/>
    <w:rsid w:val="00FE1B88"/>
    <w:rsid w:val="00FE2D16"/>
    <w:rsid w:val="00FE7D26"/>
    <w:rsid w:val="00FF0C8D"/>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104f75,#260859,#004712,#8a2529,#c2a204,#e87d1e"/>
    </o:shapedefaults>
    <o:shapelayout v:ext="edit">
      <o:idmap v:ext="edit" data="1"/>
    </o:shapelayout>
  </w:shapeDefaults>
  <w:decimalSymbol w:val="."/>
  <w:listSeparator w:val=","/>
  <w14:docId w14:val="0AACADDA"/>
  <w15:docId w15:val="{3939039D-2AA2-47A3-ACEF-E9AFDC7D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Dot pt,Medium Grid 1 - Accent 21,No Spacing1,List Paragraph Char Char Char,Indicator Text,List Paragraph1,Numbered Para 1,Bullet 1,List Paragraph12,F5 List Paragraph,Bullet Points,MAIN CONTENT,Colorful List - Accent 11,List Paragraph2,L"/>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Default">
    <w:name w:val="Default"/>
    <w:rsid w:val="00AD45EE"/>
    <w:pPr>
      <w:autoSpaceDE w:val="0"/>
      <w:autoSpaceDN w:val="0"/>
      <w:adjustRightInd w:val="0"/>
    </w:pPr>
    <w:rPr>
      <w:rFonts w:cs="Arial"/>
      <w:color w:val="000000"/>
      <w:sz w:val="24"/>
      <w:szCs w:val="24"/>
    </w:rPr>
  </w:style>
  <w:style w:type="paragraph" w:customStyle="1" w:styleId="Body">
    <w:name w:val="Body"/>
    <w:rsid w:val="001C1B7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character" w:customStyle="1" w:styleId="ListParagraphChar">
    <w:name w:val="List Paragraph Char"/>
    <w:aliases w:val="Dot pt Char,Medium Grid 1 - Accent 21 Char,No Spacing1 Char,List Paragraph Char Char Char Char,Indicator Text Char,List Paragraph1 Char,Numbered Para 1 Char,Bullet 1 Char,List Paragraph12 Char,F5 List Paragraph Char,MAIN CONTENT Char"/>
    <w:basedOn w:val="DefaultParagraphFont"/>
    <w:link w:val="ListParagraph"/>
    <w:uiPriority w:val="34"/>
    <w:locked/>
    <w:rsid w:val="0030799B"/>
    <w:rPr>
      <w:color w:val="0D0D0D" w:themeColor="text1" w:themeTint="F2"/>
      <w:sz w:val="24"/>
      <w:szCs w:val="24"/>
    </w:rPr>
  </w:style>
  <w:style w:type="paragraph" w:customStyle="1" w:styleId="Numbered">
    <w:name w:val="Numbered"/>
    <w:basedOn w:val="Normal"/>
    <w:rsid w:val="00465305"/>
    <w:pPr>
      <w:widowControl w:val="0"/>
      <w:overflowPunct w:val="0"/>
      <w:autoSpaceDE w:val="0"/>
      <w:autoSpaceDN w:val="0"/>
      <w:adjustRightInd w:val="0"/>
      <w:spacing w:line="240" w:lineRule="auto"/>
      <w:textAlignment w:val="baseline"/>
    </w:pPr>
    <w:rPr>
      <w:rFonts w:cs="Mang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50">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31547049">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63632347">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367473/NatCen_Social_Research_-_HBT_bullying_-_analytical_report.pdf" TargetMode="External"/><Relationship Id="rId18" Type="http://schemas.openxmlformats.org/officeDocument/2006/relationships/diagramColors" Target="diagrams/colors1.xml"/><Relationship Id="rId26" Type="http://schemas.openxmlformats.org/officeDocument/2006/relationships/hyperlink" Target="http://www.gov.uk/government/publications" TargetMode="External"/><Relationship Id="rId3" Type="http://schemas.openxmlformats.org/officeDocument/2006/relationships/customXml" Target="../customXml/item3.xml"/><Relationship Id="rId21" Type="http://schemas.openxmlformats.org/officeDocument/2006/relationships/hyperlink" Target="mailto:LGBT.team@geo.gov.uk"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QuickStyle" Target="diagrams/quickStyle1.xml"/><Relationship Id="rId25" Type="http://schemas.openxmlformats.org/officeDocument/2006/relationships/hyperlink" Target="http://www.education.gov.uk/contactu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www.contractsfinder.service.gov.uk/Search"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si@nationalarchives.gsi.gov.uk"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hyperlink" Target="http://www.nationalarchives.gov.uk/doc/open-government-licence/version/3/" TargetMode="External"/><Relationship Id="rId28" Type="http://schemas.openxmlformats.org/officeDocument/2006/relationships/hyperlink" Target="http://twitter.com/educationgovuk" TargetMode="External"/><Relationship Id="rId36" Type="http://schemas.openxmlformats.org/officeDocument/2006/relationships/footer" Target="footer3.xml"/><Relationship Id="rId10" Type="http://schemas.openxmlformats.org/officeDocument/2006/relationships/footnotes" Target="footnotes.xml"/><Relationship Id="rId19" Type="http://schemas.microsoft.com/office/2007/relationships/diagramDrawing" Target="diagrams/drawing1.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GBT.team@geo.gov.uk" TargetMode="External"/><Relationship Id="rId22" Type="http://schemas.openxmlformats.org/officeDocument/2006/relationships/hyperlink" Target="http://www.cabinetoffice.gov.uk/resource-library/cabinet-office-controls-guidance" TargetMode="External"/><Relationship Id="rId27" Type="http://schemas.openxmlformats.org/officeDocument/2006/relationships/image" Target="media/image2.png"/><Relationship Id="rId30" Type="http://schemas.openxmlformats.org/officeDocument/2006/relationships/hyperlink" Target="http://www.facebook.com/educationgovuk" TargetMode="External"/><Relationship Id="rId35"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6B227B-6205-4F8F-81C0-DD2667F2A9EF}" type="doc">
      <dgm:prSet loTypeId="urn:microsoft.com/office/officeart/2005/8/layout/orgChart1" loCatId="hierarchy" qsTypeId="urn:microsoft.com/office/officeart/2005/8/quickstyle/simple1" qsCatId="simple" csTypeId="urn:microsoft.com/office/officeart/2005/8/colors/accent1_2" csCatId="accent1" phldr="1"/>
      <dgm:spPr/>
    </dgm:pt>
    <dgm:pt modelId="{2EE4453F-CDF7-4FBA-A328-B392C24DED42}">
      <dgm:prSet/>
      <dgm:spPr>
        <a:ln>
          <a:solidFill>
            <a:schemeClr val="tx1"/>
          </a:solidFill>
        </a:ln>
      </dgm:spPr>
      <dgm:t>
        <a:bodyPr/>
        <a:lstStyle/>
        <a:p>
          <a:pPr marR="0" algn="ctr" rtl="0"/>
          <a:r>
            <a:rPr lang="en-GB" b="1" i="0" u="none" strike="noStrike" baseline="0" smtClean="0">
              <a:latin typeface="Calibri" panose="020F0502020204030204" pitchFamily="34" charset="0"/>
            </a:rPr>
            <a:t>Surveying</a:t>
          </a:r>
          <a:r>
            <a:rPr lang="en-GB" b="0" i="0" u="none" strike="noStrike" baseline="0" smtClean="0">
              <a:latin typeface="Calibri" panose="020F0502020204030204" pitchFamily="34" charset="0"/>
            </a:rPr>
            <a:t> schools and </a:t>
          </a:r>
          <a:r>
            <a:rPr lang="en-GB" b="1" i="0" u="none" strike="noStrike" baseline="0" smtClean="0">
              <a:latin typeface="Calibri" panose="020F0502020204030204" pitchFamily="34" charset="0"/>
            </a:rPr>
            <a:t>recruiting </a:t>
          </a:r>
          <a:r>
            <a:rPr lang="en-GB" b="0" i="0" u="none" strike="noStrike" baseline="0" smtClean="0">
              <a:latin typeface="Calibri" panose="020F0502020204030204" pitchFamily="34" charset="0"/>
            </a:rPr>
            <a:t>a sample</a:t>
          </a:r>
          <a:endParaRPr lang="en-GB" b="0" i="0" u="none" strike="noStrike" baseline="0" smtClean="0">
            <a:latin typeface="Times New Roman" panose="02020603050405020304" pitchFamily="18" charset="0"/>
          </a:endParaRPr>
        </a:p>
      </dgm:t>
    </dgm:pt>
    <dgm:pt modelId="{D382D08D-2AD7-4C56-9F23-4974B1CD0128}" type="parTrans" cxnId="{C7EFEDEA-C10D-4C07-B6BB-8DB238EE0796}">
      <dgm:prSet/>
      <dgm:spPr/>
      <dgm:t>
        <a:bodyPr/>
        <a:lstStyle/>
        <a:p>
          <a:endParaRPr lang="en-US"/>
        </a:p>
      </dgm:t>
    </dgm:pt>
    <dgm:pt modelId="{30814121-C673-4840-9FCB-2E3FF2F70143}" type="sibTrans" cxnId="{C7EFEDEA-C10D-4C07-B6BB-8DB238EE0796}">
      <dgm:prSet/>
      <dgm:spPr/>
      <dgm:t>
        <a:bodyPr/>
        <a:lstStyle/>
        <a:p>
          <a:endParaRPr lang="en-US"/>
        </a:p>
      </dgm:t>
    </dgm:pt>
    <dgm:pt modelId="{29C12758-5D7B-43EF-B901-BFABE2F08E00}">
      <dgm:prSet/>
      <dgm:spPr>
        <a:ln>
          <a:solidFill>
            <a:schemeClr val="tx1"/>
          </a:solidFill>
        </a:ln>
      </dgm:spPr>
      <dgm:t>
        <a:bodyPr/>
        <a:lstStyle/>
        <a:p>
          <a:pPr marR="0" algn="ctr" rtl="0"/>
          <a:r>
            <a:rPr lang="en-GB" b="0" i="0" u="none" strike="noStrike" baseline="0" smtClean="0">
              <a:latin typeface="Calibri" panose="020F0502020204030204" pitchFamily="34" charset="0"/>
            </a:rPr>
            <a:t> Survey findings suggest </a:t>
          </a:r>
          <a:r>
            <a:rPr lang="en-GB" b="1" i="0" u="none" strike="noStrike" baseline="0" smtClean="0">
              <a:latin typeface="Calibri" panose="020F0502020204030204" pitchFamily="34" charset="0"/>
            </a:rPr>
            <a:t>intensive</a:t>
          </a:r>
          <a:r>
            <a:rPr lang="en-GB" b="0" i="0" u="none" strike="noStrike" baseline="0" smtClean="0">
              <a:latin typeface="Calibri" panose="020F0502020204030204" pitchFamily="34" charset="0"/>
            </a:rPr>
            <a:t> intervention required in selected school</a:t>
          </a:r>
          <a:endParaRPr lang="en-GB" smtClean="0"/>
        </a:p>
      </dgm:t>
    </dgm:pt>
    <dgm:pt modelId="{57C22A52-68B2-4FB0-9B49-ED3CFECD5CFD}" type="parTrans" cxnId="{ECC9B0C2-1D94-44C9-96BC-7A5D9ACD8874}">
      <dgm:prSet/>
      <dgm:spPr/>
      <dgm:t>
        <a:bodyPr/>
        <a:lstStyle/>
        <a:p>
          <a:endParaRPr lang="en-US"/>
        </a:p>
      </dgm:t>
    </dgm:pt>
    <dgm:pt modelId="{B1E6E2E6-D9AD-4B47-9DBC-A9406F1D46D0}" type="sibTrans" cxnId="{ECC9B0C2-1D94-44C9-96BC-7A5D9ACD8874}">
      <dgm:prSet/>
      <dgm:spPr/>
      <dgm:t>
        <a:bodyPr/>
        <a:lstStyle/>
        <a:p>
          <a:endParaRPr lang="en-US"/>
        </a:p>
      </dgm:t>
    </dgm:pt>
    <dgm:pt modelId="{F25A04E9-4444-4FCA-913F-A8C8093E5C79}">
      <dgm:prSet/>
      <dgm:spPr>
        <a:ln>
          <a:solidFill>
            <a:schemeClr val="tx1"/>
          </a:solidFill>
        </a:ln>
      </dgm:spPr>
      <dgm:t>
        <a:bodyPr/>
        <a:lstStyle/>
        <a:p>
          <a:pPr marR="0" algn="ctr" rtl="0"/>
          <a:r>
            <a:rPr lang="en-GB" b="0" i="0" u="none" strike="noStrike" baseline="0" smtClean="0">
              <a:latin typeface="Calibri" panose="020F0502020204030204" pitchFamily="34" charset="0"/>
            </a:rPr>
            <a:t>Model 1: Whole school approach and staff training</a:t>
          </a:r>
        </a:p>
      </dgm:t>
    </dgm:pt>
    <dgm:pt modelId="{EA658CEE-167B-43E7-9DD6-A1FAB1E13E95}" type="parTrans" cxnId="{4C1391E0-E543-41FB-86A2-7BCF046E9597}">
      <dgm:prSet/>
      <dgm:spPr/>
      <dgm:t>
        <a:bodyPr/>
        <a:lstStyle/>
        <a:p>
          <a:endParaRPr lang="en-US"/>
        </a:p>
      </dgm:t>
    </dgm:pt>
    <dgm:pt modelId="{FFD5DA44-74A3-423D-BD8A-7D4DA9F5603C}" type="sibTrans" cxnId="{4C1391E0-E543-41FB-86A2-7BCF046E9597}">
      <dgm:prSet/>
      <dgm:spPr/>
      <dgm:t>
        <a:bodyPr/>
        <a:lstStyle/>
        <a:p>
          <a:endParaRPr lang="en-US"/>
        </a:p>
      </dgm:t>
    </dgm:pt>
    <dgm:pt modelId="{FFB33144-8D58-4614-A3C2-A68BC5A8C145}">
      <dgm:prSet/>
      <dgm:spPr>
        <a:ln>
          <a:solidFill>
            <a:schemeClr val="tx1"/>
          </a:solidFill>
        </a:ln>
      </dgm:spPr>
      <dgm:t>
        <a:bodyPr/>
        <a:lstStyle/>
        <a:p>
          <a:pPr marR="0" algn="ctr" rtl="0"/>
          <a:r>
            <a:rPr lang="en-GB" b="0" i="0" u="none" strike="noStrike" baseline="0" smtClean="0">
              <a:latin typeface="Calibri" panose="020F0502020204030204" pitchFamily="34" charset="0"/>
            </a:rPr>
            <a:t>Outcome 1, 2 and 3</a:t>
          </a:r>
          <a:endParaRPr lang="en-GB" b="0" i="0" u="none" strike="noStrike" baseline="0" smtClean="0">
            <a:latin typeface="Times New Roman" panose="02020603050405020304" pitchFamily="18" charset="0"/>
          </a:endParaRPr>
        </a:p>
      </dgm:t>
    </dgm:pt>
    <dgm:pt modelId="{98726BE6-EE6F-4C3E-AA49-6E39374D0579}" type="parTrans" cxnId="{79F9A792-32E0-4642-B09D-7F5761820AA2}">
      <dgm:prSet/>
      <dgm:spPr/>
      <dgm:t>
        <a:bodyPr/>
        <a:lstStyle/>
        <a:p>
          <a:endParaRPr lang="en-US"/>
        </a:p>
      </dgm:t>
    </dgm:pt>
    <dgm:pt modelId="{C1EF1EA6-5F18-4AB7-BB78-96DAB18AF787}" type="sibTrans" cxnId="{79F9A792-32E0-4642-B09D-7F5761820AA2}">
      <dgm:prSet/>
      <dgm:spPr/>
      <dgm:t>
        <a:bodyPr/>
        <a:lstStyle/>
        <a:p>
          <a:endParaRPr lang="en-US"/>
        </a:p>
      </dgm:t>
    </dgm:pt>
    <dgm:pt modelId="{4DDFA458-B436-4505-9CDB-BD4DFB152270}">
      <dgm:prSet/>
      <dgm:spPr>
        <a:ln>
          <a:solidFill>
            <a:schemeClr val="tx1"/>
          </a:solidFill>
        </a:ln>
      </dgm:spPr>
      <dgm:t>
        <a:bodyPr/>
        <a:lstStyle/>
        <a:p>
          <a:pPr marR="0" algn="ctr" rtl="0"/>
          <a:r>
            <a:rPr lang="en-GB" b="0" i="0" u="none" strike="noStrike" baseline="0" smtClean="0">
              <a:latin typeface="Calibri" panose="020F0502020204030204" pitchFamily="34" charset="0"/>
            </a:rPr>
            <a:t>Survey findings suggest </a:t>
          </a:r>
          <a:r>
            <a:rPr lang="en-GB" b="1" i="0" u="none" strike="noStrike" baseline="0" smtClean="0">
              <a:latin typeface="Calibri" panose="020F0502020204030204" pitchFamily="34" charset="0"/>
            </a:rPr>
            <a:t>less intensive</a:t>
          </a:r>
          <a:r>
            <a:rPr lang="en-GB" b="0" i="0" u="none" strike="noStrike" baseline="0" smtClean="0">
              <a:latin typeface="Calibri" panose="020F0502020204030204" pitchFamily="34" charset="0"/>
            </a:rPr>
            <a:t> intervention required in selected school</a:t>
          </a:r>
          <a:endParaRPr lang="en-GB" smtClean="0"/>
        </a:p>
      </dgm:t>
    </dgm:pt>
    <dgm:pt modelId="{51B5F2E5-A275-4E0F-98E4-038620DDF402}" type="parTrans" cxnId="{326E3354-4C66-483F-B996-DDF90DE5B12D}">
      <dgm:prSet/>
      <dgm:spPr/>
      <dgm:t>
        <a:bodyPr/>
        <a:lstStyle/>
        <a:p>
          <a:endParaRPr lang="en-US"/>
        </a:p>
      </dgm:t>
    </dgm:pt>
    <dgm:pt modelId="{87C2FE5C-4048-4169-928D-6A2BCA997A77}" type="sibTrans" cxnId="{326E3354-4C66-483F-B996-DDF90DE5B12D}">
      <dgm:prSet/>
      <dgm:spPr/>
      <dgm:t>
        <a:bodyPr/>
        <a:lstStyle/>
        <a:p>
          <a:endParaRPr lang="en-US"/>
        </a:p>
      </dgm:t>
    </dgm:pt>
    <dgm:pt modelId="{F79DDC6E-9F1F-4551-8AB4-641B2DC39D8C}">
      <dgm:prSet/>
      <dgm:spPr>
        <a:ln>
          <a:solidFill>
            <a:schemeClr val="tx1"/>
          </a:solidFill>
        </a:ln>
      </dgm:spPr>
      <dgm:t>
        <a:bodyPr/>
        <a:lstStyle/>
        <a:p>
          <a:pPr marR="0" algn="ctr" rtl="0"/>
          <a:r>
            <a:rPr lang="en-GB" b="0" i="0" u="none" strike="noStrike" baseline="0" smtClean="0">
              <a:latin typeface="Calibri" panose="020F0502020204030204" pitchFamily="34" charset="0"/>
            </a:rPr>
            <a:t>Model 2: Staff Training only</a:t>
          </a:r>
          <a:endParaRPr lang="en-GB" smtClean="0"/>
        </a:p>
      </dgm:t>
    </dgm:pt>
    <dgm:pt modelId="{E1B04DE4-D663-40F4-9D97-5D7E97970D32}" type="parTrans" cxnId="{7376F11D-D8AA-43C4-8801-0C5742913D84}">
      <dgm:prSet/>
      <dgm:spPr/>
      <dgm:t>
        <a:bodyPr/>
        <a:lstStyle/>
        <a:p>
          <a:endParaRPr lang="en-US"/>
        </a:p>
      </dgm:t>
    </dgm:pt>
    <dgm:pt modelId="{523DB69A-933A-4D73-BDF0-94EFAD2AD42C}" type="sibTrans" cxnId="{7376F11D-D8AA-43C4-8801-0C5742913D84}">
      <dgm:prSet/>
      <dgm:spPr/>
      <dgm:t>
        <a:bodyPr/>
        <a:lstStyle/>
        <a:p>
          <a:endParaRPr lang="en-US"/>
        </a:p>
      </dgm:t>
    </dgm:pt>
    <dgm:pt modelId="{2AE47A8C-F04E-47E5-A4CB-3593784EA0D0}">
      <dgm:prSet/>
      <dgm:spPr>
        <a:ln>
          <a:solidFill>
            <a:schemeClr val="tx1"/>
          </a:solidFill>
        </a:ln>
      </dgm:spPr>
      <dgm:t>
        <a:bodyPr/>
        <a:lstStyle/>
        <a:p>
          <a:pPr marR="0" algn="ctr" rtl="0"/>
          <a:r>
            <a:rPr lang="en-GB" b="0" i="0" u="none" strike="noStrike" baseline="0" smtClean="0">
              <a:latin typeface="Calibri" panose="020F0502020204030204" pitchFamily="34" charset="0"/>
            </a:rPr>
            <a:t>Outcome 2 only</a:t>
          </a:r>
        </a:p>
      </dgm:t>
    </dgm:pt>
    <dgm:pt modelId="{B785E951-C119-4180-B1A7-25623052BB6C}" type="parTrans" cxnId="{C223E494-8426-4A25-B846-DCB96DA4B621}">
      <dgm:prSet/>
      <dgm:spPr/>
      <dgm:t>
        <a:bodyPr/>
        <a:lstStyle/>
        <a:p>
          <a:endParaRPr lang="en-US"/>
        </a:p>
      </dgm:t>
    </dgm:pt>
    <dgm:pt modelId="{F1F3FFC8-A5EE-4AF1-A897-FA99CD341C43}" type="sibTrans" cxnId="{C223E494-8426-4A25-B846-DCB96DA4B621}">
      <dgm:prSet/>
      <dgm:spPr/>
      <dgm:t>
        <a:bodyPr/>
        <a:lstStyle/>
        <a:p>
          <a:endParaRPr lang="en-US"/>
        </a:p>
      </dgm:t>
    </dgm:pt>
    <dgm:pt modelId="{88B00565-07DA-444E-A170-7B8703557A92}">
      <dgm:prSet/>
      <dgm:spPr>
        <a:ln>
          <a:solidFill>
            <a:schemeClr val="tx1"/>
          </a:solidFill>
        </a:ln>
      </dgm:spPr>
      <dgm:t>
        <a:bodyPr/>
        <a:lstStyle/>
        <a:p>
          <a:pPr marR="0" algn="ctr" rtl="0"/>
          <a:r>
            <a:rPr lang="en-GB" b="0" i="0" u="none" strike="noStrike" baseline="0" smtClean="0">
              <a:latin typeface="Calibri" panose="020F0502020204030204" pitchFamily="34" charset="0"/>
            </a:rPr>
            <a:t>Collecting </a:t>
          </a:r>
          <a:r>
            <a:rPr lang="en-GB" b="1" i="0" u="none" strike="noStrike" baseline="0" smtClean="0">
              <a:latin typeface="Calibri" panose="020F0502020204030204" pitchFamily="34" charset="0"/>
            </a:rPr>
            <a:t>baseline </a:t>
          </a:r>
          <a:r>
            <a:rPr lang="en-GB" b="0" i="0" u="none" strike="noStrike" baseline="0" smtClean="0">
              <a:latin typeface="Calibri" panose="020F0502020204030204" pitchFamily="34" charset="0"/>
            </a:rPr>
            <a:t>data</a:t>
          </a:r>
        </a:p>
      </dgm:t>
    </dgm:pt>
    <dgm:pt modelId="{4108EF97-C2EE-4800-9D4E-0E2FE7F7C595}" type="sibTrans" cxnId="{0B0FE732-C42C-4788-8F44-49C0699E0A5E}">
      <dgm:prSet/>
      <dgm:spPr/>
      <dgm:t>
        <a:bodyPr/>
        <a:lstStyle/>
        <a:p>
          <a:endParaRPr lang="en-US"/>
        </a:p>
      </dgm:t>
    </dgm:pt>
    <dgm:pt modelId="{93BE1D4E-0B96-4CD4-91DF-B03E14C1859A}" type="parTrans" cxnId="{0B0FE732-C42C-4788-8F44-49C0699E0A5E}">
      <dgm:prSet/>
      <dgm:spPr/>
      <dgm:t>
        <a:bodyPr/>
        <a:lstStyle/>
        <a:p>
          <a:endParaRPr lang="en-US"/>
        </a:p>
      </dgm:t>
    </dgm:pt>
    <dgm:pt modelId="{E0D97B47-3428-4FBC-A343-B1A3AF8F1A39}" type="pres">
      <dgm:prSet presAssocID="{906B227B-6205-4F8F-81C0-DD2667F2A9EF}" presName="hierChild1" presStyleCnt="0">
        <dgm:presLayoutVars>
          <dgm:orgChart val="1"/>
          <dgm:chPref val="1"/>
          <dgm:dir/>
          <dgm:animOne val="branch"/>
          <dgm:animLvl val="lvl"/>
          <dgm:resizeHandles/>
        </dgm:presLayoutVars>
      </dgm:prSet>
      <dgm:spPr/>
    </dgm:pt>
    <dgm:pt modelId="{D96C09E8-E183-43B6-B690-E46CEB496819}" type="pres">
      <dgm:prSet presAssocID="{2EE4453F-CDF7-4FBA-A328-B392C24DED42}" presName="hierRoot1" presStyleCnt="0">
        <dgm:presLayoutVars>
          <dgm:hierBranch/>
        </dgm:presLayoutVars>
      </dgm:prSet>
      <dgm:spPr/>
    </dgm:pt>
    <dgm:pt modelId="{7668B316-A97B-4DB3-ABC7-9862C36E3BBD}" type="pres">
      <dgm:prSet presAssocID="{2EE4453F-CDF7-4FBA-A328-B392C24DED42}" presName="rootComposite1" presStyleCnt="0"/>
      <dgm:spPr/>
    </dgm:pt>
    <dgm:pt modelId="{B3F34C04-8693-49BA-85CE-19F19EB8B59D}" type="pres">
      <dgm:prSet presAssocID="{2EE4453F-CDF7-4FBA-A328-B392C24DED42}" presName="rootText1" presStyleLbl="node0" presStyleIdx="0" presStyleCnt="1">
        <dgm:presLayoutVars>
          <dgm:chPref val="3"/>
        </dgm:presLayoutVars>
      </dgm:prSet>
      <dgm:spPr/>
      <dgm:t>
        <a:bodyPr/>
        <a:lstStyle/>
        <a:p>
          <a:endParaRPr lang="en-US"/>
        </a:p>
      </dgm:t>
    </dgm:pt>
    <dgm:pt modelId="{05F94B5A-D85C-4D32-B66F-4D40E1832E30}" type="pres">
      <dgm:prSet presAssocID="{2EE4453F-CDF7-4FBA-A328-B392C24DED42}" presName="rootConnector1" presStyleLbl="node1" presStyleIdx="0" presStyleCnt="0"/>
      <dgm:spPr/>
      <dgm:t>
        <a:bodyPr/>
        <a:lstStyle/>
        <a:p>
          <a:endParaRPr lang="en-US"/>
        </a:p>
      </dgm:t>
    </dgm:pt>
    <dgm:pt modelId="{4B9821DD-3812-411F-BE91-D3E51062743F}" type="pres">
      <dgm:prSet presAssocID="{2EE4453F-CDF7-4FBA-A328-B392C24DED42}" presName="hierChild2" presStyleCnt="0"/>
      <dgm:spPr/>
    </dgm:pt>
    <dgm:pt modelId="{76A49D0A-07AB-45C4-8E9D-3E07B82D5CB4}" type="pres">
      <dgm:prSet presAssocID="{93BE1D4E-0B96-4CD4-91DF-B03E14C1859A}" presName="Name35" presStyleLbl="parChTrans1D2" presStyleIdx="0" presStyleCnt="1"/>
      <dgm:spPr/>
      <dgm:t>
        <a:bodyPr/>
        <a:lstStyle/>
        <a:p>
          <a:endParaRPr lang="en-US"/>
        </a:p>
      </dgm:t>
    </dgm:pt>
    <dgm:pt modelId="{989C3574-7957-4094-8977-AFE093EAD65D}" type="pres">
      <dgm:prSet presAssocID="{88B00565-07DA-444E-A170-7B8703557A92}" presName="hierRoot2" presStyleCnt="0">
        <dgm:presLayoutVars>
          <dgm:hierBranch/>
        </dgm:presLayoutVars>
      </dgm:prSet>
      <dgm:spPr/>
    </dgm:pt>
    <dgm:pt modelId="{1FBA75B8-78B5-409B-9EE8-740A3F02168E}" type="pres">
      <dgm:prSet presAssocID="{88B00565-07DA-444E-A170-7B8703557A92}" presName="rootComposite" presStyleCnt="0"/>
      <dgm:spPr/>
    </dgm:pt>
    <dgm:pt modelId="{900B91F2-C53E-4864-8C0F-1A81E7F4DC4B}" type="pres">
      <dgm:prSet presAssocID="{88B00565-07DA-444E-A170-7B8703557A92}" presName="rootText" presStyleLbl="node2" presStyleIdx="0" presStyleCnt="1" custScaleX="124180">
        <dgm:presLayoutVars>
          <dgm:chPref val="3"/>
        </dgm:presLayoutVars>
      </dgm:prSet>
      <dgm:spPr/>
      <dgm:t>
        <a:bodyPr/>
        <a:lstStyle/>
        <a:p>
          <a:endParaRPr lang="en-US"/>
        </a:p>
      </dgm:t>
    </dgm:pt>
    <dgm:pt modelId="{E752E8C4-DEB0-43BA-99A3-8DE1C8EE0435}" type="pres">
      <dgm:prSet presAssocID="{88B00565-07DA-444E-A170-7B8703557A92}" presName="rootConnector" presStyleLbl="node2" presStyleIdx="0" presStyleCnt="1"/>
      <dgm:spPr/>
      <dgm:t>
        <a:bodyPr/>
        <a:lstStyle/>
        <a:p>
          <a:endParaRPr lang="en-US"/>
        </a:p>
      </dgm:t>
    </dgm:pt>
    <dgm:pt modelId="{45C4E9B4-F830-4410-81DA-938BE21D7998}" type="pres">
      <dgm:prSet presAssocID="{88B00565-07DA-444E-A170-7B8703557A92}" presName="hierChild4" presStyleCnt="0"/>
      <dgm:spPr/>
    </dgm:pt>
    <dgm:pt modelId="{56F207AC-88DB-417A-85B6-5B5B6AC6BD89}" type="pres">
      <dgm:prSet presAssocID="{57C22A52-68B2-4FB0-9B49-ED3CFECD5CFD}" presName="Name35" presStyleLbl="parChTrans1D3" presStyleIdx="0" presStyleCnt="2"/>
      <dgm:spPr/>
      <dgm:t>
        <a:bodyPr/>
        <a:lstStyle/>
        <a:p>
          <a:endParaRPr lang="en-US"/>
        </a:p>
      </dgm:t>
    </dgm:pt>
    <dgm:pt modelId="{DAB9AB9A-3EDE-4F7C-A095-1B66540C2FC0}" type="pres">
      <dgm:prSet presAssocID="{29C12758-5D7B-43EF-B901-BFABE2F08E00}" presName="hierRoot2" presStyleCnt="0">
        <dgm:presLayoutVars>
          <dgm:hierBranch val="r"/>
        </dgm:presLayoutVars>
      </dgm:prSet>
      <dgm:spPr/>
    </dgm:pt>
    <dgm:pt modelId="{D8F6E30C-BB3F-44AE-8C64-531E4D058F41}" type="pres">
      <dgm:prSet presAssocID="{29C12758-5D7B-43EF-B901-BFABE2F08E00}" presName="rootComposite" presStyleCnt="0"/>
      <dgm:spPr/>
    </dgm:pt>
    <dgm:pt modelId="{C14B983C-354D-489A-B670-C553833AD55A}" type="pres">
      <dgm:prSet presAssocID="{29C12758-5D7B-43EF-B901-BFABE2F08E00}" presName="rootText" presStyleLbl="node3" presStyleIdx="0" presStyleCnt="2">
        <dgm:presLayoutVars>
          <dgm:chPref val="3"/>
        </dgm:presLayoutVars>
      </dgm:prSet>
      <dgm:spPr/>
      <dgm:t>
        <a:bodyPr/>
        <a:lstStyle/>
        <a:p>
          <a:endParaRPr lang="en-US"/>
        </a:p>
      </dgm:t>
    </dgm:pt>
    <dgm:pt modelId="{62F9FDE7-8A76-4B80-B2E2-8EBBAB356241}" type="pres">
      <dgm:prSet presAssocID="{29C12758-5D7B-43EF-B901-BFABE2F08E00}" presName="rootConnector" presStyleLbl="node3" presStyleIdx="0" presStyleCnt="2"/>
      <dgm:spPr/>
      <dgm:t>
        <a:bodyPr/>
        <a:lstStyle/>
        <a:p>
          <a:endParaRPr lang="en-US"/>
        </a:p>
      </dgm:t>
    </dgm:pt>
    <dgm:pt modelId="{EC2B5F59-0C92-4CA5-9C7D-03AA8E0EB3F0}" type="pres">
      <dgm:prSet presAssocID="{29C12758-5D7B-43EF-B901-BFABE2F08E00}" presName="hierChild4" presStyleCnt="0"/>
      <dgm:spPr/>
    </dgm:pt>
    <dgm:pt modelId="{33CB9146-EC6E-4B83-992C-4EFCF41CE26C}" type="pres">
      <dgm:prSet presAssocID="{EA658CEE-167B-43E7-9DD6-A1FAB1E13E95}" presName="Name50" presStyleLbl="parChTrans1D4" presStyleIdx="0" presStyleCnt="4"/>
      <dgm:spPr/>
      <dgm:t>
        <a:bodyPr/>
        <a:lstStyle/>
        <a:p>
          <a:endParaRPr lang="en-US"/>
        </a:p>
      </dgm:t>
    </dgm:pt>
    <dgm:pt modelId="{FA686717-572D-440D-9FF5-D255D6BD0C45}" type="pres">
      <dgm:prSet presAssocID="{F25A04E9-4444-4FCA-913F-A8C8093E5C79}" presName="hierRoot2" presStyleCnt="0">
        <dgm:presLayoutVars>
          <dgm:hierBranch val="r"/>
        </dgm:presLayoutVars>
      </dgm:prSet>
      <dgm:spPr/>
    </dgm:pt>
    <dgm:pt modelId="{0D749E5C-13B2-4590-A2C8-8138F642E892}" type="pres">
      <dgm:prSet presAssocID="{F25A04E9-4444-4FCA-913F-A8C8093E5C79}" presName="rootComposite" presStyleCnt="0"/>
      <dgm:spPr/>
    </dgm:pt>
    <dgm:pt modelId="{A5A6935E-F17C-4AE9-BDA0-DCD24EA83DBF}" type="pres">
      <dgm:prSet presAssocID="{F25A04E9-4444-4FCA-913F-A8C8093E5C79}" presName="rootText" presStyleLbl="node4" presStyleIdx="0" presStyleCnt="4">
        <dgm:presLayoutVars>
          <dgm:chPref val="3"/>
        </dgm:presLayoutVars>
      </dgm:prSet>
      <dgm:spPr/>
      <dgm:t>
        <a:bodyPr/>
        <a:lstStyle/>
        <a:p>
          <a:endParaRPr lang="en-US"/>
        </a:p>
      </dgm:t>
    </dgm:pt>
    <dgm:pt modelId="{8952645E-DEC8-4386-818D-A18D59930409}" type="pres">
      <dgm:prSet presAssocID="{F25A04E9-4444-4FCA-913F-A8C8093E5C79}" presName="rootConnector" presStyleLbl="node4" presStyleIdx="0" presStyleCnt="4"/>
      <dgm:spPr/>
      <dgm:t>
        <a:bodyPr/>
        <a:lstStyle/>
        <a:p>
          <a:endParaRPr lang="en-US"/>
        </a:p>
      </dgm:t>
    </dgm:pt>
    <dgm:pt modelId="{6C9E3708-D624-4AE6-BC22-CD6DD089466F}" type="pres">
      <dgm:prSet presAssocID="{F25A04E9-4444-4FCA-913F-A8C8093E5C79}" presName="hierChild4" presStyleCnt="0"/>
      <dgm:spPr/>
    </dgm:pt>
    <dgm:pt modelId="{14C7E11F-EE91-49E4-9A4F-93FC461810B1}" type="pres">
      <dgm:prSet presAssocID="{98726BE6-EE6F-4C3E-AA49-6E39374D0579}" presName="Name50" presStyleLbl="parChTrans1D4" presStyleIdx="1" presStyleCnt="4"/>
      <dgm:spPr/>
      <dgm:t>
        <a:bodyPr/>
        <a:lstStyle/>
        <a:p>
          <a:endParaRPr lang="en-US"/>
        </a:p>
      </dgm:t>
    </dgm:pt>
    <dgm:pt modelId="{5C148D20-7F4A-46D2-85DF-F8B99EBE3C12}" type="pres">
      <dgm:prSet presAssocID="{FFB33144-8D58-4614-A3C2-A68BC5A8C145}" presName="hierRoot2" presStyleCnt="0">
        <dgm:presLayoutVars>
          <dgm:hierBranch val="r"/>
        </dgm:presLayoutVars>
      </dgm:prSet>
      <dgm:spPr/>
    </dgm:pt>
    <dgm:pt modelId="{083FBCF7-F7BF-4FA6-8E7E-16FE994F60C8}" type="pres">
      <dgm:prSet presAssocID="{FFB33144-8D58-4614-A3C2-A68BC5A8C145}" presName="rootComposite" presStyleCnt="0"/>
      <dgm:spPr/>
    </dgm:pt>
    <dgm:pt modelId="{6BB4656F-1436-47C7-B39E-59D23B67CEA5}" type="pres">
      <dgm:prSet presAssocID="{FFB33144-8D58-4614-A3C2-A68BC5A8C145}" presName="rootText" presStyleLbl="node4" presStyleIdx="1" presStyleCnt="4">
        <dgm:presLayoutVars>
          <dgm:chPref val="3"/>
        </dgm:presLayoutVars>
      </dgm:prSet>
      <dgm:spPr/>
      <dgm:t>
        <a:bodyPr/>
        <a:lstStyle/>
        <a:p>
          <a:endParaRPr lang="en-US"/>
        </a:p>
      </dgm:t>
    </dgm:pt>
    <dgm:pt modelId="{2F55327D-AA49-4E73-8834-764CF6322163}" type="pres">
      <dgm:prSet presAssocID="{FFB33144-8D58-4614-A3C2-A68BC5A8C145}" presName="rootConnector" presStyleLbl="node4" presStyleIdx="1" presStyleCnt="4"/>
      <dgm:spPr/>
      <dgm:t>
        <a:bodyPr/>
        <a:lstStyle/>
        <a:p>
          <a:endParaRPr lang="en-US"/>
        </a:p>
      </dgm:t>
    </dgm:pt>
    <dgm:pt modelId="{0D86272F-D32F-49BF-A2C4-FA52A2C0C852}" type="pres">
      <dgm:prSet presAssocID="{FFB33144-8D58-4614-A3C2-A68BC5A8C145}" presName="hierChild4" presStyleCnt="0"/>
      <dgm:spPr/>
    </dgm:pt>
    <dgm:pt modelId="{C45F79A7-ED7D-4D3E-9A22-3DE82CC7B762}" type="pres">
      <dgm:prSet presAssocID="{FFB33144-8D58-4614-A3C2-A68BC5A8C145}" presName="hierChild5" presStyleCnt="0"/>
      <dgm:spPr/>
    </dgm:pt>
    <dgm:pt modelId="{E012A98D-E2BA-4F80-91E5-D53BB60AA958}" type="pres">
      <dgm:prSet presAssocID="{F25A04E9-4444-4FCA-913F-A8C8093E5C79}" presName="hierChild5" presStyleCnt="0"/>
      <dgm:spPr/>
    </dgm:pt>
    <dgm:pt modelId="{D8EE18C9-005A-45E9-AEEB-514D30EA57A6}" type="pres">
      <dgm:prSet presAssocID="{29C12758-5D7B-43EF-B901-BFABE2F08E00}" presName="hierChild5" presStyleCnt="0"/>
      <dgm:spPr/>
    </dgm:pt>
    <dgm:pt modelId="{550BA997-664D-4BBA-ABCD-ABA4FD11D82F}" type="pres">
      <dgm:prSet presAssocID="{51B5F2E5-A275-4E0F-98E4-038620DDF402}" presName="Name35" presStyleLbl="parChTrans1D3" presStyleIdx="1" presStyleCnt="2"/>
      <dgm:spPr/>
      <dgm:t>
        <a:bodyPr/>
        <a:lstStyle/>
        <a:p>
          <a:endParaRPr lang="en-US"/>
        </a:p>
      </dgm:t>
    </dgm:pt>
    <dgm:pt modelId="{690312C3-4C42-4A3C-8AE8-DA80DD854413}" type="pres">
      <dgm:prSet presAssocID="{4DDFA458-B436-4505-9CDB-BD4DFB152270}" presName="hierRoot2" presStyleCnt="0">
        <dgm:presLayoutVars>
          <dgm:hierBranch val="r"/>
        </dgm:presLayoutVars>
      </dgm:prSet>
      <dgm:spPr/>
    </dgm:pt>
    <dgm:pt modelId="{9D2CAA45-F1AC-48CA-8629-A5D15DC6FB7A}" type="pres">
      <dgm:prSet presAssocID="{4DDFA458-B436-4505-9CDB-BD4DFB152270}" presName="rootComposite" presStyleCnt="0"/>
      <dgm:spPr/>
    </dgm:pt>
    <dgm:pt modelId="{0CA6E4B1-4210-4DCC-B1D3-9FF23D9931AA}" type="pres">
      <dgm:prSet presAssocID="{4DDFA458-B436-4505-9CDB-BD4DFB152270}" presName="rootText" presStyleLbl="node3" presStyleIdx="1" presStyleCnt="2">
        <dgm:presLayoutVars>
          <dgm:chPref val="3"/>
        </dgm:presLayoutVars>
      </dgm:prSet>
      <dgm:spPr/>
      <dgm:t>
        <a:bodyPr/>
        <a:lstStyle/>
        <a:p>
          <a:endParaRPr lang="en-US"/>
        </a:p>
      </dgm:t>
    </dgm:pt>
    <dgm:pt modelId="{F11BFC36-38F9-4F72-855C-E383F58314B0}" type="pres">
      <dgm:prSet presAssocID="{4DDFA458-B436-4505-9CDB-BD4DFB152270}" presName="rootConnector" presStyleLbl="node3" presStyleIdx="1" presStyleCnt="2"/>
      <dgm:spPr/>
      <dgm:t>
        <a:bodyPr/>
        <a:lstStyle/>
        <a:p>
          <a:endParaRPr lang="en-US"/>
        </a:p>
      </dgm:t>
    </dgm:pt>
    <dgm:pt modelId="{099123C5-AAE5-41FD-8117-639BDE34000C}" type="pres">
      <dgm:prSet presAssocID="{4DDFA458-B436-4505-9CDB-BD4DFB152270}" presName="hierChild4" presStyleCnt="0"/>
      <dgm:spPr/>
    </dgm:pt>
    <dgm:pt modelId="{A4F0FD56-E619-4531-B792-4DBF985703B6}" type="pres">
      <dgm:prSet presAssocID="{E1B04DE4-D663-40F4-9D97-5D7E97970D32}" presName="Name50" presStyleLbl="parChTrans1D4" presStyleIdx="2" presStyleCnt="4"/>
      <dgm:spPr/>
      <dgm:t>
        <a:bodyPr/>
        <a:lstStyle/>
        <a:p>
          <a:endParaRPr lang="en-US"/>
        </a:p>
      </dgm:t>
    </dgm:pt>
    <dgm:pt modelId="{C8305A2C-C1CC-4418-8377-1C532AC7016A}" type="pres">
      <dgm:prSet presAssocID="{F79DDC6E-9F1F-4551-8AB4-641B2DC39D8C}" presName="hierRoot2" presStyleCnt="0">
        <dgm:presLayoutVars>
          <dgm:hierBranch val="r"/>
        </dgm:presLayoutVars>
      </dgm:prSet>
      <dgm:spPr/>
    </dgm:pt>
    <dgm:pt modelId="{809D3CF1-F429-4A3D-9285-1A462DA9E5E4}" type="pres">
      <dgm:prSet presAssocID="{F79DDC6E-9F1F-4551-8AB4-641B2DC39D8C}" presName="rootComposite" presStyleCnt="0"/>
      <dgm:spPr/>
    </dgm:pt>
    <dgm:pt modelId="{C847C55D-6D41-41F4-8EA0-ADC563D624D6}" type="pres">
      <dgm:prSet presAssocID="{F79DDC6E-9F1F-4551-8AB4-641B2DC39D8C}" presName="rootText" presStyleLbl="node4" presStyleIdx="2" presStyleCnt="4">
        <dgm:presLayoutVars>
          <dgm:chPref val="3"/>
        </dgm:presLayoutVars>
      </dgm:prSet>
      <dgm:spPr/>
      <dgm:t>
        <a:bodyPr/>
        <a:lstStyle/>
        <a:p>
          <a:endParaRPr lang="en-US"/>
        </a:p>
      </dgm:t>
    </dgm:pt>
    <dgm:pt modelId="{3D94B188-9FDD-4C87-A2E7-35FEAE93334D}" type="pres">
      <dgm:prSet presAssocID="{F79DDC6E-9F1F-4551-8AB4-641B2DC39D8C}" presName="rootConnector" presStyleLbl="node4" presStyleIdx="2" presStyleCnt="4"/>
      <dgm:spPr/>
      <dgm:t>
        <a:bodyPr/>
        <a:lstStyle/>
        <a:p>
          <a:endParaRPr lang="en-US"/>
        </a:p>
      </dgm:t>
    </dgm:pt>
    <dgm:pt modelId="{49BEDBA1-F4DD-4716-826B-CD003CF9EE22}" type="pres">
      <dgm:prSet presAssocID="{F79DDC6E-9F1F-4551-8AB4-641B2DC39D8C}" presName="hierChild4" presStyleCnt="0"/>
      <dgm:spPr/>
    </dgm:pt>
    <dgm:pt modelId="{6DAC199A-D2C2-4BAA-8F7D-D22B0375E80C}" type="pres">
      <dgm:prSet presAssocID="{B785E951-C119-4180-B1A7-25623052BB6C}" presName="Name50" presStyleLbl="parChTrans1D4" presStyleIdx="3" presStyleCnt="4"/>
      <dgm:spPr/>
      <dgm:t>
        <a:bodyPr/>
        <a:lstStyle/>
        <a:p>
          <a:endParaRPr lang="en-US"/>
        </a:p>
      </dgm:t>
    </dgm:pt>
    <dgm:pt modelId="{A3262A91-9587-4FC1-9C79-CBB8EFA9B3B8}" type="pres">
      <dgm:prSet presAssocID="{2AE47A8C-F04E-47E5-A4CB-3593784EA0D0}" presName="hierRoot2" presStyleCnt="0">
        <dgm:presLayoutVars>
          <dgm:hierBranch val="r"/>
        </dgm:presLayoutVars>
      </dgm:prSet>
      <dgm:spPr/>
    </dgm:pt>
    <dgm:pt modelId="{998E3093-D254-420D-8A76-B640BD406215}" type="pres">
      <dgm:prSet presAssocID="{2AE47A8C-F04E-47E5-A4CB-3593784EA0D0}" presName="rootComposite" presStyleCnt="0"/>
      <dgm:spPr/>
    </dgm:pt>
    <dgm:pt modelId="{F80345A6-8ED7-41B3-81B8-CE7C39DCC475}" type="pres">
      <dgm:prSet presAssocID="{2AE47A8C-F04E-47E5-A4CB-3593784EA0D0}" presName="rootText" presStyleLbl="node4" presStyleIdx="3" presStyleCnt="4">
        <dgm:presLayoutVars>
          <dgm:chPref val="3"/>
        </dgm:presLayoutVars>
      </dgm:prSet>
      <dgm:spPr/>
      <dgm:t>
        <a:bodyPr/>
        <a:lstStyle/>
        <a:p>
          <a:endParaRPr lang="en-US"/>
        </a:p>
      </dgm:t>
    </dgm:pt>
    <dgm:pt modelId="{723100A3-5763-4089-AFCD-2235B202409B}" type="pres">
      <dgm:prSet presAssocID="{2AE47A8C-F04E-47E5-A4CB-3593784EA0D0}" presName="rootConnector" presStyleLbl="node4" presStyleIdx="3" presStyleCnt="4"/>
      <dgm:spPr/>
      <dgm:t>
        <a:bodyPr/>
        <a:lstStyle/>
        <a:p>
          <a:endParaRPr lang="en-US"/>
        </a:p>
      </dgm:t>
    </dgm:pt>
    <dgm:pt modelId="{A26B3813-E83A-4639-B114-24D4570C822E}" type="pres">
      <dgm:prSet presAssocID="{2AE47A8C-F04E-47E5-A4CB-3593784EA0D0}" presName="hierChild4" presStyleCnt="0"/>
      <dgm:spPr/>
    </dgm:pt>
    <dgm:pt modelId="{4BFC2CAB-350F-4570-88D8-6994F4F0775C}" type="pres">
      <dgm:prSet presAssocID="{2AE47A8C-F04E-47E5-A4CB-3593784EA0D0}" presName="hierChild5" presStyleCnt="0"/>
      <dgm:spPr/>
    </dgm:pt>
    <dgm:pt modelId="{3740A3A6-C63C-45D8-873C-1BCA79CD301B}" type="pres">
      <dgm:prSet presAssocID="{F79DDC6E-9F1F-4551-8AB4-641B2DC39D8C}" presName="hierChild5" presStyleCnt="0"/>
      <dgm:spPr/>
    </dgm:pt>
    <dgm:pt modelId="{65FB2CCD-04DB-43EC-AA1C-F51F5BDB311E}" type="pres">
      <dgm:prSet presAssocID="{4DDFA458-B436-4505-9CDB-BD4DFB152270}" presName="hierChild5" presStyleCnt="0"/>
      <dgm:spPr/>
    </dgm:pt>
    <dgm:pt modelId="{53DD0C3C-D539-4EA9-9ECC-DF75AF0D8F85}" type="pres">
      <dgm:prSet presAssocID="{88B00565-07DA-444E-A170-7B8703557A92}" presName="hierChild5" presStyleCnt="0"/>
      <dgm:spPr/>
    </dgm:pt>
    <dgm:pt modelId="{5647CAC8-51CA-457F-9306-5E2AFD30AD99}" type="pres">
      <dgm:prSet presAssocID="{2EE4453F-CDF7-4FBA-A328-B392C24DED42}" presName="hierChild3" presStyleCnt="0"/>
      <dgm:spPr/>
    </dgm:pt>
  </dgm:ptLst>
  <dgm:cxnLst>
    <dgm:cxn modelId="{C6644D29-33A0-4063-9605-7B99454CF35A}" type="presOf" srcId="{FFB33144-8D58-4614-A3C2-A68BC5A8C145}" destId="{2F55327D-AA49-4E73-8834-764CF6322163}" srcOrd="1" destOrd="0" presId="urn:microsoft.com/office/officeart/2005/8/layout/orgChart1"/>
    <dgm:cxn modelId="{4C1391E0-E543-41FB-86A2-7BCF046E9597}" srcId="{29C12758-5D7B-43EF-B901-BFABE2F08E00}" destId="{F25A04E9-4444-4FCA-913F-A8C8093E5C79}" srcOrd="0" destOrd="0" parTransId="{EA658CEE-167B-43E7-9DD6-A1FAB1E13E95}" sibTransId="{FFD5DA44-74A3-423D-BD8A-7D4DA9F5603C}"/>
    <dgm:cxn modelId="{44209886-6252-4FB3-A3FB-CCE642530758}" type="presOf" srcId="{93BE1D4E-0B96-4CD4-91DF-B03E14C1859A}" destId="{76A49D0A-07AB-45C4-8E9D-3E07B82D5CB4}" srcOrd="0" destOrd="0" presId="urn:microsoft.com/office/officeart/2005/8/layout/orgChart1"/>
    <dgm:cxn modelId="{67159F7D-8EE9-4C34-B28E-D84A7B012615}" type="presOf" srcId="{FFB33144-8D58-4614-A3C2-A68BC5A8C145}" destId="{6BB4656F-1436-47C7-B39E-59D23B67CEA5}" srcOrd="0" destOrd="0" presId="urn:microsoft.com/office/officeart/2005/8/layout/orgChart1"/>
    <dgm:cxn modelId="{31939C74-EACF-45FA-A741-4583CE3A0630}" type="presOf" srcId="{2AE47A8C-F04E-47E5-A4CB-3593784EA0D0}" destId="{F80345A6-8ED7-41B3-81B8-CE7C39DCC475}" srcOrd="0" destOrd="0" presId="urn:microsoft.com/office/officeart/2005/8/layout/orgChart1"/>
    <dgm:cxn modelId="{C7EFEDEA-C10D-4C07-B6BB-8DB238EE0796}" srcId="{906B227B-6205-4F8F-81C0-DD2667F2A9EF}" destId="{2EE4453F-CDF7-4FBA-A328-B392C24DED42}" srcOrd="0" destOrd="0" parTransId="{D382D08D-2AD7-4C56-9F23-4974B1CD0128}" sibTransId="{30814121-C673-4840-9FCB-2E3FF2F70143}"/>
    <dgm:cxn modelId="{B1F5983D-1D24-45DF-AD05-55B3DB00A621}" type="presOf" srcId="{29C12758-5D7B-43EF-B901-BFABE2F08E00}" destId="{62F9FDE7-8A76-4B80-B2E2-8EBBAB356241}" srcOrd="1" destOrd="0" presId="urn:microsoft.com/office/officeart/2005/8/layout/orgChart1"/>
    <dgm:cxn modelId="{B70C6913-497B-4B90-93A6-87B9B4C4E5BB}" type="presOf" srcId="{88B00565-07DA-444E-A170-7B8703557A92}" destId="{900B91F2-C53E-4864-8C0F-1A81E7F4DC4B}" srcOrd="0" destOrd="0" presId="urn:microsoft.com/office/officeart/2005/8/layout/orgChart1"/>
    <dgm:cxn modelId="{326E3354-4C66-483F-B996-DDF90DE5B12D}" srcId="{88B00565-07DA-444E-A170-7B8703557A92}" destId="{4DDFA458-B436-4505-9CDB-BD4DFB152270}" srcOrd="1" destOrd="0" parTransId="{51B5F2E5-A275-4E0F-98E4-038620DDF402}" sibTransId="{87C2FE5C-4048-4169-928D-6A2BCA997A77}"/>
    <dgm:cxn modelId="{238B1397-1D3E-4FA6-9A72-2F7284C59962}" type="presOf" srcId="{F79DDC6E-9F1F-4551-8AB4-641B2DC39D8C}" destId="{3D94B188-9FDD-4C87-A2E7-35FEAE93334D}" srcOrd="1" destOrd="0" presId="urn:microsoft.com/office/officeart/2005/8/layout/orgChart1"/>
    <dgm:cxn modelId="{79F9A792-32E0-4642-B09D-7F5761820AA2}" srcId="{F25A04E9-4444-4FCA-913F-A8C8093E5C79}" destId="{FFB33144-8D58-4614-A3C2-A68BC5A8C145}" srcOrd="0" destOrd="0" parTransId="{98726BE6-EE6F-4C3E-AA49-6E39374D0579}" sibTransId="{C1EF1EA6-5F18-4AB7-BB78-96DAB18AF787}"/>
    <dgm:cxn modelId="{09DAC133-49E2-4600-8315-A077A58C7C47}" type="presOf" srcId="{29C12758-5D7B-43EF-B901-BFABE2F08E00}" destId="{C14B983C-354D-489A-B670-C553833AD55A}" srcOrd="0" destOrd="0" presId="urn:microsoft.com/office/officeart/2005/8/layout/orgChart1"/>
    <dgm:cxn modelId="{2CFA3816-6534-45F3-A81F-B6E464D52878}" type="presOf" srcId="{F25A04E9-4444-4FCA-913F-A8C8093E5C79}" destId="{A5A6935E-F17C-4AE9-BDA0-DCD24EA83DBF}" srcOrd="0" destOrd="0" presId="urn:microsoft.com/office/officeart/2005/8/layout/orgChart1"/>
    <dgm:cxn modelId="{0B0FE732-C42C-4788-8F44-49C0699E0A5E}" srcId="{2EE4453F-CDF7-4FBA-A328-B392C24DED42}" destId="{88B00565-07DA-444E-A170-7B8703557A92}" srcOrd="0" destOrd="0" parTransId="{93BE1D4E-0B96-4CD4-91DF-B03E14C1859A}" sibTransId="{4108EF97-C2EE-4800-9D4E-0E2FE7F7C595}"/>
    <dgm:cxn modelId="{C223E494-8426-4A25-B846-DCB96DA4B621}" srcId="{F79DDC6E-9F1F-4551-8AB4-641B2DC39D8C}" destId="{2AE47A8C-F04E-47E5-A4CB-3593784EA0D0}" srcOrd="0" destOrd="0" parTransId="{B785E951-C119-4180-B1A7-25623052BB6C}" sibTransId="{F1F3FFC8-A5EE-4AF1-A897-FA99CD341C43}"/>
    <dgm:cxn modelId="{0A8BE4BD-BD44-4275-A929-2E012601C666}" type="presOf" srcId="{51B5F2E5-A275-4E0F-98E4-038620DDF402}" destId="{550BA997-664D-4BBA-ABCD-ABA4FD11D82F}" srcOrd="0" destOrd="0" presId="urn:microsoft.com/office/officeart/2005/8/layout/orgChart1"/>
    <dgm:cxn modelId="{D2C9A3AD-FEEE-4255-A193-B122D5AD3708}" type="presOf" srcId="{B785E951-C119-4180-B1A7-25623052BB6C}" destId="{6DAC199A-D2C2-4BAA-8F7D-D22B0375E80C}" srcOrd="0" destOrd="0" presId="urn:microsoft.com/office/officeart/2005/8/layout/orgChart1"/>
    <dgm:cxn modelId="{F2C79ECB-030D-4497-94A3-821296A87417}" type="presOf" srcId="{2EE4453F-CDF7-4FBA-A328-B392C24DED42}" destId="{B3F34C04-8693-49BA-85CE-19F19EB8B59D}" srcOrd="0" destOrd="0" presId="urn:microsoft.com/office/officeart/2005/8/layout/orgChart1"/>
    <dgm:cxn modelId="{ECC9B0C2-1D94-44C9-96BC-7A5D9ACD8874}" srcId="{88B00565-07DA-444E-A170-7B8703557A92}" destId="{29C12758-5D7B-43EF-B901-BFABE2F08E00}" srcOrd="0" destOrd="0" parTransId="{57C22A52-68B2-4FB0-9B49-ED3CFECD5CFD}" sibTransId="{B1E6E2E6-D9AD-4B47-9DBC-A9406F1D46D0}"/>
    <dgm:cxn modelId="{C8D9E491-70A1-4DED-B356-66ED00AC0691}" type="presOf" srcId="{4DDFA458-B436-4505-9CDB-BD4DFB152270}" destId="{F11BFC36-38F9-4F72-855C-E383F58314B0}" srcOrd="1" destOrd="0" presId="urn:microsoft.com/office/officeart/2005/8/layout/orgChart1"/>
    <dgm:cxn modelId="{DC1F3216-FD96-462E-8DA3-D0531DE53C8F}" type="presOf" srcId="{EA658CEE-167B-43E7-9DD6-A1FAB1E13E95}" destId="{33CB9146-EC6E-4B83-992C-4EFCF41CE26C}" srcOrd="0" destOrd="0" presId="urn:microsoft.com/office/officeart/2005/8/layout/orgChart1"/>
    <dgm:cxn modelId="{3B3FFD35-41CB-421F-83F1-A59055377DA6}" type="presOf" srcId="{906B227B-6205-4F8F-81C0-DD2667F2A9EF}" destId="{E0D97B47-3428-4FBC-A343-B1A3AF8F1A39}" srcOrd="0" destOrd="0" presId="urn:microsoft.com/office/officeart/2005/8/layout/orgChart1"/>
    <dgm:cxn modelId="{55B7C670-45C3-427B-999B-A9C8DF422E01}" type="presOf" srcId="{F25A04E9-4444-4FCA-913F-A8C8093E5C79}" destId="{8952645E-DEC8-4386-818D-A18D59930409}" srcOrd="1" destOrd="0" presId="urn:microsoft.com/office/officeart/2005/8/layout/orgChart1"/>
    <dgm:cxn modelId="{6B0B5C2F-5D6F-4086-A3CE-CB62B64BF6A9}" type="presOf" srcId="{4DDFA458-B436-4505-9CDB-BD4DFB152270}" destId="{0CA6E4B1-4210-4DCC-B1D3-9FF23D9931AA}" srcOrd="0" destOrd="0" presId="urn:microsoft.com/office/officeart/2005/8/layout/orgChart1"/>
    <dgm:cxn modelId="{FBC2EFCD-FA19-4EAB-A368-234D34D584CD}" type="presOf" srcId="{2EE4453F-CDF7-4FBA-A328-B392C24DED42}" destId="{05F94B5A-D85C-4D32-B66F-4D40E1832E30}" srcOrd="1" destOrd="0" presId="urn:microsoft.com/office/officeart/2005/8/layout/orgChart1"/>
    <dgm:cxn modelId="{8E73C28D-FB13-4CDE-88E0-183453DDE56C}" type="presOf" srcId="{2AE47A8C-F04E-47E5-A4CB-3593784EA0D0}" destId="{723100A3-5763-4089-AFCD-2235B202409B}" srcOrd="1" destOrd="0" presId="urn:microsoft.com/office/officeart/2005/8/layout/orgChart1"/>
    <dgm:cxn modelId="{81205B61-18A9-4FE6-A79F-66C4AE4A6682}" type="presOf" srcId="{98726BE6-EE6F-4C3E-AA49-6E39374D0579}" destId="{14C7E11F-EE91-49E4-9A4F-93FC461810B1}" srcOrd="0" destOrd="0" presId="urn:microsoft.com/office/officeart/2005/8/layout/orgChart1"/>
    <dgm:cxn modelId="{F2E8627C-C44F-4E8C-B771-57DAB3BCF985}" type="presOf" srcId="{F79DDC6E-9F1F-4551-8AB4-641B2DC39D8C}" destId="{C847C55D-6D41-41F4-8EA0-ADC563D624D6}" srcOrd="0" destOrd="0" presId="urn:microsoft.com/office/officeart/2005/8/layout/orgChart1"/>
    <dgm:cxn modelId="{005119F3-8288-428B-BEC3-267AB09A8513}" type="presOf" srcId="{57C22A52-68B2-4FB0-9B49-ED3CFECD5CFD}" destId="{56F207AC-88DB-417A-85B6-5B5B6AC6BD89}" srcOrd="0" destOrd="0" presId="urn:microsoft.com/office/officeart/2005/8/layout/orgChart1"/>
    <dgm:cxn modelId="{7376F11D-D8AA-43C4-8801-0C5742913D84}" srcId="{4DDFA458-B436-4505-9CDB-BD4DFB152270}" destId="{F79DDC6E-9F1F-4551-8AB4-641B2DC39D8C}" srcOrd="0" destOrd="0" parTransId="{E1B04DE4-D663-40F4-9D97-5D7E97970D32}" sibTransId="{523DB69A-933A-4D73-BDF0-94EFAD2AD42C}"/>
    <dgm:cxn modelId="{A5B773EE-78B5-49CD-A240-192769BEB72A}" type="presOf" srcId="{88B00565-07DA-444E-A170-7B8703557A92}" destId="{E752E8C4-DEB0-43BA-99A3-8DE1C8EE0435}" srcOrd="1" destOrd="0" presId="urn:microsoft.com/office/officeart/2005/8/layout/orgChart1"/>
    <dgm:cxn modelId="{8D0D3D6D-4658-4EED-AC21-4EB0C1F89AE6}" type="presOf" srcId="{E1B04DE4-D663-40F4-9D97-5D7E97970D32}" destId="{A4F0FD56-E619-4531-B792-4DBF985703B6}" srcOrd="0" destOrd="0" presId="urn:microsoft.com/office/officeart/2005/8/layout/orgChart1"/>
    <dgm:cxn modelId="{53F82C2D-D988-4715-905D-59050DDF37F7}" type="presParOf" srcId="{E0D97B47-3428-4FBC-A343-B1A3AF8F1A39}" destId="{D96C09E8-E183-43B6-B690-E46CEB496819}" srcOrd="0" destOrd="0" presId="urn:microsoft.com/office/officeart/2005/8/layout/orgChart1"/>
    <dgm:cxn modelId="{8684D11D-1524-47E6-8761-5C58BA8879BF}" type="presParOf" srcId="{D96C09E8-E183-43B6-B690-E46CEB496819}" destId="{7668B316-A97B-4DB3-ABC7-9862C36E3BBD}" srcOrd="0" destOrd="0" presId="urn:microsoft.com/office/officeart/2005/8/layout/orgChart1"/>
    <dgm:cxn modelId="{F86FA7F3-5167-4F25-8D19-C13A9C87CE64}" type="presParOf" srcId="{7668B316-A97B-4DB3-ABC7-9862C36E3BBD}" destId="{B3F34C04-8693-49BA-85CE-19F19EB8B59D}" srcOrd="0" destOrd="0" presId="urn:microsoft.com/office/officeart/2005/8/layout/orgChart1"/>
    <dgm:cxn modelId="{D5F219A0-25DC-470F-ADF1-B47F43E45F82}" type="presParOf" srcId="{7668B316-A97B-4DB3-ABC7-9862C36E3BBD}" destId="{05F94B5A-D85C-4D32-B66F-4D40E1832E30}" srcOrd="1" destOrd="0" presId="urn:microsoft.com/office/officeart/2005/8/layout/orgChart1"/>
    <dgm:cxn modelId="{30F6C80B-DDA4-4CE5-A85E-8066ADCE7723}" type="presParOf" srcId="{D96C09E8-E183-43B6-B690-E46CEB496819}" destId="{4B9821DD-3812-411F-BE91-D3E51062743F}" srcOrd="1" destOrd="0" presId="urn:microsoft.com/office/officeart/2005/8/layout/orgChart1"/>
    <dgm:cxn modelId="{8D73D725-1B97-4B53-93F6-026D26BF9AB8}" type="presParOf" srcId="{4B9821DD-3812-411F-BE91-D3E51062743F}" destId="{76A49D0A-07AB-45C4-8E9D-3E07B82D5CB4}" srcOrd="0" destOrd="0" presId="urn:microsoft.com/office/officeart/2005/8/layout/orgChart1"/>
    <dgm:cxn modelId="{2EF6ABA2-85DE-4591-95D3-503E0657B5E7}" type="presParOf" srcId="{4B9821DD-3812-411F-BE91-D3E51062743F}" destId="{989C3574-7957-4094-8977-AFE093EAD65D}" srcOrd="1" destOrd="0" presId="urn:microsoft.com/office/officeart/2005/8/layout/orgChart1"/>
    <dgm:cxn modelId="{AD31F1C8-FF31-4FBD-BB30-15189874724F}" type="presParOf" srcId="{989C3574-7957-4094-8977-AFE093EAD65D}" destId="{1FBA75B8-78B5-409B-9EE8-740A3F02168E}" srcOrd="0" destOrd="0" presId="urn:microsoft.com/office/officeart/2005/8/layout/orgChart1"/>
    <dgm:cxn modelId="{3C4FF837-7095-4A9F-8DA6-4D20B7CD385D}" type="presParOf" srcId="{1FBA75B8-78B5-409B-9EE8-740A3F02168E}" destId="{900B91F2-C53E-4864-8C0F-1A81E7F4DC4B}" srcOrd="0" destOrd="0" presId="urn:microsoft.com/office/officeart/2005/8/layout/orgChart1"/>
    <dgm:cxn modelId="{8303484C-0460-4190-9D83-04CFA594F15D}" type="presParOf" srcId="{1FBA75B8-78B5-409B-9EE8-740A3F02168E}" destId="{E752E8C4-DEB0-43BA-99A3-8DE1C8EE0435}" srcOrd="1" destOrd="0" presId="urn:microsoft.com/office/officeart/2005/8/layout/orgChart1"/>
    <dgm:cxn modelId="{C9A64FD1-3998-4639-AAE8-7627C5FC34BA}" type="presParOf" srcId="{989C3574-7957-4094-8977-AFE093EAD65D}" destId="{45C4E9B4-F830-4410-81DA-938BE21D7998}" srcOrd="1" destOrd="0" presId="urn:microsoft.com/office/officeart/2005/8/layout/orgChart1"/>
    <dgm:cxn modelId="{6AC3242B-57DF-49B1-AF80-30B92CAF81B4}" type="presParOf" srcId="{45C4E9B4-F830-4410-81DA-938BE21D7998}" destId="{56F207AC-88DB-417A-85B6-5B5B6AC6BD89}" srcOrd="0" destOrd="0" presId="urn:microsoft.com/office/officeart/2005/8/layout/orgChart1"/>
    <dgm:cxn modelId="{1731AE30-C2B5-4A8F-8691-B6A3B0728B61}" type="presParOf" srcId="{45C4E9B4-F830-4410-81DA-938BE21D7998}" destId="{DAB9AB9A-3EDE-4F7C-A095-1B66540C2FC0}" srcOrd="1" destOrd="0" presId="urn:microsoft.com/office/officeart/2005/8/layout/orgChart1"/>
    <dgm:cxn modelId="{A043134D-E082-4568-AFF6-829BCE5D4FA7}" type="presParOf" srcId="{DAB9AB9A-3EDE-4F7C-A095-1B66540C2FC0}" destId="{D8F6E30C-BB3F-44AE-8C64-531E4D058F41}" srcOrd="0" destOrd="0" presId="urn:microsoft.com/office/officeart/2005/8/layout/orgChart1"/>
    <dgm:cxn modelId="{FF9645DD-712E-4E5C-9169-667B595E94A4}" type="presParOf" srcId="{D8F6E30C-BB3F-44AE-8C64-531E4D058F41}" destId="{C14B983C-354D-489A-B670-C553833AD55A}" srcOrd="0" destOrd="0" presId="urn:microsoft.com/office/officeart/2005/8/layout/orgChart1"/>
    <dgm:cxn modelId="{92730C44-CBE6-442D-B5EC-AB67AE931D2F}" type="presParOf" srcId="{D8F6E30C-BB3F-44AE-8C64-531E4D058F41}" destId="{62F9FDE7-8A76-4B80-B2E2-8EBBAB356241}" srcOrd="1" destOrd="0" presId="urn:microsoft.com/office/officeart/2005/8/layout/orgChart1"/>
    <dgm:cxn modelId="{57266D11-0E0B-433D-A156-802737305C76}" type="presParOf" srcId="{DAB9AB9A-3EDE-4F7C-A095-1B66540C2FC0}" destId="{EC2B5F59-0C92-4CA5-9C7D-03AA8E0EB3F0}" srcOrd="1" destOrd="0" presId="urn:microsoft.com/office/officeart/2005/8/layout/orgChart1"/>
    <dgm:cxn modelId="{D1B2D457-8404-460E-BBB8-A987DFB7ABF3}" type="presParOf" srcId="{EC2B5F59-0C92-4CA5-9C7D-03AA8E0EB3F0}" destId="{33CB9146-EC6E-4B83-992C-4EFCF41CE26C}" srcOrd="0" destOrd="0" presId="urn:microsoft.com/office/officeart/2005/8/layout/orgChart1"/>
    <dgm:cxn modelId="{11CBC89C-D98E-42C5-AD36-FC9513671E76}" type="presParOf" srcId="{EC2B5F59-0C92-4CA5-9C7D-03AA8E0EB3F0}" destId="{FA686717-572D-440D-9FF5-D255D6BD0C45}" srcOrd="1" destOrd="0" presId="urn:microsoft.com/office/officeart/2005/8/layout/orgChart1"/>
    <dgm:cxn modelId="{A1A5868D-EA5A-498F-ADC2-00428B18A1AB}" type="presParOf" srcId="{FA686717-572D-440D-9FF5-D255D6BD0C45}" destId="{0D749E5C-13B2-4590-A2C8-8138F642E892}" srcOrd="0" destOrd="0" presId="urn:microsoft.com/office/officeart/2005/8/layout/orgChart1"/>
    <dgm:cxn modelId="{6479B9B0-4656-447A-A224-265C1A3E8118}" type="presParOf" srcId="{0D749E5C-13B2-4590-A2C8-8138F642E892}" destId="{A5A6935E-F17C-4AE9-BDA0-DCD24EA83DBF}" srcOrd="0" destOrd="0" presId="urn:microsoft.com/office/officeart/2005/8/layout/orgChart1"/>
    <dgm:cxn modelId="{24271193-54B7-4712-BE56-26551EEE2ADF}" type="presParOf" srcId="{0D749E5C-13B2-4590-A2C8-8138F642E892}" destId="{8952645E-DEC8-4386-818D-A18D59930409}" srcOrd="1" destOrd="0" presId="urn:microsoft.com/office/officeart/2005/8/layout/orgChart1"/>
    <dgm:cxn modelId="{6A930764-9028-42D1-8B94-72316818FBA1}" type="presParOf" srcId="{FA686717-572D-440D-9FF5-D255D6BD0C45}" destId="{6C9E3708-D624-4AE6-BC22-CD6DD089466F}" srcOrd="1" destOrd="0" presId="urn:microsoft.com/office/officeart/2005/8/layout/orgChart1"/>
    <dgm:cxn modelId="{3EACA7CF-47B0-4C7F-9537-5C4684BD4856}" type="presParOf" srcId="{6C9E3708-D624-4AE6-BC22-CD6DD089466F}" destId="{14C7E11F-EE91-49E4-9A4F-93FC461810B1}" srcOrd="0" destOrd="0" presId="urn:microsoft.com/office/officeart/2005/8/layout/orgChart1"/>
    <dgm:cxn modelId="{D49D6B21-B456-4E37-8942-BB31F4F189EC}" type="presParOf" srcId="{6C9E3708-D624-4AE6-BC22-CD6DD089466F}" destId="{5C148D20-7F4A-46D2-85DF-F8B99EBE3C12}" srcOrd="1" destOrd="0" presId="urn:microsoft.com/office/officeart/2005/8/layout/orgChart1"/>
    <dgm:cxn modelId="{1D1718BB-7C2C-4370-8265-1B48876CFFCD}" type="presParOf" srcId="{5C148D20-7F4A-46D2-85DF-F8B99EBE3C12}" destId="{083FBCF7-F7BF-4FA6-8E7E-16FE994F60C8}" srcOrd="0" destOrd="0" presId="urn:microsoft.com/office/officeart/2005/8/layout/orgChart1"/>
    <dgm:cxn modelId="{CA54D774-76A9-46AF-938E-0C42D8CE8165}" type="presParOf" srcId="{083FBCF7-F7BF-4FA6-8E7E-16FE994F60C8}" destId="{6BB4656F-1436-47C7-B39E-59D23B67CEA5}" srcOrd="0" destOrd="0" presId="urn:microsoft.com/office/officeart/2005/8/layout/orgChart1"/>
    <dgm:cxn modelId="{8DE28497-6462-4B4F-A986-1D87B13F2CAE}" type="presParOf" srcId="{083FBCF7-F7BF-4FA6-8E7E-16FE994F60C8}" destId="{2F55327D-AA49-4E73-8834-764CF6322163}" srcOrd="1" destOrd="0" presId="urn:microsoft.com/office/officeart/2005/8/layout/orgChart1"/>
    <dgm:cxn modelId="{87740E9C-EF72-4820-BDA4-F831234E8F84}" type="presParOf" srcId="{5C148D20-7F4A-46D2-85DF-F8B99EBE3C12}" destId="{0D86272F-D32F-49BF-A2C4-FA52A2C0C852}" srcOrd="1" destOrd="0" presId="urn:microsoft.com/office/officeart/2005/8/layout/orgChart1"/>
    <dgm:cxn modelId="{137C2ABA-A139-4CDD-8B36-9278ABBA86BB}" type="presParOf" srcId="{5C148D20-7F4A-46D2-85DF-F8B99EBE3C12}" destId="{C45F79A7-ED7D-4D3E-9A22-3DE82CC7B762}" srcOrd="2" destOrd="0" presId="urn:microsoft.com/office/officeart/2005/8/layout/orgChart1"/>
    <dgm:cxn modelId="{8C18C8DB-8F43-404C-8584-82F12AC86774}" type="presParOf" srcId="{FA686717-572D-440D-9FF5-D255D6BD0C45}" destId="{E012A98D-E2BA-4F80-91E5-D53BB60AA958}" srcOrd="2" destOrd="0" presId="urn:microsoft.com/office/officeart/2005/8/layout/orgChart1"/>
    <dgm:cxn modelId="{3A2ACC5C-0C0F-41E0-900A-C575E2313873}" type="presParOf" srcId="{DAB9AB9A-3EDE-4F7C-A095-1B66540C2FC0}" destId="{D8EE18C9-005A-45E9-AEEB-514D30EA57A6}" srcOrd="2" destOrd="0" presId="urn:microsoft.com/office/officeart/2005/8/layout/orgChart1"/>
    <dgm:cxn modelId="{9BB94B07-042A-422E-BDBF-0656E5A203C6}" type="presParOf" srcId="{45C4E9B4-F830-4410-81DA-938BE21D7998}" destId="{550BA997-664D-4BBA-ABCD-ABA4FD11D82F}" srcOrd="2" destOrd="0" presId="urn:microsoft.com/office/officeart/2005/8/layout/orgChart1"/>
    <dgm:cxn modelId="{E586E60D-B357-4D3C-BC3A-7D3187642285}" type="presParOf" srcId="{45C4E9B4-F830-4410-81DA-938BE21D7998}" destId="{690312C3-4C42-4A3C-8AE8-DA80DD854413}" srcOrd="3" destOrd="0" presId="urn:microsoft.com/office/officeart/2005/8/layout/orgChart1"/>
    <dgm:cxn modelId="{1FD4AF8A-F3A9-46E7-AA6C-A384EC06AB26}" type="presParOf" srcId="{690312C3-4C42-4A3C-8AE8-DA80DD854413}" destId="{9D2CAA45-F1AC-48CA-8629-A5D15DC6FB7A}" srcOrd="0" destOrd="0" presId="urn:microsoft.com/office/officeart/2005/8/layout/orgChart1"/>
    <dgm:cxn modelId="{D5E96134-8B2B-4DFB-B8DD-F964B21DAB52}" type="presParOf" srcId="{9D2CAA45-F1AC-48CA-8629-A5D15DC6FB7A}" destId="{0CA6E4B1-4210-4DCC-B1D3-9FF23D9931AA}" srcOrd="0" destOrd="0" presId="urn:microsoft.com/office/officeart/2005/8/layout/orgChart1"/>
    <dgm:cxn modelId="{225B22DF-7164-455B-962C-351F20B76D53}" type="presParOf" srcId="{9D2CAA45-F1AC-48CA-8629-A5D15DC6FB7A}" destId="{F11BFC36-38F9-4F72-855C-E383F58314B0}" srcOrd="1" destOrd="0" presId="urn:microsoft.com/office/officeart/2005/8/layout/orgChart1"/>
    <dgm:cxn modelId="{0B578D15-798A-4117-97D5-F4A01A62A87C}" type="presParOf" srcId="{690312C3-4C42-4A3C-8AE8-DA80DD854413}" destId="{099123C5-AAE5-41FD-8117-639BDE34000C}" srcOrd="1" destOrd="0" presId="urn:microsoft.com/office/officeart/2005/8/layout/orgChart1"/>
    <dgm:cxn modelId="{BB046F5E-4A8A-4C84-B0A2-9DEC164CD1EF}" type="presParOf" srcId="{099123C5-AAE5-41FD-8117-639BDE34000C}" destId="{A4F0FD56-E619-4531-B792-4DBF985703B6}" srcOrd="0" destOrd="0" presId="urn:microsoft.com/office/officeart/2005/8/layout/orgChart1"/>
    <dgm:cxn modelId="{E298D825-F176-444D-BD45-B8112CBAB5DE}" type="presParOf" srcId="{099123C5-AAE5-41FD-8117-639BDE34000C}" destId="{C8305A2C-C1CC-4418-8377-1C532AC7016A}" srcOrd="1" destOrd="0" presId="urn:microsoft.com/office/officeart/2005/8/layout/orgChart1"/>
    <dgm:cxn modelId="{C9295640-C372-420C-8D15-F81F7A15F86C}" type="presParOf" srcId="{C8305A2C-C1CC-4418-8377-1C532AC7016A}" destId="{809D3CF1-F429-4A3D-9285-1A462DA9E5E4}" srcOrd="0" destOrd="0" presId="urn:microsoft.com/office/officeart/2005/8/layout/orgChart1"/>
    <dgm:cxn modelId="{7999E42E-28E5-4F8C-813C-CB376B7F8BC8}" type="presParOf" srcId="{809D3CF1-F429-4A3D-9285-1A462DA9E5E4}" destId="{C847C55D-6D41-41F4-8EA0-ADC563D624D6}" srcOrd="0" destOrd="0" presId="urn:microsoft.com/office/officeart/2005/8/layout/orgChart1"/>
    <dgm:cxn modelId="{92B5B71C-BE08-4DFB-B473-854730B86594}" type="presParOf" srcId="{809D3CF1-F429-4A3D-9285-1A462DA9E5E4}" destId="{3D94B188-9FDD-4C87-A2E7-35FEAE93334D}" srcOrd="1" destOrd="0" presId="urn:microsoft.com/office/officeart/2005/8/layout/orgChart1"/>
    <dgm:cxn modelId="{A7F177FC-D96A-48E5-9481-9BC59FAFE550}" type="presParOf" srcId="{C8305A2C-C1CC-4418-8377-1C532AC7016A}" destId="{49BEDBA1-F4DD-4716-826B-CD003CF9EE22}" srcOrd="1" destOrd="0" presId="urn:microsoft.com/office/officeart/2005/8/layout/orgChart1"/>
    <dgm:cxn modelId="{9642B820-D17A-4414-8270-AD45C202537B}" type="presParOf" srcId="{49BEDBA1-F4DD-4716-826B-CD003CF9EE22}" destId="{6DAC199A-D2C2-4BAA-8F7D-D22B0375E80C}" srcOrd="0" destOrd="0" presId="urn:microsoft.com/office/officeart/2005/8/layout/orgChart1"/>
    <dgm:cxn modelId="{8E97CE75-6753-4A2A-8C39-91B34D2A7D7A}" type="presParOf" srcId="{49BEDBA1-F4DD-4716-826B-CD003CF9EE22}" destId="{A3262A91-9587-4FC1-9C79-CBB8EFA9B3B8}" srcOrd="1" destOrd="0" presId="urn:microsoft.com/office/officeart/2005/8/layout/orgChart1"/>
    <dgm:cxn modelId="{A9B8E6FD-FEA4-4157-B615-26F91A4D3920}" type="presParOf" srcId="{A3262A91-9587-4FC1-9C79-CBB8EFA9B3B8}" destId="{998E3093-D254-420D-8A76-B640BD406215}" srcOrd="0" destOrd="0" presId="urn:microsoft.com/office/officeart/2005/8/layout/orgChart1"/>
    <dgm:cxn modelId="{F60C342E-EA11-48EC-AD08-80A763A4E3EB}" type="presParOf" srcId="{998E3093-D254-420D-8A76-B640BD406215}" destId="{F80345A6-8ED7-41B3-81B8-CE7C39DCC475}" srcOrd="0" destOrd="0" presId="urn:microsoft.com/office/officeart/2005/8/layout/orgChart1"/>
    <dgm:cxn modelId="{B9834BC3-DB56-44CF-BA49-E9D91E599C9D}" type="presParOf" srcId="{998E3093-D254-420D-8A76-B640BD406215}" destId="{723100A3-5763-4089-AFCD-2235B202409B}" srcOrd="1" destOrd="0" presId="urn:microsoft.com/office/officeart/2005/8/layout/orgChart1"/>
    <dgm:cxn modelId="{0F52C910-8C67-4F22-B3A0-849D474492E8}" type="presParOf" srcId="{A3262A91-9587-4FC1-9C79-CBB8EFA9B3B8}" destId="{A26B3813-E83A-4639-B114-24D4570C822E}" srcOrd="1" destOrd="0" presId="urn:microsoft.com/office/officeart/2005/8/layout/orgChart1"/>
    <dgm:cxn modelId="{F657A206-B3C3-4B11-92F3-95253E41682D}" type="presParOf" srcId="{A3262A91-9587-4FC1-9C79-CBB8EFA9B3B8}" destId="{4BFC2CAB-350F-4570-88D8-6994F4F0775C}" srcOrd="2" destOrd="0" presId="urn:microsoft.com/office/officeart/2005/8/layout/orgChart1"/>
    <dgm:cxn modelId="{387AE44B-FABE-400F-A2A3-7A7D17F019ED}" type="presParOf" srcId="{C8305A2C-C1CC-4418-8377-1C532AC7016A}" destId="{3740A3A6-C63C-45D8-873C-1BCA79CD301B}" srcOrd="2" destOrd="0" presId="urn:microsoft.com/office/officeart/2005/8/layout/orgChart1"/>
    <dgm:cxn modelId="{B10B24C0-60E2-48B9-98B1-6A37C32FC30D}" type="presParOf" srcId="{690312C3-4C42-4A3C-8AE8-DA80DD854413}" destId="{65FB2CCD-04DB-43EC-AA1C-F51F5BDB311E}" srcOrd="2" destOrd="0" presId="urn:microsoft.com/office/officeart/2005/8/layout/orgChart1"/>
    <dgm:cxn modelId="{478CD836-73A8-4C3C-B2CE-146AA7287791}" type="presParOf" srcId="{989C3574-7957-4094-8977-AFE093EAD65D}" destId="{53DD0C3C-D539-4EA9-9ECC-DF75AF0D8F85}" srcOrd="2" destOrd="0" presId="urn:microsoft.com/office/officeart/2005/8/layout/orgChart1"/>
    <dgm:cxn modelId="{0C1A8F92-8423-4039-AD62-445C1045A4EE}" type="presParOf" srcId="{D96C09E8-E183-43B6-B690-E46CEB496819}" destId="{5647CAC8-51CA-457F-9306-5E2AFD30AD99}"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AC199A-D2C2-4BAA-8F7D-D22B0375E80C}">
      <dsp:nvSpPr>
        <dsp:cNvPr id="0" name=""/>
        <dsp:cNvSpPr/>
      </dsp:nvSpPr>
      <dsp:spPr>
        <a:xfrm>
          <a:off x="3845830" y="4080375"/>
          <a:ext cx="232558" cy="713179"/>
        </a:xfrm>
        <a:custGeom>
          <a:avLst/>
          <a:gdLst/>
          <a:ahLst/>
          <a:cxnLst/>
          <a:rect l="0" t="0" r="0" b="0"/>
          <a:pathLst>
            <a:path>
              <a:moveTo>
                <a:pt x="0" y="0"/>
              </a:moveTo>
              <a:lnTo>
                <a:pt x="0" y="713179"/>
              </a:lnTo>
              <a:lnTo>
                <a:pt x="232558" y="7131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F0FD56-E619-4531-B792-4DBF985703B6}">
      <dsp:nvSpPr>
        <dsp:cNvPr id="0" name=""/>
        <dsp:cNvSpPr/>
      </dsp:nvSpPr>
      <dsp:spPr>
        <a:xfrm>
          <a:off x="3458232" y="2979597"/>
          <a:ext cx="232558" cy="713179"/>
        </a:xfrm>
        <a:custGeom>
          <a:avLst/>
          <a:gdLst/>
          <a:ahLst/>
          <a:cxnLst/>
          <a:rect l="0" t="0" r="0" b="0"/>
          <a:pathLst>
            <a:path>
              <a:moveTo>
                <a:pt x="0" y="0"/>
              </a:moveTo>
              <a:lnTo>
                <a:pt x="0" y="713179"/>
              </a:lnTo>
              <a:lnTo>
                <a:pt x="232558" y="7131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0BA997-664D-4BBA-ABCD-ABA4FD11D82F}">
      <dsp:nvSpPr>
        <dsp:cNvPr id="0" name=""/>
        <dsp:cNvSpPr/>
      </dsp:nvSpPr>
      <dsp:spPr>
        <a:xfrm>
          <a:off x="3140402" y="1878820"/>
          <a:ext cx="937986" cy="325582"/>
        </a:xfrm>
        <a:custGeom>
          <a:avLst/>
          <a:gdLst/>
          <a:ahLst/>
          <a:cxnLst/>
          <a:rect l="0" t="0" r="0" b="0"/>
          <a:pathLst>
            <a:path>
              <a:moveTo>
                <a:pt x="0" y="0"/>
              </a:moveTo>
              <a:lnTo>
                <a:pt x="0" y="162791"/>
              </a:lnTo>
              <a:lnTo>
                <a:pt x="937986" y="162791"/>
              </a:lnTo>
              <a:lnTo>
                <a:pt x="937986" y="3255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C7E11F-EE91-49E4-9A4F-93FC461810B1}">
      <dsp:nvSpPr>
        <dsp:cNvPr id="0" name=""/>
        <dsp:cNvSpPr/>
      </dsp:nvSpPr>
      <dsp:spPr>
        <a:xfrm>
          <a:off x="1969857" y="4080375"/>
          <a:ext cx="232558" cy="713179"/>
        </a:xfrm>
        <a:custGeom>
          <a:avLst/>
          <a:gdLst/>
          <a:ahLst/>
          <a:cxnLst/>
          <a:rect l="0" t="0" r="0" b="0"/>
          <a:pathLst>
            <a:path>
              <a:moveTo>
                <a:pt x="0" y="0"/>
              </a:moveTo>
              <a:lnTo>
                <a:pt x="0" y="713179"/>
              </a:lnTo>
              <a:lnTo>
                <a:pt x="232558" y="7131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CB9146-EC6E-4B83-992C-4EFCF41CE26C}">
      <dsp:nvSpPr>
        <dsp:cNvPr id="0" name=""/>
        <dsp:cNvSpPr/>
      </dsp:nvSpPr>
      <dsp:spPr>
        <a:xfrm>
          <a:off x="1582259" y="2979597"/>
          <a:ext cx="232558" cy="713179"/>
        </a:xfrm>
        <a:custGeom>
          <a:avLst/>
          <a:gdLst/>
          <a:ahLst/>
          <a:cxnLst/>
          <a:rect l="0" t="0" r="0" b="0"/>
          <a:pathLst>
            <a:path>
              <a:moveTo>
                <a:pt x="0" y="0"/>
              </a:moveTo>
              <a:lnTo>
                <a:pt x="0" y="713179"/>
              </a:lnTo>
              <a:lnTo>
                <a:pt x="232558" y="7131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F207AC-88DB-417A-85B6-5B5B6AC6BD89}">
      <dsp:nvSpPr>
        <dsp:cNvPr id="0" name=""/>
        <dsp:cNvSpPr/>
      </dsp:nvSpPr>
      <dsp:spPr>
        <a:xfrm>
          <a:off x="2202416" y="1878820"/>
          <a:ext cx="937986" cy="325582"/>
        </a:xfrm>
        <a:custGeom>
          <a:avLst/>
          <a:gdLst/>
          <a:ahLst/>
          <a:cxnLst/>
          <a:rect l="0" t="0" r="0" b="0"/>
          <a:pathLst>
            <a:path>
              <a:moveTo>
                <a:pt x="937986" y="0"/>
              </a:moveTo>
              <a:lnTo>
                <a:pt x="937986" y="162791"/>
              </a:lnTo>
              <a:lnTo>
                <a:pt x="0" y="162791"/>
              </a:lnTo>
              <a:lnTo>
                <a:pt x="0" y="3255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49D0A-07AB-45C4-8E9D-3E07B82D5CB4}">
      <dsp:nvSpPr>
        <dsp:cNvPr id="0" name=""/>
        <dsp:cNvSpPr/>
      </dsp:nvSpPr>
      <dsp:spPr>
        <a:xfrm>
          <a:off x="3094682" y="778042"/>
          <a:ext cx="91440" cy="325582"/>
        </a:xfrm>
        <a:custGeom>
          <a:avLst/>
          <a:gdLst/>
          <a:ahLst/>
          <a:cxnLst/>
          <a:rect l="0" t="0" r="0" b="0"/>
          <a:pathLst>
            <a:path>
              <a:moveTo>
                <a:pt x="45720" y="0"/>
              </a:moveTo>
              <a:lnTo>
                <a:pt x="45720" y="3255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F34C04-8693-49BA-85CE-19F19EB8B59D}">
      <dsp:nvSpPr>
        <dsp:cNvPr id="0" name=""/>
        <dsp:cNvSpPr/>
      </dsp:nvSpPr>
      <dsp:spPr>
        <a:xfrm>
          <a:off x="2365207" y="2847"/>
          <a:ext cx="1550390" cy="775195"/>
        </a:xfrm>
        <a:prstGeom prst="rect">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1" i="0" u="none" strike="noStrike" kern="1200" baseline="0" smtClean="0">
              <a:latin typeface="Calibri" panose="020F0502020204030204" pitchFamily="34" charset="0"/>
            </a:rPr>
            <a:t>Surveying</a:t>
          </a:r>
          <a:r>
            <a:rPr lang="en-GB" sz="1300" b="0" i="0" u="none" strike="noStrike" kern="1200" baseline="0" smtClean="0">
              <a:latin typeface="Calibri" panose="020F0502020204030204" pitchFamily="34" charset="0"/>
            </a:rPr>
            <a:t> schools and </a:t>
          </a:r>
          <a:r>
            <a:rPr lang="en-GB" sz="1300" b="1" i="0" u="none" strike="noStrike" kern="1200" baseline="0" smtClean="0">
              <a:latin typeface="Calibri" panose="020F0502020204030204" pitchFamily="34" charset="0"/>
            </a:rPr>
            <a:t>recruiting </a:t>
          </a:r>
          <a:r>
            <a:rPr lang="en-GB" sz="1300" b="0" i="0" u="none" strike="noStrike" kern="1200" baseline="0" smtClean="0">
              <a:latin typeface="Calibri" panose="020F0502020204030204" pitchFamily="34" charset="0"/>
            </a:rPr>
            <a:t>a sample</a:t>
          </a:r>
          <a:endParaRPr lang="en-GB" sz="1300" b="0" i="0" u="none" strike="noStrike" kern="1200" baseline="0" smtClean="0">
            <a:latin typeface="Times New Roman" panose="02020603050405020304" pitchFamily="18" charset="0"/>
          </a:endParaRPr>
        </a:p>
      </dsp:txBody>
      <dsp:txXfrm>
        <a:off x="2365207" y="2847"/>
        <a:ext cx="1550390" cy="775195"/>
      </dsp:txXfrm>
    </dsp:sp>
    <dsp:sp modelId="{900B91F2-C53E-4864-8C0F-1A81E7F4DC4B}">
      <dsp:nvSpPr>
        <dsp:cNvPr id="0" name=""/>
        <dsp:cNvSpPr/>
      </dsp:nvSpPr>
      <dsp:spPr>
        <a:xfrm>
          <a:off x="2177764" y="1103624"/>
          <a:ext cx="1925275" cy="775195"/>
        </a:xfrm>
        <a:prstGeom prst="rect">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Calibri" panose="020F0502020204030204" pitchFamily="34" charset="0"/>
            </a:rPr>
            <a:t>Collecting </a:t>
          </a:r>
          <a:r>
            <a:rPr lang="en-GB" sz="1300" b="1" i="0" u="none" strike="noStrike" kern="1200" baseline="0" smtClean="0">
              <a:latin typeface="Calibri" panose="020F0502020204030204" pitchFamily="34" charset="0"/>
            </a:rPr>
            <a:t>baseline </a:t>
          </a:r>
          <a:r>
            <a:rPr lang="en-GB" sz="1300" b="0" i="0" u="none" strike="noStrike" kern="1200" baseline="0" smtClean="0">
              <a:latin typeface="Calibri" panose="020F0502020204030204" pitchFamily="34" charset="0"/>
            </a:rPr>
            <a:t>data</a:t>
          </a:r>
        </a:p>
      </dsp:txBody>
      <dsp:txXfrm>
        <a:off x="2177764" y="1103624"/>
        <a:ext cx="1925275" cy="775195"/>
      </dsp:txXfrm>
    </dsp:sp>
    <dsp:sp modelId="{C14B983C-354D-489A-B670-C553833AD55A}">
      <dsp:nvSpPr>
        <dsp:cNvPr id="0" name=""/>
        <dsp:cNvSpPr/>
      </dsp:nvSpPr>
      <dsp:spPr>
        <a:xfrm>
          <a:off x="1427220" y="2204402"/>
          <a:ext cx="1550390" cy="775195"/>
        </a:xfrm>
        <a:prstGeom prst="rect">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Calibri" panose="020F0502020204030204" pitchFamily="34" charset="0"/>
            </a:rPr>
            <a:t> Survey findings suggest </a:t>
          </a:r>
          <a:r>
            <a:rPr lang="en-GB" sz="1300" b="1" i="0" u="none" strike="noStrike" kern="1200" baseline="0" smtClean="0">
              <a:latin typeface="Calibri" panose="020F0502020204030204" pitchFamily="34" charset="0"/>
            </a:rPr>
            <a:t>intensive</a:t>
          </a:r>
          <a:r>
            <a:rPr lang="en-GB" sz="1300" b="0" i="0" u="none" strike="noStrike" kern="1200" baseline="0" smtClean="0">
              <a:latin typeface="Calibri" panose="020F0502020204030204" pitchFamily="34" charset="0"/>
            </a:rPr>
            <a:t> intervention required in selected school</a:t>
          </a:r>
          <a:endParaRPr lang="en-GB" sz="1300" kern="1200" smtClean="0"/>
        </a:p>
      </dsp:txBody>
      <dsp:txXfrm>
        <a:off x="1427220" y="2204402"/>
        <a:ext cx="1550390" cy="775195"/>
      </dsp:txXfrm>
    </dsp:sp>
    <dsp:sp modelId="{A5A6935E-F17C-4AE9-BDA0-DCD24EA83DBF}">
      <dsp:nvSpPr>
        <dsp:cNvPr id="0" name=""/>
        <dsp:cNvSpPr/>
      </dsp:nvSpPr>
      <dsp:spPr>
        <a:xfrm>
          <a:off x="1814818" y="3305179"/>
          <a:ext cx="1550390" cy="775195"/>
        </a:xfrm>
        <a:prstGeom prst="rect">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Calibri" panose="020F0502020204030204" pitchFamily="34" charset="0"/>
            </a:rPr>
            <a:t>Model 1: Whole school approach and staff training</a:t>
          </a:r>
        </a:p>
      </dsp:txBody>
      <dsp:txXfrm>
        <a:off x="1814818" y="3305179"/>
        <a:ext cx="1550390" cy="775195"/>
      </dsp:txXfrm>
    </dsp:sp>
    <dsp:sp modelId="{6BB4656F-1436-47C7-B39E-59D23B67CEA5}">
      <dsp:nvSpPr>
        <dsp:cNvPr id="0" name=""/>
        <dsp:cNvSpPr/>
      </dsp:nvSpPr>
      <dsp:spPr>
        <a:xfrm>
          <a:off x="2202416" y="4405957"/>
          <a:ext cx="1550390" cy="775195"/>
        </a:xfrm>
        <a:prstGeom prst="rect">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Calibri" panose="020F0502020204030204" pitchFamily="34" charset="0"/>
            </a:rPr>
            <a:t>Outcome 1, 2 and 3</a:t>
          </a:r>
          <a:endParaRPr lang="en-GB" sz="1300" b="0" i="0" u="none" strike="noStrike" kern="1200" baseline="0" smtClean="0">
            <a:latin typeface="Times New Roman" panose="02020603050405020304" pitchFamily="18" charset="0"/>
          </a:endParaRPr>
        </a:p>
      </dsp:txBody>
      <dsp:txXfrm>
        <a:off x="2202416" y="4405957"/>
        <a:ext cx="1550390" cy="775195"/>
      </dsp:txXfrm>
    </dsp:sp>
    <dsp:sp modelId="{0CA6E4B1-4210-4DCC-B1D3-9FF23D9931AA}">
      <dsp:nvSpPr>
        <dsp:cNvPr id="0" name=""/>
        <dsp:cNvSpPr/>
      </dsp:nvSpPr>
      <dsp:spPr>
        <a:xfrm>
          <a:off x="3303193" y="2204402"/>
          <a:ext cx="1550390" cy="775195"/>
        </a:xfrm>
        <a:prstGeom prst="rect">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Calibri" panose="020F0502020204030204" pitchFamily="34" charset="0"/>
            </a:rPr>
            <a:t>Survey findings suggest </a:t>
          </a:r>
          <a:r>
            <a:rPr lang="en-GB" sz="1300" b="1" i="0" u="none" strike="noStrike" kern="1200" baseline="0" smtClean="0">
              <a:latin typeface="Calibri" panose="020F0502020204030204" pitchFamily="34" charset="0"/>
            </a:rPr>
            <a:t>less intensive</a:t>
          </a:r>
          <a:r>
            <a:rPr lang="en-GB" sz="1300" b="0" i="0" u="none" strike="noStrike" kern="1200" baseline="0" smtClean="0">
              <a:latin typeface="Calibri" panose="020F0502020204030204" pitchFamily="34" charset="0"/>
            </a:rPr>
            <a:t> intervention required in selected school</a:t>
          </a:r>
          <a:endParaRPr lang="en-GB" sz="1300" kern="1200" smtClean="0"/>
        </a:p>
      </dsp:txBody>
      <dsp:txXfrm>
        <a:off x="3303193" y="2204402"/>
        <a:ext cx="1550390" cy="775195"/>
      </dsp:txXfrm>
    </dsp:sp>
    <dsp:sp modelId="{C847C55D-6D41-41F4-8EA0-ADC563D624D6}">
      <dsp:nvSpPr>
        <dsp:cNvPr id="0" name=""/>
        <dsp:cNvSpPr/>
      </dsp:nvSpPr>
      <dsp:spPr>
        <a:xfrm>
          <a:off x="3690791" y="3305179"/>
          <a:ext cx="1550390" cy="775195"/>
        </a:xfrm>
        <a:prstGeom prst="rect">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Calibri" panose="020F0502020204030204" pitchFamily="34" charset="0"/>
            </a:rPr>
            <a:t>Model 2: Staff Training only</a:t>
          </a:r>
          <a:endParaRPr lang="en-GB" sz="1300" kern="1200" smtClean="0"/>
        </a:p>
      </dsp:txBody>
      <dsp:txXfrm>
        <a:off x="3690791" y="3305179"/>
        <a:ext cx="1550390" cy="775195"/>
      </dsp:txXfrm>
    </dsp:sp>
    <dsp:sp modelId="{F80345A6-8ED7-41B3-81B8-CE7C39DCC475}">
      <dsp:nvSpPr>
        <dsp:cNvPr id="0" name=""/>
        <dsp:cNvSpPr/>
      </dsp:nvSpPr>
      <dsp:spPr>
        <a:xfrm>
          <a:off x="4078388" y="4405957"/>
          <a:ext cx="1550390" cy="775195"/>
        </a:xfrm>
        <a:prstGeom prst="rect">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Calibri" panose="020F0502020204030204" pitchFamily="34" charset="0"/>
            </a:rPr>
            <a:t>Outcome 2 only</a:t>
          </a:r>
        </a:p>
      </dsp:txBody>
      <dsp:txXfrm>
        <a:off x="4078388" y="4405957"/>
        <a:ext cx="1550390" cy="7751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sharepoint/v3"/>
  </ds:schemaRefs>
</ds:datastoreItem>
</file>

<file path=customXml/itemProps3.xml><?xml version="1.0" encoding="utf-8"?>
<ds:datastoreItem xmlns:ds="http://schemas.openxmlformats.org/officeDocument/2006/customXml" ds:itemID="{B4C57365-C4BE-42BC-8173-C7F78CA17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96A277BC-01F4-493F-8530-D1932213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A16EEF93</Template>
  <TotalTime>164</TotalTime>
  <Pages>22</Pages>
  <Words>5388</Words>
  <Characters>31919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37233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KIRK, Jessie</cp:lastModifiedBy>
  <cp:revision>13</cp:revision>
  <cp:lastPrinted>2016-07-07T10:53:00Z</cp:lastPrinted>
  <dcterms:created xsi:type="dcterms:W3CDTF">2016-07-06T10:05:00Z</dcterms:created>
  <dcterms:modified xsi:type="dcterms:W3CDTF">2016-07-07T15:11:00Z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