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3882" w:rsidRDefault="00116195" w:rsidP="0024666E">
      <w:pPr>
        <w:jc w:val="both"/>
        <w:rPr>
          <w:b/>
          <w:bCs/>
        </w:rPr>
      </w:pPr>
      <w:r w:rsidRPr="00CD507B">
        <w:rPr>
          <w:noProof/>
        </w:rPr>
        <w:drawing>
          <wp:anchor distT="0" distB="0" distL="114300" distR="114300" simplePos="0" relativeHeight="251658240" behindDoc="0" locked="0" layoutInCell="1" allowOverlap="1">
            <wp:simplePos x="0" y="0"/>
            <wp:positionH relativeFrom="column">
              <wp:posOffset>4369981</wp:posOffset>
            </wp:positionH>
            <wp:positionV relativeFrom="paragraph">
              <wp:posOffset>-447187</wp:posOffset>
            </wp:positionV>
            <wp:extent cx="1286539" cy="838016"/>
            <wp:effectExtent l="0" t="0" r="0" b="635"/>
            <wp:wrapNone/>
            <wp:docPr id="1" name="il_fi" descr="http://upload.wikimedia.org/wikipedia/en/1/10/NHS_England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upload.wikimedia.org/wikipedia/en/1/10/NHS_England_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6539" cy="83801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D3882" w:rsidRDefault="002D3882" w:rsidP="0024666E">
      <w:pPr>
        <w:jc w:val="both"/>
        <w:rPr>
          <w:b/>
          <w:bCs/>
        </w:rPr>
      </w:pPr>
    </w:p>
    <w:p w:rsidR="00EC0A73" w:rsidRPr="00CD507B" w:rsidRDefault="00EC0A73" w:rsidP="0024666E">
      <w:pPr>
        <w:jc w:val="right"/>
        <w:rPr>
          <w:b/>
          <w:bCs/>
        </w:rPr>
      </w:pPr>
    </w:p>
    <w:p w:rsidR="00EC0A73" w:rsidRPr="00CD507B" w:rsidRDefault="00EC0A73" w:rsidP="0024666E">
      <w:pPr>
        <w:jc w:val="both"/>
        <w:rPr>
          <w:b/>
          <w:bCs/>
        </w:rPr>
      </w:pPr>
    </w:p>
    <w:p w:rsidR="00EC0A73" w:rsidRPr="00CD507B" w:rsidRDefault="00EC0A73" w:rsidP="0024666E">
      <w:pPr>
        <w:jc w:val="both"/>
        <w:rPr>
          <w:b/>
          <w:bCs/>
        </w:rPr>
      </w:pPr>
    </w:p>
    <w:p w:rsidR="00EC0A73" w:rsidRPr="00CD507B" w:rsidRDefault="001E6985" w:rsidP="0024666E">
      <w:pPr>
        <w:jc w:val="center"/>
        <w:rPr>
          <w:b/>
          <w:bCs/>
          <w:sz w:val="44"/>
          <w:szCs w:val="44"/>
        </w:rPr>
      </w:pPr>
      <w:r>
        <w:rPr>
          <w:b/>
          <w:bCs/>
          <w:sz w:val="44"/>
          <w:szCs w:val="44"/>
        </w:rPr>
        <w:t xml:space="preserve">Procurement of </w:t>
      </w:r>
      <w:r w:rsidR="00A60320">
        <w:rPr>
          <w:b/>
          <w:bCs/>
          <w:sz w:val="44"/>
          <w:szCs w:val="44"/>
        </w:rPr>
        <w:t xml:space="preserve">Primary Care Mandatory </w:t>
      </w:r>
      <w:r w:rsidR="00DC139E">
        <w:rPr>
          <w:b/>
          <w:bCs/>
          <w:sz w:val="44"/>
          <w:szCs w:val="44"/>
        </w:rPr>
        <w:t xml:space="preserve">NHS </w:t>
      </w:r>
      <w:r w:rsidR="00A60320">
        <w:rPr>
          <w:b/>
          <w:bCs/>
          <w:sz w:val="44"/>
          <w:szCs w:val="44"/>
        </w:rPr>
        <w:t>Dental Services</w:t>
      </w:r>
      <w:r w:rsidR="009004DB">
        <w:rPr>
          <w:b/>
          <w:bCs/>
          <w:sz w:val="44"/>
          <w:szCs w:val="44"/>
        </w:rPr>
        <w:t xml:space="preserve"> </w:t>
      </w:r>
    </w:p>
    <w:p w:rsidR="00EC0A73" w:rsidRDefault="00EC0A73" w:rsidP="0024666E">
      <w:pPr>
        <w:pStyle w:val="MOIText"/>
        <w:jc w:val="center"/>
        <w:rPr>
          <w:sz w:val="44"/>
          <w:szCs w:val="44"/>
        </w:rPr>
      </w:pPr>
    </w:p>
    <w:p w:rsidR="002075C8" w:rsidRDefault="002075C8" w:rsidP="002075C8">
      <w:pPr>
        <w:jc w:val="center"/>
        <w:rPr>
          <w:b/>
          <w:sz w:val="40"/>
          <w:szCs w:val="40"/>
        </w:rPr>
      </w:pPr>
      <w:r>
        <w:rPr>
          <w:b/>
          <w:sz w:val="40"/>
          <w:szCs w:val="40"/>
        </w:rPr>
        <w:t xml:space="preserve">Newham – </w:t>
      </w:r>
      <w:r w:rsidR="0000240A">
        <w:rPr>
          <w:b/>
          <w:sz w:val="40"/>
          <w:szCs w:val="40"/>
        </w:rPr>
        <w:t>Canning Town / Custom House</w:t>
      </w:r>
      <w:r w:rsidR="00C446C5">
        <w:rPr>
          <w:b/>
          <w:sz w:val="40"/>
          <w:szCs w:val="40"/>
        </w:rPr>
        <w:t xml:space="preserve"> </w:t>
      </w:r>
      <w:r>
        <w:rPr>
          <w:b/>
          <w:sz w:val="40"/>
          <w:szCs w:val="40"/>
        </w:rPr>
        <w:t>&amp;</w:t>
      </w:r>
    </w:p>
    <w:p w:rsidR="002075C8" w:rsidRDefault="002075C8" w:rsidP="002075C8">
      <w:pPr>
        <w:jc w:val="center"/>
        <w:rPr>
          <w:b/>
          <w:sz w:val="40"/>
          <w:szCs w:val="40"/>
        </w:rPr>
      </w:pPr>
      <w:r>
        <w:rPr>
          <w:b/>
          <w:sz w:val="40"/>
          <w:szCs w:val="40"/>
        </w:rPr>
        <w:t xml:space="preserve">Hillingdon </w:t>
      </w:r>
      <w:r w:rsidR="0000240A">
        <w:rPr>
          <w:b/>
          <w:sz w:val="40"/>
          <w:szCs w:val="40"/>
        </w:rPr>
        <w:t>–</w:t>
      </w:r>
      <w:r>
        <w:rPr>
          <w:b/>
          <w:sz w:val="40"/>
          <w:szCs w:val="40"/>
        </w:rPr>
        <w:t xml:space="preserve"> </w:t>
      </w:r>
      <w:r w:rsidR="0000240A">
        <w:rPr>
          <w:b/>
          <w:sz w:val="40"/>
          <w:szCs w:val="40"/>
        </w:rPr>
        <w:t>Yiewsley</w:t>
      </w:r>
    </w:p>
    <w:p w:rsidR="00EC0A73" w:rsidRPr="00CD507B" w:rsidRDefault="00EC0A73" w:rsidP="00116195">
      <w:pPr>
        <w:pStyle w:val="MOIText"/>
        <w:ind w:left="0"/>
        <w:rPr>
          <w:sz w:val="44"/>
          <w:szCs w:val="44"/>
        </w:rPr>
      </w:pPr>
    </w:p>
    <w:p w:rsidR="00EC0A73" w:rsidRPr="00CD507B" w:rsidRDefault="00491014" w:rsidP="0024666E">
      <w:pPr>
        <w:jc w:val="center"/>
        <w:rPr>
          <w:b/>
          <w:bCs/>
          <w:sz w:val="44"/>
          <w:szCs w:val="44"/>
        </w:rPr>
      </w:pPr>
      <w:r>
        <w:rPr>
          <w:b/>
          <w:bCs/>
          <w:sz w:val="44"/>
          <w:szCs w:val="44"/>
        </w:rPr>
        <w:t>NHS England (London Region)</w:t>
      </w:r>
      <w:r w:rsidR="00606949">
        <w:rPr>
          <w:b/>
          <w:bCs/>
          <w:sz w:val="44"/>
          <w:szCs w:val="44"/>
        </w:rPr>
        <w:t xml:space="preserve"> </w:t>
      </w:r>
      <w:r w:rsidR="00EC0A73" w:rsidRPr="00CD507B">
        <w:rPr>
          <w:b/>
          <w:bCs/>
          <w:sz w:val="44"/>
          <w:szCs w:val="44"/>
        </w:rPr>
        <w:t>P</w:t>
      </w:r>
      <w:r w:rsidR="00CD507B">
        <w:rPr>
          <w:b/>
          <w:bCs/>
          <w:sz w:val="44"/>
          <w:szCs w:val="44"/>
        </w:rPr>
        <w:t xml:space="preserve">rocurement </w:t>
      </w:r>
      <w:r w:rsidR="00EC0A73" w:rsidRPr="00CD507B">
        <w:rPr>
          <w:b/>
          <w:bCs/>
          <w:sz w:val="44"/>
          <w:szCs w:val="44"/>
        </w:rPr>
        <w:t>S</w:t>
      </w:r>
      <w:r w:rsidR="002929A3">
        <w:rPr>
          <w:b/>
          <w:bCs/>
          <w:sz w:val="44"/>
          <w:szCs w:val="44"/>
        </w:rPr>
        <w:t>cheme</w:t>
      </w:r>
    </w:p>
    <w:p w:rsidR="00EC0A73" w:rsidRPr="00CD507B" w:rsidRDefault="00EC0A73" w:rsidP="0024666E">
      <w:pPr>
        <w:pStyle w:val="MOIText"/>
        <w:ind w:left="0"/>
        <w:jc w:val="center"/>
      </w:pPr>
    </w:p>
    <w:p w:rsidR="00EC0A73" w:rsidRPr="00CD507B" w:rsidRDefault="00EC0A73" w:rsidP="0024666E">
      <w:pPr>
        <w:pStyle w:val="MOIText"/>
        <w:jc w:val="center"/>
      </w:pPr>
    </w:p>
    <w:p w:rsidR="00EC0A73" w:rsidRPr="00CD507B" w:rsidRDefault="00EC0A73" w:rsidP="0024666E">
      <w:pPr>
        <w:pStyle w:val="MOIText"/>
        <w:jc w:val="center"/>
      </w:pPr>
    </w:p>
    <w:p w:rsidR="00EC0A73" w:rsidRPr="00CD507B" w:rsidRDefault="00EC0A73" w:rsidP="0024666E">
      <w:pPr>
        <w:pStyle w:val="MOIText"/>
        <w:jc w:val="center"/>
      </w:pPr>
    </w:p>
    <w:p w:rsidR="00EC0A73" w:rsidRPr="00CD507B" w:rsidRDefault="00EC0A73" w:rsidP="002075C8">
      <w:pPr>
        <w:pStyle w:val="MOIText"/>
        <w:ind w:left="0"/>
      </w:pPr>
    </w:p>
    <w:p w:rsidR="00EC0A73" w:rsidRPr="00CD507B" w:rsidRDefault="00EC0A73" w:rsidP="0024666E">
      <w:pPr>
        <w:pStyle w:val="MOIText"/>
        <w:jc w:val="center"/>
      </w:pPr>
    </w:p>
    <w:p w:rsidR="00EC0A73" w:rsidRDefault="00EC0A73" w:rsidP="0024666E">
      <w:pPr>
        <w:jc w:val="center"/>
        <w:rPr>
          <w:b/>
          <w:sz w:val="40"/>
          <w:szCs w:val="40"/>
        </w:rPr>
      </w:pPr>
      <w:r w:rsidRPr="00CD507B">
        <w:rPr>
          <w:b/>
          <w:sz w:val="40"/>
          <w:szCs w:val="40"/>
        </w:rPr>
        <w:t>Memorandum of Information (MOI)</w:t>
      </w:r>
    </w:p>
    <w:p w:rsidR="000142B4" w:rsidRDefault="00D61F5B" w:rsidP="0024666E">
      <w:pPr>
        <w:jc w:val="center"/>
        <w:rPr>
          <w:b/>
          <w:sz w:val="40"/>
          <w:szCs w:val="40"/>
        </w:rPr>
      </w:pPr>
      <w:r>
        <w:rPr>
          <w:b/>
          <w:sz w:val="40"/>
          <w:szCs w:val="40"/>
        </w:rPr>
        <w:t xml:space="preserve">(Issued with </w:t>
      </w:r>
      <w:r w:rsidR="00CB2652">
        <w:rPr>
          <w:b/>
          <w:sz w:val="40"/>
          <w:szCs w:val="40"/>
        </w:rPr>
        <w:t>S</w:t>
      </w:r>
      <w:r>
        <w:rPr>
          <w:b/>
          <w:sz w:val="40"/>
          <w:szCs w:val="40"/>
        </w:rPr>
        <w:t>Q)</w:t>
      </w:r>
    </w:p>
    <w:p w:rsidR="000142B4" w:rsidRDefault="000142B4" w:rsidP="0024666E">
      <w:pPr>
        <w:jc w:val="center"/>
        <w:rPr>
          <w:b/>
          <w:sz w:val="40"/>
          <w:szCs w:val="40"/>
        </w:rPr>
      </w:pPr>
    </w:p>
    <w:p w:rsidR="00A42554" w:rsidRDefault="00D61F5B" w:rsidP="0024666E">
      <w:pPr>
        <w:jc w:val="center"/>
        <w:rPr>
          <w:b/>
          <w:sz w:val="40"/>
          <w:szCs w:val="40"/>
        </w:rPr>
      </w:pPr>
      <w:r>
        <w:rPr>
          <w:b/>
          <w:sz w:val="40"/>
          <w:szCs w:val="40"/>
        </w:rPr>
        <w:t xml:space="preserve">Project reference: </w:t>
      </w:r>
      <w:r w:rsidRPr="00FC30F1">
        <w:rPr>
          <w:b/>
          <w:sz w:val="40"/>
          <w:szCs w:val="40"/>
        </w:rPr>
        <w:t>RTL</w:t>
      </w:r>
      <w:r w:rsidR="00D5386B">
        <w:rPr>
          <w:b/>
          <w:sz w:val="40"/>
          <w:szCs w:val="40"/>
        </w:rPr>
        <w:t>071P</w:t>
      </w:r>
    </w:p>
    <w:p w:rsidR="002075C8" w:rsidRDefault="002075C8" w:rsidP="0024666E">
      <w:pPr>
        <w:jc w:val="center"/>
        <w:rPr>
          <w:b/>
          <w:sz w:val="40"/>
          <w:szCs w:val="40"/>
        </w:rPr>
      </w:pPr>
    </w:p>
    <w:p w:rsidR="000142B4" w:rsidRDefault="000142B4" w:rsidP="0024666E">
      <w:pPr>
        <w:jc w:val="center"/>
        <w:rPr>
          <w:b/>
          <w:sz w:val="40"/>
          <w:szCs w:val="40"/>
        </w:rPr>
      </w:pPr>
    </w:p>
    <w:p w:rsidR="00A74B27" w:rsidRPr="00CD507B" w:rsidRDefault="00A74B27" w:rsidP="0024666E"/>
    <w:p w:rsidR="00EC0A73" w:rsidRPr="00CD507B" w:rsidRDefault="00EC0A73" w:rsidP="0024666E"/>
    <w:p w:rsidR="00EC0A73" w:rsidRDefault="00EC0A73" w:rsidP="0024666E"/>
    <w:p w:rsidR="00E75304" w:rsidRPr="00CD507B" w:rsidRDefault="00E75304" w:rsidP="0024666E"/>
    <w:p w:rsidR="00FB1F73" w:rsidRPr="00B235A1" w:rsidRDefault="004D1E25" w:rsidP="004D1E25">
      <w:pPr>
        <w:tabs>
          <w:tab w:val="left" w:pos="3480"/>
        </w:tabs>
        <w:spacing w:before="0" w:after="200" w:line="276" w:lineRule="auto"/>
        <w:rPr>
          <w:b/>
          <w:sz w:val="24"/>
          <w:szCs w:val="24"/>
        </w:rPr>
      </w:pPr>
      <w:r>
        <w:rPr>
          <w:b/>
          <w:sz w:val="24"/>
          <w:szCs w:val="24"/>
        </w:rPr>
        <w:tab/>
      </w:r>
    </w:p>
    <w:p w:rsidR="000474C0" w:rsidRPr="000474C0" w:rsidRDefault="000474C0" w:rsidP="0024666E">
      <w:pPr>
        <w:jc w:val="both"/>
      </w:pPr>
    </w:p>
    <w:sdt>
      <w:sdtPr>
        <w:rPr>
          <w:rFonts w:ascii="Arial" w:eastAsia="Arial" w:hAnsi="Arial" w:cs="Arial"/>
          <w:b w:val="0"/>
          <w:bCs w:val="0"/>
          <w:color w:val="auto"/>
          <w:sz w:val="22"/>
          <w:szCs w:val="22"/>
          <w:lang w:val="en-GB" w:eastAsia="en-GB"/>
        </w:rPr>
        <w:id w:val="-814953024"/>
        <w:docPartObj>
          <w:docPartGallery w:val="Table of Contents"/>
          <w:docPartUnique/>
        </w:docPartObj>
      </w:sdtPr>
      <w:sdtEndPr>
        <w:rPr>
          <w:noProof/>
        </w:rPr>
      </w:sdtEndPr>
      <w:sdtContent>
        <w:p w:rsidR="009C78F8" w:rsidRDefault="009C78F8">
          <w:pPr>
            <w:pStyle w:val="TOCHeading"/>
          </w:pPr>
          <w:r>
            <w:t>Contents</w:t>
          </w:r>
        </w:p>
        <w:p w:rsidR="004B5A40" w:rsidRDefault="009C78F8">
          <w:pPr>
            <w:pStyle w:val="TOC1"/>
            <w:rPr>
              <w:rFonts w:asciiTheme="minorHAnsi" w:eastAsiaTheme="minorEastAsia" w:hAnsiTheme="minorHAnsi" w:cstheme="minorBidi"/>
              <w:b w:val="0"/>
              <w:bCs w:val="0"/>
              <w:caps w:val="0"/>
              <w:sz w:val="22"/>
              <w:szCs w:val="22"/>
            </w:rPr>
          </w:pPr>
          <w:r>
            <w:fldChar w:fldCharType="begin"/>
          </w:r>
          <w:r>
            <w:instrText xml:space="preserve"> TOC \o "1-3" \h \z \u </w:instrText>
          </w:r>
          <w:r>
            <w:fldChar w:fldCharType="separate"/>
          </w:r>
          <w:hyperlink w:anchor="_Toc504733037" w:history="1">
            <w:r w:rsidR="004B5A40" w:rsidRPr="00605018">
              <w:rPr>
                <w:rStyle w:val="Hyperlink"/>
                <w:rFonts w:ascii="Arial Bold" w:hAnsi="Arial Bold"/>
              </w:rPr>
              <w:t>1</w:t>
            </w:r>
            <w:r w:rsidR="004B5A40">
              <w:rPr>
                <w:rFonts w:asciiTheme="minorHAnsi" w:eastAsiaTheme="minorEastAsia" w:hAnsiTheme="minorHAnsi" w:cstheme="minorBidi"/>
                <w:b w:val="0"/>
                <w:bCs w:val="0"/>
                <w:caps w:val="0"/>
                <w:sz w:val="22"/>
                <w:szCs w:val="22"/>
              </w:rPr>
              <w:tab/>
            </w:r>
            <w:r w:rsidR="004B5A40" w:rsidRPr="00605018">
              <w:rPr>
                <w:rStyle w:val="Hyperlink"/>
              </w:rPr>
              <w:t>PURPOSE, STRUCTURE AND NEXT STEPS FOR BIDDERS</w:t>
            </w:r>
            <w:r w:rsidR="004B5A40">
              <w:rPr>
                <w:webHidden/>
              </w:rPr>
              <w:tab/>
            </w:r>
            <w:r w:rsidR="004B5A40">
              <w:rPr>
                <w:webHidden/>
              </w:rPr>
              <w:fldChar w:fldCharType="begin"/>
            </w:r>
            <w:r w:rsidR="004B5A40">
              <w:rPr>
                <w:webHidden/>
              </w:rPr>
              <w:instrText xml:space="preserve"> PAGEREF _Toc504733037 \h </w:instrText>
            </w:r>
            <w:r w:rsidR="004B5A40">
              <w:rPr>
                <w:webHidden/>
              </w:rPr>
            </w:r>
            <w:r w:rsidR="004B5A40">
              <w:rPr>
                <w:webHidden/>
              </w:rPr>
              <w:fldChar w:fldCharType="separate"/>
            </w:r>
            <w:r w:rsidR="00EE5907">
              <w:rPr>
                <w:webHidden/>
              </w:rPr>
              <w:t>4</w:t>
            </w:r>
            <w:r w:rsidR="004B5A40">
              <w:rPr>
                <w:webHidden/>
              </w:rPr>
              <w:fldChar w:fldCharType="end"/>
            </w:r>
          </w:hyperlink>
        </w:p>
        <w:p w:rsidR="004B5A40" w:rsidRDefault="00477EFE" w:rsidP="004B5A40">
          <w:pPr>
            <w:pStyle w:val="TOC2"/>
            <w:rPr>
              <w:rFonts w:asciiTheme="minorHAnsi" w:eastAsiaTheme="minorEastAsia" w:hAnsiTheme="minorHAnsi" w:cstheme="minorBidi"/>
            </w:rPr>
          </w:pPr>
          <w:hyperlink w:anchor="_Toc504733038" w:history="1">
            <w:r w:rsidR="004B5A40" w:rsidRPr="00605018">
              <w:rPr>
                <w:rStyle w:val="Hyperlink"/>
                <w:rFonts w:ascii="Arial Bold" w:hAnsi="Arial Bold"/>
              </w:rPr>
              <w:t>1.1</w:t>
            </w:r>
            <w:r w:rsidR="004B5A40">
              <w:rPr>
                <w:rFonts w:asciiTheme="minorHAnsi" w:eastAsiaTheme="minorEastAsia" w:hAnsiTheme="minorHAnsi" w:cstheme="minorBidi"/>
              </w:rPr>
              <w:tab/>
            </w:r>
            <w:r w:rsidR="004B5A40" w:rsidRPr="00605018">
              <w:rPr>
                <w:rStyle w:val="Hyperlink"/>
              </w:rPr>
              <w:t>Purpose of this Document</w:t>
            </w:r>
            <w:r w:rsidR="004B5A40">
              <w:rPr>
                <w:webHidden/>
              </w:rPr>
              <w:tab/>
            </w:r>
            <w:r w:rsidR="004B5A40">
              <w:rPr>
                <w:webHidden/>
              </w:rPr>
              <w:fldChar w:fldCharType="begin"/>
            </w:r>
            <w:r w:rsidR="004B5A40">
              <w:rPr>
                <w:webHidden/>
              </w:rPr>
              <w:instrText xml:space="preserve"> PAGEREF _Toc504733038 \h </w:instrText>
            </w:r>
            <w:r w:rsidR="004B5A40">
              <w:rPr>
                <w:webHidden/>
              </w:rPr>
            </w:r>
            <w:r w:rsidR="004B5A40">
              <w:rPr>
                <w:webHidden/>
              </w:rPr>
              <w:fldChar w:fldCharType="separate"/>
            </w:r>
            <w:r w:rsidR="00EE5907">
              <w:rPr>
                <w:webHidden/>
              </w:rPr>
              <w:t>4</w:t>
            </w:r>
            <w:r w:rsidR="004B5A40">
              <w:rPr>
                <w:webHidden/>
              </w:rPr>
              <w:fldChar w:fldCharType="end"/>
            </w:r>
          </w:hyperlink>
        </w:p>
        <w:p w:rsidR="004B5A40" w:rsidRDefault="00477EFE" w:rsidP="004B5A40">
          <w:pPr>
            <w:pStyle w:val="TOC2"/>
            <w:rPr>
              <w:rFonts w:asciiTheme="minorHAnsi" w:eastAsiaTheme="minorEastAsia" w:hAnsiTheme="minorHAnsi" w:cstheme="minorBidi"/>
            </w:rPr>
          </w:pPr>
          <w:hyperlink w:anchor="_Toc504733039" w:history="1">
            <w:r w:rsidR="004B5A40" w:rsidRPr="00605018">
              <w:rPr>
                <w:rStyle w:val="Hyperlink"/>
                <w:rFonts w:ascii="Arial Bold" w:hAnsi="Arial Bold"/>
              </w:rPr>
              <w:t>1.2</w:t>
            </w:r>
            <w:r w:rsidR="004B5A40">
              <w:rPr>
                <w:rFonts w:asciiTheme="minorHAnsi" w:eastAsiaTheme="minorEastAsia" w:hAnsiTheme="minorHAnsi" w:cstheme="minorBidi"/>
              </w:rPr>
              <w:tab/>
            </w:r>
            <w:r w:rsidR="004B5A40" w:rsidRPr="00605018">
              <w:rPr>
                <w:rStyle w:val="Hyperlink"/>
              </w:rPr>
              <w:t>Organisation of this Document</w:t>
            </w:r>
            <w:r w:rsidR="004B5A40">
              <w:rPr>
                <w:webHidden/>
              </w:rPr>
              <w:tab/>
            </w:r>
            <w:r w:rsidR="004B5A40">
              <w:rPr>
                <w:webHidden/>
              </w:rPr>
              <w:fldChar w:fldCharType="begin"/>
            </w:r>
            <w:r w:rsidR="004B5A40">
              <w:rPr>
                <w:webHidden/>
              </w:rPr>
              <w:instrText xml:space="preserve"> PAGEREF _Toc504733039 \h </w:instrText>
            </w:r>
            <w:r w:rsidR="004B5A40">
              <w:rPr>
                <w:webHidden/>
              </w:rPr>
            </w:r>
            <w:r w:rsidR="004B5A40">
              <w:rPr>
                <w:webHidden/>
              </w:rPr>
              <w:fldChar w:fldCharType="separate"/>
            </w:r>
            <w:r w:rsidR="00EE5907">
              <w:rPr>
                <w:webHidden/>
              </w:rPr>
              <w:t>4</w:t>
            </w:r>
            <w:r w:rsidR="004B5A40">
              <w:rPr>
                <w:webHidden/>
              </w:rPr>
              <w:fldChar w:fldCharType="end"/>
            </w:r>
          </w:hyperlink>
        </w:p>
        <w:p w:rsidR="004B5A40" w:rsidRDefault="00477EFE">
          <w:pPr>
            <w:pStyle w:val="TOC1"/>
            <w:rPr>
              <w:rFonts w:asciiTheme="minorHAnsi" w:eastAsiaTheme="minorEastAsia" w:hAnsiTheme="minorHAnsi" w:cstheme="minorBidi"/>
              <w:b w:val="0"/>
              <w:bCs w:val="0"/>
              <w:caps w:val="0"/>
              <w:sz w:val="22"/>
              <w:szCs w:val="22"/>
            </w:rPr>
          </w:pPr>
          <w:hyperlink w:anchor="_Toc504733046" w:history="1">
            <w:r w:rsidR="004B5A40" w:rsidRPr="00605018">
              <w:rPr>
                <w:rStyle w:val="Hyperlink"/>
                <w:rFonts w:ascii="Arial Bold" w:hAnsi="Arial Bold"/>
              </w:rPr>
              <w:t>2</w:t>
            </w:r>
            <w:r w:rsidR="004B5A40">
              <w:rPr>
                <w:rFonts w:asciiTheme="minorHAnsi" w:eastAsiaTheme="minorEastAsia" w:hAnsiTheme="minorHAnsi" w:cstheme="minorBidi"/>
                <w:b w:val="0"/>
                <w:bCs w:val="0"/>
                <w:caps w:val="0"/>
                <w:sz w:val="22"/>
                <w:szCs w:val="22"/>
              </w:rPr>
              <w:tab/>
            </w:r>
            <w:r w:rsidR="004B5A40" w:rsidRPr="00605018">
              <w:rPr>
                <w:rStyle w:val="Hyperlink"/>
              </w:rPr>
              <w:t>INTRODUCTION AND OVERVIEW</w:t>
            </w:r>
            <w:r w:rsidR="004B5A40">
              <w:rPr>
                <w:webHidden/>
              </w:rPr>
              <w:tab/>
            </w:r>
            <w:r w:rsidR="004B5A40">
              <w:rPr>
                <w:webHidden/>
              </w:rPr>
              <w:fldChar w:fldCharType="begin"/>
            </w:r>
            <w:r w:rsidR="004B5A40">
              <w:rPr>
                <w:webHidden/>
              </w:rPr>
              <w:instrText xml:space="preserve"> PAGEREF _Toc504733046 \h </w:instrText>
            </w:r>
            <w:r w:rsidR="004B5A40">
              <w:rPr>
                <w:webHidden/>
              </w:rPr>
            </w:r>
            <w:r w:rsidR="004B5A40">
              <w:rPr>
                <w:webHidden/>
              </w:rPr>
              <w:fldChar w:fldCharType="separate"/>
            </w:r>
            <w:r w:rsidR="00EE5907">
              <w:rPr>
                <w:webHidden/>
              </w:rPr>
              <w:t>5</w:t>
            </w:r>
            <w:r w:rsidR="004B5A40">
              <w:rPr>
                <w:webHidden/>
              </w:rPr>
              <w:fldChar w:fldCharType="end"/>
            </w:r>
          </w:hyperlink>
        </w:p>
        <w:p w:rsidR="004B5A40" w:rsidRDefault="00477EFE" w:rsidP="004B5A40">
          <w:pPr>
            <w:pStyle w:val="TOC2"/>
            <w:rPr>
              <w:rFonts w:asciiTheme="minorHAnsi" w:eastAsiaTheme="minorEastAsia" w:hAnsiTheme="minorHAnsi" w:cstheme="minorBidi"/>
            </w:rPr>
          </w:pPr>
          <w:hyperlink w:anchor="_Toc504733047" w:history="1">
            <w:r w:rsidR="004B5A40" w:rsidRPr="00605018">
              <w:rPr>
                <w:rStyle w:val="Hyperlink"/>
                <w:rFonts w:ascii="Arial Bold" w:hAnsi="Arial Bold"/>
              </w:rPr>
              <w:t>2.1</w:t>
            </w:r>
            <w:r w:rsidR="004B5A40">
              <w:rPr>
                <w:rFonts w:asciiTheme="minorHAnsi" w:eastAsiaTheme="minorEastAsia" w:hAnsiTheme="minorHAnsi" w:cstheme="minorBidi"/>
              </w:rPr>
              <w:tab/>
            </w:r>
            <w:r w:rsidR="004B5A40" w:rsidRPr="00605018">
              <w:rPr>
                <w:rStyle w:val="Hyperlink"/>
              </w:rPr>
              <w:t>Introduction</w:t>
            </w:r>
            <w:r w:rsidR="004B5A40">
              <w:rPr>
                <w:webHidden/>
              </w:rPr>
              <w:tab/>
            </w:r>
            <w:r w:rsidR="004B5A40">
              <w:rPr>
                <w:webHidden/>
              </w:rPr>
              <w:fldChar w:fldCharType="begin"/>
            </w:r>
            <w:r w:rsidR="004B5A40">
              <w:rPr>
                <w:webHidden/>
              </w:rPr>
              <w:instrText xml:space="preserve"> PAGEREF _Toc504733047 \h </w:instrText>
            </w:r>
            <w:r w:rsidR="004B5A40">
              <w:rPr>
                <w:webHidden/>
              </w:rPr>
            </w:r>
            <w:r w:rsidR="004B5A40">
              <w:rPr>
                <w:webHidden/>
              </w:rPr>
              <w:fldChar w:fldCharType="separate"/>
            </w:r>
            <w:r w:rsidR="00EE5907">
              <w:rPr>
                <w:webHidden/>
              </w:rPr>
              <w:t>5</w:t>
            </w:r>
            <w:r w:rsidR="004B5A40">
              <w:rPr>
                <w:webHidden/>
              </w:rPr>
              <w:fldChar w:fldCharType="end"/>
            </w:r>
          </w:hyperlink>
        </w:p>
        <w:p w:rsidR="004B5A40" w:rsidRDefault="00477EFE" w:rsidP="004B5A40">
          <w:pPr>
            <w:pStyle w:val="TOC2"/>
            <w:rPr>
              <w:rFonts w:asciiTheme="minorHAnsi" w:eastAsiaTheme="minorEastAsia" w:hAnsiTheme="minorHAnsi" w:cstheme="minorBidi"/>
            </w:rPr>
          </w:pPr>
          <w:hyperlink w:anchor="_Toc504733048" w:history="1">
            <w:r w:rsidR="004B5A40" w:rsidRPr="00605018">
              <w:rPr>
                <w:rStyle w:val="Hyperlink"/>
                <w:rFonts w:ascii="Arial Bold" w:hAnsi="Arial Bold"/>
              </w:rPr>
              <w:t>2.2</w:t>
            </w:r>
            <w:r w:rsidR="004B5A40">
              <w:rPr>
                <w:rFonts w:asciiTheme="minorHAnsi" w:eastAsiaTheme="minorEastAsia" w:hAnsiTheme="minorHAnsi" w:cstheme="minorBidi"/>
              </w:rPr>
              <w:tab/>
            </w:r>
            <w:r w:rsidR="004B5A40" w:rsidRPr="00605018">
              <w:rPr>
                <w:rStyle w:val="Hyperlink"/>
              </w:rPr>
              <w:t>Overview of Current Provision</w:t>
            </w:r>
            <w:r w:rsidR="004B5A40">
              <w:rPr>
                <w:webHidden/>
              </w:rPr>
              <w:tab/>
            </w:r>
            <w:r w:rsidR="004B5A40">
              <w:rPr>
                <w:webHidden/>
              </w:rPr>
              <w:fldChar w:fldCharType="begin"/>
            </w:r>
            <w:r w:rsidR="004B5A40">
              <w:rPr>
                <w:webHidden/>
              </w:rPr>
              <w:instrText xml:space="preserve"> PAGEREF _Toc504733048 \h </w:instrText>
            </w:r>
            <w:r w:rsidR="004B5A40">
              <w:rPr>
                <w:webHidden/>
              </w:rPr>
            </w:r>
            <w:r w:rsidR="004B5A40">
              <w:rPr>
                <w:webHidden/>
              </w:rPr>
              <w:fldChar w:fldCharType="separate"/>
            </w:r>
            <w:r w:rsidR="00EE5907">
              <w:rPr>
                <w:webHidden/>
              </w:rPr>
              <w:t>6</w:t>
            </w:r>
            <w:r w:rsidR="004B5A40">
              <w:rPr>
                <w:webHidden/>
              </w:rPr>
              <w:fldChar w:fldCharType="end"/>
            </w:r>
          </w:hyperlink>
        </w:p>
        <w:p w:rsidR="004B5A40" w:rsidRDefault="00477EFE" w:rsidP="004B5A40">
          <w:pPr>
            <w:pStyle w:val="TOC2"/>
            <w:rPr>
              <w:rFonts w:asciiTheme="minorHAnsi" w:eastAsiaTheme="minorEastAsia" w:hAnsiTheme="minorHAnsi" w:cstheme="minorBidi"/>
            </w:rPr>
          </w:pPr>
          <w:hyperlink w:anchor="_Toc504733049" w:history="1">
            <w:r w:rsidR="004B5A40" w:rsidRPr="00605018">
              <w:rPr>
                <w:rStyle w:val="Hyperlink"/>
                <w:rFonts w:ascii="Arial Bold" w:hAnsi="Arial Bold"/>
              </w:rPr>
              <w:t>2.3</w:t>
            </w:r>
            <w:r w:rsidR="004B5A40">
              <w:rPr>
                <w:rFonts w:asciiTheme="minorHAnsi" w:eastAsiaTheme="minorEastAsia" w:hAnsiTheme="minorHAnsi" w:cstheme="minorBidi"/>
              </w:rPr>
              <w:tab/>
            </w:r>
            <w:r w:rsidR="004B5A40" w:rsidRPr="00605018">
              <w:rPr>
                <w:rStyle w:val="Hyperlink"/>
              </w:rPr>
              <w:t>Objectives of NHS England Procurement</w:t>
            </w:r>
            <w:r w:rsidR="004B5A40">
              <w:rPr>
                <w:webHidden/>
              </w:rPr>
              <w:tab/>
            </w:r>
            <w:r w:rsidR="004B5A40">
              <w:rPr>
                <w:webHidden/>
              </w:rPr>
              <w:fldChar w:fldCharType="begin"/>
            </w:r>
            <w:r w:rsidR="004B5A40">
              <w:rPr>
                <w:webHidden/>
              </w:rPr>
              <w:instrText xml:space="preserve"> PAGEREF _Toc504733049 \h </w:instrText>
            </w:r>
            <w:r w:rsidR="004B5A40">
              <w:rPr>
                <w:webHidden/>
              </w:rPr>
            </w:r>
            <w:r w:rsidR="004B5A40">
              <w:rPr>
                <w:webHidden/>
              </w:rPr>
              <w:fldChar w:fldCharType="separate"/>
            </w:r>
            <w:r w:rsidR="00EE5907">
              <w:rPr>
                <w:webHidden/>
              </w:rPr>
              <w:t>6</w:t>
            </w:r>
            <w:r w:rsidR="004B5A40">
              <w:rPr>
                <w:webHidden/>
              </w:rPr>
              <w:fldChar w:fldCharType="end"/>
            </w:r>
          </w:hyperlink>
        </w:p>
        <w:p w:rsidR="004B5A40" w:rsidRDefault="00477EFE" w:rsidP="004B5A40">
          <w:pPr>
            <w:pStyle w:val="TOC2"/>
            <w:rPr>
              <w:rFonts w:asciiTheme="minorHAnsi" w:eastAsiaTheme="minorEastAsia" w:hAnsiTheme="minorHAnsi" w:cstheme="minorBidi"/>
            </w:rPr>
          </w:pPr>
          <w:hyperlink w:anchor="_Toc504733050" w:history="1">
            <w:r w:rsidR="004B5A40" w:rsidRPr="00605018">
              <w:rPr>
                <w:rStyle w:val="Hyperlink"/>
                <w:rFonts w:ascii="Arial Bold" w:hAnsi="Arial Bold"/>
              </w:rPr>
              <w:t>2.4</w:t>
            </w:r>
            <w:r w:rsidR="004B5A40">
              <w:rPr>
                <w:rFonts w:asciiTheme="minorHAnsi" w:eastAsiaTheme="minorEastAsia" w:hAnsiTheme="minorHAnsi" w:cstheme="minorBidi"/>
              </w:rPr>
              <w:tab/>
            </w:r>
            <w:r w:rsidR="004B5A40" w:rsidRPr="00605018">
              <w:rPr>
                <w:rStyle w:val="Hyperlink"/>
              </w:rPr>
              <w:t>Scope of Services</w:t>
            </w:r>
            <w:r w:rsidR="004B5A40">
              <w:rPr>
                <w:webHidden/>
              </w:rPr>
              <w:tab/>
            </w:r>
            <w:r w:rsidR="004B5A40">
              <w:rPr>
                <w:webHidden/>
              </w:rPr>
              <w:fldChar w:fldCharType="begin"/>
            </w:r>
            <w:r w:rsidR="004B5A40">
              <w:rPr>
                <w:webHidden/>
              </w:rPr>
              <w:instrText xml:space="preserve"> PAGEREF _Toc504733050 \h </w:instrText>
            </w:r>
            <w:r w:rsidR="004B5A40">
              <w:rPr>
                <w:webHidden/>
              </w:rPr>
            </w:r>
            <w:r w:rsidR="004B5A40">
              <w:rPr>
                <w:webHidden/>
              </w:rPr>
              <w:fldChar w:fldCharType="separate"/>
            </w:r>
            <w:r w:rsidR="00EE5907">
              <w:rPr>
                <w:webHidden/>
              </w:rPr>
              <w:t>6</w:t>
            </w:r>
            <w:r w:rsidR="004B5A40">
              <w:rPr>
                <w:webHidden/>
              </w:rPr>
              <w:fldChar w:fldCharType="end"/>
            </w:r>
          </w:hyperlink>
        </w:p>
        <w:p w:rsidR="004B5A40" w:rsidRDefault="00477EFE">
          <w:pPr>
            <w:pStyle w:val="TOC3"/>
            <w:rPr>
              <w:rFonts w:asciiTheme="minorHAnsi" w:eastAsiaTheme="minorEastAsia" w:hAnsiTheme="minorHAnsi" w:cstheme="minorBidi"/>
              <w:noProof/>
            </w:rPr>
          </w:pPr>
          <w:hyperlink w:anchor="_Toc504733051" w:history="1">
            <w:r w:rsidR="004B5A40" w:rsidRPr="00605018">
              <w:rPr>
                <w:rStyle w:val="Hyperlink"/>
                <w:noProof/>
              </w:rPr>
              <w:t>2.4.1</w:t>
            </w:r>
            <w:r w:rsidR="004B5A40">
              <w:rPr>
                <w:rFonts w:asciiTheme="minorHAnsi" w:eastAsiaTheme="minorEastAsia" w:hAnsiTheme="minorHAnsi" w:cstheme="minorBidi"/>
                <w:noProof/>
              </w:rPr>
              <w:tab/>
            </w:r>
            <w:r w:rsidR="004B5A40" w:rsidRPr="00605018">
              <w:rPr>
                <w:rStyle w:val="Hyperlink"/>
                <w:noProof/>
              </w:rPr>
              <w:t>Outline Service Specification</w:t>
            </w:r>
            <w:r w:rsidR="004B5A40">
              <w:rPr>
                <w:noProof/>
                <w:webHidden/>
              </w:rPr>
              <w:tab/>
            </w:r>
            <w:r w:rsidR="004B5A40">
              <w:rPr>
                <w:noProof/>
                <w:webHidden/>
              </w:rPr>
              <w:fldChar w:fldCharType="begin"/>
            </w:r>
            <w:r w:rsidR="004B5A40">
              <w:rPr>
                <w:noProof/>
                <w:webHidden/>
              </w:rPr>
              <w:instrText xml:space="preserve"> PAGEREF _Toc504733051 \h </w:instrText>
            </w:r>
            <w:r w:rsidR="004B5A40">
              <w:rPr>
                <w:noProof/>
                <w:webHidden/>
              </w:rPr>
            </w:r>
            <w:r w:rsidR="004B5A40">
              <w:rPr>
                <w:noProof/>
                <w:webHidden/>
              </w:rPr>
              <w:fldChar w:fldCharType="separate"/>
            </w:r>
            <w:r w:rsidR="00EE5907">
              <w:rPr>
                <w:noProof/>
                <w:webHidden/>
              </w:rPr>
              <w:t>7</w:t>
            </w:r>
            <w:r w:rsidR="004B5A40">
              <w:rPr>
                <w:noProof/>
                <w:webHidden/>
              </w:rPr>
              <w:fldChar w:fldCharType="end"/>
            </w:r>
          </w:hyperlink>
        </w:p>
        <w:p w:rsidR="004B5A40" w:rsidRDefault="00477EFE">
          <w:pPr>
            <w:pStyle w:val="TOC3"/>
            <w:rPr>
              <w:rFonts w:asciiTheme="minorHAnsi" w:eastAsiaTheme="minorEastAsia" w:hAnsiTheme="minorHAnsi" w:cstheme="minorBidi"/>
              <w:noProof/>
            </w:rPr>
          </w:pPr>
          <w:hyperlink w:anchor="_Toc504733052" w:history="1">
            <w:r w:rsidR="004B5A40" w:rsidRPr="00605018">
              <w:rPr>
                <w:rStyle w:val="Hyperlink"/>
                <w:noProof/>
              </w:rPr>
              <w:t>2.4.2</w:t>
            </w:r>
            <w:r w:rsidR="004B5A40">
              <w:rPr>
                <w:rFonts w:asciiTheme="minorHAnsi" w:eastAsiaTheme="minorEastAsia" w:hAnsiTheme="minorHAnsi" w:cstheme="minorBidi"/>
                <w:noProof/>
              </w:rPr>
              <w:tab/>
            </w:r>
            <w:r w:rsidR="004B5A40" w:rsidRPr="00605018">
              <w:rPr>
                <w:rStyle w:val="Hyperlink"/>
                <w:noProof/>
              </w:rPr>
              <w:t>Service Pricing</w:t>
            </w:r>
            <w:r w:rsidR="004B5A40">
              <w:rPr>
                <w:noProof/>
                <w:webHidden/>
              </w:rPr>
              <w:tab/>
            </w:r>
            <w:r w:rsidR="004B5A40">
              <w:rPr>
                <w:noProof/>
                <w:webHidden/>
              </w:rPr>
              <w:fldChar w:fldCharType="begin"/>
            </w:r>
            <w:r w:rsidR="004B5A40">
              <w:rPr>
                <w:noProof/>
                <w:webHidden/>
              </w:rPr>
              <w:instrText xml:space="preserve"> PAGEREF _Toc504733052 \h </w:instrText>
            </w:r>
            <w:r w:rsidR="004B5A40">
              <w:rPr>
                <w:noProof/>
                <w:webHidden/>
              </w:rPr>
            </w:r>
            <w:r w:rsidR="004B5A40">
              <w:rPr>
                <w:noProof/>
                <w:webHidden/>
              </w:rPr>
              <w:fldChar w:fldCharType="separate"/>
            </w:r>
            <w:r w:rsidR="00EE5907">
              <w:rPr>
                <w:noProof/>
                <w:webHidden/>
              </w:rPr>
              <w:t>7</w:t>
            </w:r>
            <w:r w:rsidR="004B5A40">
              <w:rPr>
                <w:noProof/>
                <w:webHidden/>
              </w:rPr>
              <w:fldChar w:fldCharType="end"/>
            </w:r>
          </w:hyperlink>
        </w:p>
        <w:p w:rsidR="004B5A40" w:rsidRDefault="00477EFE">
          <w:pPr>
            <w:pStyle w:val="TOC3"/>
            <w:rPr>
              <w:rFonts w:asciiTheme="minorHAnsi" w:eastAsiaTheme="minorEastAsia" w:hAnsiTheme="minorHAnsi" w:cstheme="minorBidi"/>
              <w:noProof/>
            </w:rPr>
          </w:pPr>
          <w:hyperlink w:anchor="_Toc504733053" w:history="1">
            <w:r w:rsidR="004B5A40" w:rsidRPr="00605018">
              <w:rPr>
                <w:rStyle w:val="Hyperlink"/>
                <w:noProof/>
              </w:rPr>
              <w:t>2.4.3</w:t>
            </w:r>
            <w:r w:rsidR="004B5A40">
              <w:rPr>
                <w:rFonts w:asciiTheme="minorHAnsi" w:eastAsiaTheme="minorEastAsia" w:hAnsiTheme="minorHAnsi" w:cstheme="minorBidi"/>
                <w:noProof/>
              </w:rPr>
              <w:tab/>
            </w:r>
            <w:r w:rsidR="004B5A40" w:rsidRPr="00605018">
              <w:rPr>
                <w:rStyle w:val="Hyperlink"/>
                <w:noProof/>
              </w:rPr>
              <w:t>Facilities and Equipment</w:t>
            </w:r>
            <w:r w:rsidR="004B5A40">
              <w:rPr>
                <w:noProof/>
                <w:webHidden/>
              </w:rPr>
              <w:tab/>
            </w:r>
            <w:r w:rsidR="004B5A40">
              <w:rPr>
                <w:noProof/>
                <w:webHidden/>
              </w:rPr>
              <w:fldChar w:fldCharType="begin"/>
            </w:r>
            <w:r w:rsidR="004B5A40">
              <w:rPr>
                <w:noProof/>
                <w:webHidden/>
              </w:rPr>
              <w:instrText xml:space="preserve"> PAGEREF _Toc504733053 \h </w:instrText>
            </w:r>
            <w:r w:rsidR="004B5A40">
              <w:rPr>
                <w:noProof/>
                <w:webHidden/>
              </w:rPr>
            </w:r>
            <w:r w:rsidR="004B5A40">
              <w:rPr>
                <w:noProof/>
                <w:webHidden/>
              </w:rPr>
              <w:fldChar w:fldCharType="separate"/>
            </w:r>
            <w:r w:rsidR="00EE5907">
              <w:rPr>
                <w:noProof/>
                <w:webHidden/>
              </w:rPr>
              <w:t>7</w:t>
            </w:r>
            <w:r w:rsidR="004B5A40">
              <w:rPr>
                <w:noProof/>
                <w:webHidden/>
              </w:rPr>
              <w:fldChar w:fldCharType="end"/>
            </w:r>
          </w:hyperlink>
        </w:p>
        <w:p w:rsidR="004B5A40" w:rsidRDefault="00477EFE">
          <w:pPr>
            <w:pStyle w:val="TOC3"/>
            <w:rPr>
              <w:rFonts w:asciiTheme="minorHAnsi" w:eastAsiaTheme="minorEastAsia" w:hAnsiTheme="minorHAnsi" w:cstheme="minorBidi"/>
              <w:noProof/>
            </w:rPr>
          </w:pPr>
          <w:hyperlink w:anchor="_Toc504733054" w:history="1">
            <w:r w:rsidR="004B5A40" w:rsidRPr="00605018">
              <w:rPr>
                <w:rStyle w:val="Hyperlink"/>
                <w:noProof/>
              </w:rPr>
              <w:t>2.4.4</w:t>
            </w:r>
            <w:r w:rsidR="004B5A40">
              <w:rPr>
                <w:rFonts w:asciiTheme="minorHAnsi" w:eastAsiaTheme="minorEastAsia" w:hAnsiTheme="minorHAnsi" w:cstheme="minorBidi"/>
                <w:noProof/>
              </w:rPr>
              <w:tab/>
            </w:r>
            <w:r w:rsidR="004B5A40" w:rsidRPr="00605018">
              <w:rPr>
                <w:rStyle w:val="Hyperlink"/>
                <w:noProof/>
              </w:rPr>
              <w:t>Services</w:t>
            </w:r>
            <w:r w:rsidR="004B5A40">
              <w:rPr>
                <w:noProof/>
                <w:webHidden/>
              </w:rPr>
              <w:tab/>
            </w:r>
            <w:r w:rsidR="004B5A40">
              <w:rPr>
                <w:noProof/>
                <w:webHidden/>
              </w:rPr>
              <w:fldChar w:fldCharType="begin"/>
            </w:r>
            <w:r w:rsidR="004B5A40">
              <w:rPr>
                <w:noProof/>
                <w:webHidden/>
              </w:rPr>
              <w:instrText xml:space="preserve"> PAGEREF _Toc504733054 \h </w:instrText>
            </w:r>
            <w:r w:rsidR="004B5A40">
              <w:rPr>
                <w:noProof/>
                <w:webHidden/>
              </w:rPr>
            </w:r>
            <w:r w:rsidR="004B5A40">
              <w:rPr>
                <w:noProof/>
                <w:webHidden/>
              </w:rPr>
              <w:fldChar w:fldCharType="separate"/>
            </w:r>
            <w:r w:rsidR="00EE5907">
              <w:rPr>
                <w:noProof/>
                <w:webHidden/>
              </w:rPr>
              <w:t>7</w:t>
            </w:r>
            <w:r w:rsidR="004B5A40">
              <w:rPr>
                <w:noProof/>
                <w:webHidden/>
              </w:rPr>
              <w:fldChar w:fldCharType="end"/>
            </w:r>
          </w:hyperlink>
        </w:p>
        <w:p w:rsidR="004B5A40" w:rsidRDefault="00477EFE">
          <w:pPr>
            <w:pStyle w:val="TOC3"/>
            <w:rPr>
              <w:rFonts w:asciiTheme="minorHAnsi" w:eastAsiaTheme="minorEastAsia" w:hAnsiTheme="minorHAnsi" w:cstheme="minorBidi"/>
              <w:noProof/>
            </w:rPr>
          </w:pPr>
          <w:hyperlink w:anchor="_Toc504733055" w:history="1">
            <w:r w:rsidR="004B5A40" w:rsidRPr="00605018">
              <w:rPr>
                <w:rStyle w:val="Hyperlink"/>
                <w:noProof/>
              </w:rPr>
              <w:t>2.4.5</w:t>
            </w:r>
            <w:r w:rsidR="004B5A40">
              <w:rPr>
                <w:rFonts w:asciiTheme="minorHAnsi" w:eastAsiaTheme="minorEastAsia" w:hAnsiTheme="minorHAnsi" w:cstheme="minorBidi"/>
                <w:noProof/>
              </w:rPr>
              <w:tab/>
            </w:r>
            <w:r w:rsidR="004B5A40" w:rsidRPr="00605018">
              <w:rPr>
                <w:rStyle w:val="Hyperlink"/>
                <w:noProof/>
              </w:rPr>
              <w:t>Access</w:t>
            </w:r>
            <w:r w:rsidR="004B5A40">
              <w:rPr>
                <w:noProof/>
                <w:webHidden/>
              </w:rPr>
              <w:tab/>
            </w:r>
            <w:r w:rsidR="004B5A40">
              <w:rPr>
                <w:noProof/>
                <w:webHidden/>
              </w:rPr>
              <w:fldChar w:fldCharType="begin"/>
            </w:r>
            <w:r w:rsidR="004B5A40">
              <w:rPr>
                <w:noProof/>
                <w:webHidden/>
              </w:rPr>
              <w:instrText xml:space="preserve"> PAGEREF _Toc504733055 \h </w:instrText>
            </w:r>
            <w:r w:rsidR="004B5A40">
              <w:rPr>
                <w:noProof/>
                <w:webHidden/>
              </w:rPr>
            </w:r>
            <w:r w:rsidR="004B5A40">
              <w:rPr>
                <w:noProof/>
                <w:webHidden/>
              </w:rPr>
              <w:fldChar w:fldCharType="separate"/>
            </w:r>
            <w:r w:rsidR="00EE5907">
              <w:rPr>
                <w:noProof/>
                <w:webHidden/>
              </w:rPr>
              <w:t>9</w:t>
            </w:r>
            <w:r w:rsidR="004B5A40">
              <w:rPr>
                <w:noProof/>
                <w:webHidden/>
              </w:rPr>
              <w:fldChar w:fldCharType="end"/>
            </w:r>
          </w:hyperlink>
        </w:p>
        <w:p w:rsidR="004B5A40" w:rsidRDefault="00477EFE">
          <w:pPr>
            <w:pStyle w:val="TOC3"/>
            <w:rPr>
              <w:rFonts w:asciiTheme="minorHAnsi" w:eastAsiaTheme="minorEastAsia" w:hAnsiTheme="minorHAnsi" w:cstheme="minorBidi"/>
              <w:noProof/>
            </w:rPr>
          </w:pPr>
          <w:hyperlink w:anchor="_Toc504733056" w:history="1">
            <w:r w:rsidR="004B5A40" w:rsidRPr="00605018">
              <w:rPr>
                <w:rStyle w:val="Hyperlink"/>
                <w:noProof/>
              </w:rPr>
              <w:t>2.4.6</w:t>
            </w:r>
            <w:r w:rsidR="004B5A40">
              <w:rPr>
                <w:rFonts w:asciiTheme="minorHAnsi" w:eastAsiaTheme="minorEastAsia" w:hAnsiTheme="minorHAnsi" w:cstheme="minorBidi"/>
                <w:noProof/>
              </w:rPr>
              <w:tab/>
            </w:r>
            <w:r w:rsidR="004B5A40" w:rsidRPr="00605018">
              <w:rPr>
                <w:rStyle w:val="Hyperlink"/>
                <w:noProof/>
              </w:rPr>
              <w:t>Quality and monitoring</w:t>
            </w:r>
            <w:r w:rsidR="004B5A40">
              <w:rPr>
                <w:noProof/>
                <w:webHidden/>
              </w:rPr>
              <w:tab/>
            </w:r>
            <w:r w:rsidR="004B5A40">
              <w:rPr>
                <w:noProof/>
                <w:webHidden/>
              </w:rPr>
              <w:fldChar w:fldCharType="begin"/>
            </w:r>
            <w:r w:rsidR="004B5A40">
              <w:rPr>
                <w:noProof/>
                <w:webHidden/>
              </w:rPr>
              <w:instrText xml:space="preserve"> PAGEREF _Toc504733056 \h </w:instrText>
            </w:r>
            <w:r w:rsidR="004B5A40">
              <w:rPr>
                <w:noProof/>
                <w:webHidden/>
              </w:rPr>
            </w:r>
            <w:r w:rsidR="004B5A40">
              <w:rPr>
                <w:noProof/>
                <w:webHidden/>
              </w:rPr>
              <w:fldChar w:fldCharType="separate"/>
            </w:r>
            <w:r w:rsidR="00EE5907">
              <w:rPr>
                <w:noProof/>
                <w:webHidden/>
              </w:rPr>
              <w:t>9</w:t>
            </w:r>
            <w:r w:rsidR="004B5A40">
              <w:rPr>
                <w:noProof/>
                <w:webHidden/>
              </w:rPr>
              <w:fldChar w:fldCharType="end"/>
            </w:r>
          </w:hyperlink>
        </w:p>
        <w:p w:rsidR="004B5A40" w:rsidRDefault="00477EFE">
          <w:pPr>
            <w:pStyle w:val="TOC3"/>
            <w:rPr>
              <w:rFonts w:asciiTheme="minorHAnsi" w:eastAsiaTheme="minorEastAsia" w:hAnsiTheme="minorHAnsi" w:cstheme="minorBidi"/>
              <w:noProof/>
            </w:rPr>
          </w:pPr>
          <w:hyperlink w:anchor="_Toc504733057" w:history="1">
            <w:r w:rsidR="004B5A40" w:rsidRPr="00605018">
              <w:rPr>
                <w:rStyle w:val="Hyperlink"/>
                <w:noProof/>
              </w:rPr>
              <w:t>2.4.7</w:t>
            </w:r>
            <w:r w:rsidR="004B5A40">
              <w:rPr>
                <w:rFonts w:asciiTheme="minorHAnsi" w:eastAsiaTheme="minorEastAsia" w:hAnsiTheme="minorHAnsi" w:cstheme="minorBidi"/>
                <w:noProof/>
              </w:rPr>
              <w:tab/>
            </w:r>
            <w:r w:rsidR="004B5A40" w:rsidRPr="00605018">
              <w:rPr>
                <w:rStyle w:val="Hyperlink"/>
                <w:noProof/>
              </w:rPr>
              <w:t>Staffing</w:t>
            </w:r>
            <w:r w:rsidR="004B5A40">
              <w:rPr>
                <w:noProof/>
                <w:webHidden/>
              </w:rPr>
              <w:tab/>
            </w:r>
            <w:r w:rsidR="004B5A40">
              <w:rPr>
                <w:noProof/>
                <w:webHidden/>
              </w:rPr>
              <w:fldChar w:fldCharType="begin"/>
            </w:r>
            <w:r w:rsidR="004B5A40">
              <w:rPr>
                <w:noProof/>
                <w:webHidden/>
              </w:rPr>
              <w:instrText xml:space="preserve"> PAGEREF _Toc504733057 \h </w:instrText>
            </w:r>
            <w:r w:rsidR="004B5A40">
              <w:rPr>
                <w:noProof/>
                <w:webHidden/>
              </w:rPr>
            </w:r>
            <w:r w:rsidR="004B5A40">
              <w:rPr>
                <w:noProof/>
                <w:webHidden/>
              </w:rPr>
              <w:fldChar w:fldCharType="separate"/>
            </w:r>
            <w:r w:rsidR="00EE5907">
              <w:rPr>
                <w:noProof/>
                <w:webHidden/>
              </w:rPr>
              <w:t>9</w:t>
            </w:r>
            <w:r w:rsidR="004B5A40">
              <w:rPr>
                <w:noProof/>
                <w:webHidden/>
              </w:rPr>
              <w:fldChar w:fldCharType="end"/>
            </w:r>
          </w:hyperlink>
        </w:p>
        <w:p w:rsidR="004B5A40" w:rsidRDefault="00477EFE" w:rsidP="004B5A40">
          <w:pPr>
            <w:pStyle w:val="TOC2"/>
            <w:rPr>
              <w:rFonts w:asciiTheme="minorHAnsi" w:eastAsiaTheme="minorEastAsia" w:hAnsiTheme="minorHAnsi" w:cstheme="minorBidi"/>
            </w:rPr>
          </w:pPr>
          <w:hyperlink w:anchor="_Toc504733058" w:history="1">
            <w:r w:rsidR="004B5A40" w:rsidRPr="00605018">
              <w:rPr>
                <w:rStyle w:val="Hyperlink"/>
                <w:rFonts w:ascii="Arial Bold" w:hAnsi="Arial Bold"/>
              </w:rPr>
              <w:t>2.5</w:t>
            </w:r>
            <w:r w:rsidR="004B5A40">
              <w:rPr>
                <w:rFonts w:asciiTheme="minorHAnsi" w:eastAsiaTheme="minorEastAsia" w:hAnsiTheme="minorHAnsi" w:cstheme="minorBidi"/>
              </w:rPr>
              <w:tab/>
            </w:r>
            <w:r w:rsidR="004B5A40" w:rsidRPr="00605018">
              <w:rPr>
                <w:rStyle w:val="Hyperlink"/>
              </w:rPr>
              <w:t>Bidder Pool</w:t>
            </w:r>
            <w:r w:rsidR="004B5A40">
              <w:rPr>
                <w:webHidden/>
              </w:rPr>
              <w:tab/>
            </w:r>
            <w:r w:rsidR="004B5A40">
              <w:rPr>
                <w:webHidden/>
              </w:rPr>
              <w:fldChar w:fldCharType="begin"/>
            </w:r>
            <w:r w:rsidR="004B5A40">
              <w:rPr>
                <w:webHidden/>
              </w:rPr>
              <w:instrText xml:space="preserve"> PAGEREF _Toc504733058 \h </w:instrText>
            </w:r>
            <w:r w:rsidR="004B5A40">
              <w:rPr>
                <w:webHidden/>
              </w:rPr>
            </w:r>
            <w:r w:rsidR="004B5A40">
              <w:rPr>
                <w:webHidden/>
              </w:rPr>
              <w:fldChar w:fldCharType="separate"/>
            </w:r>
            <w:r w:rsidR="00EE5907">
              <w:rPr>
                <w:webHidden/>
              </w:rPr>
              <w:t>9</w:t>
            </w:r>
            <w:r w:rsidR="004B5A40">
              <w:rPr>
                <w:webHidden/>
              </w:rPr>
              <w:fldChar w:fldCharType="end"/>
            </w:r>
          </w:hyperlink>
        </w:p>
        <w:p w:rsidR="004B5A40" w:rsidRDefault="00477EFE" w:rsidP="004B5A40">
          <w:pPr>
            <w:pStyle w:val="TOC2"/>
            <w:rPr>
              <w:rFonts w:asciiTheme="minorHAnsi" w:eastAsiaTheme="minorEastAsia" w:hAnsiTheme="minorHAnsi" w:cstheme="minorBidi"/>
            </w:rPr>
          </w:pPr>
          <w:hyperlink w:anchor="_Toc504733059" w:history="1">
            <w:r w:rsidR="004B5A40" w:rsidRPr="00605018">
              <w:rPr>
                <w:rStyle w:val="Hyperlink"/>
                <w:rFonts w:ascii="Arial Bold" w:hAnsi="Arial Bold"/>
              </w:rPr>
              <w:t>2.6</w:t>
            </w:r>
            <w:r w:rsidR="004B5A40">
              <w:rPr>
                <w:rFonts w:asciiTheme="minorHAnsi" w:eastAsiaTheme="minorEastAsia" w:hAnsiTheme="minorHAnsi" w:cstheme="minorBidi"/>
              </w:rPr>
              <w:tab/>
            </w:r>
            <w:r w:rsidR="004B5A40" w:rsidRPr="00605018">
              <w:rPr>
                <w:rStyle w:val="Hyperlink"/>
              </w:rPr>
              <w:t>Critical Success Factors (CSFs)</w:t>
            </w:r>
            <w:r w:rsidR="004B5A40">
              <w:rPr>
                <w:webHidden/>
              </w:rPr>
              <w:tab/>
            </w:r>
            <w:r w:rsidR="004B5A40">
              <w:rPr>
                <w:webHidden/>
              </w:rPr>
              <w:fldChar w:fldCharType="begin"/>
            </w:r>
            <w:r w:rsidR="004B5A40">
              <w:rPr>
                <w:webHidden/>
              </w:rPr>
              <w:instrText xml:space="preserve"> PAGEREF _Toc504733059 \h </w:instrText>
            </w:r>
            <w:r w:rsidR="004B5A40">
              <w:rPr>
                <w:webHidden/>
              </w:rPr>
            </w:r>
            <w:r w:rsidR="004B5A40">
              <w:rPr>
                <w:webHidden/>
              </w:rPr>
              <w:fldChar w:fldCharType="separate"/>
            </w:r>
            <w:r w:rsidR="00EE5907">
              <w:rPr>
                <w:webHidden/>
              </w:rPr>
              <w:t>10</w:t>
            </w:r>
            <w:r w:rsidR="004B5A40">
              <w:rPr>
                <w:webHidden/>
              </w:rPr>
              <w:fldChar w:fldCharType="end"/>
            </w:r>
          </w:hyperlink>
        </w:p>
        <w:p w:rsidR="004B5A40" w:rsidRDefault="00477EFE">
          <w:pPr>
            <w:pStyle w:val="TOC1"/>
            <w:rPr>
              <w:rFonts w:asciiTheme="minorHAnsi" w:eastAsiaTheme="minorEastAsia" w:hAnsiTheme="minorHAnsi" w:cstheme="minorBidi"/>
              <w:b w:val="0"/>
              <w:bCs w:val="0"/>
              <w:caps w:val="0"/>
              <w:sz w:val="22"/>
              <w:szCs w:val="22"/>
            </w:rPr>
          </w:pPr>
          <w:hyperlink w:anchor="_Toc504733060" w:history="1">
            <w:r w:rsidR="004B5A40" w:rsidRPr="00605018">
              <w:rPr>
                <w:rStyle w:val="Hyperlink"/>
                <w:rFonts w:ascii="Arial Bold" w:hAnsi="Arial Bold"/>
              </w:rPr>
              <w:t>3</w:t>
            </w:r>
            <w:r w:rsidR="004B5A40">
              <w:rPr>
                <w:rFonts w:asciiTheme="minorHAnsi" w:eastAsiaTheme="minorEastAsia" w:hAnsiTheme="minorHAnsi" w:cstheme="minorBidi"/>
                <w:b w:val="0"/>
                <w:bCs w:val="0"/>
                <w:caps w:val="0"/>
                <w:sz w:val="22"/>
                <w:szCs w:val="22"/>
              </w:rPr>
              <w:tab/>
            </w:r>
            <w:r w:rsidR="004B5A40" w:rsidRPr="00605018">
              <w:rPr>
                <w:rStyle w:val="Hyperlink"/>
              </w:rPr>
              <w:t>COMMERCIAL FRAMEWORK</w:t>
            </w:r>
            <w:r w:rsidR="004B5A40">
              <w:rPr>
                <w:webHidden/>
              </w:rPr>
              <w:tab/>
            </w:r>
            <w:r w:rsidR="004B5A40">
              <w:rPr>
                <w:webHidden/>
              </w:rPr>
              <w:fldChar w:fldCharType="begin"/>
            </w:r>
            <w:r w:rsidR="004B5A40">
              <w:rPr>
                <w:webHidden/>
              </w:rPr>
              <w:instrText xml:space="preserve"> PAGEREF _Toc504733060 \h </w:instrText>
            </w:r>
            <w:r w:rsidR="004B5A40">
              <w:rPr>
                <w:webHidden/>
              </w:rPr>
            </w:r>
            <w:r w:rsidR="004B5A40">
              <w:rPr>
                <w:webHidden/>
              </w:rPr>
              <w:fldChar w:fldCharType="separate"/>
            </w:r>
            <w:r w:rsidR="00EE5907">
              <w:rPr>
                <w:webHidden/>
              </w:rPr>
              <w:t>13</w:t>
            </w:r>
            <w:r w:rsidR="004B5A40">
              <w:rPr>
                <w:webHidden/>
              </w:rPr>
              <w:fldChar w:fldCharType="end"/>
            </w:r>
          </w:hyperlink>
        </w:p>
        <w:p w:rsidR="004B5A40" w:rsidRDefault="00477EFE" w:rsidP="004B5A40">
          <w:pPr>
            <w:pStyle w:val="TOC2"/>
            <w:rPr>
              <w:rFonts w:asciiTheme="minorHAnsi" w:eastAsiaTheme="minorEastAsia" w:hAnsiTheme="minorHAnsi" w:cstheme="minorBidi"/>
            </w:rPr>
          </w:pPr>
          <w:hyperlink w:anchor="_Toc504733061" w:history="1">
            <w:r w:rsidR="004B5A40" w:rsidRPr="00605018">
              <w:rPr>
                <w:rStyle w:val="Hyperlink"/>
                <w:rFonts w:ascii="Arial Bold" w:hAnsi="Arial Bold"/>
              </w:rPr>
              <w:t>3.1</w:t>
            </w:r>
            <w:r w:rsidR="004B5A40">
              <w:rPr>
                <w:rFonts w:asciiTheme="minorHAnsi" w:eastAsiaTheme="minorEastAsia" w:hAnsiTheme="minorHAnsi" w:cstheme="minorBidi"/>
              </w:rPr>
              <w:tab/>
            </w:r>
            <w:r w:rsidR="004B5A40" w:rsidRPr="00605018">
              <w:rPr>
                <w:rStyle w:val="Hyperlink"/>
              </w:rPr>
              <w:t>Contract</w:t>
            </w:r>
            <w:r w:rsidR="004B5A40">
              <w:rPr>
                <w:webHidden/>
              </w:rPr>
              <w:tab/>
            </w:r>
            <w:r w:rsidR="004B5A40">
              <w:rPr>
                <w:webHidden/>
              </w:rPr>
              <w:fldChar w:fldCharType="begin"/>
            </w:r>
            <w:r w:rsidR="004B5A40">
              <w:rPr>
                <w:webHidden/>
              </w:rPr>
              <w:instrText xml:space="preserve"> PAGEREF _Toc504733061 \h </w:instrText>
            </w:r>
            <w:r w:rsidR="004B5A40">
              <w:rPr>
                <w:webHidden/>
              </w:rPr>
            </w:r>
            <w:r w:rsidR="004B5A40">
              <w:rPr>
                <w:webHidden/>
              </w:rPr>
              <w:fldChar w:fldCharType="separate"/>
            </w:r>
            <w:r w:rsidR="00EE5907">
              <w:rPr>
                <w:webHidden/>
              </w:rPr>
              <w:t>13</w:t>
            </w:r>
            <w:r w:rsidR="004B5A40">
              <w:rPr>
                <w:webHidden/>
              </w:rPr>
              <w:fldChar w:fldCharType="end"/>
            </w:r>
          </w:hyperlink>
        </w:p>
        <w:p w:rsidR="004B5A40" w:rsidRDefault="00477EFE" w:rsidP="004B5A40">
          <w:pPr>
            <w:pStyle w:val="TOC2"/>
            <w:rPr>
              <w:rFonts w:asciiTheme="minorHAnsi" w:eastAsiaTheme="minorEastAsia" w:hAnsiTheme="minorHAnsi" w:cstheme="minorBidi"/>
            </w:rPr>
          </w:pPr>
          <w:hyperlink w:anchor="_Toc504733062" w:history="1">
            <w:r w:rsidR="004B5A40" w:rsidRPr="00605018">
              <w:rPr>
                <w:rStyle w:val="Hyperlink"/>
                <w:rFonts w:ascii="Arial Bold" w:hAnsi="Arial Bold"/>
              </w:rPr>
              <w:t>3.2</w:t>
            </w:r>
            <w:r w:rsidR="004B5A40">
              <w:rPr>
                <w:rFonts w:asciiTheme="minorHAnsi" w:eastAsiaTheme="minorEastAsia" w:hAnsiTheme="minorHAnsi" w:cstheme="minorBidi"/>
              </w:rPr>
              <w:tab/>
            </w:r>
            <w:r w:rsidR="004B5A40" w:rsidRPr="00605018">
              <w:rPr>
                <w:rStyle w:val="Hyperlink"/>
              </w:rPr>
              <w:t>Contract Duration</w:t>
            </w:r>
            <w:r w:rsidR="004B5A40">
              <w:rPr>
                <w:webHidden/>
              </w:rPr>
              <w:tab/>
            </w:r>
            <w:r w:rsidR="004B5A40">
              <w:rPr>
                <w:webHidden/>
              </w:rPr>
              <w:fldChar w:fldCharType="begin"/>
            </w:r>
            <w:r w:rsidR="004B5A40">
              <w:rPr>
                <w:webHidden/>
              </w:rPr>
              <w:instrText xml:space="preserve"> PAGEREF _Toc504733062 \h </w:instrText>
            </w:r>
            <w:r w:rsidR="004B5A40">
              <w:rPr>
                <w:webHidden/>
              </w:rPr>
            </w:r>
            <w:r w:rsidR="004B5A40">
              <w:rPr>
                <w:webHidden/>
              </w:rPr>
              <w:fldChar w:fldCharType="separate"/>
            </w:r>
            <w:r w:rsidR="00EE5907">
              <w:rPr>
                <w:webHidden/>
              </w:rPr>
              <w:t>13</w:t>
            </w:r>
            <w:r w:rsidR="004B5A40">
              <w:rPr>
                <w:webHidden/>
              </w:rPr>
              <w:fldChar w:fldCharType="end"/>
            </w:r>
          </w:hyperlink>
        </w:p>
        <w:p w:rsidR="004B5A40" w:rsidRDefault="00477EFE" w:rsidP="004B5A40">
          <w:pPr>
            <w:pStyle w:val="TOC2"/>
            <w:rPr>
              <w:rFonts w:asciiTheme="minorHAnsi" w:eastAsiaTheme="minorEastAsia" w:hAnsiTheme="minorHAnsi" w:cstheme="minorBidi"/>
            </w:rPr>
          </w:pPr>
          <w:hyperlink w:anchor="_Toc504733063" w:history="1">
            <w:r w:rsidR="004B5A40" w:rsidRPr="00605018">
              <w:rPr>
                <w:rStyle w:val="Hyperlink"/>
                <w:rFonts w:ascii="Arial Bold" w:hAnsi="Arial Bold"/>
              </w:rPr>
              <w:t>3.3</w:t>
            </w:r>
            <w:r w:rsidR="004B5A40">
              <w:rPr>
                <w:rFonts w:asciiTheme="minorHAnsi" w:eastAsiaTheme="minorEastAsia" w:hAnsiTheme="minorHAnsi" w:cstheme="minorBidi"/>
              </w:rPr>
              <w:tab/>
            </w:r>
            <w:r w:rsidR="004B5A40" w:rsidRPr="00605018">
              <w:rPr>
                <w:rStyle w:val="Hyperlink"/>
              </w:rPr>
              <w:t>Clinical</w:t>
            </w:r>
            <w:r w:rsidR="004B5A40">
              <w:rPr>
                <w:webHidden/>
              </w:rPr>
              <w:tab/>
            </w:r>
            <w:r w:rsidR="004B5A40">
              <w:rPr>
                <w:webHidden/>
              </w:rPr>
              <w:fldChar w:fldCharType="begin"/>
            </w:r>
            <w:r w:rsidR="004B5A40">
              <w:rPr>
                <w:webHidden/>
              </w:rPr>
              <w:instrText xml:space="preserve"> PAGEREF _Toc504733063 \h </w:instrText>
            </w:r>
            <w:r w:rsidR="004B5A40">
              <w:rPr>
                <w:webHidden/>
              </w:rPr>
            </w:r>
            <w:r w:rsidR="004B5A40">
              <w:rPr>
                <w:webHidden/>
              </w:rPr>
              <w:fldChar w:fldCharType="separate"/>
            </w:r>
            <w:r w:rsidR="00EE5907">
              <w:rPr>
                <w:webHidden/>
              </w:rPr>
              <w:t>13</w:t>
            </w:r>
            <w:r w:rsidR="004B5A40">
              <w:rPr>
                <w:webHidden/>
              </w:rPr>
              <w:fldChar w:fldCharType="end"/>
            </w:r>
          </w:hyperlink>
        </w:p>
        <w:p w:rsidR="004B5A40" w:rsidRDefault="00477EFE" w:rsidP="004B5A40">
          <w:pPr>
            <w:pStyle w:val="TOC2"/>
            <w:rPr>
              <w:rFonts w:asciiTheme="minorHAnsi" w:eastAsiaTheme="minorEastAsia" w:hAnsiTheme="minorHAnsi" w:cstheme="minorBidi"/>
            </w:rPr>
          </w:pPr>
          <w:hyperlink w:anchor="_Toc504733064" w:history="1">
            <w:r w:rsidR="004B5A40" w:rsidRPr="00605018">
              <w:rPr>
                <w:rStyle w:val="Hyperlink"/>
                <w:rFonts w:ascii="Arial Bold" w:hAnsi="Arial Bold"/>
              </w:rPr>
              <w:t>3.4</w:t>
            </w:r>
            <w:r w:rsidR="004B5A40">
              <w:rPr>
                <w:rFonts w:asciiTheme="minorHAnsi" w:eastAsiaTheme="minorEastAsia" w:hAnsiTheme="minorHAnsi" w:cstheme="minorBidi"/>
              </w:rPr>
              <w:tab/>
            </w:r>
            <w:r w:rsidR="004B5A40" w:rsidRPr="00605018">
              <w:rPr>
                <w:rStyle w:val="Hyperlink"/>
              </w:rPr>
              <w:t>Workforce</w:t>
            </w:r>
            <w:r w:rsidR="004B5A40">
              <w:rPr>
                <w:webHidden/>
              </w:rPr>
              <w:tab/>
            </w:r>
            <w:r w:rsidR="004B5A40">
              <w:rPr>
                <w:webHidden/>
              </w:rPr>
              <w:fldChar w:fldCharType="begin"/>
            </w:r>
            <w:r w:rsidR="004B5A40">
              <w:rPr>
                <w:webHidden/>
              </w:rPr>
              <w:instrText xml:space="preserve"> PAGEREF _Toc504733064 \h </w:instrText>
            </w:r>
            <w:r w:rsidR="004B5A40">
              <w:rPr>
                <w:webHidden/>
              </w:rPr>
            </w:r>
            <w:r w:rsidR="004B5A40">
              <w:rPr>
                <w:webHidden/>
              </w:rPr>
              <w:fldChar w:fldCharType="separate"/>
            </w:r>
            <w:r w:rsidR="00EE5907">
              <w:rPr>
                <w:webHidden/>
              </w:rPr>
              <w:t>13</w:t>
            </w:r>
            <w:r w:rsidR="004B5A40">
              <w:rPr>
                <w:webHidden/>
              </w:rPr>
              <w:fldChar w:fldCharType="end"/>
            </w:r>
          </w:hyperlink>
        </w:p>
        <w:p w:rsidR="004B5A40" w:rsidRDefault="00477EFE" w:rsidP="00EE5907">
          <w:pPr>
            <w:pStyle w:val="TOC3"/>
            <w:rPr>
              <w:rFonts w:asciiTheme="minorHAnsi" w:eastAsiaTheme="minorEastAsia" w:hAnsiTheme="minorHAnsi" w:cstheme="minorBidi"/>
              <w:noProof/>
            </w:rPr>
          </w:pPr>
          <w:hyperlink w:anchor="_Toc504733065" w:history="1">
            <w:r w:rsidR="004B5A40">
              <w:rPr>
                <w:rStyle w:val="Hyperlink"/>
                <w:noProof/>
              </w:rPr>
              <w:t>3</w:t>
            </w:r>
            <w:r w:rsidR="004B5A40" w:rsidRPr="00605018">
              <w:rPr>
                <w:rStyle w:val="Hyperlink"/>
                <w:noProof/>
              </w:rPr>
              <w:t>.4.1  Policies and Strategies</w:t>
            </w:r>
            <w:r w:rsidR="004B5A40">
              <w:rPr>
                <w:noProof/>
                <w:webHidden/>
              </w:rPr>
              <w:tab/>
            </w:r>
            <w:r w:rsidR="004B5A40">
              <w:rPr>
                <w:noProof/>
                <w:webHidden/>
              </w:rPr>
              <w:fldChar w:fldCharType="begin"/>
            </w:r>
            <w:r w:rsidR="004B5A40">
              <w:rPr>
                <w:noProof/>
                <w:webHidden/>
              </w:rPr>
              <w:instrText xml:space="preserve"> PAGEREF _Toc504733065 \h </w:instrText>
            </w:r>
            <w:r w:rsidR="004B5A40">
              <w:rPr>
                <w:noProof/>
                <w:webHidden/>
              </w:rPr>
            </w:r>
            <w:r w:rsidR="004B5A40">
              <w:rPr>
                <w:noProof/>
                <w:webHidden/>
              </w:rPr>
              <w:fldChar w:fldCharType="separate"/>
            </w:r>
            <w:r w:rsidR="00EE5907">
              <w:rPr>
                <w:noProof/>
                <w:webHidden/>
              </w:rPr>
              <w:t>13</w:t>
            </w:r>
            <w:r w:rsidR="004B5A40">
              <w:rPr>
                <w:noProof/>
                <w:webHidden/>
              </w:rPr>
              <w:fldChar w:fldCharType="end"/>
            </w:r>
          </w:hyperlink>
        </w:p>
        <w:p w:rsidR="004B5A40" w:rsidRDefault="00477EFE">
          <w:pPr>
            <w:pStyle w:val="TOC3"/>
            <w:rPr>
              <w:rFonts w:asciiTheme="minorHAnsi" w:eastAsiaTheme="minorEastAsia" w:hAnsiTheme="minorHAnsi" w:cstheme="minorBidi"/>
              <w:noProof/>
            </w:rPr>
          </w:pPr>
          <w:hyperlink w:anchor="_Toc504733066" w:history="1">
            <w:r w:rsidR="004B5A40">
              <w:rPr>
                <w:rStyle w:val="Hyperlink"/>
                <w:noProof/>
              </w:rPr>
              <w:t>3</w:t>
            </w:r>
            <w:r w:rsidR="004B5A40" w:rsidRPr="00605018">
              <w:rPr>
                <w:rStyle w:val="Hyperlink"/>
                <w:noProof/>
              </w:rPr>
              <w:t>.4.2</w:t>
            </w:r>
            <w:r w:rsidR="004B5A40">
              <w:rPr>
                <w:rFonts w:asciiTheme="minorHAnsi" w:eastAsiaTheme="minorEastAsia" w:hAnsiTheme="minorHAnsi" w:cstheme="minorBidi"/>
                <w:noProof/>
              </w:rPr>
              <w:tab/>
            </w:r>
            <w:r w:rsidR="004B5A40" w:rsidRPr="00605018">
              <w:rPr>
                <w:rStyle w:val="Hyperlink"/>
                <w:noProof/>
              </w:rPr>
              <w:t>Pensions</w:t>
            </w:r>
            <w:r w:rsidR="004B5A40">
              <w:rPr>
                <w:noProof/>
                <w:webHidden/>
              </w:rPr>
              <w:tab/>
            </w:r>
            <w:r w:rsidR="004B5A40">
              <w:rPr>
                <w:noProof/>
                <w:webHidden/>
              </w:rPr>
              <w:fldChar w:fldCharType="begin"/>
            </w:r>
            <w:r w:rsidR="004B5A40">
              <w:rPr>
                <w:noProof/>
                <w:webHidden/>
              </w:rPr>
              <w:instrText xml:space="preserve"> PAGEREF _Toc504733066 \h </w:instrText>
            </w:r>
            <w:r w:rsidR="004B5A40">
              <w:rPr>
                <w:noProof/>
                <w:webHidden/>
              </w:rPr>
            </w:r>
            <w:r w:rsidR="004B5A40">
              <w:rPr>
                <w:noProof/>
                <w:webHidden/>
              </w:rPr>
              <w:fldChar w:fldCharType="separate"/>
            </w:r>
            <w:r w:rsidR="00EE5907">
              <w:rPr>
                <w:noProof/>
                <w:webHidden/>
              </w:rPr>
              <w:t>14</w:t>
            </w:r>
            <w:r w:rsidR="004B5A40">
              <w:rPr>
                <w:noProof/>
                <w:webHidden/>
              </w:rPr>
              <w:fldChar w:fldCharType="end"/>
            </w:r>
          </w:hyperlink>
        </w:p>
        <w:p w:rsidR="004B5A40" w:rsidRDefault="004B5A40" w:rsidP="00EE5907">
          <w:pPr>
            <w:pStyle w:val="TOC3"/>
            <w:rPr>
              <w:rFonts w:asciiTheme="minorHAnsi" w:eastAsiaTheme="minorEastAsia" w:hAnsiTheme="minorHAnsi" w:cstheme="minorBidi"/>
              <w:noProof/>
            </w:rPr>
          </w:pPr>
          <w:r w:rsidRPr="004B5A40">
            <w:rPr>
              <w:rStyle w:val="Hyperlink"/>
              <w:noProof/>
            </w:rPr>
            <w:t>3.4.3  TUPE</w:t>
          </w:r>
          <w:r>
            <w:rPr>
              <w:noProof/>
              <w:webHidden/>
            </w:rPr>
            <w:tab/>
          </w:r>
          <w:r>
            <w:rPr>
              <w:noProof/>
              <w:webHidden/>
            </w:rPr>
            <w:fldChar w:fldCharType="begin"/>
          </w:r>
          <w:r>
            <w:rPr>
              <w:noProof/>
              <w:webHidden/>
            </w:rPr>
            <w:instrText xml:space="preserve"> PAGEREF _Toc504733067 \h </w:instrText>
          </w:r>
          <w:r>
            <w:rPr>
              <w:noProof/>
              <w:webHidden/>
            </w:rPr>
          </w:r>
          <w:r>
            <w:rPr>
              <w:noProof/>
              <w:webHidden/>
            </w:rPr>
            <w:fldChar w:fldCharType="separate"/>
          </w:r>
          <w:r w:rsidR="00EE5907">
            <w:rPr>
              <w:noProof/>
              <w:webHidden/>
            </w:rPr>
            <w:t>14</w:t>
          </w:r>
          <w:r>
            <w:rPr>
              <w:noProof/>
              <w:webHidden/>
            </w:rPr>
            <w:fldChar w:fldCharType="end"/>
          </w:r>
        </w:p>
        <w:p w:rsidR="004B5A40" w:rsidRDefault="00477EFE" w:rsidP="004B5A40">
          <w:pPr>
            <w:pStyle w:val="TOC2"/>
            <w:rPr>
              <w:rFonts w:asciiTheme="minorHAnsi" w:eastAsiaTheme="minorEastAsia" w:hAnsiTheme="minorHAnsi" w:cstheme="minorBidi"/>
            </w:rPr>
          </w:pPr>
          <w:hyperlink w:anchor="_Toc504733068" w:history="1">
            <w:r w:rsidR="004B5A40" w:rsidRPr="00605018">
              <w:rPr>
                <w:rStyle w:val="Hyperlink"/>
                <w:rFonts w:ascii="Arial Bold" w:hAnsi="Arial Bold"/>
              </w:rPr>
              <w:t>3.5</w:t>
            </w:r>
            <w:r w:rsidR="004B5A40">
              <w:rPr>
                <w:rFonts w:asciiTheme="minorHAnsi" w:eastAsiaTheme="minorEastAsia" w:hAnsiTheme="minorHAnsi" w:cstheme="minorBidi"/>
              </w:rPr>
              <w:tab/>
            </w:r>
            <w:r w:rsidR="004B5A40" w:rsidRPr="00605018">
              <w:rPr>
                <w:rStyle w:val="Hyperlink"/>
              </w:rPr>
              <w:t>Premises, Facilities Management &amp; Equipment</w:t>
            </w:r>
            <w:r w:rsidR="004B5A40">
              <w:rPr>
                <w:webHidden/>
              </w:rPr>
              <w:tab/>
            </w:r>
            <w:r w:rsidR="004B5A40">
              <w:rPr>
                <w:webHidden/>
              </w:rPr>
              <w:fldChar w:fldCharType="begin"/>
            </w:r>
            <w:r w:rsidR="004B5A40">
              <w:rPr>
                <w:webHidden/>
              </w:rPr>
              <w:instrText xml:space="preserve"> PAGEREF _Toc504733068 \h </w:instrText>
            </w:r>
            <w:r w:rsidR="004B5A40">
              <w:rPr>
                <w:webHidden/>
              </w:rPr>
            </w:r>
            <w:r w:rsidR="004B5A40">
              <w:rPr>
                <w:webHidden/>
              </w:rPr>
              <w:fldChar w:fldCharType="separate"/>
            </w:r>
            <w:r w:rsidR="00EE5907">
              <w:rPr>
                <w:webHidden/>
              </w:rPr>
              <w:t>14</w:t>
            </w:r>
            <w:r w:rsidR="004B5A40">
              <w:rPr>
                <w:webHidden/>
              </w:rPr>
              <w:fldChar w:fldCharType="end"/>
            </w:r>
          </w:hyperlink>
        </w:p>
        <w:p w:rsidR="004B5A40" w:rsidRDefault="00477EFE" w:rsidP="00EE5907">
          <w:pPr>
            <w:pStyle w:val="TOC3"/>
            <w:rPr>
              <w:rFonts w:asciiTheme="minorHAnsi" w:eastAsiaTheme="minorEastAsia" w:hAnsiTheme="minorHAnsi" w:cstheme="minorBidi"/>
              <w:noProof/>
            </w:rPr>
          </w:pPr>
          <w:hyperlink w:anchor="_Toc504733069" w:history="1">
            <w:r w:rsidR="0000458B">
              <w:rPr>
                <w:rStyle w:val="Hyperlink"/>
                <w:noProof/>
              </w:rPr>
              <w:t>3</w:t>
            </w:r>
            <w:r w:rsidR="004B5A40" w:rsidRPr="00605018">
              <w:rPr>
                <w:rStyle w:val="Hyperlink"/>
                <w:noProof/>
              </w:rPr>
              <w:t>.5.1  Premises</w:t>
            </w:r>
            <w:r w:rsidR="004B5A40">
              <w:rPr>
                <w:noProof/>
                <w:webHidden/>
              </w:rPr>
              <w:tab/>
            </w:r>
            <w:r w:rsidR="004B5A40">
              <w:rPr>
                <w:noProof/>
                <w:webHidden/>
              </w:rPr>
              <w:fldChar w:fldCharType="begin"/>
            </w:r>
            <w:r w:rsidR="004B5A40">
              <w:rPr>
                <w:noProof/>
                <w:webHidden/>
              </w:rPr>
              <w:instrText xml:space="preserve"> PAGEREF _Toc504733069 \h </w:instrText>
            </w:r>
            <w:r w:rsidR="004B5A40">
              <w:rPr>
                <w:noProof/>
                <w:webHidden/>
              </w:rPr>
            </w:r>
            <w:r w:rsidR="004B5A40">
              <w:rPr>
                <w:noProof/>
                <w:webHidden/>
              </w:rPr>
              <w:fldChar w:fldCharType="separate"/>
            </w:r>
            <w:r w:rsidR="00EE5907">
              <w:rPr>
                <w:noProof/>
                <w:webHidden/>
              </w:rPr>
              <w:t>14</w:t>
            </w:r>
            <w:r w:rsidR="004B5A40">
              <w:rPr>
                <w:noProof/>
                <w:webHidden/>
              </w:rPr>
              <w:fldChar w:fldCharType="end"/>
            </w:r>
          </w:hyperlink>
        </w:p>
        <w:p w:rsidR="004B5A40" w:rsidRDefault="00477EFE" w:rsidP="00EE5907">
          <w:pPr>
            <w:pStyle w:val="TOC3"/>
            <w:rPr>
              <w:rFonts w:asciiTheme="minorHAnsi" w:eastAsiaTheme="minorEastAsia" w:hAnsiTheme="minorHAnsi" w:cstheme="minorBidi"/>
              <w:noProof/>
            </w:rPr>
          </w:pPr>
          <w:hyperlink w:anchor="_Toc504733070" w:history="1">
            <w:r w:rsidR="0000458B">
              <w:rPr>
                <w:rStyle w:val="Hyperlink"/>
                <w:noProof/>
              </w:rPr>
              <w:t>3</w:t>
            </w:r>
            <w:r w:rsidR="004B5A40" w:rsidRPr="00605018">
              <w:rPr>
                <w:rStyle w:val="Hyperlink"/>
                <w:noProof/>
              </w:rPr>
              <w:t>.5.2  Equipment</w:t>
            </w:r>
            <w:r w:rsidR="004B5A40">
              <w:rPr>
                <w:noProof/>
                <w:webHidden/>
              </w:rPr>
              <w:tab/>
            </w:r>
            <w:r w:rsidR="004B5A40">
              <w:rPr>
                <w:noProof/>
                <w:webHidden/>
              </w:rPr>
              <w:fldChar w:fldCharType="begin"/>
            </w:r>
            <w:r w:rsidR="004B5A40">
              <w:rPr>
                <w:noProof/>
                <w:webHidden/>
              </w:rPr>
              <w:instrText xml:space="preserve"> PAGEREF _Toc504733070 \h </w:instrText>
            </w:r>
            <w:r w:rsidR="004B5A40">
              <w:rPr>
                <w:noProof/>
                <w:webHidden/>
              </w:rPr>
            </w:r>
            <w:r w:rsidR="004B5A40">
              <w:rPr>
                <w:noProof/>
                <w:webHidden/>
              </w:rPr>
              <w:fldChar w:fldCharType="separate"/>
            </w:r>
            <w:r w:rsidR="00EE5907">
              <w:rPr>
                <w:noProof/>
                <w:webHidden/>
              </w:rPr>
              <w:t>14</w:t>
            </w:r>
            <w:r w:rsidR="004B5A40">
              <w:rPr>
                <w:noProof/>
                <w:webHidden/>
              </w:rPr>
              <w:fldChar w:fldCharType="end"/>
            </w:r>
          </w:hyperlink>
        </w:p>
        <w:p w:rsidR="004B5A40" w:rsidRDefault="00477EFE" w:rsidP="004B5A40">
          <w:pPr>
            <w:pStyle w:val="TOC2"/>
            <w:rPr>
              <w:rFonts w:asciiTheme="minorHAnsi" w:eastAsiaTheme="minorEastAsia" w:hAnsiTheme="minorHAnsi" w:cstheme="minorBidi"/>
            </w:rPr>
          </w:pPr>
          <w:hyperlink w:anchor="_Toc504733071" w:history="1">
            <w:r w:rsidR="004B5A40" w:rsidRPr="00605018">
              <w:rPr>
                <w:rStyle w:val="Hyperlink"/>
                <w:rFonts w:ascii="Arial Bold" w:hAnsi="Arial Bold"/>
              </w:rPr>
              <w:t>3.6</w:t>
            </w:r>
            <w:r w:rsidR="004B5A40">
              <w:rPr>
                <w:rFonts w:asciiTheme="minorHAnsi" w:eastAsiaTheme="minorEastAsia" w:hAnsiTheme="minorHAnsi" w:cstheme="minorBidi"/>
              </w:rPr>
              <w:tab/>
            </w:r>
            <w:r w:rsidR="004B5A40" w:rsidRPr="00605018">
              <w:rPr>
                <w:rStyle w:val="Hyperlink"/>
              </w:rPr>
              <w:t>Information, Management &amp; Technology (IM&amp;T)</w:t>
            </w:r>
            <w:r w:rsidR="004B5A40">
              <w:rPr>
                <w:webHidden/>
              </w:rPr>
              <w:tab/>
            </w:r>
            <w:r w:rsidR="004B5A40">
              <w:rPr>
                <w:webHidden/>
              </w:rPr>
              <w:fldChar w:fldCharType="begin"/>
            </w:r>
            <w:r w:rsidR="004B5A40">
              <w:rPr>
                <w:webHidden/>
              </w:rPr>
              <w:instrText xml:space="preserve"> PAGEREF _Toc504733071 \h </w:instrText>
            </w:r>
            <w:r w:rsidR="004B5A40">
              <w:rPr>
                <w:webHidden/>
              </w:rPr>
            </w:r>
            <w:r w:rsidR="004B5A40">
              <w:rPr>
                <w:webHidden/>
              </w:rPr>
              <w:fldChar w:fldCharType="separate"/>
            </w:r>
            <w:r w:rsidR="00EE5907">
              <w:rPr>
                <w:webHidden/>
              </w:rPr>
              <w:t>14</w:t>
            </w:r>
            <w:r w:rsidR="004B5A40">
              <w:rPr>
                <w:webHidden/>
              </w:rPr>
              <w:fldChar w:fldCharType="end"/>
            </w:r>
          </w:hyperlink>
        </w:p>
        <w:p w:rsidR="004B5A40" w:rsidRDefault="00477EFE" w:rsidP="004B5A40">
          <w:pPr>
            <w:pStyle w:val="TOC2"/>
            <w:rPr>
              <w:rFonts w:asciiTheme="minorHAnsi" w:eastAsiaTheme="minorEastAsia" w:hAnsiTheme="minorHAnsi" w:cstheme="minorBidi"/>
            </w:rPr>
          </w:pPr>
          <w:hyperlink w:anchor="_Toc504733072" w:history="1">
            <w:r w:rsidR="004B5A40" w:rsidRPr="00605018">
              <w:rPr>
                <w:rStyle w:val="Hyperlink"/>
                <w:rFonts w:ascii="Arial Bold" w:hAnsi="Arial Bold"/>
              </w:rPr>
              <w:t>3.7</w:t>
            </w:r>
            <w:r w:rsidR="004B5A40">
              <w:rPr>
                <w:rFonts w:asciiTheme="minorHAnsi" w:eastAsiaTheme="minorEastAsia" w:hAnsiTheme="minorHAnsi" w:cstheme="minorBidi"/>
              </w:rPr>
              <w:tab/>
            </w:r>
            <w:r w:rsidR="004B5A40" w:rsidRPr="00605018">
              <w:rPr>
                <w:rStyle w:val="Hyperlink"/>
              </w:rPr>
              <w:t>Payment Mechanism</w:t>
            </w:r>
            <w:r w:rsidR="004B5A40">
              <w:rPr>
                <w:webHidden/>
              </w:rPr>
              <w:tab/>
            </w:r>
            <w:r w:rsidR="004B5A40">
              <w:rPr>
                <w:webHidden/>
              </w:rPr>
              <w:fldChar w:fldCharType="begin"/>
            </w:r>
            <w:r w:rsidR="004B5A40">
              <w:rPr>
                <w:webHidden/>
              </w:rPr>
              <w:instrText xml:space="preserve"> PAGEREF _Toc504733072 \h </w:instrText>
            </w:r>
            <w:r w:rsidR="004B5A40">
              <w:rPr>
                <w:webHidden/>
              </w:rPr>
            </w:r>
            <w:r w:rsidR="004B5A40">
              <w:rPr>
                <w:webHidden/>
              </w:rPr>
              <w:fldChar w:fldCharType="separate"/>
            </w:r>
            <w:r w:rsidR="00EE5907">
              <w:rPr>
                <w:webHidden/>
              </w:rPr>
              <w:t>15</w:t>
            </w:r>
            <w:r w:rsidR="004B5A40">
              <w:rPr>
                <w:webHidden/>
              </w:rPr>
              <w:fldChar w:fldCharType="end"/>
            </w:r>
          </w:hyperlink>
        </w:p>
        <w:p w:rsidR="004B5A40" w:rsidRDefault="00477EFE" w:rsidP="004B5A40">
          <w:pPr>
            <w:pStyle w:val="TOC2"/>
            <w:rPr>
              <w:rFonts w:asciiTheme="minorHAnsi" w:eastAsiaTheme="minorEastAsia" w:hAnsiTheme="minorHAnsi" w:cstheme="minorBidi"/>
            </w:rPr>
          </w:pPr>
          <w:hyperlink w:anchor="_Toc504733073" w:history="1">
            <w:r w:rsidR="004B5A40" w:rsidRPr="00605018">
              <w:rPr>
                <w:rStyle w:val="Hyperlink"/>
                <w:rFonts w:ascii="Arial Bold" w:hAnsi="Arial Bold"/>
              </w:rPr>
              <w:t>3.8</w:t>
            </w:r>
            <w:r w:rsidR="004B5A40">
              <w:rPr>
                <w:rFonts w:asciiTheme="minorHAnsi" w:eastAsiaTheme="minorEastAsia" w:hAnsiTheme="minorHAnsi" w:cstheme="minorBidi"/>
              </w:rPr>
              <w:tab/>
            </w:r>
            <w:r w:rsidR="004B5A40" w:rsidRPr="00605018">
              <w:rPr>
                <w:rStyle w:val="Hyperlink"/>
              </w:rPr>
              <w:t>Financial Standing</w:t>
            </w:r>
            <w:r w:rsidR="004B5A40">
              <w:rPr>
                <w:webHidden/>
              </w:rPr>
              <w:tab/>
            </w:r>
            <w:r w:rsidR="004B5A40">
              <w:rPr>
                <w:webHidden/>
              </w:rPr>
              <w:fldChar w:fldCharType="begin"/>
            </w:r>
            <w:r w:rsidR="004B5A40">
              <w:rPr>
                <w:webHidden/>
              </w:rPr>
              <w:instrText xml:space="preserve"> PAGEREF _Toc504733073 \h </w:instrText>
            </w:r>
            <w:r w:rsidR="004B5A40">
              <w:rPr>
                <w:webHidden/>
              </w:rPr>
            </w:r>
            <w:r w:rsidR="004B5A40">
              <w:rPr>
                <w:webHidden/>
              </w:rPr>
              <w:fldChar w:fldCharType="separate"/>
            </w:r>
            <w:r w:rsidR="00EE5907">
              <w:rPr>
                <w:webHidden/>
              </w:rPr>
              <w:t>15</w:t>
            </w:r>
            <w:r w:rsidR="004B5A40">
              <w:rPr>
                <w:webHidden/>
              </w:rPr>
              <w:fldChar w:fldCharType="end"/>
            </w:r>
          </w:hyperlink>
        </w:p>
        <w:p w:rsidR="004B5A40" w:rsidRDefault="00477EFE" w:rsidP="004B5A40">
          <w:pPr>
            <w:pStyle w:val="TOC2"/>
            <w:rPr>
              <w:rFonts w:asciiTheme="minorHAnsi" w:eastAsiaTheme="minorEastAsia" w:hAnsiTheme="minorHAnsi" w:cstheme="minorBidi"/>
            </w:rPr>
          </w:pPr>
          <w:hyperlink w:anchor="_Toc504733074" w:history="1">
            <w:r w:rsidR="004B5A40" w:rsidRPr="00605018">
              <w:rPr>
                <w:rStyle w:val="Hyperlink"/>
                <w:rFonts w:ascii="Arial Bold" w:hAnsi="Arial Bold"/>
              </w:rPr>
              <w:t>3.9</w:t>
            </w:r>
            <w:r w:rsidR="004B5A40">
              <w:rPr>
                <w:rFonts w:asciiTheme="minorHAnsi" w:eastAsiaTheme="minorEastAsia" w:hAnsiTheme="minorHAnsi" w:cstheme="minorBidi"/>
              </w:rPr>
              <w:tab/>
            </w:r>
            <w:r w:rsidR="004B5A40" w:rsidRPr="00605018">
              <w:rPr>
                <w:rStyle w:val="Hyperlink"/>
              </w:rPr>
              <w:t>Performance Security</w:t>
            </w:r>
            <w:r w:rsidR="004B5A40">
              <w:rPr>
                <w:webHidden/>
              </w:rPr>
              <w:tab/>
            </w:r>
            <w:r w:rsidR="004B5A40">
              <w:rPr>
                <w:webHidden/>
              </w:rPr>
              <w:fldChar w:fldCharType="begin"/>
            </w:r>
            <w:r w:rsidR="004B5A40">
              <w:rPr>
                <w:webHidden/>
              </w:rPr>
              <w:instrText xml:space="preserve"> PAGEREF _Toc504733074 \h </w:instrText>
            </w:r>
            <w:r w:rsidR="004B5A40">
              <w:rPr>
                <w:webHidden/>
              </w:rPr>
            </w:r>
            <w:r w:rsidR="004B5A40">
              <w:rPr>
                <w:webHidden/>
              </w:rPr>
              <w:fldChar w:fldCharType="separate"/>
            </w:r>
            <w:r w:rsidR="00EE5907">
              <w:rPr>
                <w:webHidden/>
              </w:rPr>
              <w:t>15</w:t>
            </w:r>
            <w:r w:rsidR="004B5A40">
              <w:rPr>
                <w:webHidden/>
              </w:rPr>
              <w:fldChar w:fldCharType="end"/>
            </w:r>
          </w:hyperlink>
        </w:p>
        <w:p w:rsidR="004B5A40" w:rsidRDefault="00477EFE" w:rsidP="004B5A40">
          <w:pPr>
            <w:pStyle w:val="TOC2"/>
            <w:rPr>
              <w:rFonts w:asciiTheme="minorHAnsi" w:eastAsiaTheme="minorEastAsia" w:hAnsiTheme="minorHAnsi" w:cstheme="minorBidi"/>
            </w:rPr>
          </w:pPr>
          <w:hyperlink w:anchor="_Toc504733075" w:history="1">
            <w:r w:rsidR="004B5A40" w:rsidRPr="00605018">
              <w:rPr>
                <w:rStyle w:val="Hyperlink"/>
                <w:rFonts w:ascii="Arial Bold" w:hAnsi="Arial Bold"/>
              </w:rPr>
              <w:t>3.10</w:t>
            </w:r>
            <w:r w:rsidR="004B5A40">
              <w:rPr>
                <w:rFonts w:asciiTheme="minorHAnsi" w:eastAsiaTheme="minorEastAsia" w:hAnsiTheme="minorHAnsi" w:cstheme="minorBidi"/>
              </w:rPr>
              <w:tab/>
            </w:r>
            <w:r w:rsidR="004B5A40" w:rsidRPr="00605018">
              <w:rPr>
                <w:rStyle w:val="Hyperlink"/>
              </w:rPr>
              <w:t>Insurance</w:t>
            </w:r>
            <w:r w:rsidR="004B5A40">
              <w:rPr>
                <w:webHidden/>
              </w:rPr>
              <w:tab/>
            </w:r>
            <w:r w:rsidR="004B5A40">
              <w:rPr>
                <w:webHidden/>
              </w:rPr>
              <w:fldChar w:fldCharType="begin"/>
            </w:r>
            <w:r w:rsidR="004B5A40">
              <w:rPr>
                <w:webHidden/>
              </w:rPr>
              <w:instrText xml:space="preserve"> PAGEREF _Toc504733075 \h </w:instrText>
            </w:r>
            <w:r w:rsidR="004B5A40">
              <w:rPr>
                <w:webHidden/>
              </w:rPr>
            </w:r>
            <w:r w:rsidR="004B5A40">
              <w:rPr>
                <w:webHidden/>
              </w:rPr>
              <w:fldChar w:fldCharType="separate"/>
            </w:r>
            <w:r w:rsidR="00EE5907">
              <w:rPr>
                <w:webHidden/>
              </w:rPr>
              <w:t>15</w:t>
            </w:r>
            <w:r w:rsidR="004B5A40">
              <w:rPr>
                <w:webHidden/>
              </w:rPr>
              <w:fldChar w:fldCharType="end"/>
            </w:r>
          </w:hyperlink>
        </w:p>
        <w:p w:rsidR="004B5A40" w:rsidRDefault="00477EFE">
          <w:pPr>
            <w:pStyle w:val="TOC1"/>
            <w:rPr>
              <w:rFonts w:asciiTheme="minorHAnsi" w:eastAsiaTheme="minorEastAsia" w:hAnsiTheme="minorHAnsi" w:cstheme="minorBidi"/>
              <w:b w:val="0"/>
              <w:bCs w:val="0"/>
              <w:caps w:val="0"/>
              <w:sz w:val="22"/>
              <w:szCs w:val="22"/>
            </w:rPr>
          </w:pPr>
          <w:hyperlink w:anchor="_Toc504733076" w:history="1">
            <w:r w:rsidR="004B5A40" w:rsidRPr="00605018">
              <w:rPr>
                <w:rStyle w:val="Hyperlink"/>
                <w:rFonts w:ascii="Arial Bold" w:hAnsi="Arial Bold"/>
              </w:rPr>
              <w:t>4</w:t>
            </w:r>
            <w:r w:rsidR="004B5A40">
              <w:rPr>
                <w:rFonts w:asciiTheme="minorHAnsi" w:eastAsiaTheme="minorEastAsia" w:hAnsiTheme="minorHAnsi" w:cstheme="minorBidi"/>
                <w:b w:val="0"/>
                <w:bCs w:val="0"/>
                <w:caps w:val="0"/>
                <w:sz w:val="22"/>
                <w:szCs w:val="22"/>
              </w:rPr>
              <w:tab/>
            </w:r>
            <w:r w:rsidR="004B5A40" w:rsidRPr="00605018">
              <w:rPr>
                <w:rStyle w:val="Hyperlink"/>
              </w:rPr>
              <w:t>GOVERNANCE AND ADMINISTRATION</w:t>
            </w:r>
            <w:r w:rsidR="004B5A40">
              <w:rPr>
                <w:webHidden/>
              </w:rPr>
              <w:tab/>
            </w:r>
            <w:r w:rsidR="004B5A40">
              <w:rPr>
                <w:webHidden/>
              </w:rPr>
              <w:fldChar w:fldCharType="begin"/>
            </w:r>
            <w:r w:rsidR="004B5A40">
              <w:rPr>
                <w:webHidden/>
              </w:rPr>
              <w:instrText xml:space="preserve"> PAGEREF _Toc504733076 \h </w:instrText>
            </w:r>
            <w:r w:rsidR="004B5A40">
              <w:rPr>
                <w:webHidden/>
              </w:rPr>
            </w:r>
            <w:r w:rsidR="004B5A40">
              <w:rPr>
                <w:webHidden/>
              </w:rPr>
              <w:fldChar w:fldCharType="separate"/>
            </w:r>
            <w:r w:rsidR="00EE5907">
              <w:rPr>
                <w:webHidden/>
              </w:rPr>
              <w:t>16</w:t>
            </w:r>
            <w:r w:rsidR="004B5A40">
              <w:rPr>
                <w:webHidden/>
              </w:rPr>
              <w:fldChar w:fldCharType="end"/>
            </w:r>
          </w:hyperlink>
        </w:p>
        <w:p w:rsidR="004B5A40" w:rsidRDefault="00477EFE" w:rsidP="00EE5907">
          <w:pPr>
            <w:pStyle w:val="TOC3"/>
            <w:rPr>
              <w:rFonts w:asciiTheme="minorHAnsi" w:eastAsiaTheme="minorEastAsia" w:hAnsiTheme="minorHAnsi" w:cstheme="minorBidi"/>
              <w:noProof/>
            </w:rPr>
          </w:pPr>
          <w:hyperlink w:anchor="_Toc504733077" w:history="1">
            <w:r w:rsidR="004B5A40" w:rsidRPr="00605018">
              <w:rPr>
                <w:rStyle w:val="Hyperlink"/>
                <w:noProof/>
              </w:rPr>
              <w:t>Disclaimer</w:t>
            </w:r>
            <w:r w:rsidR="004B5A40">
              <w:rPr>
                <w:noProof/>
                <w:webHidden/>
              </w:rPr>
              <w:tab/>
            </w:r>
            <w:r w:rsidR="004B5A40">
              <w:rPr>
                <w:noProof/>
                <w:webHidden/>
              </w:rPr>
              <w:fldChar w:fldCharType="begin"/>
            </w:r>
            <w:r w:rsidR="004B5A40">
              <w:rPr>
                <w:noProof/>
                <w:webHidden/>
              </w:rPr>
              <w:instrText xml:space="preserve"> PAGEREF _Toc504733077 \h </w:instrText>
            </w:r>
            <w:r w:rsidR="004B5A40">
              <w:rPr>
                <w:noProof/>
                <w:webHidden/>
              </w:rPr>
            </w:r>
            <w:r w:rsidR="004B5A40">
              <w:rPr>
                <w:noProof/>
                <w:webHidden/>
              </w:rPr>
              <w:fldChar w:fldCharType="separate"/>
            </w:r>
            <w:r w:rsidR="00EE5907">
              <w:rPr>
                <w:noProof/>
                <w:webHidden/>
              </w:rPr>
              <w:t>16</w:t>
            </w:r>
            <w:r w:rsidR="004B5A40">
              <w:rPr>
                <w:noProof/>
                <w:webHidden/>
              </w:rPr>
              <w:fldChar w:fldCharType="end"/>
            </w:r>
          </w:hyperlink>
        </w:p>
        <w:p w:rsidR="004B5A40" w:rsidRDefault="00477EFE">
          <w:pPr>
            <w:pStyle w:val="TOC1"/>
            <w:rPr>
              <w:rFonts w:asciiTheme="minorHAnsi" w:eastAsiaTheme="minorEastAsia" w:hAnsiTheme="minorHAnsi" w:cstheme="minorBidi"/>
              <w:b w:val="0"/>
              <w:bCs w:val="0"/>
              <w:caps w:val="0"/>
              <w:sz w:val="22"/>
              <w:szCs w:val="22"/>
            </w:rPr>
          </w:pPr>
          <w:hyperlink w:anchor="_Toc504733078" w:history="1">
            <w:r w:rsidR="004B5A40" w:rsidRPr="00605018">
              <w:rPr>
                <w:rStyle w:val="Hyperlink"/>
                <w:rFonts w:ascii="Arial Bold" w:hAnsi="Arial Bold"/>
              </w:rPr>
              <w:t>5</w:t>
            </w:r>
            <w:r w:rsidR="004B5A40">
              <w:rPr>
                <w:rFonts w:asciiTheme="minorHAnsi" w:eastAsiaTheme="minorEastAsia" w:hAnsiTheme="minorHAnsi" w:cstheme="minorBidi"/>
                <w:b w:val="0"/>
                <w:bCs w:val="0"/>
                <w:caps w:val="0"/>
                <w:sz w:val="22"/>
                <w:szCs w:val="22"/>
              </w:rPr>
              <w:tab/>
            </w:r>
            <w:r w:rsidR="004B5A40" w:rsidRPr="00605018">
              <w:rPr>
                <w:rStyle w:val="Hyperlink"/>
              </w:rPr>
              <w:t>GLOSSARY OF TERMS AND ABBREVIATIONS</w:t>
            </w:r>
            <w:r w:rsidR="004B5A40">
              <w:rPr>
                <w:webHidden/>
              </w:rPr>
              <w:tab/>
            </w:r>
            <w:r w:rsidR="004B5A40">
              <w:rPr>
                <w:webHidden/>
              </w:rPr>
              <w:fldChar w:fldCharType="begin"/>
            </w:r>
            <w:r w:rsidR="004B5A40">
              <w:rPr>
                <w:webHidden/>
              </w:rPr>
              <w:instrText xml:space="preserve"> PAGEREF _Toc504733078 \h </w:instrText>
            </w:r>
            <w:r w:rsidR="004B5A40">
              <w:rPr>
                <w:webHidden/>
              </w:rPr>
            </w:r>
            <w:r w:rsidR="004B5A40">
              <w:rPr>
                <w:webHidden/>
              </w:rPr>
              <w:fldChar w:fldCharType="separate"/>
            </w:r>
            <w:r w:rsidR="00EE5907">
              <w:rPr>
                <w:webHidden/>
              </w:rPr>
              <w:t>17</w:t>
            </w:r>
            <w:r w:rsidR="004B5A40">
              <w:rPr>
                <w:webHidden/>
              </w:rPr>
              <w:fldChar w:fldCharType="end"/>
            </w:r>
          </w:hyperlink>
        </w:p>
        <w:p w:rsidR="009C78F8" w:rsidRDefault="009C78F8">
          <w:r>
            <w:rPr>
              <w:b/>
              <w:bCs/>
              <w:noProof/>
            </w:rPr>
            <w:fldChar w:fldCharType="end"/>
          </w:r>
        </w:p>
      </w:sdtContent>
    </w:sdt>
    <w:p w:rsidR="00BF5AB5" w:rsidRDefault="00BF5AB5" w:rsidP="004B4CBB">
      <w:pPr>
        <w:spacing w:line="220" w:lineRule="exact"/>
        <w:rPr>
          <w:b/>
          <w:highlight w:val="green"/>
        </w:rPr>
      </w:pPr>
    </w:p>
    <w:p w:rsidR="00BF5AB5" w:rsidRDefault="00BF5AB5" w:rsidP="004B4CBB">
      <w:pPr>
        <w:spacing w:line="220" w:lineRule="exact"/>
        <w:rPr>
          <w:b/>
          <w:highlight w:val="green"/>
        </w:rPr>
      </w:pPr>
    </w:p>
    <w:p w:rsidR="00BF5AB5" w:rsidRDefault="00BF5AB5" w:rsidP="004B4CBB">
      <w:pPr>
        <w:spacing w:line="220" w:lineRule="exact"/>
        <w:rPr>
          <w:b/>
          <w:highlight w:val="green"/>
        </w:rPr>
      </w:pPr>
    </w:p>
    <w:p w:rsidR="00BF5AB5" w:rsidRDefault="00BF5AB5" w:rsidP="004B4CBB">
      <w:pPr>
        <w:spacing w:line="220" w:lineRule="exact"/>
        <w:rPr>
          <w:b/>
          <w:highlight w:val="green"/>
        </w:rPr>
      </w:pPr>
    </w:p>
    <w:p w:rsidR="00134406" w:rsidRDefault="00477EFE" w:rsidP="00BB196A">
      <w:pPr>
        <w:pStyle w:val="Heading1"/>
        <w:rPr>
          <w:rStyle w:val="Hyperlink"/>
          <w:color w:val="auto"/>
          <w:u w:val="none"/>
        </w:rPr>
      </w:pPr>
      <w:hyperlink w:anchor="_Toc183415202" w:history="1">
        <w:bookmarkStart w:id="0" w:name="_Toc504733037"/>
        <w:r w:rsidR="00EC0A73" w:rsidRPr="007E5BE5">
          <w:rPr>
            <w:rStyle w:val="Hyperlink"/>
            <w:color w:val="auto"/>
            <w:u w:val="none"/>
          </w:rPr>
          <w:t>PURPOSE, STRUCTURE AND NEXT STEPS FOR BIDDERS</w:t>
        </w:r>
        <w:bookmarkEnd w:id="0"/>
      </w:hyperlink>
    </w:p>
    <w:p w:rsidR="00A47304" w:rsidRPr="00A47304" w:rsidRDefault="00A47304" w:rsidP="00A47304"/>
    <w:p w:rsidR="00A47304" w:rsidRPr="00116195" w:rsidRDefault="00477EFE" w:rsidP="00BB196A">
      <w:pPr>
        <w:pStyle w:val="Heading2"/>
      </w:pPr>
      <w:hyperlink w:anchor="_Toc183415203" w:history="1">
        <w:bookmarkStart w:id="1" w:name="_Toc504733038"/>
        <w:r w:rsidR="00116195">
          <w:rPr>
            <w:rStyle w:val="Hyperlink"/>
            <w:color w:val="auto"/>
            <w:u w:val="none"/>
          </w:rPr>
          <w:t>Purpose of this D</w:t>
        </w:r>
        <w:r w:rsidR="00EC0A73" w:rsidRPr="00116195">
          <w:rPr>
            <w:rStyle w:val="Hyperlink"/>
            <w:color w:val="auto"/>
            <w:u w:val="none"/>
          </w:rPr>
          <w:t>ocument</w:t>
        </w:r>
        <w:bookmarkEnd w:id="1"/>
      </w:hyperlink>
      <w:r w:rsidR="00D8227E" w:rsidRPr="00116195">
        <w:t xml:space="preserve"> </w:t>
      </w:r>
    </w:p>
    <w:p w:rsidR="00EC0A73" w:rsidRPr="003B0DA7" w:rsidRDefault="00EC0A73" w:rsidP="00892E74">
      <w:pPr>
        <w:pStyle w:val="MOIText"/>
        <w:ind w:left="0"/>
        <w:jc w:val="left"/>
      </w:pPr>
      <w:r w:rsidRPr="003B0DA7">
        <w:t>This Memorandum of Information (</w:t>
      </w:r>
      <w:r w:rsidRPr="003B0DA7">
        <w:rPr>
          <w:b/>
        </w:rPr>
        <w:t>MOI</w:t>
      </w:r>
      <w:r w:rsidRPr="003B0DA7">
        <w:t>) provides</w:t>
      </w:r>
      <w:r w:rsidR="00D5386B">
        <w:t xml:space="preserve"> </w:t>
      </w:r>
      <w:r w:rsidR="00D5386B" w:rsidRPr="00D5386B">
        <w:t>details of the NHS Commissioning Board, known as NHS England (“The Authority”),</w:t>
      </w:r>
      <w:r w:rsidRPr="003B0DA7">
        <w:t xml:space="preserve"> </w:t>
      </w:r>
      <w:r w:rsidR="00D61F5B">
        <w:t>Primary</w:t>
      </w:r>
      <w:r w:rsidR="00C446C5">
        <w:t xml:space="preserve"> </w:t>
      </w:r>
      <w:r w:rsidR="00D61F5B">
        <w:t xml:space="preserve">Care </w:t>
      </w:r>
      <w:r w:rsidR="00A933B4">
        <w:t xml:space="preserve">Mandatory Dental </w:t>
      </w:r>
      <w:r w:rsidR="00D61F5B">
        <w:t xml:space="preserve">Services </w:t>
      </w:r>
      <w:r w:rsidRPr="003B0DA7">
        <w:t>Procurement</w:t>
      </w:r>
      <w:r w:rsidRPr="003B0DA7" w:rsidDel="002C4BF7">
        <w:t xml:space="preserve"> </w:t>
      </w:r>
      <w:r w:rsidR="00D61F5B">
        <w:t xml:space="preserve">scheme including </w:t>
      </w:r>
      <w:r w:rsidRPr="003B0DA7">
        <w:t>details of the:</w:t>
      </w:r>
    </w:p>
    <w:p w:rsidR="00EC0A73" w:rsidRPr="003B0DA7" w:rsidRDefault="00EC0A73" w:rsidP="001676C8">
      <w:pPr>
        <w:pStyle w:val="BulletMOI"/>
        <w:numPr>
          <w:ilvl w:val="0"/>
          <w:numId w:val="9"/>
        </w:numPr>
        <w:jc w:val="left"/>
      </w:pPr>
      <w:r w:rsidRPr="003B0DA7">
        <w:t>Procurement and its objectives;</w:t>
      </w:r>
    </w:p>
    <w:p w:rsidR="00EC0A73" w:rsidRPr="003B0DA7" w:rsidRDefault="00EC0A73" w:rsidP="001676C8">
      <w:pPr>
        <w:pStyle w:val="BulletMOI"/>
        <w:numPr>
          <w:ilvl w:val="0"/>
          <w:numId w:val="9"/>
        </w:numPr>
        <w:jc w:val="left"/>
      </w:pPr>
      <w:r w:rsidRPr="003B0DA7">
        <w:t>The</w:t>
      </w:r>
      <w:r w:rsidR="00D5386B">
        <w:t xml:space="preserve"> Authority’s</w:t>
      </w:r>
      <w:r w:rsidRPr="003B0DA7">
        <w:t xml:space="preserve"> service requirements;</w:t>
      </w:r>
    </w:p>
    <w:p w:rsidR="00EC0A73" w:rsidRPr="003B0DA7" w:rsidRDefault="00D5386B" w:rsidP="001676C8">
      <w:pPr>
        <w:pStyle w:val="BulletMOI"/>
        <w:numPr>
          <w:ilvl w:val="0"/>
          <w:numId w:val="9"/>
        </w:numPr>
        <w:jc w:val="left"/>
      </w:pPr>
      <w:r>
        <w:t xml:space="preserve">The </w:t>
      </w:r>
      <w:r w:rsidR="00EC0A73" w:rsidRPr="003B0DA7">
        <w:t>Procurement commercial framework; and</w:t>
      </w:r>
    </w:p>
    <w:p w:rsidR="00EC0A73" w:rsidRPr="003B0DA7" w:rsidRDefault="00D5386B" w:rsidP="001676C8">
      <w:pPr>
        <w:pStyle w:val="BulletMOI"/>
        <w:numPr>
          <w:ilvl w:val="0"/>
          <w:numId w:val="9"/>
        </w:numPr>
        <w:jc w:val="left"/>
      </w:pPr>
      <w:r>
        <w:t>G</w:t>
      </w:r>
      <w:r w:rsidR="00EC0A73" w:rsidRPr="003B0DA7">
        <w:t>overnance and administration requirements.</w:t>
      </w:r>
    </w:p>
    <w:p w:rsidR="00EC0A73" w:rsidRPr="003B0DA7" w:rsidRDefault="003B0DA7" w:rsidP="003B0DA7">
      <w:pPr>
        <w:pStyle w:val="MOIText"/>
        <w:tabs>
          <w:tab w:val="left" w:pos="3705"/>
        </w:tabs>
        <w:jc w:val="left"/>
      </w:pPr>
      <w:r w:rsidRPr="003B0DA7">
        <w:tab/>
      </w:r>
    </w:p>
    <w:p w:rsidR="00EC0A73" w:rsidRPr="003B0DA7" w:rsidRDefault="00EC0A73" w:rsidP="00C446C5">
      <w:pPr>
        <w:pStyle w:val="MOIText"/>
        <w:ind w:left="0"/>
      </w:pPr>
      <w:r w:rsidRPr="003B0DA7">
        <w:t xml:space="preserve">The purpose of this MOI is to provide potential Bidders with sufficient information on </w:t>
      </w:r>
      <w:r w:rsidR="00D5386B">
        <w:t>The Authority’s</w:t>
      </w:r>
      <w:r w:rsidR="00D61F5B">
        <w:t xml:space="preserve"> </w:t>
      </w:r>
      <w:r w:rsidRPr="003B0DA7">
        <w:t xml:space="preserve">Procurement </w:t>
      </w:r>
      <w:r w:rsidR="001440AB" w:rsidRPr="003B0DA7">
        <w:t>schem</w:t>
      </w:r>
      <w:r w:rsidR="00F84641" w:rsidRPr="003B0DA7">
        <w:t>e</w:t>
      </w:r>
      <w:r w:rsidR="001440AB" w:rsidRPr="003B0DA7">
        <w:t xml:space="preserve"> </w:t>
      </w:r>
      <w:r w:rsidRPr="003B0DA7">
        <w:t>to enable them</w:t>
      </w:r>
      <w:r w:rsidR="001440AB" w:rsidRPr="003B0DA7">
        <w:t xml:space="preserve"> to</w:t>
      </w:r>
      <w:r w:rsidRPr="003B0DA7">
        <w:t>:</w:t>
      </w:r>
    </w:p>
    <w:p w:rsidR="00A3227F" w:rsidRPr="003B0DA7" w:rsidRDefault="00D61F5B" w:rsidP="00C446C5">
      <w:pPr>
        <w:pStyle w:val="MOIText"/>
        <w:numPr>
          <w:ilvl w:val="0"/>
          <w:numId w:val="10"/>
        </w:numPr>
        <w:spacing w:before="0" w:after="0"/>
        <w:ind w:left="357" w:hanging="357"/>
      </w:pPr>
      <w:r>
        <w:t>M</w:t>
      </w:r>
      <w:r w:rsidR="00606949" w:rsidRPr="003B0DA7">
        <w:t>ake an informed decision about whether they wish to participate</w:t>
      </w:r>
      <w:r>
        <w:t>;</w:t>
      </w:r>
    </w:p>
    <w:p w:rsidR="00A3227F" w:rsidRPr="003B0DA7" w:rsidRDefault="00D61F5B" w:rsidP="00C446C5">
      <w:pPr>
        <w:pStyle w:val="MOIText"/>
        <w:numPr>
          <w:ilvl w:val="0"/>
          <w:numId w:val="10"/>
        </w:numPr>
        <w:spacing w:before="0" w:after="0"/>
        <w:ind w:left="357" w:hanging="357"/>
      </w:pPr>
      <w:r>
        <w:t>R</w:t>
      </w:r>
      <w:r w:rsidR="001440AB" w:rsidRPr="003B0DA7">
        <w:t xml:space="preserve">egister their interest to participate in </w:t>
      </w:r>
      <w:r w:rsidR="00D5386B">
        <w:t>T</w:t>
      </w:r>
      <w:r w:rsidR="005D20E5" w:rsidRPr="003B0DA7">
        <w:t xml:space="preserve">he </w:t>
      </w:r>
      <w:r w:rsidR="00D5386B">
        <w:t>Authority’s</w:t>
      </w:r>
      <w:r w:rsidR="001440AB" w:rsidRPr="003B0DA7">
        <w:t xml:space="preserve"> Procurement scheme</w:t>
      </w:r>
      <w:r>
        <w:t>; and</w:t>
      </w:r>
      <w:r w:rsidR="00606949" w:rsidRPr="003B0DA7">
        <w:t xml:space="preserve">  </w:t>
      </w:r>
    </w:p>
    <w:p w:rsidR="00606949" w:rsidRPr="003B0DA7" w:rsidRDefault="00D61F5B" w:rsidP="00C446C5">
      <w:pPr>
        <w:pStyle w:val="MOIText"/>
        <w:numPr>
          <w:ilvl w:val="0"/>
          <w:numId w:val="10"/>
        </w:numPr>
        <w:spacing w:before="0" w:after="0"/>
        <w:ind w:left="357" w:hanging="357"/>
      </w:pPr>
      <w:r>
        <w:t>S</w:t>
      </w:r>
      <w:r w:rsidR="00606949" w:rsidRPr="003B0DA7">
        <w:t>ubmit</w:t>
      </w:r>
      <w:r w:rsidR="001440AB" w:rsidRPr="003B0DA7">
        <w:t xml:space="preserve"> completed proposals in response to the call for competition in accordance with the detailed guidance and instructions contained in the </w:t>
      </w:r>
      <w:r w:rsidR="00FB7DCD">
        <w:t>Guidance Document rel</w:t>
      </w:r>
      <w:r w:rsidR="001440AB" w:rsidRPr="003B0DA7">
        <w:t xml:space="preserve">ating </w:t>
      </w:r>
      <w:r w:rsidR="00FB7DCD">
        <w:t xml:space="preserve">to </w:t>
      </w:r>
      <w:r w:rsidR="001440AB" w:rsidRPr="003B0DA7">
        <w:t>th</w:t>
      </w:r>
      <w:r w:rsidR="001D6AE6">
        <w:t>e Authority’s</w:t>
      </w:r>
      <w:r w:rsidR="001440AB" w:rsidRPr="003B0DA7">
        <w:t xml:space="preserve"> Procurement scheme</w:t>
      </w:r>
      <w:r w:rsidR="001D6AE6">
        <w:t>.</w:t>
      </w:r>
    </w:p>
    <w:p w:rsidR="00EC0A73" w:rsidRPr="002712D6" w:rsidRDefault="00EC0A73" w:rsidP="00892E74"/>
    <w:p w:rsidR="00A47304" w:rsidRPr="00116195" w:rsidRDefault="00477EFE" w:rsidP="00892E74">
      <w:pPr>
        <w:pStyle w:val="Heading2"/>
        <w:jc w:val="left"/>
      </w:pPr>
      <w:hyperlink w:anchor="_Toc183415204" w:history="1">
        <w:bookmarkStart w:id="2" w:name="_Toc504733039"/>
        <w:r w:rsidR="00EC0A73" w:rsidRPr="00116195">
          <w:rPr>
            <w:rStyle w:val="Hyperlink"/>
            <w:color w:val="auto"/>
            <w:u w:val="none"/>
          </w:rPr>
          <w:t>Organisation of this</w:t>
        </w:r>
        <w:r w:rsidR="00116195" w:rsidRPr="00116195">
          <w:rPr>
            <w:rStyle w:val="Hyperlink"/>
            <w:color w:val="auto"/>
            <w:u w:val="none"/>
          </w:rPr>
          <w:t xml:space="preserve"> D</w:t>
        </w:r>
        <w:r w:rsidR="00EC0A73" w:rsidRPr="00116195">
          <w:rPr>
            <w:rStyle w:val="Hyperlink"/>
            <w:color w:val="auto"/>
            <w:u w:val="none"/>
          </w:rPr>
          <w:t>ocument</w:t>
        </w:r>
        <w:bookmarkEnd w:id="2"/>
      </w:hyperlink>
      <w:r w:rsidR="00D92914" w:rsidRPr="00116195">
        <w:rPr>
          <w:rStyle w:val="Hyperlink"/>
          <w:color w:val="auto"/>
          <w:u w:val="none"/>
        </w:rPr>
        <w:t xml:space="preserve"> </w:t>
      </w:r>
    </w:p>
    <w:p w:rsidR="000E66DF" w:rsidRPr="002712D6" w:rsidRDefault="000E66DF" w:rsidP="00892E74">
      <w:pPr>
        <w:pStyle w:val="MOIText"/>
        <w:spacing w:before="0" w:after="0"/>
        <w:ind w:left="0"/>
        <w:jc w:val="left"/>
      </w:pPr>
      <w:r w:rsidRPr="002712D6">
        <w:t>This MOI is organised into the following sections:</w:t>
      </w:r>
    </w:p>
    <w:p w:rsidR="000E66DF" w:rsidRPr="002712D6" w:rsidRDefault="000E66DF" w:rsidP="00892E74">
      <w:pPr>
        <w:spacing w:before="0" w:after="0"/>
        <w:ind w:left="720"/>
        <w:rPr>
          <w:rFonts w:eastAsia="Times New Roman"/>
        </w:rPr>
      </w:pPr>
    </w:p>
    <w:p w:rsidR="000E66DF" w:rsidRPr="00A3227F" w:rsidRDefault="000E66DF" w:rsidP="00892E74">
      <w:pPr>
        <w:spacing w:before="0" w:after="0"/>
        <w:rPr>
          <w:rFonts w:eastAsia="Times New Roman"/>
          <w:b/>
        </w:rPr>
      </w:pPr>
      <w:r w:rsidRPr="00A3227F">
        <w:rPr>
          <w:rFonts w:eastAsia="Times New Roman"/>
          <w:b/>
        </w:rPr>
        <w:t xml:space="preserve">Section 1: </w:t>
      </w:r>
      <w:r w:rsidRPr="00A3227F">
        <w:rPr>
          <w:rFonts w:eastAsia="Times New Roman"/>
          <w:b/>
        </w:rPr>
        <w:tab/>
        <w:t>Purpose, Structure and Next Steps for Bidders</w:t>
      </w:r>
    </w:p>
    <w:p w:rsidR="006D2755" w:rsidRPr="002712D6" w:rsidRDefault="000E66DF" w:rsidP="00892E74">
      <w:pPr>
        <w:spacing w:before="0" w:after="0"/>
        <w:ind w:left="1440"/>
      </w:pPr>
      <w:r w:rsidRPr="002712D6">
        <w:t>Detail</w:t>
      </w:r>
      <w:r w:rsidR="00D875F7" w:rsidRPr="002712D6">
        <w:t>s the</w:t>
      </w:r>
      <w:r w:rsidRPr="002712D6">
        <w:t xml:space="preserve"> purpose and organisation of the MOI</w:t>
      </w:r>
      <w:r w:rsidR="00FB7DCD">
        <w:t>.</w:t>
      </w:r>
      <w:r w:rsidRPr="002712D6">
        <w:t xml:space="preserve"> </w:t>
      </w:r>
    </w:p>
    <w:p w:rsidR="000E66DF" w:rsidRPr="00A3227F" w:rsidRDefault="000E66DF" w:rsidP="00892E74">
      <w:pPr>
        <w:spacing w:before="0" w:after="0"/>
        <w:rPr>
          <w:rFonts w:eastAsia="Times New Roman"/>
          <w:b/>
        </w:rPr>
      </w:pPr>
      <w:r w:rsidRPr="00A3227F">
        <w:rPr>
          <w:rFonts w:eastAsia="Times New Roman"/>
          <w:b/>
        </w:rPr>
        <w:t xml:space="preserve">Section 2: </w:t>
      </w:r>
      <w:r w:rsidRPr="00A3227F">
        <w:rPr>
          <w:rFonts w:eastAsia="Times New Roman"/>
          <w:b/>
        </w:rPr>
        <w:tab/>
        <w:t>Introduction and Overview</w:t>
      </w:r>
    </w:p>
    <w:p w:rsidR="006D2755" w:rsidRPr="002712D6" w:rsidRDefault="000E66DF" w:rsidP="00C446C5">
      <w:pPr>
        <w:spacing w:before="0" w:after="0"/>
        <w:ind w:left="1440"/>
        <w:jc w:val="both"/>
      </w:pPr>
      <w:r w:rsidRPr="002712D6">
        <w:t xml:space="preserve">Details the background and objectives of this Procurement, the scope of services to be procured, and the factors critical to the success of the </w:t>
      </w:r>
      <w:r w:rsidRPr="002712D6" w:rsidDel="002C4BF7">
        <w:t>P</w:t>
      </w:r>
      <w:r w:rsidRPr="002712D6">
        <w:t>rocurement.</w:t>
      </w:r>
    </w:p>
    <w:p w:rsidR="000E66DF" w:rsidRPr="00A3227F" w:rsidRDefault="00EE5907" w:rsidP="00892E74">
      <w:pPr>
        <w:spacing w:before="0" w:after="0"/>
        <w:rPr>
          <w:rFonts w:eastAsia="Times New Roman"/>
          <w:b/>
        </w:rPr>
      </w:pPr>
      <w:r>
        <w:rPr>
          <w:rFonts w:eastAsia="Times New Roman"/>
          <w:b/>
        </w:rPr>
        <w:t>S</w:t>
      </w:r>
      <w:r w:rsidR="000E66DF" w:rsidRPr="00A3227F">
        <w:rPr>
          <w:rFonts w:eastAsia="Times New Roman"/>
          <w:b/>
        </w:rPr>
        <w:t xml:space="preserve">ection </w:t>
      </w:r>
      <w:r>
        <w:rPr>
          <w:rFonts w:eastAsia="Times New Roman"/>
          <w:b/>
        </w:rPr>
        <w:t>3</w:t>
      </w:r>
      <w:r w:rsidR="000E66DF" w:rsidRPr="00A3227F">
        <w:rPr>
          <w:rFonts w:eastAsia="Times New Roman"/>
          <w:b/>
        </w:rPr>
        <w:t xml:space="preserve">: </w:t>
      </w:r>
      <w:r w:rsidR="000E66DF" w:rsidRPr="00A3227F">
        <w:rPr>
          <w:rFonts w:eastAsia="Times New Roman"/>
          <w:b/>
        </w:rPr>
        <w:tab/>
        <w:t>Commercial Framework</w:t>
      </w:r>
    </w:p>
    <w:p w:rsidR="006D2755" w:rsidRPr="002712D6" w:rsidRDefault="000E66DF" w:rsidP="00C446C5">
      <w:pPr>
        <w:spacing w:before="0" w:after="0"/>
        <w:ind w:left="1440"/>
        <w:jc w:val="both"/>
      </w:pPr>
      <w:r w:rsidRPr="002712D6">
        <w:t xml:space="preserve">Details the key commercial terms and other legal and contractual arrangements for </w:t>
      </w:r>
      <w:r w:rsidR="00D875F7" w:rsidRPr="002712D6">
        <w:t>NHS England</w:t>
      </w:r>
      <w:r w:rsidRPr="002712D6">
        <w:t xml:space="preserve"> </w:t>
      </w:r>
      <w:r w:rsidRPr="002712D6" w:rsidDel="002C4BF7">
        <w:t>P</w:t>
      </w:r>
      <w:r w:rsidRPr="002712D6">
        <w:t>rocurement.</w:t>
      </w:r>
    </w:p>
    <w:p w:rsidR="000E66DF" w:rsidRPr="00A3227F" w:rsidRDefault="000E66DF" w:rsidP="00892E74">
      <w:pPr>
        <w:spacing w:before="0" w:after="0"/>
        <w:rPr>
          <w:rFonts w:eastAsia="Times New Roman"/>
          <w:b/>
        </w:rPr>
      </w:pPr>
      <w:r w:rsidRPr="00A3227F">
        <w:rPr>
          <w:rFonts w:eastAsia="Times New Roman"/>
          <w:b/>
        </w:rPr>
        <w:t xml:space="preserve">Section </w:t>
      </w:r>
      <w:r w:rsidR="00EE5907">
        <w:rPr>
          <w:rFonts w:eastAsia="Times New Roman"/>
          <w:b/>
        </w:rPr>
        <w:t>4</w:t>
      </w:r>
      <w:r w:rsidRPr="00A3227F">
        <w:rPr>
          <w:rFonts w:eastAsia="Times New Roman"/>
          <w:b/>
        </w:rPr>
        <w:t xml:space="preserve">: </w:t>
      </w:r>
      <w:r w:rsidRPr="00A3227F">
        <w:rPr>
          <w:rFonts w:eastAsia="Times New Roman"/>
          <w:b/>
        </w:rPr>
        <w:tab/>
        <w:t>Governance and Administration</w:t>
      </w:r>
    </w:p>
    <w:p w:rsidR="006D2755" w:rsidRPr="002712D6" w:rsidRDefault="000E66DF" w:rsidP="00C446C5">
      <w:pPr>
        <w:spacing w:before="0" w:after="0"/>
        <w:ind w:left="1440"/>
        <w:jc w:val="both"/>
      </w:pPr>
      <w:r w:rsidRPr="002712D6">
        <w:t xml:space="preserve">Details key governance and administration requirements of </w:t>
      </w:r>
      <w:r w:rsidR="00D61F5B">
        <w:t>T</w:t>
      </w:r>
      <w:r w:rsidRPr="002712D6">
        <w:t xml:space="preserve">he </w:t>
      </w:r>
      <w:r w:rsidRPr="002712D6" w:rsidDel="002C4BF7">
        <w:t>P</w:t>
      </w:r>
      <w:r w:rsidRPr="002712D6">
        <w:t>rocurement.</w:t>
      </w:r>
    </w:p>
    <w:p w:rsidR="000E66DF" w:rsidRPr="00A3227F" w:rsidRDefault="00530B57" w:rsidP="00892E74">
      <w:pPr>
        <w:spacing w:before="0" w:after="0"/>
        <w:rPr>
          <w:rFonts w:eastAsia="Times New Roman"/>
          <w:b/>
        </w:rPr>
      </w:pPr>
      <w:r w:rsidRPr="00A3227F">
        <w:rPr>
          <w:rFonts w:eastAsia="Times New Roman"/>
          <w:b/>
        </w:rPr>
        <w:t xml:space="preserve">Section </w:t>
      </w:r>
      <w:r w:rsidR="00EE5907">
        <w:rPr>
          <w:rFonts w:eastAsia="Times New Roman"/>
          <w:b/>
        </w:rPr>
        <w:t>5</w:t>
      </w:r>
      <w:r w:rsidR="000E66DF" w:rsidRPr="00A3227F">
        <w:rPr>
          <w:rFonts w:eastAsia="Times New Roman"/>
          <w:b/>
        </w:rPr>
        <w:t xml:space="preserve">: </w:t>
      </w:r>
      <w:r w:rsidR="000E66DF" w:rsidRPr="00A3227F">
        <w:rPr>
          <w:rFonts w:eastAsia="Times New Roman"/>
          <w:b/>
        </w:rPr>
        <w:tab/>
        <w:t>Glossary of Terms and Abbreviations</w:t>
      </w:r>
    </w:p>
    <w:p w:rsidR="000E66DF" w:rsidRPr="002712D6" w:rsidRDefault="000E66DF" w:rsidP="00892E74">
      <w:pPr>
        <w:spacing w:before="0" w:after="0"/>
        <w:ind w:left="720" w:firstLine="720"/>
      </w:pPr>
      <w:r w:rsidRPr="002712D6">
        <w:t>Provides a glossary of the terms used in the MOI.</w:t>
      </w:r>
    </w:p>
    <w:p w:rsidR="00172DBF" w:rsidRPr="00A47304" w:rsidRDefault="00172DBF" w:rsidP="00892E74"/>
    <w:bookmarkStart w:id="3" w:name="_Toc504733040"/>
    <w:bookmarkStart w:id="4" w:name="_Toc504733041"/>
    <w:bookmarkStart w:id="5" w:name="_Toc504733042"/>
    <w:bookmarkStart w:id="6" w:name="_Toc504733043"/>
    <w:bookmarkStart w:id="7" w:name="_Toc504733044"/>
    <w:bookmarkStart w:id="8" w:name="_Toc504733045"/>
    <w:bookmarkEnd w:id="3"/>
    <w:bookmarkEnd w:id="4"/>
    <w:bookmarkEnd w:id="5"/>
    <w:bookmarkEnd w:id="6"/>
    <w:bookmarkEnd w:id="7"/>
    <w:bookmarkEnd w:id="8"/>
    <w:p w:rsidR="00EC0A73" w:rsidRPr="002712D6" w:rsidRDefault="00AB5491" w:rsidP="00BB196A">
      <w:pPr>
        <w:pStyle w:val="Heading1"/>
        <w:rPr>
          <w:rStyle w:val="Hyperlink"/>
          <w:sz w:val="22"/>
          <w:szCs w:val="22"/>
        </w:rPr>
      </w:pPr>
      <w:r>
        <w:lastRenderedPageBreak/>
        <w:fldChar w:fldCharType="begin"/>
      </w:r>
      <w:r>
        <w:instrText xml:space="preserve"> HYPERLINK \l "_Toc183415206" </w:instrText>
      </w:r>
      <w:r>
        <w:fldChar w:fldCharType="separate"/>
      </w:r>
      <w:bookmarkStart w:id="9" w:name="_Toc504733046"/>
      <w:r w:rsidR="00EC0A73" w:rsidRPr="002712D6">
        <w:rPr>
          <w:rStyle w:val="Hyperlink"/>
          <w:color w:val="auto"/>
          <w:sz w:val="22"/>
          <w:szCs w:val="22"/>
          <w:u w:val="none"/>
        </w:rPr>
        <w:t>INTRODUCTION AND OVERVIEW</w:t>
      </w:r>
      <w:bookmarkEnd w:id="9"/>
      <w:r>
        <w:rPr>
          <w:rStyle w:val="Hyperlink"/>
          <w:color w:val="auto"/>
          <w:sz w:val="22"/>
          <w:szCs w:val="22"/>
          <w:u w:val="none"/>
        </w:rPr>
        <w:fldChar w:fldCharType="end"/>
      </w:r>
    </w:p>
    <w:p w:rsidR="00D8227E" w:rsidRPr="00A3227F" w:rsidRDefault="00D8227E" w:rsidP="0024666E">
      <w:pPr>
        <w:jc w:val="both"/>
      </w:pPr>
    </w:p>
    <w:p w:rsidR="00A3227F" w:rsidRPr="002712D6" w:rsidRDefault="00FB7DCD" w:rsidP="00BB196A">
      <w:pPr>
        <w:pStyle w:val="Heading2"/>
      </w:pPr>
      <w:bookmarkStart w:id="10" w:name="_Toc504733047"/>
      <w:r>
        <w:t>Introduction</w:t>
      </w:r>
      <w:bookmarkEnd w:id="10"/>
    </w:p>
    <w:p w:rsidR="00350966" w:rsidRPr="00350966" w:rsidRDefault="001D6AE6" w:rsidP="00350966">
      <w:pPr>
        <w:jc w:val="both"/>
      </w:pPr>
      <w:r>
        <w:t>The Authority</w:t>
      </w:r>
      <w:r w:rsidR="009D28C4" w:rsidRPr="00350966">
        <w:t xml:space="preserve"> became responsible for direct commissioning of primary care </w:t>
      </w:r>
      <w:r w:rsidR="00350966" w:rsidRPr="00350966">
        <w:t xml:space="preserve">dental </w:t>
      </w:r>
      <w:r w:rsidR="009D28C4" w:rsidRPr="00350966">
        <w:t xml:space="preserve">services on 1 April 2013 </w:t>
      </w:r>
      <w:r w:rsidR="009D28C4" w:rsidRPr="00980A43">
        <w:t xml:space="preserve">and this gives us opportunities to bring further improvement to the commissioning of routine dental care. </w:t>
      </w:r>
      <w:r w:rsidR="00350966">
        <w:t xml:space="preserve"> </w:t>
      </w:r>
      <w:r w:rsidR="00350966" w:rsidRPr="00EA4E67">
        <w:t xml:space="preserve">As commissioner, the </w:t>
      </w:r>
      <w:r>
        <w:t>Authority</w:t>
      </w:r>
      <w:r w:rsidR="00350966" w:rsidRPr="00EA4E67">
        <w:t xml:space="preserve"> has an overarching role to ensure that the NHS delivers better outcomes for patients, within its available resources, upholds and promotes the NHS Constitution and delivers the key objectives of the NHS Mandate</w:t>
      </w:r>
      <w:r w:rsidR="006569B6">
        <w:t>.</w:t>
      </w:r>
    </w:p>
    <w:p w:rsidR="00350966" w:rsidRDefault="00350966" w:rsidP="00C446C5">
      <w:pPr>
        <w:jc w:val="both"/>
      </w:pPr>
    </w:p>
    <w:p w:rsidR="00DC139E" w:rsidRPr="00E42DBC" w:rsidRDefault="00284427" w:rsidP="00C446C5">
      <w:pPr>
        <w:jc w:val="both"/>
      </w:pPr>
      <w:r w:rsidRPr="00E42DBC">
        <w:t xml:space="preserve">In order to </w:t>
      </w:r>
      <w:r w:rsidR="00E40DDC">
        <w:t>commission the</w:t>
      </w:r>
      <w:r w:rsidR="00E40DDC" w:rsidRPr="00E42DBC">
        <w:t xml:space="preserve"> </w:t>
      </w:r>
      <w:r w:rsidRPr="00E42DBC">
        <w:t>new services</w:t>
      </w:r>
      <w:r w:rsidR="00E40DDC">
        <w:t xml:space="preserve"> under this procurement</w:t>
      </w:r>
      <w:r w:rsidRPr="00E42DBC">
        <w:t xml:space="preserve">, </w:t>
      </w:r>
      <w:r w:rsidR="001D6AE6">
        <w:t>the Authority</w:t>
      </w:r>
      <w:r w:rsidRPr="00E42DBC">
        <w:t xml:space="preserve"> </w:t>
      </w:r>
      <w:r w:rsidR="00E40DDC">
        <w:t>will undertake a competitive tendering exercise to</w:t>
      </w:r>
      <w:r w:rsidRPr="00E42DBC">
        <w:t xml:space="preserve"> select</w:t>
      </w:r>
      <w:r w:rsidR="00E40DDC">
        <w:t xml:space="preserve"> the</w:t>
      </w:r>
      <w:r w:rsidRPr="00E42DBC">
        <w:t xml:space="preserve"> new provider</w:t>
      </w:r>
      <w:r w:rsidR="00E40DDC">
        <w:t>/</w:t>
      </w:r>
      <w:r w:rsidRPr="00E42DBC">
        <w:t xml:space="preserve">s.  </w:t>
      </w:r>
      <w:r w:rsidR="001D6AE6">
        <w:t>The Authority</w:t>
      </w:r>
      <w:r w:rsidR="00DC139E" w:rsidRPr="00E42DBC">
        <w:t xml:space="preserve"> will contract using the Personal Dental Services (PDS) Plus </w:t>
      </w:r>
      <w:r w:rsidR="00350966">
        <w:t>Agreement</w:t>
      </w:r>
      <w:r w:rsidR="00DC139E" w:rsidRPr="00E42DBC">
        <w:t xml:space="preserve"> as the contractual </w:t>
      </w:r>
      <w:r w:rsidR="00350966">
        <w:t>mechanism</w:t>
      </w:r>
      <w:r w:rsidR="00DC139E" w:rsidRPr="00E42DBC">
        <w:t xml:space="preserve"> for the procurement scheme.</w:t>
      </w:r>
    </w:p>
    <w:p w:rsidR="00DC139E" w:rsidRPr="00B342F8" w:rsidRDefault="00DC139E" w:rsidP="00C446C5">
      <w:pPr>
        <w:jc w:val="both"/>
      </w:pPr>
    </w:p>
    <w:p w:rsidR="00DC139E" w:rsidRPr="00DC139E" w:rsidRDefault="001D6AE6" w:rsidP="00C446C5">
      <w:pPr>
        <w:jc w:val="both"/>
      </w:pPr>
      <w:r>
        <w:t>The Authority</w:t>
      </w:r>
      <w:r w:rsidR="00284427" w:rsidRPr="0092250B">
        <w:t xml:space="preserve"> wishes to </w:t>
      </w:r>
      <w:r w:rsidR="003349C2" w:rsidRPr="0092250B">
        <w:t xml:space="preserve">procure </w:t>
      </w:r>
      <w:r w:rsidR="00CB2652">
        <w:t>g</w:t>
      </w:r>
      <w:r w:rsidR="00C92E36" w:rsidRPr="0092250B">
        <w:t xml:space="preserve">eneral </w:t>
      </w:r>
      <w:r w:rsidR="00CB2652">
        <w:t>d</w:t>
      </w:r>
      <w:r w:rsidR="00C92E36" w:rsidRPr="0092250B">
        <w:t xml:space="preserve">ental </w:t>
      </w:r>
      <w:r w:rsidR="00CB2652">
        <w:t>s</w:t>
      </w:r>
      <w:r w:rsidR="00C92E36" w:rsidRPr="0092250B">
        <w:t xml:space="preserve">ervices </w:t>
      </w:r>
      <w:r w:rsidR="003349C2" w:rsidRPr="0092250B">
        <w:t xml:space="preserve">to be provided </w:t>
      </w:r>
      <w:r w:rsidR="00C92E36" w:rsidRPr="0092250B">
        <w:t xml:space="preserve">from </w:t>
      </w:r>
      <w:r w:rsidR="00DC139E" w:rsidRPr="0092250B">
        <w:t>practices in the following locations:</w:t>
      </w:r>
    </w:p>
    <w:p w:rsidR="00DC139E" w:rsidRPr="00DC139E" w:rsidRDefault="00DC139E" w:rsidP="00C446C5">
      <w:pPr>
        <w:jc w:val="both"/>
      </w:pPr>
    </w:p>
    <w:p w:rsidR="00B342F8" w:rsidRDefault="00E40DDC" w:rsidP="00C446C5">
      <w:pPr>
        <w:pStyle w:val="ListParagraph"/>
        <w:numPr>
          <w:ilvl w:val="0"/>
          <w:numId w:val="27"/>
        </w:numPr>
        <w:jc w:val="both"/>
      </w:pPr>
      <w:r>
        <w:rPr>
          <w:sz w:val="22"/>
          <w:szCs w:val="22"/>
        </w:rPr>
        <w:t xml:space="preserve">Lot 1 - </w:t>
      </w:r>
      <w:r w:rsidR="00B342F8">
        <w:rPr>
          <w:sz w:val="22"/>
          <w:szCs w:val="22"/>
        </w:rPr>
        <w:t xml:space="preserve">London Borough of Hillingdon – site specifically in the </w:t>
      </w:r>
      <w:r w:rsidR="006569B6">
        <w:rPr>
          <w:sz w:val="22"/>
          <w:szCs w:val="22"/>
        </w:rPr>
        <w:t xml:space="preserve"> Yiewsley ward</w:t>
      </w:r>
    </w:p>
    <w:p w:rsidR="00DC139E" w:rsidRDefault="00E40DDC" w:rsidP="0064084B">
      <w:pPr>
        <w:pStyle w:val="ListParagraph"/>
        <w:numPr>
          <w:ilvl w:val="0"/>
          <w:numId w:val="27"/>
        </w:numPr>
        <w:jc w:val="both"/>
      </w:pPr>
      <w:r>
        <w:rPr>
          <w:sz w:val="22"/>
          <w:szCs w:val="22"/>
        </w:rPr>
        <w:t xml:space="preserve">Lot 2 - </w:t>
      </w:r>
      <w:r w:rsidR="00DC139E" w:rsidRPr="00E42DBC">
        <w:rPr>
          <w:sz w:val="22"/>
          <w:szCs w:val="22"/>
        </w:rPr>
        <w:t xml:space="preserve">London Borough of Newham </w:t>
      </w:r>
      <w:r w:rsidR="00B342F8">
        <w:rPr>
          <w:sz w:val="22"/>
          <w:szCs w:val="22"/>
        </w:rPr>
        <w:t>– site specifically</w:t>
      </w:r>
      <w:r w:rsidR="0064084B">
        <w:rPr>
          <w:sz w:val="22"/>
          <w:szCs w:val="22"/>
        </w:rPr>
        <w:t xml:space="preserve"> in the</w:t>
      </w:r>
      <w:r w:rsidR="00B342F8">
        <w:rPr>
          <w:sz w:val="22"/>
          <w:szCs w:val="22"/>
        </w:rPr>
        <w:t xml:space="preserve"> </w:t>
      </w:r>
      <w:r w:rsidR="006569B6">
        <w:rPr>
          <w:sz w:val="22"/>
          <w:szCs w:val="22"/>
        </w:rPr>
        <w:t>Canning Town / Custom House wards</w:t>
      </w:r>
    </w:p>
    <w:p w:rsidR="00DC139E" w:rsidRPr="00E42DBC" w:rsidRDefault="00DC139E" w:rsidP="00C446C5">
      <w:pPr>
        <w:jc w:val="both"/>
      </w:pPr>
      <w:r w:rsidRPr="00E42DBC">
        <w:t xml:space="preserve">The PDS </w:t>
      </w:r>
      <w:r w:rsidR="00E40DDC">
        <w:t>P</w:t>
      </w:r>
      <w:r w:rsidRPr="00E42DBC">
        <w:t>lus contract will have two distinct elements:</w:t>
      </w:r>
    </w:p>
    <w:p w:rsidR="00DC139E" w:rsidRPr="00B97238" w:rsidRDefault="00DC139E" w:rsidP="00C446C5">
      <w:pPr>
        <w:pStyle w:val="ListParagraph"/>
        <w:numPr>
          <w:ilvl w:val="0"/>
          <w:numId w:val="26"/>
        </w:numPr>
        <w:jc w:val="both"/>
      </w:pPr>
      <w:r w:rsidRPr="00E42DBC">
        <w:rPr>
          <w:sz w:val="22"/>
          <w:szCs w:val="22"/>
        </w:rPr>
        <w:t>70% service element, based on Units of Dental Activity (UDAs)</w:t>
      </w:r>
    </w:p>
    <w:p w:rsidR="00EA27C3" w:rsidRPr="003B0DA7" w:rsidRDefault="00DC139E" w:rsidP="00C446C5">
      <w:pPr>
        <w:pStyle w:val="ListParagraph"/>
        <w:numPr>
          <w:ilvl w:val="0"/>
          <w:numId w:val="26"/>
        </w:numPr>
        <w:jc w:val="both"/>
      </w:pPr>
      <w:r w:rsidRPr="00E42DBC">
        <w:rPr>
          <w:sz w:val="22"/>
          <w:szCs w:val="22"/>
        </w:rPr>
        <w:t xml:space="preserve">30% Key Performance Indicators (KPIs).  There will be five KPIs, each tailored for the two </w:t>
      </w:r>
      <w:r w:rsidR="00E40DDC">
        <w:rPr>
          <w:sz w:val="22"/>
          <w:szCs w:val="22"/>
        </w:rPr>
        <w:t>Lots</w:t>
      </w:r>
    </w:p>
    <w:p w:rsidR="00033CC8" w:rsidRPr="003B0DA7" w:rsidRDefault="00033CC8" w:rsidP="00033CC8">
      <w:pPr>
        <w:jc w:val="both"/>
      </w:pPr>
    </w:p>
    <w:p w:rsidR="00033CC8" w:rsidRPr="00033CC8" w:rsidRDefault="00033CC8" w:rsidP="00033CC8">
      <w:pPr>
        <w:autoSpaceDE w:val="0"/>
        <w:autoSpaceDN w:val="0"/>
        <w:adjustRightInd w:val="0"/>
        <w:spacing w:before="0" w:after="0"/>
        <w:jc w:val="both"/>
        <w:rPr>
          <w:rFonts w:eastAsia="Times New Roman"/>
          <w:color w:val="000000"/>
          <w:lang w:eastAsia="en-US"/>
        </w:rPr>
      </w:pPr>
      <w:r w:rsidRPr="00033CC8">
        <w:rPr>
          <w:rFonts w:eastAsia="Times New Roman"/>
          <w:color w:val="000000"/>
          <w:lang w:eastAsia="en-US"/>
        </w:rPr>
        <w:t xml:space="preserve">The clinical services to be provided are those deemed mandatory services and the provider must meet the requirements of </w:t>
      </w:r>
      <w:r w:rsidRPr="0092250B">
        <w:rPr>
          <w:rFonts w:eastAsia="Times New Roman"/>
          <w:color w:val="000000"/>
          <w:lang w:eastAsia="en-US"/>
        </w:rPr>
        <w:t xml:space="preserve">the </w:t>
      </w:r>
      <w:r w:rsidR="008127E1" w:rsidRPr="0092250B">
        <w:rPr>
          <w:rFonts w:eastAsia="Times New Roman"/>
          <w:color w:val="000000"/>
          <w:lang w:eastAsia="en-US"/>
        </w:rPr>
        <w:t>P</w:t>
      </w:r>
      <w:r w:rsidRPr="0092250B">
        <w:rPr>
          <w:rFonts w:eastAsia="Times New Roman"/>
          <w:color w:val="000000"/>
          <w:lang w:eastAsia="en-US"/>
        </w:rPr>
        <w:t xml:space="preserve">DS </w:t>
      </w:r>
      <w:r w:rsidR="00AB5491">
        <w:rPr>
          <w:rFonts w:eastAsia="Times New Roman"/>
          <w:color w:val="000000"/>
          <w:lang w:eastAsia="en-US"/>
        </w:rPr>
        <w:t xml:space="preserve">Plus </w:t>
      </w:r>
      <w:r w:rsidRPr="0092250B">
        <w:rPr>
          <w:rFonts w:eastAsia="Times New Roman"/>
          <w:color w:val="000000"/>
          <w:lang w:eastAsia="en-US"/>
        </w:rPr>
        <w:t>Regulations</w:t>
      </w:r>
      <w:r w:rsidRPr="00033CC8">
        <w:rPr>
          <w:rFonts w:eastAsia="Times New Roman"/>
          <w:color w:val="000000"/>
          <w:lang w:eastAsia="en-US"/>
        </w:rPr>
        <w:t xml:space="preserve"> in all aspects relating to the provision of these mandatory services.  The provider will also be expected to provide opening times convenient for patients</w:t>
      </w:r>
      <w:r w:rsidR="007E3200">
        <w:rPr>
          <w:rFonts w:eastAsia="Times New Roman"/>
          <w:color w:val="000000"/>
          <w:lang w:eastAsia="en-US"/>
        </w:rPr>
        <w:t>. This may</w:t>
      </w:r>
      <w:r w:rsidRPr="00033CC8">
        <w:rPr>
          <w:rFonts w:eastAsia="Times New Roman"/>
          <w:color w:val="000000"/>
          <w:lang w:eastAsia="en-US"/>
        </w:rPr>
        <w:t xml:space="preserve"> includ</w:t>
      </w:r>
      <w:r w:rsidR="007E3200">
        <w:rPr>
          <w:rFonts w:eastAsia="Times New Roman"/>
          <w:color w:val="000000"/>
          <w:lang w:eastAsia="en-US"/>
        </w:rPr>
        <w:t>e</w:t>
      </w:r>
      <w:r w:rsidRPr="00033CC8">
        <w:rPr>
          <w:rFonts w:eastAsia="Times New Roman"/>
          <w:color w:val="000000"/>
          <w:lang w:eastAsia="en-US"/>
        </w:rPr>
        <w:t xml:space="preserve"> </w:t>
      </w:r>
      <w:r w:rsidR="007E3200">
        <w:rPr>
          <w:rFonts w:eastAsia="Times New Roman"/>
          <w:color w:val="000000"/>
          <w:lang w:eastAsia="en-US"/>
        </w:rPr>
        <w:t xml:space="preserve">weekends and or </w:t>
      </w:r>
      <w:r w:rsidRPr="00033CC8">
        <w:rPr>
          <w:rFonts w:eastAsia="Times New Roman"/>
          <w:color w:val="000000"/>
          <w:lang w:eastAsia="en-US"/>
        </w:rPr>
        <w:t xml:space="preserve">early and late evening appointments. A summary of the anticipated service to be delivered is included </w:t>
      </w:r>
      <w:r w:rsidR="000E61DB">
        <w:rPr>
          <w:rFonts w:eastAsia="Times New Roman"/>
          <w:color w:val="000000"/>
          <w:lang w:eastAsia="en-US"/>
        </w:rPr>
        <w:t>in the service specification</w:t>
      </w:r>
    </w:p>
    <w:p w:rsidR="00033CC8" w:rsidRPr="00033CC8" w:rsidRDefault="00033CC8" w:rsidP="00033CC8">
      <w:pPr>
        <w:autoSpaceDE w:val="0"/>
        <w:autoSpaceDN w:val="0"/>
        <w:adjustRightInd w:val="0"/>
        <w:spacing w:before="0" w:after="0"/>
        <w:jc w:val="both"/>
        <w:rPr>
          <w:rFonts w:eastAsia="Times New Roman"/>
          <w:color w:val="000000"/>
          <w:lang w:eastAsia="en-US"/>
        </w:rPr>
      </w:pPr>
    </w:p>
    <w:p w:rsidR="00033CC8" w:rsidRPr="00033CC8" w:rsidRDefault="00033CC8" w:rsidP="00033CC8">
      <w:pPr>
        <w:autoSpaceDE w:val="0"/>
        <w:autoSpaceDN w:val="0"/>
        <w:adjustRightInd w:val="0"/>
        <w:spacing w:before="0" w:after="0"/>
        <w:jc w:val="both"/>
        <w:rPr>
          <w:rFonts w:eastAsia="Times New Roman"/>
          <w:color w:val="000000"/>
          <w:lang w:eastAsia="en-US"/>
        </w:rPr>
      </w:pPr>
      <w:r w:rsidRPr="00033CC8">
        <w:rPr>
          <w:rFonts w:eastAsia="Times New Roman"/>
          <w:color w:val="000000"/>
          <w:lang w:eastAsia="en-US"/>
        </w:rPr>
        <w:t xml:space="preserve">The contracts will </w:t>
      </w:r>
      <w:r w:rsidRPr="00033CC8">
        <w:rPr>
          <w:rFonts w:eastAsia="Times New Roman"/>
          <w:b/>
          <w:bCs/>
          <w:color w:val="000000"/>
          <w:lang w:eastAsia="en-US"/>
        </w:rPr>
        <w:t xml:space="preserve">exclude </w:t>
      </w:r>
      <w:r w:rsidRPr="00033CC8">
        <w:rPr>
          <w:rFonts w:eastAsia="Times New Roman"/>
          <w:color w:val="000000"/>
          <w:lang w:eastAsia="en-US"/>
        </w:rPr>
        <w:t>the following additional services:</w:t>
      </w:r>
    </w:p>
    <w:p w:rsidR="00033CC8" w:rsidRPr="00033CC8" w:rsidRDefault="00033CC8" w:rsidP="00033CC8">
      <w:pPr>
        <w:numPr>
          <w:ilvl w:val="0"/>
          <w:numId w:val="21"/>
        </w:numPr>
        <w:autoSpaceDE w:val="0"/>
        <w:autoSpaceDN w:val="0"/>
        <w:adjustRightInd w:val="0"/>
        <w:spacing w:before="0" w:after="0"/>
        <w:jc w:val="both"/>
        <w:rPr>
          <w:rFonts w:eastAsia="Times New Roman"/>
          <w:color w:val="000000"/>
          <w:lang w:eastAsia="en-US"/>
        </w:rPr>
      </w:pPr>
      <w:r w:rsidRPr="00033CC8">
        <w:rPr>
          <w:rFonts w:eastAsia="Times New Roman"/>
          <w:color w:val="000000"/>
          <w:lang w:eastAsia="en-US"/>
        </w:rPr>
        <w:t>Orthodontics</w:t>
      </w:r>
    </w:p>
    <w:p w:rsidR="00033CC8" w:rsidRPr="00033CC8" w:rsidRDefault="00033CC8" w:rsidP="00033CC8">
      <w:pPr>
        <w:numPr>
          <w:ilvl w:val="0"/>
          <w:numId w:val="21"/>
        </w:numPr>
        <w:autoSpaceDE w:val="0"/>
        <w:autoSpaceDN w:val="0"/>
        <w:adjustRightInd w:val="0"/>
        <w:spacing w:before="0" w:after="0"/>
        <w:jc w:val="both"/>
        <w:rPr>
          <w:rFonts w:eastAsia="Times New Roman"/>
          <w:color w:val="000000"/>
          <w:lang w:eastAsia="en-US"/>
        </w:rPr>
      </w:pPr>
      <w:r w:rsidRPr="00033CC8">
        <w:rPr>
          <w:rFonts w:eastAsia="Times New Roman"/>
          <w:color w:val="000000"/>
          <w:lang w:eastAsia="en-US"/>
        </w:rPr>
        <w:t>Sedation services</w:t>
      </w:r>
    </w:p>
    <w:p w:rsidR="00033CC8" w:rsidRPr="00033CC8" w:rsidRDefault="00033CC8" w:rsidP="00033CC8">
      <w:pPr>
        <w:autoSpaceDE w:val="0"/>
        <w:autoSpaceDN w:val="0"/>
        <w:adjustRightInd w:val="0"/>
        <w:spacing w:before="0" w:after="0"/>
        <w:jc w:val="both"/>
        <w:rPr>
          <w:rFonts w:eastAsia="Times New Roman"/>
          <w:color w:val="000000"/>
          <w:lang w:eastAsia="en-US"/>
        </w:rPr>
      </w:pPr>
    </w:p>
    <w:p w:rsidR="00033CC8" w:rsidRPr="00033CC8" w:rsidRDefault="00033CC8" w:rsidP="00033CC8">
      <w:pPr>
        <w:autoSpaceDE w:val="0"/>
        <w:autoSpaceDN w:val="0"/>
        <w:adjustRightInd w:val="0"/>
        <w:spacing w:before="0" w:after="0"/>
        <w:jc w:val="both"/>
        <w:rPr>
          <w:rFonts w:eastAsia="Times New Roman"/>
          <w:color w:val="000000"/>
          <w:lang w:eastAsia="en-US"/>
        </w:rPr>
      </w:pPr>
      <w:r w:rsidRPr="00033CC8">
        <w:rPr>
          <w:rFonts w:eastAsia="Times New Roman"/>
          <w:lang w:eastAsia="en-US"/>
        </w:rPr>
        <w:t xml:space="preserve">There are </w:t>
      </w:r>
      <w:r w:rsidR="0064545A">
        <w:rPr>
          <w:rFonts w:eastAsia="Times New Roman"/>
          <w:lang w:eastAsia="en-US"/>
        </w:rPr>
        <w:t>three</w:t>
      </w:r>
      <w:r w:rsidR="0064545A" w:rsidRPr="00033CC8">
        <w:rPr>
          <w:rFonts w:eastAsia="Times New Roman"/>
          <w:lang w:eastAsia="en-US"/>
        </w:rPr>
        <w:t xml:space="preserve"> </w:t>
      </w:r>
      <w:r w:rsidRPr="00033CC8">
        <w:rPr>
          <w:rFonts w:eastAsia="Times New Roman"/>
          <w:lang w:eastAsia="en-US"/>
        </w:rPr>
        <w:t>main principles on which</w:t>
      </w:r>
      <w:r w:rsidRPr="00033CC8">
        <w:rPr>
          <w:rFonts w:eastAsia="Times New Roman"/>
          <w:color w:val="000000"/>
          <w:lang w:eastAsia="en-US"/>
        </w:rPr>
        <w:t xml:space="preserve"> the UDAs are to be commissioned:</w:t>
      </w:r>
    </w:p>
    <w:p w:rsidR="00033CC8" w:rsidRPr="00033CC8" w:rsidRDefault="00033CC8" w:rsidP="00033CC8">
      <w:pPr>
        <w:autoSpaceDE w:val="0"/>
        <w:autoSpaceDN w:val="0"/>
        <w:adjustRightInd w:val="0"/>
        <w:spacing w:before="0" w:after="0"/>
        <w:jc w:val="both"/>
        <w:rPr>
          <w:rFonts w:eastAsia="Times New Roman"/>
          <w:color w:val="000000"/>
          <w:lang w:eastAsia="en-US"/>
        </w:rPr>
      </w:pPr>
    </w:p>
    <w:p w:rsidR="00033CC8" w:rsidRPr="00033CC8" w:rsidRDefault="00033CC8" w:rsidP="00033CC8">
      <w:pPr>
        <w:numPr>
          <w:ilvl w:val="0"/>
          <w:numId w:val="22"/>
        </w:numPr>
        <w:autoSpaceDE w:val="0"/>
        <w:autoSpaceDN w:val="0"/>
        <w:adjustRightInd w:val="0"/>
        <w:spacing w:before="0" w:after="0"/>
        <w:jc w:val="both"/>
        <w:rPr>
          <w:rFonts w:eastAsia="Times New Roman"/>
          <w:color w:val="000000"/>
          <w:lang w:eastAsia="en-US"/>
        </w:rPr>
      </w:pPr>
      <w:r w:rsidRPr="00033CC8">
        <w:rPr>
          <w:rFonts w:eastAsia="Times New Roman"/>
          <w:color w:val="000000"/>
          <w:lang w:eastAsia="en-US"/>
        </w:rPr>
        <w:t>All UDAs will be commissioned to provide the full range of mandatory NHS dental treatment to all patients</w:t>
      </w:r>
    </w:p>
    <w:p w:rsidR="00033CC8" w:rsidRPr="00033CC8" w:rsidRDefault="00033CC8" w:rsidP="00033CC8">
      <w:pPr>
        <w:autoSpaceDE w:val="0"/>
        <w:autoSpaceDN w:val="0"/>
        <w:adjustRightInd w:val="0"/>
        <w:spacing w:before="0" w:after="0"/>
        <w:jc w:val="both"/>
        <w:rPr>
          <w:rFonts w:eastAsia="Times New Roman"/>
          <w:color w:val="000000"/>
          <w:lang w:eastAsia="en-US"/>
        </w:rPr>
      </w:pPr>
    </w:p>
    <w:p w:rsidR="00033CC8" w:rsidRPr="00033CC8" w:rsidRDefault="006569B6" w:rsidP="00033CC8">
      <w:pPr>
        <w:numPr>
          <w:ilvl w:val="0"/>
          <w:numId w:val="22"/>
        </w:numPr>
        <w:autoSpaceDE w:val="0"/>
        <w:autoSpaceDN w:val="0"/>
        <w:adjustRightInd w:val="0"/>
        <w:spacing w:before="0" w:after="0"/>
        <w:jc w:val="both"/>
        <w:rPr>
          <w:rFonts w:eastAsia="Times New Roman"/>
          <w:color w:val="000000"/>
          <w:lang w:eastAsia="en-US"/>
        </w:rPr>
      </w:pPr>
      <w:r>
        <w:rPr>
          <w:rFonts w:eastAsia="Times New Roman"/>
          <w:color w:val="000000"/>
          <w:lang w:eastAsia="en-US"/>
        </w:rPr>
        <w:t>The</w:t>
      </w:r>
      <w:r w:rsidR="00033CC8" w:rsidRPr="003B0DA7">
        <w:rPr>
          <w:rFonts w:eastAsia="Times New Roman"/>
          <w:color w:val="000000"/>
          <w:lang w:eastAsia="en-US"/>
        </w:rPr>
        <w:t xml:space="preserve"> decision to c</w:t>
      </w:r>
      <w:r w:rsidR="00033CC8" w:rsidRPr="00033CC8">
        <w:rPr>
          <w:rFonts w:eastAsia="Times New Roman"/>
          <w:color w:val="000000"/>
          <w:lang w:eastAsia="en-US"/>
        </w:rPr>
        <w:t>ommission</w:t>
      </w:r>
      <w:r>
        <w:rPr>
          <w:rFonts w:eastAsia="Times New Roman"/>
          <w:color w:val="000000"/>
          <w:lang w:eastAsia="en-US"/>
        </w:rPr>
        <w:t xml:space="preserve"> services</w:t>
      </w:r>
      <w:r w:rsidR="00033CC8" w:rsidRPr="00033CC8">
        <w:rPr>
          <w:rFonts w:eastAsia="Times New Roman"/>
          <w:color w:val="000000"/>
          <w:lang w:eastAsia="en-US"/>
        </w:rPr>
        <w:t xml:space="preserve"> at </w:t>
      </w:r>
      <w:r w:rsidR="00033CC8" w:rsidRPr="003B0DA7">
        <w:rPr>
          <w:rFonts w:eastAsia="Times New Roman"/>
          <w:color w:val="000000"/>
          <w:lang w:eastAsia="en-US"/>
        </w:rPr>
        <w:t>these two geographical locations</w:t>
      </w:r>
      <w:r w:rsidR="00033CC8" w:rsidRPr="00033CC8">
        <w:rPr>
          <w:rFonts w:eastAsia="Times New Roman"/>
          <w:color w:val="000000"/>
          <w:lang w:eastAsia="en-US"/>
        </w:rPr>
        <w:t xml:space="preserve"> is based on a local needs assessment, including current access to NHS dental services and where possible address health inequalities particularly those experienced by:</w:t>
      </w:r>
    </w:p>
    <w:p w:rsidR="00033CC8" w:rsidRPr="00033CC8" w:rsidRDefault="00033CC8" w:rsidP="00033CC8">
      <w:pPr>
        <w:numPr>
          <w:ilvl w:val="1"/>
          <w:numId w:val="22"/>
        </w:numPr>
        <w:autoSpaceDE w:val="0"/>
        <w:autoSpaceDN w:val="0"/>
        <w:adjustRightInd w:val="0"/>
        <w:spacing w:before="0" w:after="0"/>
        <w:jc w:val="both"/>
        <w:rPr>
          <w:rFonts w:eastAsia="Times New Roman"/>
          <w:color w:val="000000"/>
          <w:lang w:eastAsia="en-US"/>
        </w:rPr>
      </w:pPr>
      <w:r w:rsidRPr="00033CC8">
        <w:rPr>
          <w:rFonts w:eastAsia="Times New Roman"/>
          <w:color w:val="000000"/>
          <w:lang w:eastAsia="en-US"/>
        </w:rPr>
        <w:t>People with disabilities</w:t>
      </w:r>
    </w:p>
    <w:p w:rsidR="00033CC8" w:rsidRDefault="00033CC8" w:rsidP="00033CC8">
      <w:pPr>
        <w:numPr>
          <w:ilvl w:val="1"/>
          <w:numId w:val="22"/>
        </w:numPr>
        <w:autoSpaceDE w:val="0"/>
        <w:autoSpaceDN w:val="0"/>
        <w:adjustRightInd w:val="0"/>
        <w:spacing w:before="0" w:after="0"/>
        <w:jc w:val="both"/>
        <w:rPr>
          <w:rFonts w:eastAsia="Times New Roman"/>
          <w:color w:val="000000"/>
          <w:lang w:eastAsia="en-US"/>
        </w:rPr>
      </w:pPr>
      <w:r w:rsidRPr="00033CC8">
        <w:rPr>
          <w:rFonts w:eastAsia="Times New Roman"/>
          <w:color w:val="000000"/>
          <w:lang w:eastAsia="en-US"/>
        </w:rPr>
        <w:t>Looked after children</w:t>
      </w:r>
    </w:p>
    <w:p w:rsidR="007E3200" w:rsidRPr="00033CC8" w:rsidRDefault="007E3200" w:rsidP="007E3200">
      <w:pPr>
        <w:numPr>
          <w:ilvl w:val="1"/>
          <w:numId w:val="22"/>
        </w:numPr>
        <w:autoSpaceDE w:val="0"/>
        <w:autoSpaceDN w:val="0"/>
        <w:adjustRightInd w:val="0"/>
        <w:spacing w:before="0" w:after="0"/>
        <w:jc w:val="both"/>
        <w:rPr>
          <w:rFonts w:eastAsia="Times New Roman"/>
          <w:color w:val="000000"/>
          <w:lang w:eastAsia="en-US"/>
        </w:rPr>
      </w:pPr>
      <w:r>
        <w:rPr>
          <w:rFonts w:eastAsia="Times New Roman"/>
          <w:color w:val="000000"/>
          <w:lang w:eastAsia="en-US"/>
        </w:rPr>
        <w:t>C</w:t>
      </w:r>
      <w:r w:rsidRPr="007E3200">
        <w:rPr>
          <w:rFonts w:eastAsia="Times New Roman"/>
          <w:color w:val="000000"/>
          <w:lang w:eastAsia="en-US"/>
        </w:rPr>
        <w:t>hildren under 5</w:t>
      </w:r>
    </w:p>
    <w:p w:rsidR="00033CC8" w:rsidRPr="00033CC8" w:rsidRDefault="00033CC8" w:rsidP="00033CC8">
      <w:pPr>
        <w:numPr>
          <w:ilvl w:val="1"/>
          <w:numId w:val="22"/>
        </w:numPr>
        <w:autoSpaceDE w:val="0"/>
        <w:autoSpaceDN w:val="0"/>
        <w:adjustRightInd w:val="0"/>
        <w:spacing w:before="0" w:after="0"/>
        <w:jc w:val="both"/>
        <w:rPr>
          <w:rFonts w:eastAsia="Times New Roman"/>
          <w:color w:val="000000"/>
          <w:lang w:eastAsia="en-US"/>
        </w:rPr>
      </w:pPr>
      <w:r w:rsidRPr="00033CC8">
        <w:rPr>
          <w:rFonts w:eastAsia="Times New Roman"/>
          <w:color w:val="000000"/>
          <w:lang w:eastAsia="en-US"/>
        </w:rPr>
        <w:t>Older people</w:t>
      </w:r>
    </w:p>
    <w:p w:rsidR="00033CC8" w:rsidRPr="00033CC8" w:rsidRDefault="00033CC8" w:rsidP="00033CC8">
      <w:pPr>
        <w:numPr>
          <w:ilvl w:val="1"/>
          <w:numId w:val="22"/>
        </w:numPr>
        <w:autoSpaceDE w:val="0"/>
        <w:autoSpaceDN w:val="0"/>
        <w:adjustRightInd w:val="0"/>
        <w:spacing w:before="0" w:after="0"/>
        <w:jc w:val="both"/>
        <w:rPr>
          <w:rFonts w:eastAsia="Times New Roman"/>
          <w:color w:val="000000"/>
          <w:lang w:eastAsia="en-US"/>
        </w:rPr>
      </w:pPr>
      <w:r w:rsidRPr="00033CC8">
        <w:rPr>
          <w:rFonts w:eastAsia="Times New Roman"/>
          <w:color w:val="000000"/>
          <w:lang w:eastAsia="en-US"/>
        </w:rPr>
        <w:t xml:space="preserve">Patients with high dental need and </w:t>
      </w:r>
    </w:p>
    <w:p w:rsidR="00033CC8" w:rsidRPr="00033CC8" w:rsidRDefault="00033CC8" w:rsidP="00033CC8">
      <w:pPr>
        <w:numPr>
          <w:ilvl w:val="1"/>
          <w:numId w:val="22"/>
        </w:numPr>
        <w:autoSpaceDE w:val="0"/>
        <w:autoSpaceDN w:val="0"/>
        <w:adjustRightInd w:val="0"/>
        <w:spacing w:before="0" w:after="0"/>
        <w:jc w:val="both"/>
        <w:rPr>
          <w:rFonts w:eastAsia="Times New Roman"/>
          <w:color w:val="000000"/>
          <w:lang w:eastAsia="en-US"/>
        </w:rPr>
      </w:pPr>
      <w:r w:rsidRPr="00033CC8">
        <w:rPr>
          <w:rFonts w:eastAsia="Times New Roman"/>
          <w:color w:val="000000"/>
          <w:lang w:eastAsia="en-US"/>
        </w:rPr>
        <w:lastRenderedPageBreak/>
        <w:t>Hard to reach groups</w:t>
      </w:r>
    </w:p>
    <w:p w:rsidR="00033CC8" w:rsidRPr="00033CC8" w:rsidRDefault="00033CC8" w:rsidP="00033CC8">
      <w:pPr>
        <w:autoSpaceDE w:val="0"/>
        <w:autoSpaceDN w:val="0"/>
        <w:adjustRightInd w:val="0"/>
        <w:spacing w:before="0" w:after="0"/>
        <w:jc w:val="both"/>
        <w:rPr>
          <w:rFonts w:eastAsia="Times New Roman"/>
          <w:color w:val="000000"/>
          <w:lang w:eastAsia="en-US"/>
        </w:rPr>
      </w:pPr>
    </w:p>
    <w:p w:rsidR="00033CC8" w:rsidRPr="00033CC8" w:rsidRDefault="00033CC8" w:rsidP="00033CC8">
      <w:pPr>
        <w:numPr>
          <w:ilvl w:val="0"/>
          <w:numId w:val="22"/>
        </w:numPr>
        <w:autoSpaceDE w:val="0"/>
        <w:autoSpaceDN w:val="0"/>
        <w:adjustRightInd w:val="0"/>
        <w:spacing w:before="0" w:after="0"/>
        <w:jc w:val="both"/>
        <w:rPr>
          <w:rFonts w:eastAsia="Times New Roman"/>
          <w:color w:val="000000"/>
          <w:lang w:eastAsia="en-US"/>
        </w:rPr>
      </w:pPr>
      <w:r w:rsidRPr="00033CC8">
        <w:rPr>
          <w:rFonts w:eastAsia="Times New Roman"/>
          <w:color w:val="000000"/>
          <w:lang w:eastAsia="en-US"/>
        </w:rPr>
        <w:t>The tender process will be transparent and non-discriminatory</w:t>
      </w:r>
    </w:p>
    <w:p w:rsidR="00033CC8" w:rsidRPr="00033CC8" w:rsidRDefault="00033CC8" w:rsidP="00033CC8">
      <w:pPr>
        <w:autoSpaceDE w:val="0"/>
        <w:autoSpaceDN w:val="0"/>
        <w:adjustRightInd w:val="0"/>
        <w:spacing w:before="0" w:after="0"/>
        <w:jc w:val="both"/>
        <w:rPr>
          <w:rFonts w:eastAsia="Times New Roman"/>
          <w:color w:val="000000"/>
          <w:lang w:eastAsia="en-US"/>
        </w:rPr>
      </w:pPr>
    </w:p>
    <w:p w:rsidR="00033CC8" w:rsidRDefault="00033CC8" w:rsidP="00033CC8">
      <w:pPr>
        <w:autoSpaceDE w:val="0"/>
        <w:autoSpaceDN w:val="0"/>
        <w:adjustRightInd w:val="0"/>
        <w:spacing w:before="0" w:after="0"/>
        <w:jc w:val="both"/>
        <w:rPr>
          <w:rFonts w:eastAsia="Times New Roman"/>
          <w:color w:val="000000"/>
          <w:lang w:eastAsia="en-US"/>
        </w:rPr>
      </w:pPr>
      <w:r w:rsidRPr="00033CC8">
        <w:rPr>
          <w:rFonts w:eastAsia="Times New Roman"/>
          <w:color w:val="000000"/>
          <w:lang w:eastAsia="en-US"/>
        </w:rPr>
        <w:t xml:space="preserve">The service model proposed </w:t>
      </w:r>
      <w:r w:rsidR="00FD5512">
        <w:rPr>
          <w:rFonts w:eastAsia="Times New Roman"/>
          <w:color w:val="000000"/>
          <w:lang w:eastAsia="en-US"/>
        </w:rPr>
        <w:t>in the service specification</w:t>
      </w:r>
      <w:r w:rsidRPr="00033CC8">
        <w:rPr>
          <w:rFonts w:eastAsia="Times New Roman"/>
          <w:color w:val="000000"/>
          <w:lang w:eastAsia="en-US"/>
        </w:rPr>
        <w:t xml:space="preserve"> is aimed at improving services in an area where traditionally service provision has been lacking, whilst identifying additional service delivery requirements. </w:t>
      </w:r>
    </w:p>
    <w:p w:rsidR="00B342F8" w:rsidRDefault="00B342F8" w:rsidP="00033CC8">
      <w:pPr>
        <w:autoSpaceDE w:val="0"/>
        <w:autoSpaceDN w:val="0"/>
        <w:adjustRightInd w:val="0"/>
        <w:spacing w:before="0" w:after="0"/>
        <w:jc w:val="both"/>
        <w:rPr>
          <w:rFonts w:eastAsia="Times New Roman"/>
          <w:color w:val="000000"/>
          <w:lang w:eastAsia="en-US"/>
        </w:rPr>
      </w:pPr>
    </w:p>
    <w:p w:rsidR="00A3227F" w:rsidRPr="00172DBF" w:rsidRDefault="007A22F1" w:rsidP="00BB196A">
      <w:pPr>
        <w:pStyle w:val="Heading2"/>
      </w:pPr>
      <w:bookmarkStart w:id="11" w:name="_Toc504733048"/>
      <w:r w:rsidRPr="002712D6">
        <w:t>O</w:t>
      </w:r>
      <w:r w:rsidR="00172DBF">
        <w:t>verview</w:t>
      </w:r>
      <w:r w:rsidR="00967AE8">
        <w:t xml:space="preserve"> of Current Provision</w:t>
      </w:r>
      <w:bookmarkEnd w:id="11"/>
    </w:p>
    <w:p w:rsidR="005C7FC7" w:rsidRPr="003B0DA7" w:rsidRDefault="00EA27C3" w:rsidP="00F16EFC">
      <w:pPr>
        <w:pStyle w:val="ListParagraph"/>
        <w:numPr>
          <w:ilvl w:val="0"/>
          <w:numId w:val="15"/>
        </w:numPr>
        <w:jc w:val="both"/>
        <w:rPr>
          <w:sz w:val="22"/>
          <w:szCs w:val="22"/>
        </w:rPr>
      </w:pPr>
      <w:r w:rsidRPr="003B0DA7">
        <w:rPr>
          <w:sz w:val="22"/>
          <w:szCs w:val="22"/>
        </w:rPr>
        <w:t xml:space="preserve">The London Borough of </w:t>
      </w:r>
      <w:r w:rsidR="005C7FC7" w:rsidRPr="003B0DA7">
        <w:rPr>
          <w:sz w:val="22"/>
          <w:szCs w:val="22"/>
        </w:rPr>
        <w:t xml:space="preserve">Newham does not currently have </w:t>
      </w:r>
      <w:r w:rsidR="006569B6">
        <w:rPr>
          <w:sz w:val="22"/>
          <w:szCs w:val="22"/>
        </w:rPr>
        <w:t xml:space="preserve">sufficient </w:t>
      </w:r>
      <w:r w:rsidR="005C7FC7" w:rsidRPr="003B0DA7">
        <w:rPr>
          <w:sz w:val="22"/>
          <w:szCs w:val="22"/>
        </w:rPr>
        <w:t>provision</w:t>
      </w:r>
      <w:r w:rsidR="00570E20" w:rsidRPr="003B0DA7">
        <w:rPr>
          <w:sz w:val="22"/>
          <w:szCs w:val="22"/>
        </w:rPr>
        <w:t xml:space="preserve"> of </w:t>
      </w:r>
      <w:r w:rsidR="00B342F8">
        <w:rPr>
          <w:sz w:val="22"/>
          <w:szCs w:val="22"/>
        </w:rPr>
        <w:t xml:space="preserve">NHS </w:t>
      </w:r>
      <w:r w:rsidR="00570E20" w:rsidRPr="003B0DA7">
        <w:rPr>
          <w:sz w:val="22"/>
          <w:szCs w:val="22"/>
        </w:rPr>
        <w:t>dental services</w:t>
      </w:r>
      <w:r w:rsidR="005C7FC7" w:rsidRPr="003B0DA7">
        <w:rPr>
          <w:sz w:val="22"/>
          <w:szCs w:val="22"/>
        </w:rPr>
        <w:t xml:space="preserve"> </w:t>
      </w:r>
      <w:r w:rsidR="00B342F8">
        <w:rPr>
          <w:sz w:val="22"/>
          <w:szCs w:val="22"/>
        </w:rPr>
        <w:t xml:space="preserve">in the </w:t>
      </w:r>
      <w:r w:rsidR="006569B6">
        <w:rPr>
          <w:sz w:val="22"/>
          <w:szCs w:val="22"/>
        </w:rPr>
        <w:t>Canning Town / Custom House wards</w:t>
      </w:r>
      <w:r w:rsidR="00B342F8">
        <w:rPr>
          <w:sz w:val="22"/>
          <w:szCs w:val="22"/>
        </w:rPr>
        <w:t xml:space="preserve">.  </w:t>
      </w:r>
      <w:r w:rsidR="00F16EFC" w:rsidRPr="00F16EFC">
        <w:rPr>
          <w:sz w:val="22"/>
          <w:szCs w:val="22"/>
        </w:rPr>
        <w:t>Existing services are provided from practices located in other areas of Newham</w:t>
      </w:r>
    </w:p>
    <w:p w:rsidR="00456343" w:rsidRDefault="001163C6" w:rsidP="00F16EFC">
      <w:pPr>
        <w:pStyle w:val="ListParagraph"/>
        <w:numPr>
          <w:ilvl w:val="0"/>
          <w:numId w:val="15"/>
        </w:numPr>
        <w:jc w:val="both"/>
        <w:rPr>
          <w:sz w:val="22"/>
          <w:szCs w:val="22"/>
        </w:rPr>
      </w:pPr>
      <w:r w:rsidRPr="003B0DA7">
        <w:rPr>
          <w:sz w:val="22"/>
          <w:szCs w:val="22"/>
        </w:rPr>
        <w:t xml:space="preserve">The London Borough of </w:t>
      </w:r>
      <w:r w:rsidR="005C7FC7" w:rsidRPr="003B0DA7">
        <w:rPr>
          <w:sz w:val="22"/>
          <w:szCs w:val="22"/>
        </w:rPr>
        <w:t xml:space="preserve">Hillingdon does not currently have </w:t>
      </w:r>
      <w:r w:rsidR="006569B6">
        <w:rPr>
          <w:sz w:val="22"/>
          <w:szCs w:val="22"/>
        </w:rPr>
        <w:t>sufficient</w:t>
      </w:r>
      <w:r w:rsidR="005C7FC7" w:rsidRPr="003B0DA7">
        <w:rPr>
          <w:sz w:val="22"/>
          <w:szCs w:val="22"/>
        </w:rPr>
        <w:t xml:space="preserve"> provision </w:t>
      </w:r>
      <w:r w:rsidR="00570E20" w:rsidRPr="003B0DA7">
        <w:rPr>
          <w:sz w:val="22"/>
          <w:szCs w:val="22"/>
        </w:rPr>
        <w:t xml:space="preserve">of dental services </w:t>
      </w:r>
      <w:r w:rsidR="005C7FC7" w:rsidRPr="003B0DA7">
        <w:rPr>
          <w:sz w:val="22"/>
          <w:szCs w:val="22"/>
        </w:rPr>
        <w:t xml:space="preserve">in </w:t>
      </w:r>
      <w:r w:rsidR="00CE68AD">
        <w:rPr>
          <w:sz w:val="22"/>
          <w:szCs w:val="22"/>
        </w:rPr>
        <w:t>Yiewsley</w:t>
      </w:r>
      <w:r w:rsidR="00B342F8">
        <w:rPr>
          <w:sz w:val="22"/>
          <w:szCs w:val="22"/>
        </w:rPr>
        <w:t xml:space="preserve">.  </w:t>
      </w:r>
      <w:r w:rsidR="00F16EFC" w:rsidRPr="00F16EFC">
        <w:rPr>
          <w:sz w:val="22"/>
          <w:szCs w:val="22"/>
        </w:rPr>
        <w:t xml:space="preserve">Existing services are provided from practices located in other areas of </w:t>
      </w:r>
      <w:r w:rsidR="00F16EFC">
        <w:rPr>
          <w:sz w:val="22"/>
          <w:szCs w:val="22"/>
        </w:rPr>
        <w:t>Hillingdon</w:t>
      </w:r>
    </w:p>
    <w:p w:rsidR="00293448" w:rsidRPr="003B0DA7" w:rsidRDefault="00293448" w:rsidP="00293448">
      <w:pPr>
        <w:pStyle w:val="ListParagraph"/>
        <w:ind w:left="360"/>
        <w:jc w:val="both"/>
        <w:rPr>
          <w:sz w:val="22"/>
          <w:szCs w:val="22"/>
        </w:rPr>
      </w:pPr>
    </w:p>
    <w:p w:rsidR="0093395F" w:rsidRPr="00A3227F" w:rsidRDefault="00B83F2F" w:rsidP="00BB196A">
      <w:pPr>
        <w:pStyle w:val="Heading2"/>
        <w:rPr>
          <w:rStyle w:val="Hyperlink"/>
          <w:b w:val="0"/>
          <w:color w:val="auto"/>
          <w:u w:val="none"/>
        </w:rPr>
      </w:pPr>
      <w:bookmarkStart w:id="12" w:name="_Toc504733049"/>
      <w:r w:rsidRPr="00A3227F">
        <w:rPr>
          <w:rStyle w:val="Hyperlink"/>
          <w:color w:val="auto"/>
          <w:u w:val="none"/>
        </w:rPr>
        <w:t xml:space="preserve">Objectives of </w:t>
      </w:r>
      <w:r w:rsidR="001D6AE6">
        <w:rPr>
          <w:rStyle w:val="Hyperlink"/>
          <w:color w:val="auto"/>
          <w:u w:val="none"/>
        </w:rPr>
        <w:t>the Authority’s</w:t>
      </w:r>
      <w:r w:rsidRPr="00A3227F">
        <w:rPr>
          <w:rStyle w:val="Hyperlink"/>
          <w:color w:val="auto"/>
          <w:u w:val="none"/>
        </w:rPr>
        <w:t xml:space="preserve"> Procurement</w:t>
      </w:r>
      <w:bookmarkEnd w:id="12"/>
    </w:p>
    <w:p w:rsidR="002F5058" w:rsidRDefault="00B83F2F" w:rsidP="001933BA">
      <w:pPr>
        <w:shd w:val="clear" w:color="auto" w:fill="FFFFFF"/>
        <w:spacing w:before="0" w:after="0"/>
        <w:jc w:val="both"/>
      </w:pPr>
      <w:r w:rsidRPr="003B0DA7">
        <w:t>The k</w:t>
      </w:r>
      <w:r w:rsidR="001227C7" w:rsidRPr="003B0DA7">
        <w:t>e</w:t>
      </w:r>
      <w:r w:rsidRPr="003B0DA7">
        <w:t xml:space="preserve">y objectives of </w:t>
      </w:r>
      <w:r w:rsidR="001D6AE6">
        <w:t xml:space="preserve">The </w:t>
      </w:r>
      <w:r w:rsidRPr="003B0DA7" w:rsidDel="002C4BF7">
        <w:t>P</w:t>
      </w:r>
      <w:r w:rsidRPr="003B0DA7">
        <w:t>rocurement</w:t>
      </w:r>
      <w:r w:rsidR="0047617C" w:rsidRPr="003B0DA7">
        <w:t xml:space="preserve"> </w:t>
      </w:r>
      <w:r w:rsidR="00E12167" w:rsidRPr="003B0DA7">
        <w:t>scheme</w:t>
      </w:r>
      <w:r w:rsidRPr="003B0DA7">
        <w:t xml:space="preserve"> </w:t>
      </w:r>
      <w:r w:rsidR="002F5058" w:rsidRPr="003B0DA7">
        <w:t>are</w:t>
      </w:r>
      <w:r w:rsidRPr="003B0DA7">
        <w:t>:</w:t>
      </w:r>
    </w:p>
    <w:p w:rsidR="00293448" w:rsidRPr="003B0DA7" w:rsidRDefault="00293448" w:rsidP="001933BA">
      <w:pPr>
        <w:shd w:val="clear" w:color="auto" w:fill="FFFFFF"/>
        <w:spacing w:before="0" w:after="0"/>
        <w:jc w:val="both"/>
      </w:pPr>
    </w:p>
    <w:p w:rsidR="002F46FC" w:rsidRPr="003B0DA7" w:rsidRDefault="002F46FC">
      <w:pPr>
        <w:pStyle w:val="ListParagraph"/>
        <w:numPr>
          <w:ilvl w:val="0"/>
          <w:numId w:val="20"/>
        </w:numPr>
        <w:shd w:val="clear" w:color="auto" w:fill="FFFFFF"/>
        <w:ind w:left="426" w:hanging="426"/>
        <w:jc w:val="both"/>
        <w:rPr>
          <w:sz w:val="22"/>
          <w:szCs w:val="22"/>
        </w:rPr>
      </w:pPr>
      <w:r w:rsidRPr="003B0DA7">
        <w:rPr>
          <w:sz w:val="22"/>
          <w:szCs w:val="22"/>
        </w:rPr>
        <w:t>To provide patients with greater access to NHS primary dental care services through additional capacity</w:t>
      </w:r>
    </w:p>
    <w:p w:rsidR="002F46FC" w:rsidRPr="003B0DA7" w:rsidRDefault="002F46FC">
      <w:pPr>
        <w:pStyle w:val="ListParagraph"/>
        <w:numPr>
          <w:ilvl w:val="0"/>
          <w:numId w:val="20"/>
        </w:numPr>
        <w:shd w:val="clear" w:color="auto" w:fill="FFFFFF"/>
        <w:ind w:left="426" w:hanging="426"/>
        <w:jc w:val="both"/>
        <w:rPr>
          <w:sz w:val="22"/>
          <w:szCs w:val="22"/>
        </w:rPr>
      </w:pPr>
      <w:r w:rsidRPr="003B0DA7">
        <w:rPr>
          <w:sz w:val="22"/>
          <w:szCs w:val="22"/>
        </w:rPr>
        <w:t xml:space="preserve">To address equity of access to NHS dentistry across the boroughs of </w:t>
      </w:r>
      <w:r w:rsidR="0080735C">
        <w:rPr>
          <w:sz w:val="22"/>
          <w:szCs w:val="22"/>
        </w:rPr>
        <w:t xml:space="preserve">Hillingdon and </w:t>
      </w:r>
      <w:r w:rsidRPr="003B0DA7">
        <w:rPr>
          <w:sz w:val="22"/>
          <w:szCs w:val="22"/>
        </w:rPr>
        <w:t>Newham</w:t>
      </w:r>
    </w:p>
    <w:p w:rsidR="008B25CF" w:rsidRDefault="002F5058" w:rsidP="000E61DB">
      <w:pPr>
        <w:pStyle w:val="ListParagraph"/>
        <w:numPr>
          <w:ilvl w:val="0"/>
          <w:numId w:val="11"/>
        </w:numPr>
        <w:shd w:val="clear" w:color="auto" w:fill="FFFFFF"/>
        <w:ind w:left="426" w:hanging="426"/>
        <w:jc w:val="both"/>
        <w:rPr>
          <w:sz w:val="22"/>
          <w:szCs w:val="22"/>
        </w:rPr>
      </w:pPr>
      <w:r w:rsidRPr="003B0DA7">
        <w:rPr>
          <w:sz w:val="22"/>
          <w:szCs w:val="22"/>
        </w:rPr>
        <w:t xml:space="preserve">Commission </w:t>
      </w:r>
      <w:r w:rsidR="00DC1562" w:rsidRPr="003B0DA7">
        <w:rPr>
          <w:sz w:val="22"/>
          <w:szCs w:val="22"/>
        </w:rPr>
        <w:t>recurrent U</w:t>
      </w:r>
      <w:r w:rsidR="00570E20" w:rsidRPr="003B0DA7">
        <w:rPr>
          <w:sz w:val="22"/>
          <w:szCs w:val="22"/>
        </w:rPr>
        <w:t>D</w:t>
      </w:r>
      <w:r w:rsidR="00DC1562" w:rsidRPr="003B0DA7">
        <w:rPr>
          <w:sz w:val="22"/>
          <w:szCs w:val="22"/>
        </w:rPr>
        <w:t>A activity</w:t>
      </w:r>
      <w:r w:rsidRPr="003B0DA7">
        <w:rPr>
          <w:sz w:val="22"/>
          <w:szCs w:val="22"/>
        </w:rPr>
        <w:t xml:space="preserve"> with the ethos of </w:t>
      </w:r>
      <w:r w:rsidR="00B342F8">
        <w:rPr>
          <w:sz w:val="22"/>
          <w:szCs w:val="22"/>
        </w:rPr>
        <w:t>the Department of Health (DH) document ‘</w:t>
      </w:r>
      <w:r w:rsidRPr="003B0DA7">
        <w:rPr>
          <w:sz w:val="22"/>
          <w:szCs w:val="22"/>
        </w:rPr>
        <w:t>Delivering Better Oral Health</w:t>
      </w:r>
      <w:r w:rsidR="00B342F8">
        <w:rPr>
          <w:sz w:val="22"/>
          <w:szCs w:val="22"/>
        </w:rPr>
        <w:t>’</w:t>
      </w:r>
      <w:r w:rsidRPr="003B0DA7">
        <w:rPr>
          <w:sz w:val="22"/>
          <w:szCs w:val="22"/>
        </w:rPr>
        <w:t>, in particular</w:t>
      </w:r>
      <w:r w:rsidR="008B25CF">
        <w:rPr>
          <w:sz w:val="22"/>
          <w:szCs w:val="22"/>
        </w:rPr>
        <w:t>:</w:t>
      </w:r>
    </w:p>
    <w:p w:rsidR="008B25CF" w:rsidRDefault="008B25CF" w:rsidP="000E61DB">
      <w:pPr>
        <w:pStyle w:val="ListParagraph"/>
        <w:numPr>
          <w:ilvl w:val="1"/>
          <w:numId w:val="11"/>
        </w:numPr>
        <w:shd w:val="clear" w:color="auto" w:fill="FFFFFF"/>
        <w:jc w:val="both"/>
        <w:rPr>
          <w:sz w:val="22"/>
          <w:szCs w:val="22"/>
        </w:rPr>
      </w:pPr>
      <w:r>
        <w:rPr>
          <w:sz w:val="22"/>
          <w:szCs w:val="22"/>
        </w:rPr>
        <w:t>Dental services for children and young adults</w:t>
      </w:r>
    </w:p>
    <w:p w:rsidR="008B25CF" w:rsidRDefault="008B25CF" w:rsidP="000E61DB">
      <w:pPr>
        <w:pStyle w:val="ListParagraph"/>
        <w:numPr>
          <w:ilvl w:val="1"/>
          <w:numId w:val="11"/>
        </w:numPr>
        <w:shd w:val="clear" w:color="auto" w:fill="FFFFFF"/>
        <w:jc w:val="both"/>
        <w:rPr>
          <w:sz w:val="22"/>
          <w:szCs w:val="22"/>
        </w:rPr>
      </w:pPr>
      <w:r>
        <w:rPr>
          <w:sz w:val="22"/>
          <w:szCs w:val="22"/>
        </w:rPr>
        <w:t>Provide Topical Fluoride Varnish applications and fissure sealants as necessary</w:t>
      </w:r>
    </w:p>
    <w:p w:rsidR="002F5058" w:rsidRPr="003B0DA7" w:rsidRDefault="008B25CF" w:rsidP="000E61DB">
      <w:pPr>
        <w:pStyle w:val="ListParagraph"/>
        <w:numPr>
          <w:ilvl w:val="1"/>
          <w:numId w:val="11"/>
        </w:numPr>
        <w:shd w:val="clear" w:color="auto" w:fill="FFFFFF"/>
        <w:jc w:val="both"/>
        <w:rPr>
          <w:sz w:val="22"/>
          <w:szCs w:val="22"/>
        </w:rPr>
      </w:pPr>
      <w:r>
        <w:rPr>
          <w:sz w:val="22"/>
          <w:szCs w:val="22"/>
        </w:rPr>
        <w:t>Offer preventative advice to all patients</w:t>
      </w:r>
    </w:p>
    <w:p w:rsidR="002F5058" w:rsidRPr="00A86F99" w:rsidRDefault="002F5058" w:rsidP="00A86F99">
      <w:pPr>
        <w:shd w:val="clear" w:color="auto" w:fill="FFFFFF"/>
        <w:jc w:val="both"/>
      </w:pPr>
    </w:p>
    <w:p w:rsidR="002F5058" w:rsidRPr="003B0DA7" w:rsidRDefault="002F5058" w:rsidP="00CA2AC2">
      <w:pPr>
        <w:pStyle w:val="ListParagraph"/>
        <w:numPr>
          <w:ilvl w:val="0"/>
          <w:numId w:val="11"/>
        </w:numPr>
        <w:shd w:val="clear" w:color="auto" w:fill="FFFFFF"/>
        <w:ind w:left="426" w:hanging="284"/>
        <w:jc w:val="both"/>
        <w:rPr>
          <w:sz w:val="22"/>
          <w:szCs w:val="22"/>
        </w:rPr>
      </w:pPr>
      <w:r w:rsidRPr="003B0DA7">
        <w:rPr>
          <w:sz w:val="22"/>
          <w:szCs w:val="22"/>
        </w:rPr>
        <w:t xml:space="preserve">To ensure that </w:t>
      </w:r>
      <w:r w:rsidR="00570E20" w:rsidRPr="003B0DA7">
        <w:rPr>
          <w:sz w:val="22"/>
          <w:szCs w:val="22"/>
        </w:rPr>
        <w:t xml:space="preserve">any new provision of </w:t>
      </w:r>
      <w:r w:rsidR="00C41C24" w:rsidRPr="003B0DA7">
        <w:rPr>
          <w:sz w:val="22"/>
          <w:szCs w:val="22"/>
        </w:rPr>
        <w:t>primary care</w:t>
      </w:r>
      <w:r w:rsidR="00570E20" w:rsidRPr="003B0DA7">
        <w:rPr>
          <w:sz w:val="22"/>
          <w:szCs w:val="22"/>
        </w:rPr>
        <w:t xml:space="preserve"> mandatory </w:t>
      </w:r>
      <w:r w:rsidR="00C41C24" w:rsidRPr="003B0DA7">
        <w:rPr>
          <w:sz w:val="22"/>
          <w:szCs w:val="22"/>
        </w:rPr>
        <w:t xml:space="preserve">dental </w:t>
      </w:r>
      <w:r w:rsidR="00570E20" w:rsidRPr="003B0DA7">
        <w:rPr>
          <w:sz w:val="22"/>
          <w:szCs w:val="22"/>
        </w:rPr>
        <w:t xml:space="preserve">services </w:t>
      </w:r>
      <w:r w:rsidRPr="003B0DA7">
        <w:rPr>
          <w:sz w:val="22"/>
          <w:szCs w:val="22"/>
        </w:rPr>
        <w:t xml:space="preserve">is fully commissioned in </w:t>
      </w:r>
      <w:r w:rsidR="005B7595">
        <w:rPr>
          <w:sz w:val="22"/>
          <w:szCs w:val="22"/>
        </w:rPr>
        <w:t xml:space="preserve">PDS Plus </w:t>
      </w:r>
      <w:r w:rsidR="00CB2652">
        <w:rPr>
          <w:sz w:val="22"/>
          <w:szCs w:val="22"/>
        </w:rPr>
        <w:t>agreements</w:t>
      </w:r>
      <w:r w:rsidR="0080735C">
        <w:rPr>
          <w:sz w:val="22"/>
          <w:szCs w:val="22"/>
        </w:rPr>
        <w:t>, with specified time limits</w:t>
      </w:r>
    </w:p>
    <w:p w:rsidR="00F476FA" w:rsidRPr="003B0DA7" w:rsidRDefault="00F476FA" w:rsidP="00CA2AC2">
      <w:pPr>
        <w:pStyle w:val="ListParagraph"/>
        <w:numPr>
          <w:ilvl w:val="0"/>
          <w:numId w:val="11"/>
        </w:numPr>
        <w:shd w:val="clear" w:color="auto" w:fill="FFFFFF"/>
        <w:ind w:left="426" w:hanging="284"/>
        <w:jc w:val="both"/>
        <w:rPr>
          <w:sz w:val="22"/>
          <w:szCs w:val="22"/>
        </w:rPr>
      </w:pPr>
      <w:r w:rsidRPr="003B0DA7">
        <w:rPr>
          <w:sz w:val="22"/>
          <w:szCs w:val="22"/>
        </w:rPr>
        <w:t>To provide high quality NHS dentistry to all patients</w:t>
      </w:r>
      <w:r w:rsidR="0080735C">
        <w:rPr>
          <w:sz w:val="22"/>
          <w:szCs w:val="22"/>
        </w:rPr>
        <w:t xml:space="preserve"> wishing to access services</w:t>
      </w:r>
    </w:p>
    <w:p w:rsidR="00F476FA" w:rsidRPr="003B0DA7" w:rsidRDefault="00F476FA" w:rsidP="00CA2AC2">
      <w:pPr>
        <w:pStyle w:val="ListParagraph"/>
        <w:numPr>
          <w:ilvl w:val="0"/>
          <w:numId w:val="11"/>
        </w:numPr>
        <w:shd w:val="clear" w:color="auto" w:fill="FFFFFF"/>
        <w:ind w:left="426" w:hanging="284"/>
        <w:jc w:val="both"/>
        <w:rPr>
          <w:sz w:val="22"/>
          <w:szCs w:val="22"/>
        </w:rPr>
      </w:pPr>
      <w:r w:rsidRPr="003B0DA7">
        <w:rPr>
          <w:sz w:val="22"/>
          <w:szCs w:val="22"/>
        </w:rPr>
        <w:t>To deliver affordable and value for money (VFM) NHS Primary Care Mandatory Dental Services</w:t>
      </w:r>
    </w:p>
    <w:p w:rsidR="00F476FA" w:rsidRPr="0092250B" w:rsidRDefault="00F476FA" w:rsidP="00CA2AC2">
      <w:pPr>
        <w:pStyle w:val="ListParagraph"/>
        <w:numPr>
          <w:ilvl w:val="0"/>
          <w:numId w:val="11"/>
        </w:numPr>
        <w:shd w:val="clear" w:color="auto" w:fill="FFFFFF"/>
        <w:ind w:left="426" w:hanging="284"/>
        <w:jc w:val="both"/>
        <w:rPr>
          <w:sz w:val="22"/>
          <w:szCs w:val="22"/>
        </w:rPr>
      </w:pPr>
      <w:r w:rsidRPr="003B0DA7">
        <w:rPr>
          <w:sz w:val="22"/>
          <w:szCs w:val="22"/>
        </w:rPr>
        <w:t xml:space="preserve">To develop innovative services to address the </w:t>
      </w:r>
      <w:r w:rsidR="00CF4E6F" w:rsidRPr="00CF4E6F">
        <w:rPr>
          <w:sz w:val="22"/>
          <w:szCs w:val="22"/>
        </w:rPr>
        <w:t xml:space="preserve">oral health </w:t>
      </w:r>
      <w:r w:rsidRPr="003B0DA7">
        <w:rPr>
          <w:sz w:val="22"/>
          <w:szCs w:val="22"/>
        </w:rPr>
        <w:t xml:space="preserve">inequalities experienced by members of the local community and in particular, </w:t>
      </w:r>
      <w:r w:rsidR="00CF4E6F" w:rsidRPr="00CF4E6F">
        <w:rPr>
          <w:sz w:val="22"/>
          <w:szCs w:val="22"/>
        </w:rPr>
        <w:t xml:space="preserve">children especially  those under the </w:t>
      </w:r>
      <w:r w:rsidR="00CF4E6F" w:rsidRPr="0092250B">
        <w:rPr>
          <w:sz w:val="22"/>
          <w:szCs w:val="22"/>
        </w:rPr>
        <w:t xml:space="preserve">age of 5, </w:t>
      </w:r>
      <w:r w:rsidRPr="0092250B">
        <w:rPr>
          <w:sz w:val="22"/>
          <w:szCs w:val="22"/>
        </w:rPr>
        <w:t xml:space="preserve">hard to reach groups, and people unable to access a local NHS </w:t>
      </w:r>
      <w:r w:rsidR="00865894" w:rsidRPr="0092250B">
        <w:rPr>
          <w:sz w:val="22"/>
          <w:szCs w:val="22"/>
        </w:rPr>
        <w:t>d</w:t>
      </w:r>
      <w:r w:rsidRPr="0092250B">
        <w:rPr>
          <w:sz w:val="22"/>
          <w:szCs w:val="22"/>
        </w:rPr>
        <w:t>entist</w:t>
      </w:r>
    </w:p>
    <w:p w:rsidR="00CF4E6F" w:rsidRPr="0092250B" w:rsidRDefault="00CF4E6F" w:rsidP="00CA2AC2">
      <w:pPr>
        <w:numPr>
          <w:ilvl w:val="0"/>
          <w:numId w:val="11"/>
        </w:numPr>
        <w:shd w:val="clear" w:color="auto" w:fill="FFFFFF"/>
        <w:spacing w:before="0" w:after="0"/>
        <w:ind w:left="426" w:hanging="284"/>
        <w:contextualSpacing/>
      </w:pPr>
      <w:r w:rsidRPr="0092250B">
        <w:t>To develop and deliver a high quality evidence based dental service with a focus on prevention</w:t>
      </w:r>
    </w:p>
    <w:p w:rsidR="00CF4E6F" w:rsidRPr="0092250B" w:rsidRDefault="00CF4E6F" w:rsidP="00CA2AC2">
      <w:pPr>
        <w:numPr>
          <w:ilvl w:val="0"/>
          <w:numId w:val="11"/>
        </w:numPr>
        <w:shd w:val="clear" w:color="auto" w:fill="FFFFFF"/>
        <w:spacing w:before="0" w:after="0"/>
        <w:ind w:left="426" w:hanging="284"/>
        <w:contextualSpacing/>
      </w:pPr>
      <w:r w:rsidRPr="0092250B">
        <w:t>To engage and integrate with other local health and education services such as</w:t>
      </w:r>
      <w:r w:rsidR="007E3200">
        <w:t xml:space="preserve"> oral health promoters and other colleagues within</w:t>
      </w:r>
      <w:r w:rsidR="00B235A1">
        <w:t xml:space="preserve"> Local Authorities and</w:t>
      </w:r>
      <w:r w:rsidR="007E3200">
        <w:t xml:space="preserve"> the Community Dental Service</w:t>
      </w:r>
      <w:r w:rsidRPr="0092250B">
        <w:t xml:space="preserve"> health visiting teams, early years settings, primary schools and nursing and care homes as well as local communities to promote uptake of dental services and improve oral health</w:t>
      </w:r>
    </w:p>
    <w:p w:rsidR="00CF4E6F" w:rsidRPr="0092250B" w:rsidRDefault="00CF4E6F" w:rsidP="00CA2AC2">
      <w:pPr>
        <w:numPr>
          <w:ilvl w:val="0"/>
          <w:numId w:val="11"/>
        </w:numPr>
        <w:shd w:val="clear" w:color="auto" w:fill="FFFFFF"/>
        <w:spacing w:before="0" w:after="0"/>
        <w:ind w:left="426" w:hanging="284"/>
        <w:contextualSpacing/>
      </w:pPr>
      <w:r w:rsidRPr="0092250B">
        <w:t>Adapting the dental service according to changes in the local population’s needs</w:t>
      </w:r>
    </w:p>
    <w:p w:rsidR="00F476FA" w:rsidRDefault="00F476FA" w:rsidP="00CA2AC2">
      <w:pPr>
        <w:pStyle w:val="ListParagraph"/>
        <w:numPr>
          <w:ilvl w:val="0"/>
          <w:numId w:val="11"/>
        </w:numPr>
        <w:ind w:left="426" w:hanging="284"/>
        <w:jc w:val="both"/>
        <w:rPr>
          <w:sz w:val="22"/>
          <w:szCs w:val="22"/>
        </w:rPr>
      </w:pPr>
      <w:r w:rsidRPr="003B0DA7">
        <w:rPr>
          <w:sz w:val="22"/>
          <w:szCs w:val="22"/>
        </w:rPr>
        <w:t xml:space="preserve">To provide urgent care appointments for </w:t>
      </w:r>
      <w:r w:rsidR="00CA2AC2">
        <w:rPr>
          <w:sz w:val="22"/>
          <w:szCs w:val="22"/>
        </w:rPr>
        <w:t>patients referred via the Dental Nurse Triage Service</w:t>
      </w:r>
    </w:p>
    <w:p w:rsidR="0080735C" w:rsidRPr="003B0DA7" w:rsidRDefault="0080735C" w:rsidP="00CA2AC2">
      <w:pPr>
        <w:pStyle w:val="ListParagraph"/>
        <w:numPr>
          <w:ilvl w:val="0"/>
          <w:numId w:val="11"/>
        </w:numPr>
        <w:ind w:left="426" w:hanging="284"/>
        <w:jc w:val="both"/>
        <w:rPr>
          <w:sz w:val="22"/>
          <w:szCs w:val="22"/>
        </w:rPr>
      </w:pPr>
      <w:r>
        <w:rPr>
          <w:sz w:val="22"/>
          <w:szCs w:val="22"/>
        </w:rPr>
        <w:t xml:space="preserve">To commission NHS dental services that will be responsive to the </w:t>
      </w:r>
      <w:r w:rsidR="00CA2AC2">
        <w:rPr>
          <w:sz w:val="22"/>
          <w:szCs w:val="22"/>
        </w:rPr>
        <w:t>NHS England</w:t>
      </w:r>
      <w:r>
        <w:rPr>
          <w:sz w:val="22"/>
          <w:szCs w:val="22"/>
        </w:rPr>
        <w:t xml:space="preserve"> Dental Contract Reform Programme</w:t>
      </w:r>
    </w:p>
    <w:p w:rsidR="002F5058" w:rsidRPr="002F46FC" w:rsidRDefault="002F5058" w:rsidP="001933BA">
      <w:pPr>
        <w:shd w:val="clear" w:color="auto" w:fill="FFFFFF"/>
        <w:spacing w:before="0" w:after="0"/>
        <w:jc w:val="both"/>
      </w:pPr>
    </w:p>
    <w:p w:rsidR="0047617C" w:rsidRPr="00172DBF" w:rsidRDefault="00172DBF">
      <w:pPr>
        <w:pStyle w:val="Heading2"/>
      </w:pPr>
      <w:bookmarkStart w:id="13" w:name="_Toc504733050"/>
      <w:r>
        <w:lastRenderedPageBreak/>
        <w:t>Scope of Services</w:t>
      </w:r>
      <w:bookmarkEnd w:id="13"/>
    </w:p>
    <w:p w:rsidR="00293448" w:rsidRDefault="00A60320" w:rsidP="000E61DB">
      <w:pPr>
        <w:jc w:val="both"/>
      </w:pPr>
      <w:r w:rsidRPr="003B0DA7">
        <w:t>The scope of primary care mandatory dental services</w:t>
      </w:r>
      <w:r w:rsidR="00811706" w:rsidRPr="003B0DA7">
        <w:t xml:space="preserve"> for this Procurement </w:t>
      </w:r>
      <w:r w:rsidR="00293448">
        <w:t xml:space="preserve">is the same for both Lots and </w:t>
      </w:r>
      <w:r w:rsidR="00811706" w:rsidRPr="003B0DA7">
        <w:t xml:space="preserve">has been developed by </w:t>
      </w:r>
      <w:r w:rsidR="001D6AE6">
        <w:t>the Authority</w:t>
      </w:r>
      <w:r w:rsidR="00865894">
        <w:t>,</w:t>
      </w:r>
      <w:r w:rsidR="00811706" w:rsidRPr="003B0DA7">
        <w:t xml:space="preserve"> based on the </w:t>
      </w:r>
      <w:r w:rsidR="00C047B2" w:rsidRPr="003B0DA7">
        <w:t xml:space="preserve">oral health </w:t>
      </w:r>
      <w:r w:rsidR="00B422CB" w:rsidRPr="003B0DA7">
        <w:t>needs of the local area</w:t>
      </w:r>
      <w:r w:rsidR="001163C6" w:rsidRPr="003B0DA7">
        <w:t>, future population growth and demographic detail</w:t>
      </w:r>
      <w:r w:rsidR="000E61DB">
        <w:t>s</w:t>
      </w:r>
      <w:r w:rsidR="00811706" w:rsidRPr="003B0DA7">
        <w:t>.</w:t>
      </w:r>
      <w:r w:rsidR="001163C6" w:rsidRPr="003B0DA7">
        <w:t xml:space="preserve"> </w:t>
      </w:r>
      <w:r w:rsidR="000E61DB">
        <w:t xml:space="preserve">This information is available in the oral health needs assessments for each of the respective areas. </w:t>
      </w:r>
      <w:r w:rsidR="001163C6" w:rsidRPr="003B0DA7">
        <w:t xml:space="preserve">This procurement also takes account </w:t>
      </w:r>
      <w:r w:rsidR="00865894">
        <w:t>a</w:t>
      </w:r>
      <w:r w:rsidR="0064545A">
        <w:t xml:space="preserve"> </w:t>
      </w:r>
      <w:r w:rsidR="00865894">
        <w:t>pan-</w:t>
      </w:r>
      <w:r w:rsidR="001163C6" w:rsidRPr="003B0DA7">
        <w:t xml:space="preserve">London approach to contracting </w:t>
      </w:r>
      <w:r w:rsidR="00C41C24" w:rsidRPr="003B0DA7">
        <w:t>primary care</w:t>
      </w:r>
      <w:r w:rsidR="00570E20" w:rsidRPr="003B0DA7">
        <w:t xml:space="preserve"> mandatory </w:t>
      </w:r>
      <w:r w:rsidR="00C41C24" w:rsidRPr="003B0DA7">
        <w:t xml:space="preserve">dental </w:t>
      </w:r>
      <w:r w:rsidR="00570E20" w:rsidRPr="003B0DA7">
        <w:t>services</w:t>
      </w:r>
      <w:r w:rsidR="001163C6" w:rsidRPr="003B0DA7">
        <w:t>.</w:t>
      </w:r>
      <w:r w:rsidR="00811706" w:rsidRPr="003B0DA7">
        <w:t xml:space="preserve"> </w:t>
      </w:r>
    </w:p>
    <w:p w:rsidR="00293448" w:rsidRDefault="0034180F" w:rsidP="00C92E36">
      <w:pPr>
        <w:tabs>
          <w:tab w:val="left" w:pos="8070"/>
        </w:tabs>
        <w:jc w:val="both"/>
      </w:pPr>
      <w:r>
        <w:tab/>
      </w:r>
    </w:p>
    <w:p w:rsidR="001B14C7" w:rsidRPr="003B0DA7" w:rsidRDefault="0080735C" w:rsidP="001B14C7">
      <w:r>
        <w:t>S</w:t>
      </w:r>
      <w:r w:rsidR="001B14C7" w:rsidRPr="003B0DA7">
        <w:t xml:space="preserve">ervice commencement </w:t>
      </w:r>
      <w:r>
        <w:t xml:space="preserve">for both </w:t>
      </w:r>
      <w:r w:rsidR="00293448">
        <w:t xml:space="preserve">Lots </w:t>
      </w:r>
      <w:r>
        <w:t>will be</w:t>
      </w:r>
      <w:r w:rsidR="001B14C7" w:rsidRPr="003B0DA7">
        <w:t xml:space="preserve"> </w:t>
      </w:r>
      <w:r w:rsidR="00477EFE" w:rsidRPr="00477EFE">
        <w:t>0</w:t>
      </w:r>
      <w:r w:rsidR="004E3B56" w:rsidRPr="00477EFE">
        <w:t>2 January 2019.</w:t>
      </w:r>
    </w:p>
    <w:p w:rsidR="00570E20" w:rsidRDefault="00570E20" w:rsidP="00811706">
      <w:pPr>
        <w:jc w:val="both"/>
        <w:rPr>
          <w:rStyle w:val="Heading3Char"/>
        </w:rPr>
      </w:pPr>
    </w:p>
    <w:p w:rsidR="00811706" w:rsidRPr="00811706" w:rsidRDefault="00BF5AB5" w:rsidP="00811706">
      <w:pPr>
        <w:jc w:val="both"/>
        <w:rPr>
          <w:b/>
        </w:rPr>
      </w:pPr>
      <w:bookmarkStart w:id="14" w:name="_Toc504733051"/>
      <w:r>
        <w:rPr>
          <w:rStyle w:val="Heading3Char"/>
        </w:rPr>
        <w:t>2.4.1</w:t>
      </w:r>
      <w:r>
        <w:rPr>
          <w:rStyle w:val="Heading3Char"/>
        </w:rPr>
        <w:tab/>
      </w:r>
      <w:r w:rsidR="00811706" w:rsidRPr="00BF5AB5">
        <w:rPr>
          <w:rStyle w:val="Heading3Char"/>
        </w:rPr>
        <w:t>Outline Service Specification</w:t>
      </w:r>
      <w:bookmarkEnd w:id="14"/>
      <w:r w:rsidR="00811706" w:rsidRPr="00811706">
        <w:rPr>
          <w:b/>
        </w:rPr>
        <w:t xml:space="preserve"> for the provision of </w:t>
      </w:r>
      <w:r w:rsidR="00570E20">
        <w:rPr>
          <w:b/>
        </w:rPr>
        <w:t>Mandatory Dental</w:t>
      </w:r>
      <w:r w:rsidR="00C047B2">
        <w:rPr>
          <w:b/>
        </w:rPr>
        <w:t xml:space="preserve"> </w:t>
      </w:r>
      <w:r w:rsidR="00811706" w:rsidRPr="00811706">
        <w:rPr>
          <w:b/>
        </w:rPr>
        <w:t>Service</w:t>
      </w:r>
      <w:r w:rsidR="00DD148B">
        <w:rPr>
          <w:b/>
        </w:rPr>
        <w:t>s</w:t>
      </w:r>
      <w:r w:rsidR="00811706" w:rsidRPr="00811706">
        <w:rPr>
          <w:b/>
        </w:rPr>
        <w:t xml:space="preserve"> </w:t>
      </w:r>
      <w:r w:rsidR="00E039A3">
        <w:rPr>
          <w:b/>
        </w:rPr>
        <w:t>located</w:t>
      </w:r>
      <w:r w:rsidR="006D4F1A">
        <w:rPr>
          <w:b/>
        </w:rPr>
        <w:t xml:space="preserve"> </w:t>
      </w:r>
      <w:r w:rsidR="00570E20">
        <w:rPr>
          <w:b/>
        </w:rPr>
        <w:t xml:space="preserve">within the </w:t>
      </w:r>
      <w:r w:rsidR="006D4F1A">
        <w:rPr>
          <w:b/>
        </w:rPr>
        <w:t>London borough</w:t>
      </w:r>
      <w:r w:rsidR="00DD148B">
        <w:rPr>
          <w:b/>
        </w:rPr>
        <w:t>s</w:t>
      </w:r>
      <w:r w:rsidR="006D4F1A">
        <w:rPr>
          <w:b/>
        </w:rPr>
        <w:t xml:space="preserve"> of </w:t>
      </w:r>
      <w:r w:rsidR="00570E20">
        <w:rPr>
          <w:b/>
        </w:rPr>
        <w:t xml:space="preserve">Hillingdon </w:t>
      </w:r>
      <w:r w:rsidR="0080735C">
        <w:rPr>
          <w:b/>
        </w:rPr>
        <w:t xml:space="preserve">and Newham </w:t>
      </w:r>
      <w:r w:rsidR="00570E20">
        <w:rPr>
          <w:b/>
        </w:rPr>
        <w:t>respectively</w:t>
      </w:r>
      <w:r w:rsidR="00811706" w:rsidRPr="00811706">
        <w:rPr>
          <w:b/>
        </w:rPr>
        <w:t>.</w:t>
      </w:r>
    </w:p>
    <w:p w:rsidR="00293448" w:rsidRDefault="00293448" w:rsidP="000E61DB">
      <w:pPr>
        <w:jc w:val="both"/>
      </w:pPr>
      <w:r>
        <w:t xml:space="preserve">The Successful Provider/s will be required to deliver the </w:t>
      </w:r>
      <w:r w:rsidR="002749F9" w:rsidRPr="003B0DA7">
        <w:t>services</w:t>
      </w:r>
      <w:r w:rsidR="000D5ED4" w:rsidRPr="003B0DA7">
        <w:t xml:space="preserve"> </w:t>
      </w:r>
      <w:r w:rsidR="002F46FC" w:rsidRPr="003B0DA7">
        <w:t xml:space="preserve">from a practice </w:t>
      </w:r>
      <w:r w:rsidR="00CA2AC2">
        <w:t xml:space="preserve">premises </w:t>
      </w:r>
      <w:r w:rsidR="002F46FC" w:rsidRPr="003B0DA7">
        <w:t>located</w:t>
      </w:r>
      <w:r w:rsidR="006D4F1A" w:rsidRPr="003B0DA7">
        <w:t xml:space="preserve"> </w:t>
      </w:r>
      <w:r>
        <w:t>within:</w:t>
      </w:r>
    </w:p>
    <w:p w:rsidR="00293448" w:rsidRDefault="00293448" w:rsidP="000E61DB">
      <w:pPr>
        <w:jc w:val="both"/>
      </w:pPr>
    </w:p>
    <w:p w:rsidR="00293448" w:rsidRDefault="00293448" w:rsidP="000E61DB">
      <w:pPr>
        <w:jc w:val="both"/>
      </w:pPr>
      <w:r>
        <w:t xml:space="preserve">Lot 1 - </w:t>
      </w:r>
      <w:r w:rsidR="00C0290C">
        <w:t xml:space="preserve">Yiewsley in </w:t>
      </w:r>
      <w:r w:rsidRPr="003B0DA7">
        <w:t>the London Borough of Hillingdon</w:t>
      </w:r>
      <w:r>
        <w:t>; and/or</w:t>
      </w:r>
    </w:p>
    <w:p w:rsidR="00293448" w:rsidRDefault="00293448" w:rsidP="000E61DB">
      <w:pPr>
        <w:jc w:val="both"/>
      </w:pPr>
      <w:r>
        <w:t xml:space="preserve">Lot 2 - </w:t>
      </w:r>
      <w:r w:rsidR="00C0290C">
        <w:t xml:space="preserve">Canning Town / Custom House </w:t>
      </w:r>
      <w:r w:rsidR="00570E20" w:rsidRPr="003B0DA7">
        <w:t xml:space="preserve">in </w:t>
      </w:r>
      <w:r w:rsidR="00DD148B" w:rsidRPr="003B0DA7">
        <w:t xml:space="preserve">the London </w:t>
      </w:r>
      <w:r w:rsidR="002F46FC" w:rsidRPr="003B0DA7">
        <w:t>B</w:t>
      </w:r>
      <w:r w:rsidR="000D5ED4" w:rsidRPr="003B0DA7">
        <w:t>orough of</w:t>
      </w:r>
      <w:r w:rsidR="00570E20" w:rsidRPr="003B0DA7">
        <w:t xml:space="preserve"> Newham</w:t>
      </w:r>
      <w:r w:rsidR="002F46FC" w:rsidRPr="003B0DA7">
        <w:t xml:space="preserve">. </w:t>
      </w:r>
    </w:p>
    <w:p w:rsidR="00293448" w:rsidRDefault="00293448" w:rsidP="000E61DB">
      <w:pPr>
        <w:jc w:val="both"/>
      </w:pPr>
    </w:p>
    <w:p w:rsidR="00BF3963" w:rsidRPr="003B0DA7" w:rsidRDefault="002F46FC" w:rsidP="000E61DB">
      <w:pPr>
        <w:jc w:val="both"/>
      </w:pPr>
      <w:r w:rsidRPr="003B0DA7">
        <w:t xml:space="preserve">This </w:t>
      </w:r>
      <w:r w:rsidR="00CA2AC2">
        <w:t>is to enable</w:t>
      </w:r>
      <w:r w:rsidRPr="003B0DA7">
        <w:t xml:space="preserve"> patients within </w:t>
      </w:r>
      <w:r w:rsidR="003E13BE" w:rsidRPr="003B0DA7">
        <w:t xml:space="preserve">both of </w:t>
      </w:r>
      <w:r w:rsidRPr="003B0DA7">
        <w:t>th</w:t>
      </w:r>
      <w:r w:rsidR="003E13BE" w:rsidRPr="003B0DA7">
        <w:t>ese</w:t>
      </w:r>
      <w:r w:rsidRPr="003B0DA7">
        <w:t xml:space="preserve"> area</w:t>
      </w:r>
      <w:r w:rsidR="003E13BE" w:rsidRPr="003B0DA7">
        <w:t>s</w:t>
      </w:r>
      <w:r w:rsidRPr="003B0DA7">
        <w:t xml:space="preserve"> have greater access to NHS mandatory dental services</w:t>
      </w:r>
      <w:r w:rsidR="00DD148B" w:rsidRPr="003B0DA7">
        <w:t>.</w:t>
      </w:r>
      <w:r w:rsidR="00FD5512">
        <w:t xml:space="preserve"> </w:t>
      </w:r>
      <w:r w:rsidR="000D5ED4" w:rsidRPr="003B0DA7">
        <w:t xml:space="preserve"> </w:t>
      </w:r>
    </w:p>
    <w:p w:rsidR="00BF3963" w:rsidRPr="003B0DA7" w:rsidRDefault="00BF3963" w:rsidP="000E61DB">
      <w:pPr>
        <w:jc w:val="both"/>
      </w:pPr>
    </w:p>
    <w:p w:rsidR="00293448" w:rsidRDefault="002F46FC" w:rsidP="000E61DB">
      <w:pPr>
        <w:jc w:val="both"/>
      </w:pPr>
      <w:r w:rsidRPr="003B0DA7">
        <w:t xml:space="preserve">The provider will treat all patients that meet the criteria for mandatory NHS </w:t>
      </w:r>
      <w:r w:rsidR="00865894">
        <w:t>d</w:t>
      </w:r>
      <w:r w:rsidRPr="003B0DA7">
        <w:t xml:space="preserve">ental </w:t>
      </w:r>
      <w:r w:rsidR="00865894">
        <w:t>s</w:t>
      </w:r>
      <w:r w:rsidRPr="003B0DA7">
        <w:t>ervices i</w:t>
      </w:r>
      <w:r w:rsidR="00D56E77" w:rsidRPr="003B0DA7">
        <w:t xml:space="preserve">n line with </w:t>
      </w:r>
      <w:r w:rsidR="00865894">
        <w:t>National Institute for Health and Clinical excellence (</w:t>
      </w:r>
      <w:r w:rsidRPr="003B0DA7">
        <w:t>NICE</w:t>
      </w:r>
      <w:r w:rsidR="00865894">
        <w:t>)</w:t>
      </w:r>
      <w:r w:rsidR="00D56E77" w:rsidRPr="003B0DA7">
        <w:t xml:space="preserve"> </w:t>
      </w:r>
      <w:r w:rsidR="00865894">
        <w:t xml:space="preserve">recall </w:t>
      </w:r>
      <w:r w:rsidR="0064545A">
        <w:t>guidelines</w:t>
      </w:r>
      <w:r w:rsidR="00865894">
        <w:t>,</w:t>
      </w:r>
      <w:r w:rsidR="00D56E77" w:rsidRPr="003B0DA7">
        <w:t xml:space="preserve"> </w:t>
      </w:r>
      <w:r w:rsidRPr="003B0DA7">
        <w:t>and the terms of the P</w:t>
      </w:r>
      <w:r w:rsidR="00865894">
        <w:t xml:space="preserve">DS Plus </w:t>
      </w:r>
      <w:r w:rsidR="00C0290C">
        <w:t>Agreement</w:t>
      </w:r>
      <w:r w:rsidRPr="003B0DA7">
        <w:t>.</w:t>
      </w:r>
      <w:r w:rsidR="00642B79" w:rsidRPr="003B0DA7">
        <w:t xml:space="preserve"> </w:t>
      </w:r>
    </w:p>
    <w:p w:rsidR="00293448" w:rsidRDefault="00293448" w:rsidP="000E61DB">
      <w:pPr>
        <w:jc w:val="both"/>
      </w:pPr>
    </w:p>
    <w:p w:rsidR="00DD148B" w:rsidRDefault="00642B79" w:rsidP="000E61DB">
      <w:pPr>
        <w:jc w:val="both"/>
      </w:pPr>
      <w:r w:rsidRPr="003B0DA7">
        <w:t>The scope of the services required is based on the needs of the local community as identified in the</w:t>
      </w:r>
      <w:r w:rsidR="00865894">
        <w:t xml:space="preserve"> respective</w:t>
      </w:r>
      <w:r w:rsidRPr="003B0DA7">
        <w:t xml:space="preserve"> Oral Health Needs Assessments. It is also influenced by the national strateg</w:t>
      </w:r>
      <w:r w:rsidR="00B1215C">
        <w:t>ies</w:t>
      </w:r>
      <w:r w:rsidRPr="003B0DA7">
        <w:t xml:space="preserve"> for preventing dental disease </w:t>
      </w:r>
      <w:r w:rsidR="00B1215C">
        <w:t xml:space="preserve">as </w:t>
      </w:r>
      <w:r w:rsidRPr="003B0DA7">
        <w:t>published in ‘</w:t>
      </w:r>
      <w:r w:rsidRPr="00980A43">
        <w:rPr>
          <w:i/>
        </w:rPr>
        <w:t xml:space="preserve">Delivering Better </w:t>
      </w:r>
      <w:r w:rsidR="0080735C" w:rsidRPr="00980A43">
        <w:rPr>
          <w:i/>
        </w:rPr>
        <w:t>O</w:t>
      </w:r>
      <w:r w:rsidRPr="00980A43">
        <w:rPr>
          <w:i/>
        </w:rPr>
        <w:t>ral Health</w:t>
      </w:r>
      <w:r w:rsidR="0080735C" w:rsidRPr="00980A43">
        <w:rPr>
          <w:i/>
        </w:rPr>
        <w:t>’</w:t>
      </w:r>
      <w:r w:rsidR="00B1215C">
        <w:t xml:space="preserve"> and per the </w:t>
      </w:r>
      <w:r w:rsidR="00B1215C" w:rsidRPr="00980A43">
        <w:rPr>
          <w:i/>
        </w:rPr>
        <w:t>NHS Five Year Forward</w:t>
      </w:r>
      <w:r w:rsidR="00B1215C" w:rsidRPr="00B1215C">
        <w:rPr>
          <w:i/>
        </w:rPr>
        <w:t xml:space="preserve"> which </w:t>
      </w:r>
      <w:r w:rsidR="00B1215C" w:rsidRPr="00980A43">
        <w:rPr>
          <w:rFonts w:cs="Cambria"/>
          <w:i/>
          <w:color w:val="000000"/>
        </w:rPr>
        <w:t>sets out how the health service needs to change, arguing for a more engaged relationship with patients, carers and citizens so that we can promote wellbeing and prevent ill-health</w:t>
      </w:r>
      <w:r w:rsidRPr="00980A43">
        <w:rPr>
          <w:i/>
        </w:rPr>
        <w:t>.</w:t>
      </w:r>
      <w:r w:rsidR="002F46FC" w:rsidRPr="003B0DA7">
        <w:t xml:space="preserve"> Referral to </w:t>
      </w:r>
      <w:r w:rsidR="0080735C">
        <w:t>s</w:t>
      </w:r>
      <w:r w:rsidR="00D56E77" w:rsidRPr="003B0DA7">
        <w:t>econdary</w:t>
      </w:r>
      <w:r w:rsidR="0080735C">
        <w:t xml:space="preserve"> (acute)</w:t>
      </w:r>
      <w:r w:rsidR="00D56E77" w:rsidRPr="003B0DA7">
        <w:t xml:space="preserve"> </w:t>
      </w:r>
      <w:r w:rsidR="0080735C">
        <w:t>c</w:t>
      </w:r>
      <w:r w:rsidR="00D56E77" w:rsidRPr="003B0DA7">
        <w:t>are is only required in cases where the patient is assessed as having advanced complex needs.</w:t>
      </w:r>
    </w:p>
    <w:p w:rsidR="00293448" w:rsidRDefault="00293448" w:rsidP="000E61DB">
      <w:pPr>
        <w:jc w:val="both"/>
      </w:pPr>
    </w:p>
    <w:p w:rsidR="00293448" w:rsidRDefault="00293448" w:rsidP="000E61DB">
      <w:pPr>
        <w:jc w:val="both"/>
      </w:pPr>
      <w:r>
        <w:t xml:space="preserve">A full service specification will be provided at Invitation to Tender (ITT stage) to those Bidders successful at </w:t>
      </w:r>
      <w:r w:rsidR="00B1215C">
        <w:t xml:space="preserve">Selective </w:t>
      </w:r>
      <w:r>
        <w:t>Questionnaire (</w:t>
      </w:r>
      <w:r w:rsidR="00B1215C">
        <w:t>S</w:t>
      </w:r>
      <w:r>
        <w:t>Q) stage.</w:t>
      </w:r>
    </w:p>
    <w:p w:rsidR="00293448" w:rsidRPr="003B0DA7" w:rsidRDefault="00293448" w:rsidP="000E61DB">
      <w:pPr>
        <w:jc w:val="both"/>
      </w:pPr>
    </w:p>
    <w:p w:rsidR="00811706" w:rsidRPr="00E10698" w:rsidRDefault="000D5ED4" w:rsidP="00E10698">
      <w:pPr>
        <w:pStyle w:val="Heading3"/>
      </w:pPr>
      <w:bookmarkStart w:id="15" w:name="_Toc504733052"/>
      <w:r>
        <w:t>2</w:t>
      </w:r>
      <w:r w:rsidR="00811706" w:rsidRPr="00E10698">
        <w:t>.4.2</w:t>
      </w:r>
      <w:r w:rsidR="00811706" w:rsidRPr="00E10698">
        <w:tab/>
        <w:t>Service Pricing</w:t>
      </w:r>
      <w:bookmarkEnd w:id="15"/>
    </w:p>
    <w:p w:rsidR="00811706" w:rsidRPr="003B0DA7" w:rsidRDefault="00491014" w:rsidP="00811706">
      <w:pPr>
        <w:jc w:val="both"/>
      </w:pPr>
      <w:r>
        <w:t>The Authority</w:t>
      </w:r>
      <w:r w:rsidR="00565836" w:rsidRPr="003B0DA7">
        <w:t xml:space="preserve"> </w:t>
      </w:r>
      <w:r w:rsidR="004F5146" w:rsidRPr="003B0DA7">
        <w:t xml:space="preserve">has set out the service pricing </w:t>
      </w:r>
      <w:r w:rsidR="00811706" w:rsidRPr="003B0DA7">
        <w:t xml:space="preserve">in the Service Specification. </w:t>
      </w:r>
    </w:p>
    <w:p w:rsidR="00811706" w:rsidRPr="004D1E25" w:rsidRDefault="00811706" w:rsidP="00811706">
      <w:pPr>
        <w:jc w:val="both"/>
      </w:pPr>
    </w:p>
    <w:p w:rsidR="004D1E25" w:rsidRPr="004D1E25" w:rsidRDefault="004D1E25" w:rsidP="004D1E25">
      <w:pPr>
        <w:jc w:val="both"/>
      </w:pPr>
      <w:r w:rsidRPr="004D1E25">
        <w:t xml:space="preserve">The indicative annual values of the contracts will be in the region of: </w:t>
      </w:r>
    </w:p>
    <w:p w:rsidR="004D1E25" w:rsidRPr="004D1E25" w:rsidRDefault="004D1E25" w:rsidP="004D1E25">
      <w:pPr>
        <w:jc w:val="both"/>
      </w:pPr>
    </w:p>
    <w:p w:rsidR="004D1E25" w:rsidRPr="004D1E25" w:rsidRDefault="004D1E25" w:rsidP="004D1E25">
      <w:pPr>
        <w:jc w:val="both"/>
      </w:pPr>
      <w:r w:rsidRPr="004D1E25">
        <w:t xml:space="preserve">Lot 1 – </w:t>
      </w:r>
      <w:r w:rsidR="00930E4D">
        <w:t>Yiewsley</w:t>
      </w:r>
      <w:r w:rsidRPr="004D1E25">
        <w:t xml:space="preserve"> - £2</w:t>
      </w:r>
      <w:r w:rsidR="00930E4D">
        <w:t>3</w:t>
      </w:r>
      <w:r w:rsidRPr="004D1E25">
        <w:t>0,000 to £3</w:t>
      </w:r>
      <w:r w:rsidR="00930E4D">
        <w:t>0</w:t>
      </w:r>
      <w:r w:rsidRPr="004D1E25">
        <w:t xml:space="preserve">0,000 (Ex VAT, per annum) </w:t>
      </w:r>
    </w:p>
    <w:p w:rsidR="009707F6" w:rsidRPr="004D1E25" w:rsidRDefault="004D1E25" w:rsidP="004D1E25">
      <w:pPr>
        <w:jc w:val="both"/>
      </w:pPr>
      <w:r w:rsidRPr="004D1E25">
        <w:t xml:space="preserve">Lot 2 - </w:t>
      </w:r>
      <w:r w:rsidR="00930E4D">
        <w:t xml:space="preserve">Canning Town / Custom House </w:t>
      </w:r>
      <w:r w:rsidR="00477EFE">
        <w:t xml:space="preserve">- </w:t>
      </w:r>
      <w:r w:rsidRPr="004D1E25">
        <w:t>£400,000 to £450,000 (Ex VAT, per annum)</w:t>
      </w:r>
    </w:p>
    <w:p w:rsidR="009707F6" w:rsidRPr="00811706" w:rsidRDefault="009707F6" w:rsidP="00811706">
      <w:pPr>
        <w:jc w:val="both"/>
        <w:rPr>
          <w:b/>
        </w:rPr>
      </w:pPr>
    </w:p>
    <w:p w:rsidR="00811706" w:rsidRDefault="00811706" w:rsidP="00E10698">
      <w:pPr>
        <w:pStyle w:val="Heading3"/>
      </w:pPr>
      <w:bookmarkStart w:id="16" w:name="_Toc504733053"/>
      <w:r w:rsidRPr="00811706">
        <w:t>2.4.3</w:t>
      </w:r>
      <w:r w:rsidRPr="00811706">
        <w:tab/>
        <w:t>Facilities and Equipment</w:t>
      </w:r>
      <w:bookmarkEnd w:id="16"/>
    </w:p>
    <w:p w:rsidR="00DD148B" w:rsidRPr="003B0DA7" w:rsidRDefault="00491014" w:rsidP="00DD148B">
      <w:pPr>
        <w:jc w:val="both"/>
      </w:pPr>
      <w:r>
        <w:t>The Authority</w:t>
      </w:r>
      <w:r w:rsidR="00DD148B" w:rsidRPr="003B0DA7">
        <w:t xml:space="preserve"> has set out the requirements of Facilities and Equipment in the Service Specification. </w:t>
      </w:r>
    </w:p>
    <w:p w:rsidR="004F5146" w:rsidRPr="00CF6CAC" w:rsidRDefault="004F5146" w:rsidP="004F5146"/>
    <w:p w:rsidR="00811706" w:rsidRPr="00811706" w:rsidRDefault="00811706" w:rsidP="00E10698">
      <w:pPr>
        <w:pStyle w:val="Heading3"/>
      </w:pPr>
      <w:bookmarkStart w:id="17" w:name="_Toc504733054"/>
      <w:r w:rsidRPr="00811706">
        <w:t>2.4.4</w:t>
      </w:r>
      <w:r w:rsidRPr="00811706">
        <w:tab/>
        <w:t>Services</w:t>
      </w:r>
      <w:bookmarkEnd w:id="17"/>
      <w:r w:rsidRPr="00811706">
        <w:t xml:space="preserve"> </w:t>
      </w:r>
    </w:p>
    <w:p w:rsidR="005F43BC" w:rsidRPr="003B0DA7" w:rsidRDefault="005F43BC" w:rsidP="005F43BC">
      <w:pPr>
        <w:jc w:val="both"/>
      </w:pPr>
      <w:r w:rsidRPr="003B0DA7">
        <w:t>The Practice will be required to offer the following NHS services to all patients:-</w:t>
      </w:r>
    </w:p>
    <w:p w:rsidR="005F43BC" w:rsidRPr="003B0DA7" w:rsidRDefault="005F43BC" w:rsidP="005F43BC">
      <w:pPr>
        <w:jc w:val="both"/>
      </w:pPr>
    </w:p>
    <w:p w:rsidR="005F43BC" w:rsidRPr="003B0DA7" w:rsidRDefault="006533C7" w:rsidP="00E039A3">
      <w:pPr>
        <w:pStyle w:val="ListParagraph"/>
        <w:numPr>
          <w:ilvl w:val="0"/>
          <w:numId w:val="25"/>
        </w:numPr>
        <w:jc w:val="both"/>
        <w:rPr>
          <w:sz w:val="22"/>
          <w:szCs w:val="22"/>
        </w:rPr>
      </w:pPr>
      <w:r w:rsidRPr="003B0DA7">
        <w:rPr>
          <w:sz w:val="22"/>
          <w:szCs w:val="22"/>
        </w:rPr>
        <w:t>Primary Care</w:t>
      </w:r>
      <w:r w:rsidR="005F43BC" w:rsidRPr="003B0DA7">
        <w:rPr>
          <w:sz w:val="22"/>
          <w:szCs w:val="22"/>
        </w:rPr>
        <w:t xml:space="preserve"> mandatory dental services for both planned and unplanned care including; endodontics,</w:t>
      </w:r>
      <w:r w:rsidR="007E3200">
        <w:rPr>
          <w:sz w:val="22"/>
          <w:szCs w:val="22"/>
        </w:rPr>
        <w:t xml:space="preserve"> oral surgery</w:t>
      </w:r>
      <w:r w:rsidR="005F43BC" w:rsidRPr="003B0DA7">
        <w:rPr>
          <w:sz w:val="22"/>
          <w:szCs w:val="22"/>
        </w:rPr>
        <w:t xml:space="preserve"> and restorative dentistry</w:t>
      </w:r>
    </w:p>
    <w:p w:rsidR="005F43BC" w:rsidRPr="003B0DA7" w:rsidRDefault="005F43BC" w:rsidP="00E039A3">
      <w:pPr>
        <w:pStyle w:val="ListParagraph"/>
        <w:numPr>
          <w:ilvl w:val="0"/>
          <w:numId w:val="25"/>
        </w:numPr>
        <w:ind w:left="993" w:hanging="426"/>
        <w:jc w:val="both"/>
        <w:rPr>
          <w:sz w:val="22"/>
          <w:szCs w:val="22"/>
        </w:rPr>
      </w:pPr>
      <w:r w:rsidRPr="003B0DA7">
        <w:rPr>
          <w:sz w:val="22"/>
          <w:szCs w:val="22"/>
        </w:rPr>
        <w:t>Prevention and health promotion including:</w:t>
      </w:r>
    </w:p>
    <w:p w:rsidR="005F43BC" w:rsidRPr="003B0DA7" w:rsidRDefault="005F43BC" w:rsidP="00E039A3">
      <w:pPr>
        <w:pStyle w:val="ListParagraph"/>
        <w:numPr>
          <w:ilvl w:val="0"/>
          <w:numId w:val="25"/>
        </w:numPr>
        <w:ind w:left="993" w:hanging="426"/>
        <w:jc w:val="both"/>
        <w:rPr>
          <w:sz w:val="22"/>
          <w:szCs w:val="22"/>
        </w:rPr>
      </w:pPr>
      <w:r w:rsidRPr="003B0DA7">
        <w:rPr>
          <w:sz w:val="22"/>
          <w:szCs w:val="22"/>
        </w:rPr>
        <w:t>Oral hygiene</w:t>
      </w:r>
      <w:r w:rsidR="00CF4E6F">
        <w:rPr>
          <w:sz w:val="22"/>
          <w:szCs w:val="22"/>
        </w:rPr>
        <w:t xml:space="preserve"> advice</w:t>
      </w:r>
    </w:p>
    <w:p w:rsidR="005F43BC" w:rsidRPr="003B0DA7" w:rsidRDefault="005F43BC" w:rsidP="00E039A3">
      <w:pPr>
        <w:pStyle w:val="ListParagraph"/>
        <w:numPr>
          <w:ilvl w:val="0"/>
          <w:numId w:val="25"/>
        </w:numPr>
        <w:ind w:left="993" w:hanging="426"/>
        <w:jc w:val="both"/>
        <w:rPr>
          <w:sz w:val="22"/>
          <w:szCs w:val="22"/>
        </w:rPr>
      </w:pPr>
      <w:r w:rsidRPr="003B0DA7">
        <w:rPr>
          <w:sz w:val="22"/>
          <w:szCs w:val="22"/>
        </w:rPr>
        <w:t xml:space="preserve">Oral disease risk assessment </w:t>
      </w:r>
    </w:p>
    <w:p w:rsidR="005F43BC" w:rsidRPr="003B0DA7" w:rsidRDefault="005F43BC" w:rsidP="00E039A3">
      <w:pPr>
        <w:pStyle w:val="ListParagraph"/>
        <w:numPr>
          <w:ilvl w:val="0"/>
          <w:numId w:val="25"/>
        </w:numPr>
        <w:ind w:left="993" w:hanging="426"/>
        <w:jc w:val="both"/>
        <w:rPr>
          <w:sz w:val="22"/>
          <w:szCs w:val="22"/>
        </w:rPr>
      </w:pPr>
      <w:r w:rsidRPr="003B0DA7">
        <w:rPr>
          <w:sz w:val="22"/>
          <w:szCs w:val="22"/>
        </w:rPr>
        <w:t>Fluoride treatments in accordance with national guidelines</w:t>
      </w:r>
    </w:p>
    <w:p w:rsidR="005F43BC" w:rsidRPr="003B0DA7" w:rsidRDefault="005F43BC" w:rsidP="00E039A3">
      <w:pPr>
        <w:pStyle w:val="ListParagraph"/>
        <w:numPr>
          <w:ilvl w:val="0"/>
          <w:numId w:val="25"/>
        </w:numPr>
        <w:ind w:left="993" w:hanging="426"/>
        <w:jc w:val="both"/>
        <w:rPr>
          <w:sz w:val="22"/>
          <w:szCs w:val="22"/>
        </w:rPr>
      </w:pPr>
      <w:r w:rsidRPr="003B0DA7">
        <w:rPr>
          <w:sz w:val="22"/>
          <w:szCs w:val="22"/>
        </w:rPr>
        <w:t>Fissure sealants in accordance with national guidelines</w:t>
      </w:r>
    </w:p>
    <w:p w:rsidR="005F43BC" w:rsidRPr="003B0DA7" w:rsidRDefault="005F43BC" w:rsidP="00E039A3">
      <w:pPr>
        <w:pStyle w:val="ListParagraph"/>
        <w:numPr>
          <w:ilvl w:val="0"/>
          <w:numId w:val="25"/>
        </w:numPr>
        <w:ind w:left="993" w:hanging="426"/>
        <w:jc w:val="both"/>
        <w:rPr>
          <w:sz w:val="22"/>
          <w:szCs w:val="22"/>
        </w:rPr>
      </w:pPr>
      <w:r w:rsidRPr="003B0DA7">
        <w:rPr>
          <w:sz w:val="22"/>
          <w:szCs w:val="22"/>
        </w:rPr>
        <w:t xml:space="preserve">Smoking, tobacco, and </w:t>
      </w:r>
      <w:r w:rsidR="00CF4E6F">
        <w:rPr>
          <w:sz w:val="22"/>
          <w:szCs w:val="22"/>
        </w:rPr>
        <w:t>smokeless tobacco products such as betel nut</w:t>
      </w:r>
      <w:r w:rsidRPr="003B0DA7">
        <w:rPr>
          <w:sz w:val="22"/>
          <w:szCs w:val="22"/>
        </w:rPr>
        <w:t xml:space="preserve"> cessation </w:t>
      </w:r>
    </w:p>
    <w:p w:rsidR="005F43BC" w:rsidRDefault="005F43BC" w:rsidP="00E039A3">
      <w:pPr>
        <w:pStyle w:val="ListParagraph"/>
        <w:numPr>
          <w:ilvl w:val="0"/>
          <w:numId w:val="25"/>
        </w:numPr>
        <w:ind w:left="993" w:hanging="426"/>
        <w:jc w:val="both"/>
        <w:rPr>
          <w:sz w:val="22"/>
          <w:szCs w:val="22"/>
        </w:rPr>
      </w:pPr>
      <w:r w:rsidRPr="003B0DA7">
        <w:rPr>
          <w:sz w:val="22"/>
          <w:szCs w:val="22"/>
        </w:rPr>
        <w:t>Diet and nutrition advice (with referral as appropriate).</w:t>
      </w:r>
    </w:p>
    <w:p w:rsidR="00CF4E6F" w:rsidRPr="003B0DA7" w:rsidRDefault="00CF4E6F" w:rsidP="00E039A3">
      <w:pPr>
        <w:pStyle w:val="ListParagraph"/>
        <w:numPr>
          <w:ilvl w:val="0"/>
          <w:numId w:val="25"/>
        </w:numPr>
        <w:ind w:left="993" w:hanging="426"/>
        <w:jc w:val="both"/>
        <w:rPr>
          <w:sz w:val="22"/>
          <w:szCs w:val="22"/>
        </w:rPr>
      </w:pPr>
      <w:r>
        <w:rPr>
          <w:sz w:val="22"/>
          <w:szCs w:val="22"/>
        </w:rPr>
        <w:t>Alcohol advice</w:t>
      </w:r>
    </w:p>
    <w:p w:rsidR="005F43BC" w:rsidRPr="003B0DA7" w:rsidRDefault="005F43BC" w:rsidP="005F43BC">
      <w:pPr>
        <w:jc w:val="both"/>
      </w:pPr>
    </w:p>
    <w:p w:rsidR="005F43BC" w:rsidRPr="003B0DA7" w:rsidRDefault="00491014" w:rsidP="005F43BC">
      <w:pPr>
        <w:jc w:val="both"/>
      </w:pPr>
      <w:r>
        <w:t>The Authority</w:t>
      </w:r>
      <w:r w:rsidR="005F43BC" w:rsidRPr="003B0DA7">
        <w:t xml:space="preserve"> will require the practice to focus on prevention and health promotion as well as treatment, utilising the potential of the whole dental team and networking with other primary and community health care providers to deliver an integrated health service.  The practice will deliver a model of care which ensures that evidence-based preventive interventions and appropriate treatment are being systematically delivered.</w:t>
      </w:r>
    </w:p>
    <w:p w:rsidR="005F43BC" w:rsidRPr="003B0DA7" w:rsidRDefault="005F43BC" w:rsidP="005F43BC">
      <w:pPr>
        <w:jc w:val="both"/>
      </w:pPr>
    </w:p>
    <w:p w:rsidR="005F43BC" w:rsidRPr="003B0DA7" w:rsidRDefault="005F43BC" w:rsidP="005F43BC">
      <w:pPr>
        <w:jc w:val="both"/>
      </w:pPr>
      <w:r w:rsidRPr="003B0DA7">
        <w:t xml:space="preserve">Following initial assessment by a </w:t>
      </w:r>
      <w:r w:rsidR="008B25CF">
        <w:t>d</w:t>
      </w:r>
      <w:r w:rsidRPr="003B0DA7">
        <w:t xml:space="preserve">entist each patient should be </w:t>
      </w:r>
      <w:r w:rsidR="00F16EFC" w:rsidRPr="00F16EFC">
        <w:t>assigned with treatment plans to commensurate</w:t>
      </w:r>
      <w:r w:rsidR="00F16EFC">
        <w:t xml:space="preserve"> </w:t>
      </w:r>
      <w:r w:rsidRPr="003B0DA7">
        <w:t>their health needs.</w:t>
      </w:r>
      <w:r w:rsidR="00F16EFC">
        <w:t xml:space="preserve"> </w:t>
      </w:r>
      <w:r w:rsidRPr="003B0DA7">
        <w:t xml:space="preserve">The designated care regime </w:t>
      </w:r>
      <w:r w:rsidR="007E3200">
        <w:t>should</w:t>
      </w:r>
      <w:r w:rsidR="007E3200" w:rsidRPr="003B0DA7">
        <w:t xml:space="preserve"> </w:t>
      </w:r>
      <w:r w:rsidRPr="003B0DA7">
        <w:t>include</w:t>
      </w:r>
      <w:r w:rsidR="007E3200">
        <w:t xml:space="preserve"> </w:t>
      </w:r>
      <w:r w:rsidR="003B7DBF" w:rsidRPr="003B7DBF">
        <w:t xml:space="preserve">preventive </w:t>
      </w:r>
      <w:r w:rsidRPr="003B0DA7">
        <w:t>advice</w:t>
      </w:r>
      <w:r w:rsidR="007E3200" w:rsidRPr="007E3200">
        <w:t xml:space="preserve"> and may include</w:t>
      </w:r>
      <w:r w:rsidR="007E3200">
        <w:t xml:space="preserve"> </w:t>
      </w:r>
      <w:r w:rsidR="007E3200" w:rsidRPr="007E3200">
        <w:t>treatment</w:t>
      </w:r>
      <w:r w:rsidRPr="003B0DA7">
        <w:t xml:space="preserve"> and/or referral to other services, and will specify an appropriate recall interval</w:t>
      </w:r>
      <w:r w:rsidR="003B7DBF" w:rsidRPr="003B7DBF">
        <w:t xml:space="preserve"> according to current recommended guidelines</w:t>
      </w:r>
      <w:r w:rsidRPr="003B0DA7">
        <w:t>.</w:t>
      </w:r>
      <w:r w:rsidR="00167238">
        <w:t xml:space="preserve"> </w:t>
      </w:r>
      <w:r w:rsidRPr="003B0DA7">
        <w:t xml:space="preserve">In following preventive care pathways patients can expect an improvement in their oral health and a corresponding decrease in their risk of oral disease.  </w:t>
      </w:r>
    </w:p>
    <w:p w:rsidR="005F43BC" w:rsidRPr="003B0DA7" w:rsidRDefault="005F43BC" w:rsidP="005F43BC">
      <w:pPr>
        <w:jc w:val="both"/>
      </w:pPr>
    </w:p>
    <w:p w:rsidR="005F43BC" w:rsidRPr="003B0DA7" w:rsidRDefault="005F43BC" w:rsidP="005F43BC">
      <w:pPr>
        <w:jc w:val="both"/>
      </w:pPr>
      <w:r w:rsidRPr="003B0DA7">
        <w:t xml:space="preserve">The practice will be required to adhere to specific evidence-based clinical protocols provided by </w:t>
      </w:r>
      <w:r w:rsidR="00491014">
        <w:t>the Authority</w:t>
      </w:r>
      <w:r w:rsidRPr="003B0DA7">
        <w:t xml:space="preserve">.  These incorporate preventive care according to recommendations of the </w:t>
      </w:r>
      <w:r w:rsidR="00B104A1">
        <w:t>third</w:t>
      </w:r>
      <w:r w:rsidR="00B104A1" w:rsidRPr="003B0DA7">
        <w:t xml:space="preserve"> </w:t>
      </w:r>
      <w:r w:rsidRPr="003B0DA7">
        <w:t>edition of “Delivering Better Oral Health: an evidence-based toolkit for prevention” (</w:t>
      </w:r>
      <w:r w:rsidR="00B104A1" w:rsidRPr="00B104A1">
        <w:t xml:space="preserve">published </w:t>
      </w:r>
      <w:r w:rsidR="005D129B">
        <w:t>March</w:t>
      </w:r>
      <w:r w:rsidR="00B104A1" w:rsidRPr="00B104A1">
        <w:t xml:space="preserve"> 201</w:t>
      </w:r>
      <w:r w:rsidR="005D129B">
        <w:t>7</w:t>
      </w:r>
      <w:r w:rsidRPr="003B0DA7">
        <w:t xml:space="preserve">).  Patient recall intervals should be consistent with NICE guidelines. </w:t>
      </w:r>
    </w:p>
    <w:p w:rsidR="005F43BC" w:rsidRPr="003B0DA7" w:rsidRDefault="005F43BC" w:rsidP="005F43BC">
      <w:pPr>
        <w:jc w:val="both"/>
      </w:pPr>
    </w:p>
    <w:p w:rsidR="005F43BC" w:rsidRPr="003B0DA7" w:rsidRDefault="005F43BC" w:rsidP="005F43BC">
      <w:pPr>
        <w:jc w:val="both"/>
      </w:pPr>
      <w:r w:rsidRPr="003B0DA7">
        <w:t xml:space="preserve">The Provider may be expected to work with </w:t>
      </w:r>
      <w:r w:rsidR="00491014">
        <w:t>The Authority</w:t>
      </w:r>
      <w:r w:rsidR="009A14EC" w:rsidRPr="003B0DA7">
        <w:t xml:space="preserve"> </w:t>
      </w:r>
      <w:r w:rsidRPr="003B0DA7">
        <w:t xml:space="preserve">to pilot additional initiatives to implement the recommendations presented </w:t>
      </w:r>
      <w:r w:rsidR="008B25CF">
        <w:t>by the DH’s Dental Contract Reform Programme</w:t>
      </w:r>
      <w:r w:rsidRPr="003B0DA7">
        <w:t>. This could include</w:t>
      </w:r>
      <w:r w:rsidR="008B25CF">
        <w:t>:</w:t>
      </w:r>
      <w:r w:rsidRPr="003B0DA7">
        <w:t xml:space="preserve"> </w:t>
      </w:r>
    </w:p>
    <w:p w:rsidR="008B25CF" w:rsidRDefault="005F43BC" w:rsidP="00E039A3">
      <w:pPr>
        <w:pStyle w:val="ListParagraph"/>
        <w:numPr>
          <w:ilvl w:val="0"/>
          <w:numId w:val="24"/>
        </w:numPr>
        <w:jc w:val="both"/>
        <w:rPr>
          <w:sz w:val="22"/>
          <w:szCs w:val="22"/>
        </w:rPr>
      </w:pPr>
      <w:r w:rsidRPr="003B0DA7">
        <w:rPr>
          <w:sz w:val="22"/>
          <w:szCs w:val="22"/>
        </w:rPr>
        <w:t xml:space="preserve">Patient registration with </w:t>
      </w:r>
      <w:r w:rsidR="008B25CF">
        <w:rPr>
          <w:sz w:val="22"/>
          <w:szCs w:val="22"/>
        </w:rPr>
        <w:t>the</w:t>
      </w:r>
      <w:r w:rsidRPr="003B0DA7">
        <w:rPr>
          <w:sz w:val="22"/>
          <w:szCs w:val="22"/>
        </w:rPr>
        <w:t xml:space="preserve"> practice with a right to return to that practice for both routine and urgent care and an annual per person registration payment to dentists</w:t>
      </w:r>
    </w:p>
    <w:p w:rsidR="005F43BC" w:rsidRPr="003B0DA7" w:rsidRDefault="008B25CF" w:rsidP="00E039A3">
      <w:pPr>
        <w:pStyle w:val="ListParagraph"/>
        <w:numPr>
          <w:ilvl w:val="0"/>
          <w:numId w:val="24"/>
        </w:numPr>
        <w:jc w:val="both"/>
        <w:rPr>
          <w:sz w:val="22"/>
          <w:szCs w:val="22"/>
        </w:rPr>
      </w:pPr>
      <w:r>
        <w:rPr>
          <w:sz w:val="22"/>
          <w:szCs w:val="22"/>
        </w:rPr>
        <w:t>Implementation of the Oral Health Assessment (OHA) care pathway</w:t>
      </w:r>
      <w:r w:rsidR="005F43BC" w:rsidRPr="003B0DA7">
        <w:rPr>
          <w:sz w:val="22"/>
          <w:szCs w:val="22"/>
        </w:rPr>
        <w:t xml:space="preserve"> </w:t>
      </w:r>
    </w:p>
    <w:p w:rsidR="005F43BC" w:rsidRPr="003B0DA7" w:rsidRDefault="005F43BC" w:rsidP="00E039A3">
      <w:pPr>
        <w:pStyle w:val="ListParagraph"/>
        <w:numPr>
          <w:ilvl w:val="0"/>
          <w:numId w:val="24"/>
        </w:numPr>
        <w:jc w:val="both"/>
        <w:rPr>
          <w:sz w:val="22"/>
          <w:szCs w:val="22"/>
        </w:rPr>
      </w:pPr>
      <w:r w:rsidRPr="003B0DA7">
        <w:rPr>
          <w:sz w:val="22"/>
          <w:szCs w:val="22"/>
        </w:rPr>
        <w:t>Clinical guidelines to support dentists and patients through specific pathways of treatment</w:t>
      </w:r>
    </w:p>
    <w:p w:rsidR="005F43BC" w:rsidRPr="003B0DA7" w:rsidRDefault="005F43BC" w:rsidP="00E039A3">
      <w:pPr>
        <w:pStyle w:val="ListParagraph"/>
        <w:numPr>
          <w:ilvl w:val="0"/>
          <w:numId w:val="24"/>
        </w:numPr>
        <w:jc w:val="both"/>
        <w:rPr>
          <w:sz w:val="22"/>
          <w:szCs w:val="22"/>
        </w:rPr>
      </w:pPr>
      <w:r w:rsidRPr="003B0DA7">
        <w:rPr>
          <w:sz w:val="22"/>
          <w:szCs w:val="22"/>
        </w:rPr>
        <w:t>Dental contracts with additional incentives for improving health. The contract should be developed specifically with payments for continuing care responsibility, blended with rewards for activity and quality</w:t>
      </w:r>
    </w:p>
    <w:p w:rsidR="005F43BC" w:rsidRPr="003B0DA7" w:rsidRDefault="00E039A3" w:rsidP="00E039A3">
      <w:pPr>
        <w:pStyle w:val="ListParagraph"/>
        <w:numPr>
          <w:ilvl w:val="0"/>
          <w:numId w:val="24"/>
        </w:numPr>
        <w:jc w:val="both"/>
        <w:rPr>
          <w:sz w:val="22"/>
          <w:szCs w:val="22"/>
        </w:rPr>
      </w:pPr>
      <w:r w:rsidRPr="003B0DA7">
        <w:rPr>
          <w:sz w:val="22"/>
          <w:szCs w:val="22"/>
        </w:rPr>
        <w:t>A</w:t>
      </w:r>
      <w:r w:rsidR="005F43BC" w:rsidRPr="003B0DA7">
        <w:rPr>
          <w:sz w:val="22"/>
          <w:szCs w:val="22"/>
        </w:rPr>
        <w:t>ctivity payments with a more sensitive banding structure and less range in value and explicitly recognise preventive activity</w:t>
      </w:r>
    </w:p>
    <w:p w:rsidR="005F43BC" w:rsidRPr="003B0DA7" w:rsidRDefault="005F43BC" w:rsidP="00E039A3">
      <w:pPr>
        <w:pStyle w:val="ListParagraph"/>
        <w:numPr>
          <w:ilvl w:val="0"/>
          <w:numId w:val="24"/>
        </w:numPr>
        <w:jc w:val="both"/>
        <w:rPr>
          <w:sz w:val="22"/>
          <w:szCs w:val="22"/>
        </w:rPr>
      </w:pPr>
      <w:r w:rsidRPr="003B0DA7">
        <w:rPr>
          <w:sz w:val="22"/>
          <w:szCs w:val="22"/>
        </w:rPr>
        <w:t>An expectation to have restoration work guaranteed for a period, by the provider.</w:t>
      </w:r>
    </w:p>
    <w:p w:rsidR="005F43BC" w:rsidRPr="003B0DA7" w:rsidRDefault="005F43BC" w:rsidP="00E039A3">
      <w:pPr>
        <w:pStyle w:val="ListParagraph"/>
        <w:numPr>
          <w:ilvl w:val="0"/>
          <w:numId w:val="24"/>
        </w:numPr>
        <w:jc w:val="both"/>
        <w:rPr>
          <w:sz w:val="22"/>
          <w:szCs w:val="22"/>
        </w:rPr>
      </w:pPr>
      <w:r w:rsidRPr="003B0DA7">
        <w:rPr>
          <w:sz w:val="22"/>
          <w:szCs w:val="22"/>
        </w:rPr>
        <w:t>Information technology to help in the organisation and collection of data</w:t>
      </w:r>
    </w:p>
    <w:p w:rsidR="005F43BC" w:rsidRPr="003B0DA7" w:rsidRDefault="005F43BC" w:rsidP="005F43BC">
      <w:pPr>
        <w:jc w:val="both"/>
      </w:pPr>
    </w:p>
    <w:p w:rsidR="005F43BC" w:rsidRDefault="00491014" w:rsidP="005F43BC">
      <w:pPr>
        <w:jc w:val="both"/>
      </w:pPr>
      <w:r>
        <w:lastRenderedPageBreak/>
        <w:t>The Authority</w:t>
      </w:r>
      <w:r w:rsidR="00E039A3" w:rsidRPr="003B0DA7">
        <w:t xml:space="preserve"> </w:t>
      </w:r>
      <w:r w:rsidR="005F43BC" w:rsidRPr="003B0DA7">
        <w:t>recognises that it will take time to build up a patient list.  Bidders will be asked to indicate how they propose to do this.</w:t>
      </w:r>
    </w:p>
    <w:p w:rsidR="00516221" w:rsidRDefault="00516221" w:rsidP="005F43BC">
      <w:pPr>
        <w:jc w:val="both"/>
      </w:pPr>
    </w:p>
    <w:p w:rsidR="005F43BC" w:rsidRPr="003B0DA7" w:rsidRDefault="00491014" w:rsidP="005F43BC">
      <w:pPr>
        <w:jc w:val="both"/>
      </w:pPr>
      <w:r>
        <w:t>The Authority</w:t>
      </w:r>
      <w:r w:rsidR="00516221">
        <w:t xml:space="preserve"> will expect the service to adhere to the DH’s Health Technical Manual (HTM) 01-05 for </w:t>
      </w:r>
      <w:r w:rsidR="005D129B">
        <w:t>D</w:t>
      </w:r>
      <w:r w:rsidR="00516221">
        <w:t xml:space="preserve">econtamination and </w:t>
      </w:r>
      <w:r w:rsidR="005D129B">
        <w:t>H</w:t>
      </w:r>
      <w:r w:rsidR="00516221">
        <w:t xml:space="preserve">ygiene.  </w:t>
      </w:r>
      <w:r w:rsidR="00877594" w:rsidRPr="00877594">
        <w:t xml:space="preserve">The expectation for new practices is that they are ‘best’ practice </w:t>
      </w:r>
      <w:r w:rsidR="00877594">
        <w:t xml:space="preserve">during contract mobilisation and therefore </w:t>
      </w:r>
      <w:r w:rsidR="00877594" w:rsidRPr="00877594">
        <w:t>before service commencement</w:t>
      </w:r>
      <w:r w:rsidR="00877594" w:rsidRPr="00877594" w:rsidDel="00877594">
        <w:t xml:space="preserve"> </w:t>
      </w:r>
    </w:p>
    <w:p w:rsidR="005F43BC" w:rsidRPr="003B0DA7" w:rsidRDefault="00491014" w:rsidP="005F43BC">
      <w:pPr>
        <w:jc w:val="both"/>
      </w:pPr>
      <w:r>
        <w:t>The Authority</w:t>
      </w:r>
      <w:r w:rsidR="005F43BC" w:rsidRPr="003B0DA7">
        <w:t xml:space="preserve"> will demand a high level of clinical competency</w:t>
      </w:r>
      <w:r w:rsidR="00516221">
        <w:t>,</w:t>
      </w:r>
      <w:r w:rsidR="005F43BC" w:rsidRPr="003B0DA7">
        <w:t xml:space="preserve"> such that referrals are made only for specialist services which cannot properly be provided in the practice.  </w:t>
      </w:r>
      <w:r w:rsidR="005F43BC" w:rsidRPr="00FC30F1">
        <w:t xml:space="preserve">Referrals should be ideally made to the primary care specialist services including the </w:t>
      </w:r>
      <w:r w:rsidR="00516221" w:rsidRPr="00FC30F1">
        <w:t>Community Dental Services (</w:t>
      </w:r>
      <w:r w:rsidR="005F43BC" w:rsidRPr="00FC30F1">
        <w:t>CDS</w:t>
      </w:r>
      <w:r w:rsidR="00E07790">
        <w:t>)</w:t>
      </w:r>
      <w:r w:rsidR="005F43BC" w:rsidRPr="003B0DA7">
        <w:t xml:space="preserve"> unless the level of complexity required necessitates a </w:t>
      </w:r>
      <w:r w:rsidR="00516221">
        <w:t>secondary care</w:t>
      </w:r>
      <w:r w:rsidR="005F43BC" w:rsidRPr="003B0DA7">
        <w:t xml:space="preserve"> referral.</w:t>
      </w:r>
    </w:p>
    <w:p w:rsidR="005F43BC" w:rsidRDefault="005F43BC" w:rsidP="005F43BC">
      <w:pPr>
        <w:jc w:val="both"/>
      </w:pPr>
    </w:p>
    <w:p w:rsidR="00811706" w:rsidRPr="00811706" w:rsidRDefault="00811706" w:rsidP="00E10698">
      <w:pPr>
        <w:pStyle w:val="Heading3"/>
      </w:pPr>
      <w:bookmarkStart w:id="18" w:name="_Toc504733055"/>
      <w:r w:rsidRPr="00811706">
        <w:t>2.4.5</w:t>
      </w:r>
      <w:r w:rsidRPr="00811706">
        <w:tab/>
        <w:t>Access</w:t>
      </w:r>
      <w:bookmarkEnd w:id="18"/>
      <w:r w:rsidRPr="00811706">
        <w:t xml:space="preserve"> </w:t>
      </w:r>
    </w:p>
    <w:p w:rsidR="0041528E" w:rsidRPr="003B0DA7" w:rsidRDefault="00491014" w:rsidP="000E61DB">
      <w:pPr>
        <w:jc w:val="both"/>
      </w:pPr>
      <w:r>
        <w:t>The Authority</w:t>
      </w:r>
      <w:r w:rsidRPr="003B0DA7">
        <w:t xml:space="preserve"> </w:t>
      </w:r>
      <w:r w:rsidR="0083749F">
        <w:t>key</w:t>
      </w:r>
      <w:r w:rsidR="0083749F" w:rsidRPr="003B0DA7">
        <w:t xml:space="preserve"> </w:t>
      </w:r>
      <w:r w:rsidR="0041528E" w:rsidRPr="003B0DA7">
        <w:t>objective is to increase access to high quality NHS dental services.  The practice</w:t>
      </w:r>
      <w:r w:rsidR="00516221">
        <w:t>s</w:t>
      </w:r>
      <w:r w:rsidR="0041528E" w:rsidRPr="003B0DA7">
        <w:t xml:space="preserve"> will be expected to be especially welcoming to those with the highest health needs, including young children and their parents, and the elderly, and must have facilities that comply with the requirements of the </w:t>
      </w:r>
      <w:r w:rsidR="00936F82">
        <w:t>Equality Act</w:t>
      </w:r>
      <w:r w:rsidR="00B235A1">
        <w:t xml:space="preserve"> </w:t>
      </w:r>
      <w:r w:rsidR="00936F82">
        <w:t>2010</w:t>
      </w:r>
      <w:r w:rsidR="0041528E" w:rsidRPr="003B0DA7">
        <w:t xml:space="preserve">.  </w:t>
      </w:r>
      <w:r w:rsidR="00516221">
        <w:t xml:space="preserve">It is </w:t>
      </w:r>
      <w:r w:rsidR="0041528E" w:rsidRPr="003B0DA7">
        <w:t>intend</w:t>
      </w:r>
      <w:r w:rsidR="00516221">
        <w:t>ed that the new practices</w:t>
      </w:r>
      <w:r w:rsidR="0041528E" w:rsidRPr="003B0DA7">
        <w:t xml:space="preserve"> provide a service which builds a reputation for being child and family friendly and which can be accessed by all community groups. </w:t>
      </w:r>
    </w:p>
    <w:p w:rsidR="0041528E" w:rsidRPr="003B0DA7" w:rsidRDefault="0041528E" w:rsidP="000E61DB">
      <w:pPr>
        <w:jc w:val="both"/>
      </w:pPr>
    </w:p>
    <w:p w:rsidR="00EF46C4" w:rsidRDefault="00491014" w:rsidP="000E61DB">
      <w:pPr>
        <w:jc w:val="both"/>
      </w:pPr>
      <w:r>
        <w:t>The Authority</w:t>
      </w:r>
      <w:r w:rsidR="0041528E" w:rsidRPr="003B0DA7">
        <w:t xml:space="preserve"> require</w:t>
      </w:r>
      <w:r w:rsidR="00516221">
        <w:t>s</w:t>
      </w:r>
      <w:r w:rsidR="0041528E" w:rsidRPr="003B0DA7">
        <w:t xml:space="preserve"> the practice</w:t>
      </w:r>
      <w:r w:rsidR="00516221">
        <w:t>s</w:t>
      </w:r>
      <w:r w:rsidR="0041528E" w:rsidRPr="003B0DA7">
        <w:t xml:space="preserve"> to </w:t>
      </w:r>
      <w:r w:rsidR="0083749F">
        <w:t>be non-discriminatory</w:t>
      </w:r>
      <w:r w:rsidR="0041528E" w:rsidRPr="003B0DA7">
        <w:t xml:space="preserve"> and to accept </w:t>
      </w:r>
      <w:r w:rsidR="00BF69DB">
        <w:t xml:space="preserve">all </w:t>
      </w:r>
      <w:r w:rsidR="0041528E" w:rsidRPr="003B0DA7">
        <w:t>new patients</w:t>
      </w:r>
      <w:r w:rsidR="00BF69DB">
        <w:t xml:space="preserve"> for NHS treatment</w:t>
      </w:r>
      <w:r w:rsidR="0041528E" w:rsidRPr="003B0DA7">
        <w:t>. The Provider</w:t>
      </w:r>
      <w:r w:rsidR="00516221">
        <w:t>s</w:t>
      </w:r>
      <w:r w:rsidR="0041528E" w:rsidRPr="003B0DA7">
        <w:t xml:space="preserve"> will be expected to receive referrals </w:t>
      </w:r>
      <w:r w:rsidR="00163F69">
        <w:t xml:space="preserve">via the London Region </w:t>
      </w:r>
      <w:r w:rsidR="00442F6A">
        <w:t xml:space="preserve">Dental Nurse Triage service and NHS 111 </w:t>
      </w:r>
      <w:r w:rsidR="00A70EEB">
        <w:t>to provide designated next day slots</w:t>
      </w:r>
      <w:r w:rsidR="00442F6A">
        <w:t>.</w:t>
      </w:r>
    </w:p>
    <w:p w:rsidR="00293448" w:rsidRPr="003B0DA7" w:rsidRDefault="00293448" w:rsidP="000E61DB">
      <w:pPr>
        <w:jc w:val="both"/>
      </w:pPr>
    </w:p>
    <w:p w:rsidR="00811706" w:rsidRPr="00C540C3" w:rsidRDefault="00811706" w:rsidP="00E10698">
      <w:pPr>
        <w:pStyle w:val="Heading3"/>
      </w:pPr>
      <w:bookmarkStart w:id="19" w:name="_Toc504733056"/>
      <w:r w:rsidRPr="00C540C3">
        <w:t>2.4.6</w:t>
      </w:r>
      <w:r w:rsidRPr="00C540C3">
        <w:tab/>
        <w:t>Quality and monitoring</w:t>
      </w:r>
      <w:bookmarkEnd w:id="19"/>
    </w:p>
    <w:p w:rsidR="003C3A19" w:rsidRDefault="003C3A19" w:rsidP="000E61DB">
      <w:pPr>
        <w:jc w:val="both"/>
      </w:pPr>
      <w:r w:rsidRPr="003B0DA7">
        <w:t xml:space="preserve">Providers shall deliver the service in accordance with the </w:t>
      </w:r>
      <w:r w:rsidR="00516221">
        <w:t>s</w:t>
      </w:r>
      <w:r w:rsidRPr="003B0DA7">
        <w:t>tandards stipulated within the P</w:t>
      </w:r>
      <w:r w:rsidR="00AB5491">
        <w:t>DS Plus agreement</w:t>
      </w:r>
      <w:r w:rsidRPr="003B0DA7">
        <w:t xml:space="preserve"> and the</w:t>
      </w:r>
      <w:r w:rsidR="00516221">
        <w:t xml:space="preserve"> NHS</w:t>
      </w:r>
      <w:r w:rsidRPr="003B0DA7">
        <w:t xml:space="preserve"> Performer</w:t>
      </w:r>
      <w:r w:rsidR="00516221">
        <w:t>s’ List</w:t>
      </w:r>
      <w:r w:rsidRPr="003B0DA7">
        <w:t xml:space="preserve"> Regulations </w:t>
      </w:r>
      <w:r w:rsidR="00BF69DB" w:rsidRPr="003B0DA7">
        <w:t>20</w:t>
      </w:r>
      <w:r w:rsidR="00BF69DB">
        <w:t>13</w:t>
      </w:r>
      <w:r w:rsidRPr="003B0DA7">
        <w:t xml:space="preserve">. Providers shall also deliver the service in accordance with the latest guidance and standards of the British </w:t>
      </w:r>
      <w:r w:rsidR="00C540C3" w:rsidRPr="003B0DA7">
        <w:t>Dental Association</w:t>
      </w:r>
      <w:r w:rsidR="00EF46C4" w:rsidRPr="003B0DA7">
        <w:t xml:space="preserve">, </w:t>
      </w:r>
      <w:r w:rsidRPr="003B0DA7">
        <w:t>General Dental Council</w:t>
      </w:r>
      <w:r w:rsidR="00EF46C4" w:rsidRPr="003B0DA7">
        <w:t xml:space="preserve"> </w:t>
      </w:r>
      <w:r w:rsidR="00516221">
        <w:t>(GDC)</w:t>
      </w:r>
      <w:r w:rsidR="00486708">
        <w:t>, the Care Quality Commission (CQC)</w:t>
      </w:r>
      <w:r w:rsidR="00516221">
        <w:t xml:space="preserve"> </w:t>
      </w:r>
      <w:r w:rsidR="00EF46C4" w:rsidRPr="003B0DA7">
        <w:t xml:space="preserve">and </w:t>
      </w:r>
      <w:r w:rsidRPr="003B0DA7">
        <w:t xml:space="preserve">any other relevant national and local guidance. </w:t>
      </w:r>
    </w:p>
    <w:p w:rsidR="00293448" w:rsidRPr="003B0DA7" w:rsidRDefault="00293448" w:rsidP="000E61DB">
      <w:pPr>
        <w:jc w:val="both"/>
      </w:pPr>
    </w:p>
    <w:p w:rsidR="00811706" w:rsidRPr="00811706" w:rsidRDefault="00811706" w:rsidP="00E10698">
      <w:pPr>
        <w:pStyle w:val="Heading3"/>
      </w:pPr>
      <w:bookmarkStart w:id="20" w:name="_Toc504733057"/>
      <w:r w:rsidRPr="00811706">
        <w:t>2.4.7</w:t>
      </w:r>
      <w:r w:rsidRPr="00811706">
        <w:tab/>
      </w:r>
      <w:r w:rsidR="00877594">
        <w:t>Staffing</w:t>
      </w:r>
      <w:bookmarkEnd w:id="20"/>
      <w:r w:rsidR="00877594" w:rsidRPr="00811706">
        <w:t xml:space="preserve"> </w:t>
      </w:r>
    </w:p>
    <w:p w:rsidR="00ED3AD6" w:rsidRPr="003B0DA7" w:rsidRDefault="00ED3AD6" w:rsidP="00ED3AD6">
      <w:pPr>
        <w:pStyle w:val="BodyText"/>
        <w:rPr>
          <w:bCs/>
        </w:rPr>
      </w:pPr>
      <w:bookmarkStart w:id="21" w:name="_Toc398818416"/>
      <w:r w:rsidRPr="003B0DA7">
        <w:rPr>
          <w:bCs/>
        </w:rPr>
        <w:t>The staff composition will be as follows:</w:t>
      </w:r>
    </w:p>
    <w:p w:rsidR="00FD5512" w:rsidRPr="00FD5512" w:rsidRDefault="00ED3AD6" w:rsidP="00FD5512">
      <w:pPr>
        <w:pStyle w:val="ListParagraph"/>
        <w:numPr>
          <w:ilvl w:val="0"/>
          <w:numId w:val="13"/>
        </w:numPr>
        <w:rPr>
          <w:bCs/>
          <w:sz w:val="22"/>
          <w:szCs w:val="22"/>
        </w:rPr>
      </w:pPr>
      <w:r w:rsidRPr="003B0DA7">
        <w:rPr>
          <w:bCs/>
          <w:sz w:val="22"/>
          <w:szCs w:val="22"/>
        </w:rPr>
        <w:t xml:space="preserve">Suitably experienced and qualified </w:t>
      </w:r>
      <w:r w:rsidR="00C540C3" w:rsidRPr="003B0DA7">
        <w:rPr>
          <w:bCs/>
          <w:sz w:val="22"/>
          <w:szCs w:val="22"/>
        </w:rPr>
        <w:t>dentist</w:t>
      </w:r>
      <w:r w:rsidR="00516221">
        <w:rPr>
          <w:bCs/>
          <w:sz w:val="22"/>
          <w:szCs w:val="22"/>
        </w:rPr>
        <w:t>s,</w:t>
      </w:r>
      <w:r w:rsidRPr="003B0DA7">
        <w:rPr>
          <w:bCs/>
          <w:sz w:val="22"/>
          <w:szCs w:val="22"/>
        </w:rPr>
        <w:t xml:space="preserve"> </w:t>
      </w:r>
      <w:r w:rsidR="00C540C3" w:rsidRPr="003B0DA7">
        <w:rPr>
          <w:sz w:val="22"/>
          <w:szCs w:val="22"/>
        </w:rPr>
        <w:t>who</w:t>
      </w:r>
      <w:r w:rsidRPr="003B0DA7">
        <w:rPr>
          <w:sz w:val="22"/>
          <w:szCs w:val="22"/>
        </w:rPr>
        <w:t xml:space="preserve"> must be </w:t>
      </w:r>
      <w:r w:rsidR="00C540C3" w:rsidRPr="003B0DA7">
        <w:rPr>
          <w:sz w:val="22"/>
          <w:szCs w:val="22"/>
        </w:rPr>
        <w:t xml:space="preserve">registered with the GDC and </w:t>
      </w:r>
      <w:r w:rsidRPr="003B0DA7">
        <w:rPr>
          <w:sz w:val="22"/>
          <w:szCs w:val="22"/>
        </w:rPr>
        <w:t>on</w:t>
      </w:r>
      <w:r w:rsidR="00FE0C93" w:rsidRPr="003B0DA7">
        <w:rPr>
          <w:sz w:val="22"/>
          <w:szCs w:val="22"/>
        </w:rPr>
        <w:t xml:space="preserve"> the</w:t>
      </w:r>
      <w:r w:rsidRPr="003B0DA7">
        <w:rPr>
          <w:sz w:val="22"/>
          <w:szCs w:val="22"/>
        </w:rPr>
        <w:t xml:space="preserve"> </w:t>
      </w:r>
      <w:r w:rsidR="00B03B12">
        <w:rPr>
          <w:sz w:val="22"/>
          <w:szCs w:val="22"/>
        </w:rPr>
        <w:t xml:space="preserve">NHS </w:t>
      </w:r>
      <w:r w:rsidR="00FE0C93" w:rsidRPr="003B0DA7">
        <w:rPr>
          <w:sz w:val="22"/>
          <w:szCs w:val="22"/>
        </w:rPr>
        <w:t>National Dental Performers</w:t>
      </w:r>
      <w:r w:rsidR="00516221">
        <w:rPr>
          <w:sz w:val="22"/>
          <w:szCs w:val="22"/>
        </w:rPr>
        <w:t>’</w:t>
      </w:r>
      <w:r w:rsidR="00FE0C93" w:rsidRPr="003B0DA7">
        <w:rPr>
          <w:sz w:val="22"/>
          <w:szCs w:val="22"/>
        </w:rPr>
        <w:t xml:space="preserve"> List.</w:t>
      </w:r>
    </w:p>
    <w:p w:rsidR="00FD5512" w:rsidRDefault="00FD5512" w:rsidP="00877594">
      <w:pPr>
        <w:pStyle w:val="ListParagraph"/>
        <w:numPr>
          <w:ilvl w:val="0"/>
          <w:numId w:val="13"/>
        </w:numPr>
        <w:rPr>
          <w:bCs/>
          <w:sz w:val="22"/>
          <w:szCs w:val="22"/>
        </w:rPr>
      </w:pPr>
      <w:r w:rsidRPr="00FD5512">
        <w:rPr>
          <w:bCs/>
          <w:sz w:val="22"/>
          <w:szCs w:val="22"/>
        </w:rPr>
        <w:t>Suitably experienced and qualified Dental Nurse who must be registered with the GDC</w:t>
      </w:r>
      <w:r w:rsidR="00877594" w:rsidRPr="00877594">
        <w:t xml:space="preserve"> </w:t>
      </w:r>
      <w:r w:rsidR="00877594" w:rsidRPr="00877594">
        <w:rPr>
          <w:bCs/>
          <w:sz w:val="22"/>
          <w:szCs w:val="22"/>
        </w:rPr>
        <w:t>or nurses in recognised training positions</w:t>
      </w:r>
      <w:r w:rsidR="00877594">
        <w:rPr>
          <w:bCs/>
          <w:sz w:val="22"/>
          <w:szCs w:val="22"/>
        </w:rPr>
        <w:t xml:space="preserve"> however the majority of nurses must already be registered.</w:t>
      </w:r>
    </w:p>
    <w:p w:rsidR="00877594" w:rsidRPr="00FD5512" w:rsidRDefault="00877594" w:rsidP="00877594">
      <w:pPr>
        <w:pStyle w:val="ListParagraph"/>
        <w:numPr>
          <w:ilvl w:val="0"/>
          <w:numId w:val="13"/>
        </w:numPr>
        <w:rPr>
          <w:bCs/>
          <w:sz w:val="22"/>
          <w:szCs w:val="22"/>
        </w:rPr>
      </w:pPr>
      <w:r w:rsidRPr="00877594">
        <w:rPr>
          <w:bCs/>
          <w:sz w:val="22"/>
          <w:szCs w:val="22"/>
        </w:rPr>
        <w:t>Suitably experienced and qualified Dental Therapists and Hygienists who must be registered with the GDC</w:t>
      </w:r>
    </w:p>
    <w:p w:rsidR="00293448" w:rsidRPr="00FD5512" w:rsidRDefault="00293448" w:rsidP="00FD5512">
      <w:pPr>
        <w:rPr>
          <w:bCs/>
        </w:rPr>
      </w:pPr>
    </w:p>
    <w:bookmarkEnd w:id="21"/>
    <w:p w:rsidR="00811706" w:rsidRPr="00811706" w:rsidRDefault="00811706" w:rsidP="00811706">
      <w:pPr>
        <w:jc w:val="both"/>
      </w:pPr>
    </w:p>
    <w:p w:rsidR="00A3227F" w:rsidRPr="00A3227F" w:rsidRDefault="000512DD" w:rsidP="00E10698">
      <w:pPr>
        <w:pStyle w:val="Heading2"/>
      </w:pPr>
      <w:bookmarkStart w:id="22" w:name="_Toc504733058"/>
      <w:r w:rsidRPr="00A3227F">
        <w:t>Bidder Pool</w:t>
      </w:r>
      <w:bookmarkEnd w:id="22"/>
    </w:p>
    <w:p w:rsidR="008D5ACF" w:rsidRPr="003B0DA7" w:rsidRDefault="008D5ACF" w:rsidP="00741228">
      <w:pPr>
        <w:jc w:val="both"/>
      </w:pPr>
      <w:r w:rsidRPr="003B0DA7">
        <w:t xml:space="preserve">The Commissioners wish to receive responses to the  </w:t>
      </w:r>
      <w:r w:rsidR="00477EFE">
        <w:t>Selection</w:t>
      </w:r>
      <w:r w:rsidR="005837AD">
        <w:t xml:space="preserve"> </w:t>
      </w:r>
      <w:r w:rsidRPr="003B0DA7">
        <w:t>Questionnaire (</w:t>
      </w:r>
      <w:r w:rsidR="005837AD">
        <w:rPr>
          <w:b/>
          <w:bCs/>
        </w:rPr>
        <w:t>S</w:t>
      </w:r>
      <w:r w:rsidRPr="003B0DA7">
        <w:rPr>
          <w:b/>
          <w:bCs/>
        </w:rPr>
        <w:t>Q</w:t>
      </w:r>
      <w:r w:rsidRPr="003B0DA7">
        <w:t xml:space="preserve">) from suitably qualified and experienced healthcare providers (including general dental practitioners, social enterprise / third sector organisations and other providers) with the necessary capacity and capability (or a demonstrable ability to provide the necessary capacity and capability) to provide new </w:t>
      </w:r>
      <w:r w:rsidR="00516221">
        <w:t>p</w:t>
      </w:r>
      <w:r w:rsidR="00BC6747" w:rsidRPr="003B0DA7">
        <w:t xml:space="preserve">rimary </w:t>
      </w:r>
      <w:r w:rsidR="00516221">
        <w:t>c</w:t>
      </w:r>
      <w:r w:rsidR="00BC6747" w:rsidRPr="003B0DA7">
        <w:t xml:space="preserve">are mandatory </w:t>
      </w:r>
      <w:r w:rsidR="00516221">
        <w:t>NHS d</w:t>
      </w:r>
      <w:r w:rsidR="00BC6747" w:rsidRPr="003B0DA7">
        <w:t>ental</w:t>
      </w:r>
      <w:r w:rsidRPr="003B0DA7">
        <w:t xml:space="preserve"> service</w:t>
      </w:r>
      <w:r w:rsidR="00516221">
        <w:t>s</w:t>
      </w:r>
      <w:r w:rsidRPr="003B0DA7">
        <w:t xml:space="preserve"> </w:t>
      </w:r>
      <w:r w:rsidR="00BC6747" w:rsidRPr="003B0DA7">
        <w:t xml:space="preserve">located in </w:t>
      </w:r>
      <w:r w:rsidR="005837AD">
        <w:t>Y</w:t>
      </w:r>
      <w:r w:rsidR="003B6A1D">
        <w:t>i</w:t>
      </w:r>
      <w:r w:rsidR="005837AD">
        <w:t>e</w:t>
      </w:r>
      <w:r w:rsidR="00FB23F8">
        <w:t>wsley (Hillingdon) and Canning Town / Custom House (Newham).</w:t>
      </w:r>
      <w:r w:rsidRPr="003B0DA7">
        <w:t xml:space="preserve"> Potential Bidders </w:t>
      </w:r>
      <w:r w:rsidRPr="003B0DA7">
        <w:lastRenderedPageBreak/>
        <w:t>may bid in partnership with other organisations such that the Dental Services Supplier may be different to the potential Bidder.</w:t>
      </w:r>
    </w:p>
    <w:p w:rsidR="00116195" w:rsidRPr="00116195" w:rsidRDefault="00116195" w:rsidP="001933BA">
      <w:pPr>
        <w:spacing w:before="0" w:after="0"/>
        <w:jc w:val="both"/>
        <w:rPr>
          <w:iCs/>
        </w:rPr>
      </w:pPr>
    </w:p>
    <w:p w:rsidR="0047617C" w:rsidRDefault="00955209">
      <w:pPr>
        <w:pStyle w:val="Heading2"/>
      </w:pPr>
      <w:bookmarkStart w:id="23" w:name="_Toc504733059"/>
      <w:r>
        <w:t>Critical Success Factors (</w:t>
      </w:r>
      <w:r w:rsidR="00B6246D" w:rsidRPr="00A3227F">
        <w:t>CSFs)</w:t>
      </w:r>
      <w:bookmarkEnd w:id="23"/>
    </w:p>
    <w:p w:rsidR="001843CD" w:rsidRPr="00486708" w:rsidRDefault="00B6246D" w:rsidP="004149C2">
      <w:pPr>
        <w:pStyle w:val="BulletMOI"/>
        <w:numPr>
          <w:ilvl w:val="0"/>
          <w:numId w:val="23"/>
        </w:numPr>
      </w:pPr>
      <w:r w:rsidRPr="00486708" w:rsidDel="002C4BF7">
        <w:t xml:space="preserve">Access </w:t>
      </w:r>
      <w:r w:rsidRPr="00486708">
        <w:t xml:space="preserve">– </w:t>
      </w:r>
      <w:r w:rsidR="00B92921" w:rsidRPr="00486708">
        <w:t>The</w:t>
      </w:r>
      <w:r w:rsidR="009D7D9C" w:rsidRPr="00486708">
        <w:t xml:space="preserve"> mandatory dental</w:t>
      </w:r>
      <w:r w:rsidR="00D05EB9" w:rsidRPr="00486708">
        <w:t xml:space="preserve"> service</w:t>
      </w:r>
      <w:r w:rsidR="00B92921" w:rsidRPr="00486708">
        <w:t>s</w:t>
      </w:r>
      <w:r w:rsidR="009D7D9C" w:rsidRPr="00486708">
        <w:t xml:space="preserve"> procured </w:t>
      </w:r>
      <w:r w:rsidR="00D05EB9" w:rsidRPr="00486708">
        <w:t xml:space="preserve">must be provided </w:t>
      </w:r>
      <w:r w:rsidR="009D7D9C" w:rsidRPr="00486708">
        <w:t xml:space="preserve">from </w:t>
      </w:r>
      <w:r w:rsidR="00486708" w:rsidRPr="00486708">
        <w:t>premises</w:t>
      </w:r>
      <w:r w:rsidR="009D7D9C" w:rsidRPr="00486708">
        <w:t xml:space="preserve"> geographically located in </w:t>
      </w:r>
      <w:r w:rsidR="00FB23F8">
        <w:t>Canning Town / Custom House</w:t>
      </w:r>
      <w:r w:rsidR="00A70EEB" w:rsidRPr="00A70EEB" w:rsidDel="00A70EEB">
        <w:t xml:space="preserve"> </w:t>
      </w:r>
      <w:r w:rsidR="00D05EB9" w:rsidRPr="00486708">
        <w:t xml:space="preserve">within the London </w:t>
      </w:r>
      <w:r w:rsidR="00ED3AD6" w:rsidRPr="00486708">
        <w:t>b</w:t>
      </w:r>
      <w:r w:rsidR="00D05EB9" w:rsidRPr="00486708">
        <w:t xml:space="preserve">orough of </w:t>
      </w:r>
      <w:r w:rsidR="009D7D9C" w:rsidRPr="00486708">
        <w:t>Newham</w:t>
      </w:r>
      <w:r w:rsidR="00B92921" w:rsidRPr="00486708">
        <w:t xml:space="preserve"> and</w:t>
      </w:r>
      <w:r w:rsidR="009D7D9C" w:rsidRPr="00486708">
        <w:t xml:space="preserve"> in addition from </w:t>
      </w:r>
      <w:r w:rsidR="00D630AF" w:rsidRPr="00486708">
        <w:t>premises</w:t>
      </w:r>
      <w:r w:rsidR="009D7D9C" w:rsidRPr="00486708">
        <w:t xml:space="preserve"> geographically located in </w:t>
      </w:r>
      <w:r w:rsidR="00FB23F8">
        <w:t>Y</w:t>
      </w:r>
      <w:r w:rsidR="0081167D">
        <w:t>i</w:t>
      </w:r>
      <w:r w:rsidR="00F45E99">
        <w:t xml:space="preserve">ewsley, </w:t>
      </w:r>
      <w:r w:rsidR="009D7D9C" w:rsidRPr="00486708">
        <w:t>within the London borough of Hillingdon. T</w:t>
      </w:r>
      <w:r w:rsidR="00ED3AD6" w:rsidRPr="00486708">
        <w:t>he service</w:t>
      </w:r>
      <w:r w:rsidR="00F2459C" w:rsidRPr="00486708">
        <w:t xml:space="preserve"> procured </w:t>
      </w:r>
      <w:r w:rsidR="00D05EB9" w:rsidRPr="00486708">
        <w:t xml:space="preserve">should </w:t>
      </w:r>
      <w:r w:rsidR="009D7D9C" w:rsidRPr="00486708">
        <w:t>provide additional capacity and access</w:t>
      </w:r>
      <w:r w:rsidR="00A1513A">
        <w:t xml:space="preserve"> (at ITT Bidders will be required to provide of evidence that they have considered suitable transport links when identifying proposed sites)</w:t>
      </w:r>
      <w:r w:rsidR="009D7D9C" w:rsidRPr="00486708">
        <w:t xml:space="preserve"> </w:t>
      </w:r>
      <w:r w:rsidR="004149C2">
        <w:t>therefore meeting the needs of</w:t>
      </w:r>
      <w:r w:rsidR="009D7D9C" w:rsidRPr="00486708">
        <w:t xml:space="preserve"> the patients located within these boroughs and the surrounding area.</w:t>
      </w:r>
      <w:r w:rsidR="00A1513A">
        <w:t xml:space="preserve"> </w:t>
      </w:r>
    </w:p>
    <w:p w:rsidR="00BF3963" w:rsidRPr="003B0DA7" w:rsidRDefault="00BF3963" w:rsidP="004149C2">
      <w:pPr>
        <w:pStyle w:val="BulletMOI"/>
        <w:numPr>
          <w:ilvl w:val="0"/>
          <w:numId w:val="0"/>
        </w:numPr>
        <w:ind w:left="360"/>
      </w:pPr>
    </w:p>
    <w:p w:rsidR="00BF3963" w:rsidRPr="003B0DA7" w:rsidRDefault="00B6246D" w:rsidP="004149C2">
      <w:pPr>
        <w:pStyle w:val="BulletMOI"/>
        <w:numPr>
          <w:ilvl w:val="0"/>
          <w:numId w:val="23"/>
        </w:numPr>
      </w:pPr>
      <w:r w:rsidRPr="003B0DA7">
        <w:t>Capacity –</w:t>
      </w:r>
      <w:r w:rsidR="00B83207" w:rsidRPr="003B0DA7">
        <w:t xml:space="preserve"> The aim of the procurement is to provide additional</w:t>
      </w:r>
      <w:r w:rsidR="00B86B95">
        <w:t xml:space="preserve"> or new</w:t>
      </w:r>
      <w:r w:rsidR="00B83207" w:rsidRPr="003B0DA7">
        <w:t xml:space="preserve"> dental capacity in the locations identified as currently lacking provision.  The potential capacity issues are local and geographical rather than specialty related.</w:t>
      </w:r>
    </w:p>
    <w:p w:rsidR="00B83207" w:rsidRPr="003B0DA7" w:rsidRDefault="00B83207" w:rsidP="00BD4DF1">
      <w:pPr>
        <w:pStyle w:val="BulletMOI"/>
        <w:numPr>
          <w:ilvl w:val="0"/>
          <w:numId w:val="0"/>
        </w:numPr>
        <w:ind w:left="720"/>
        <w:jc w:val="left"/>
      </w:pPr>
    </w:p>
    <w:p w:rsidR="001843CD" w:rsidRPr="003B0DA7" w:rsidRDefault="00F2459C" w:rsidP="001676C8">
      <w:pPr>
        <w:pStyle w:val="BulletMOI"/>
        <w:numPr>
          <w:ilvl w:val="0"/>
          <w:numId w:val="14"/>
        </w:numPr>
        <w:jc w:val="left"/>
      </w:pPr>
      <w:r w:rsidRPr="003B0DA7">
        <w:t>Quality - Patient-centred</w:t>
      </w:r>
      <w:r w:rsidR="00B83207" w:rsidRPr="003B0DA7">
        <w:t xml:space="preserve"> Primary Care </w:t>
      </w:r>
      <w:r w:rsidR="00DE6CFA" w:rsidRPr="003B0DA7">
        <w:t>Mandatory</w:t>
      </w:r>
      <w:r w:rsidR="00B83207" w:rsidRPr="003B0DA7">
        <w:t xml:space="preserve"> Dental Services, delivered in</w:t>
      </w:r>
      <w:r w:rsidR="00FA4014" w:rsidRPr="003B0DA7">
        <w:t>:</w:t>
      </w:r>
    </w:p>
    <w:p w:rsidR="001843CD" w:rsidRPr="003B0DA7" w:rsidRDefault="00F2459C" w:rsidP="001676C8">
      <w:pPr>
        <w:pStyle w:val="BulletMOI"/>
        <w:numPr>
          <w:ilvl w:val="1"/>
          <w:numId w:val="3"/>
        </w:numPr>
        <w:jc w:val="left"/>
      </w:pPr>
      <w:r w:rsidRPr="003B0DA7">
        <w:t xml:space="preserve">a safe and effective manner </w:t>
      </w:r>
    </w:p>
    <w:p w:rsidR="00FA4014" w:rsidRPr="003B0DA7" w:rsidRDefault="00FA4014" w:rsidP="001676C8">
      <w:pPr>
        <w:pStyle w:val="BulletMOI"/>
        <w:numPr>
          <w:ilvl w:val="1"/>
          <w:numId w:val="3"/>
        </w:numPr>
        <w:jc w:val="left"/>
      </w:pPr>
      <w:r w:rsidRPr="003B0DA7">
        <w:t xml:space="preserve">to a high degree of patient satisfaction </w:t>
      </w:r>
    </w:p>
    <w:p w:rsidR="00BF3963" w:rsidRPr="003B0DA7" w:rsidRDefault="00FA4014" w:rsidP="001676C8">
      <w:pPr>
        <w:pStyle w:val="BulletMOI"/>
        <w:numPr>
          <w:ilvl w:val="1"/>
          <w:numId w:val="3"/>
        </w:numPr>
      </w:pPr>
      <w:r w:rsidRPr="003B0DA7">
        <w:t>using evidence sourced from models of best practice.</w:t>
      </w:r>
    </w:p>
    <w:p w:rsidR="00FA4014" w:rsidRPr="003B0DA7" w:rsidRDefault="00FA4014" w:rsidP="00FA4014">
      <w:pPr>
        <w:pStyle w:val="BulletMOI"/>
        <w:numPr>
          <w:ilvl w:val="0"/>
          <w:numId w:val="0"/>
        </w:numPr>
        <w:ind w:left="1440"/>
      </w:pPr>
    </w:p>
    <w:p w:rsidR="00964619" w:rsidRPr="003B0DA7" w:rsidRDefault="00F2459C" w:rsidP="001676C8">
      <w:pPr>
        <w:pStyle w:val="BulletMOI"/>
        <w:numPr>
          <w:ilvl w:val="0"/>
          <w:numId w:val="3"/>
        </w:numPr>
      </w:pPr>
      <w:r w:rsidRPr="003B0DA7">
        <w:t xml:space="preserve">Workforce </w:t>
      </w:r>
      <w:r w:rsidR="00964619" w:rsidRPr="003B0DA7">
        <w:t>-</w:t>
      </w:r>
      <w:r w:rsidRPr="003B0DA7">
        <w:t xml:space="preserve"> </w:t>
      </w:r>
    </w:p>
    <w:p w:rsidR="001843CD" w:rsidRPr="003B0DA7" w:rsidRDefault="00F2459C" w:rsidP="001676C8">
      <w:pPr>
        <w:pStyle w:val="BulletMOI"/>
        <w:numPr>
          <w:ilvl w:val="1"/>
          <w:numId w:val="3"/>
        </w:numPr>
      </w:pPr>
      <w:r w:rsidRPr="003B0DA7">
        <w:t>The workforce must be skilled and competent in delivering</w:t>
      </w:r>
      <w:r w:rsidR="00906179" w:rsidRPr="003B0DA7">
        <w:t xml:space="preserve"> </w:t>
      </w:r>
      <w:r w:rsidR="00DE6CFA" w:rsidRPr="003B0DA7">
        <w:t>Primary Care Mandatory Dental Services.</w:t>
      </w:r>
    </w:p>
    <w:p w:rsidR="001843CD" w:rsidRPr="003B0DA7" w:rsidRDefault="00F2459C" w:rsidP="001676C8">
      <w:pPr>
        <w:pStyle w:val="BulletMOI"/>
        <w:numPr>
          <w:ilvl w:val="1"/>
          <w:numId w:val="3"/>
        </w:numPr>
      </w:pPr>
      <w:r w:rsidRPr="003B0DA7">
        <w:t xml:space="preserve">There must be evidence of organisational commitment and the ability to develop an effective service including the recruitment </w:t>
      </w:r>
      <w:r w:rsidR="00906179" w:rsidRPr="003B0DA7">
        <w:t xml:space="preserve">and </w:t>
      </w:r>
      <w:r w:rsidRPr="003B0DA7">
        <w:t xml:space="preserve">training </w:t>
      </w:r>
      <w:r w:rsidR="00906179" w:rsidRPr="003B0DA7">
        <w:t>of staff</w:t>
      </w:r>
    </w:p>
    <w:p w:rsidR="001843CD" w:rsidRPr="003B0DA7" w:rsidRDefault="00F2459C" w:rsidP="001676C8">
      <w:pPr>
        <w:pStyle w:val="BulletMOI"/>
        <w:numPr>
          <w:ilvl w:val="1"/>
          <w:numId w:val="3"/>
        </w:numPr>
      </w:pPr>
      <w:r w:rsidRPr="003B0DA7">
        <w:t>Due to the programme working</w:t>
      </w:r>
      <w:r w:rsidR="001843CD" w:rsidRPr="003B0DA7">
        <w:t xml:space="preserve"> with children and</w:t>
      </w:r>
      <w:r w:rsidR="00027D4B" w:rsidRPr="003B0DA7">
        <w:t xml:space="preserve"> young </w:t>
      </w:r>
      <w:r w:rsidR="00B86B95">
        <w:t xml:space="preserve">and vulnerable </w:t>
      </w:r>
      <w:r w:rsidR="001843CD" w:rsidRPr="003B0DA7">
        <w:t>adults</w:t>
      </w:r>
      <w:r w:rsidR="00027D4B" w:rsidRPr="003B0DA7">
        <w:t xml:space="preserve">, </w:t>
      </w:r>
      <w:r w:rsidRPr="003B0DA7">
        <w:t xml:space="preserve">appropriate safeguarding training must be in place and appropriate </w:t>
      </w:r>
      <w:r w:rsidR="00906179" w:rsidRPr="003B0DA7">
        <w:t>DBS</w:t>
      </w:r>
      <w:r w:rsidR="001843CD" w:rsidRPr="003B0DA7">
        <w:t xml:space="preserve"> checks undertaken.</w:t>
      </w:r>
    </w:p>
    <w:p w:rsidR="00F2459C" w:rsidRPr="003B0DA7" w:rsidRDefault="00F2459C" w:rsidP="001676C8">
      <w:pPr>
        <w:pStyle w:val="BulletMOI"/>
        <w:numPr>
          <w:ilvl w:val="1"/>
          <w:numId w:val="3"/>
        </w:numPr>
      </w:pPr>
      <w:r w:rsidRPr="003B0DA7">
        <w:t>Registration of Dentists on the National Dental Performers</w:t>
      </w:r>
      <w:r w:rsidR="00AB5491">
        <w:t>’</w:t>
      </w:r>
      <w:r w:rsidRPr="003B0DA7">
        <w:t xml:space="preserve"> List.</w:t>
      </w:r>
    </w:p>
    <w:p w:rsidR="00BF3963" w:rsidRPr="003B0DA7" w:rsidRDefault="00BF3963" w:rsidP="00BF3963">
      <w:pPr>
        <w:pStyle w:val="BulletMOI"/>
        <w:numPr>
          <w:ilvl w:val="0"/>
          <w:numId w:val="0"/>
        </w:numPr>
        <w:ind w:left="720"/>
      </w:pPr>
    </w:p>
    <w:p w:rsidR="00B6246D" w:rsidRPr="003B0DA7" w:rsidRDefault="00B6246D" w:rsidP="001676C8">
      <w:pPr>
        <w:pStyle w:val="BulletMOI"/>
        <w:numPr>
          <w:ilvl w:val="0"/>
          <w:numId w:val="3"/>
        </w:numPr>
      </w:pPr>
      <w:r w:rsidRPr="003B0DA7">
        <w:t>V</w:t>
      </w:r>
      <w:r w:rsidR="00F2459C" w:rsidRPr="003B0DA7">
        <w:t xml:space="preserve">alue for Money and Affordable - </w:t>
      </w:r>
      <w:r w:rsidR="00DE6CFA" w:rsidRPr="003B0DA7">
        <w:t xml:space="preserve">Primary Care Mandatory Dental Services </w:t>
      </w:r>
      <w:r w:rsidR="00F2459C" w:rsidRPr="003B0DA7">
        <w:t>procured through the Procurement must be affordable</w:t>
      </w:r>
      <w:r w:rsidR="00C236A2" w:rsidRPr="003B0DA7">
        <w:t>,</w:t>
      </w:r>
      <w:r w:rsidR="00F2459C" w:rsidRPr="003B0DA7">
        <w:t xml:space="preserve"> provide value for money</w:t>
      </w:r>
      <w:r w:rsidR="00E212EA" w:rsidRPr="003B0DA7">
        <w:t xml:space="preserve"> (VFM)</w:t>
      </w:r>
      <w:r w:rsidR="00F2459C" w:rsidRPr="003B0DA7">
        <w:t xml:space="preserve"> and offer continuous improvement through the life of the contract.</w:t>
      </w:r>
    </w:p>
    <w:p w:rsidR="00BF3963" w:rsidRPr="003B0DA7" w:rsidRDefault="00BF3963" w:rsidP="00BD4DF1">
      <w:pPr>
        <w:pStyle w:val="BulletMOI"/>
        <w:numPr>
          <w:ilvl w:val="0"/>
          <w:numId w:val="0"/>
        </w:numPr>
        <w:ind w:left="720"/>
      </w:pPr>
    </w:p>
    <w:p w:rsidR="00F45E99" w:rsidRDefault="00F2459C" w:rsidP="00F45E99">
      <w:pPr>
        <w:pStyle w:val="BulletMOI"/>
        <w:numPr>
          <w:ilvl w:val="0"/>
          <w:numId w:val="3"/>
        </w:numPr>
      </w:pPr>
      <w:r w:rsidRPr="003B0DA7">
        <w:t>Health Inequalities - Service procured must respond effectively to the particular oral health needs of the eligible patient group leading to demonstrable improvements in oral health</w:t>
      </w:r>
    </w:p>
    <w:p w:rsidR="00F45E99" w:rsidRDefault="00F45E99" w:rsidP="00F45E99">
      <w:pPr>
        <w:pStyle w:val="ListParagraph"/>
      </w:pPr>
    </w:p>
    <w:p w:rsidR="00B6246D" w:rsidRPr="00F45E99" w:rsidRDefault="00F2459C" w:rsidP="00F45E99">
      <w:pPr>
        <w:pStyle w:val="BulletMOI"/>
        <w:numPr>
          <w:ilvl w:val="0"/>
          <w:numId w:val="3"/>
        </w:numPr>
      </w:pPr>
      <w:r w:rsidRPr="00F45E99">
        <w:t>Timeliness</w:t>
      </w:r>
      <w:r w:rsidRPr="003B0DA7">
        <w:t xml:space="preserve"> - The provider </w:t>
      </w:r>
      <w:r w:rsidR="00A1513A">
        <w:t>must</w:t>
      </w:r>
      <w:r w:rsidR="00A1513A" w:rsidRPr="003B0DA7">
        <w:t xml:space="preserve"> </w:t>
      </w:r>
      <w:r w:rsidRPr="003B0DA7">
        <w:t xml:space="preserve">be able to demonstrate that they can commence service delivery </w:t>
      </w:r>
      <w:r w:rsidRPr="008E428E">
        <w:t xml:space="preserve">by </w:t>
      </w:r>
      <w:r w:rsidR="00477EFE">
        <w:t>0</w:t>
      </w:r>
      <w:bookmarkStart w:id="24" w:name="_GoBack"/>
      <w:bookmarkEnd w:id="24"/>
      <w:r w:rsidR="00EE5907" w:rsidRPr="00F45E99">
        <w:t>2 January</w:t>
      </w:r>
      <w:r w:rsidR="00A1513A" w:rsidRPr="00F45E99">
        <w:t xml:space="preserve"> </w:t>
      </w:r>
      <w:r w:rsidR="00C236A2" w:rsidRPr="00F45E99">
        <w:t>201</w:t>
      </w:r>
      <w:r w:rsidR="00EE5907" w:rsidRPr="00F45E99">
        <w:t>9</w:t>
      </w:r>
    </w:p>
    <w:p w:rsidR="00BF3963" w:rsidRPr="00F45E99" w:rsidRDefault="00BF3963" w:rsidP="00BD4DF1">
      <w:pPr>
        <w:pStyle w:val="BulletMOI"/>
        <w:numPr>
          <w:ilvl w:val="0"/>
          <w:numId w:val="0"/>
        </w:numPr>
        <w:ind w:left="720"/>
        <w:rPr>
          <w:color w:val="FFFF00"/>
        </w:rPr>
      </w:pPr>
    </w:p>
    <w:p w:rsidR="00491BBD" w:rsidRDefault="00491BBD" w:rsidP="001676C8">
      <w:pPr>
        <w:pStyle w:val="BulletMOI"/>
        <w:numPr>
          <w:ilvl w:val="0"/>
          <w:numId w:val="3"/>
        </w:numPr>
      </w:pPr>
      <w:r w:rsidRPr="003B0DA7">
        <w:t>KPI’s</w:t>
      </w:r>
      <w:r w:rsidR="001843CD" w:rsidRPr="003B0DA7">
        <w:t xml:space="preserve"> - </w:t>
      </w:r>
      <w:r w:rsidR="00AB5491">
        <w:t>for the full description of KPI</w:t>
      </w:r>
      <w:r w:rsidR="001843CD" w:rsidRPr="003B0DA7">
        <w:t>s please refer to Service Specification</w:t>
      </w:r>
    </w:p>
    <w:p w:rsidR="002F6848" w:rsidRDefault="002F6848" w:rsidP="004149C2">
      <w:pPr>
        <w:pStyle w:val="ListParagraph"/>
      </w:pPr>
    </w:p>
    <w:p w:rsidR="002F6848" w:rsidRPr="003B0DA7" w:rsidRDefault="002F6848" w:rsidP="001676C8">
      <w:pPr>
        <w:pStyle w:val="BulletMOI"/>
        <w:numPr>
          <w:ilvl w:val="0"/>
          <w:numId w:val="3"/>
        </w:numPr>
      </w:pPr>
      <w:r>
        <w:t>Integration – Providers will be expected to integrate with, and positively contribute to, the local health community.</w:t>
      </w:r>
    </w:p>
    <w:p w:rsidR="00671E45" w:rsidRPr="003B0DA7" w:rsidRDefault="00671E45" w:rsidP="00671E45">
      <w:pPr>
        <w:pStyle w:val="ListParagraph"/>
        <w:rPr>
          <w:sz w:val="22"/>
          <w:szCs w:val="22"/>
        </w:rPr>
      </w:pPr>
    </w:p>
    <w:p w:rsidR="00671E45" w:rsidRDefault="00671E45" w:rsidP="00671E45">
      <w:pPr>
        <w:pStyle w:val="BulletMOI"/>
        <w:numPr>
          <w:ilvl w:val="0"/>
          <w:numId w:val="0"/>
        </w:numPr>
      </w:pPr>
    </w:p>
    <w:p w:rsidR="00671E45" w:rsidRDefault="00671E45" w:rsidP="00671E45">
      <w:pPr>
        <w:pStyle w:val="BulletMOI"/>
        <w:numPr>
          <w:ilvl w:val="0"/>
          <w:numId w:val="0"/>
        </w:numPr>
      </w:pPr>
    </w:p>
    <w:p w:rsidR="0047617C" w:rsidRDefault="0047617C" w:rsidP="0024666E">
      <w:pPr>
        <w:pStyle w:val="MOIText"/>
        <w:spacing w:before="0" w:after="0"/>
        <w:ind w:left="0"/>
      </w:pPr>
    </w:p>
    <w:p w:rsidR="0062434D" w:rsidRDefault="0062434D" w:rsidP="00970416">
      <w:pPr>
        <w:pStyle w:val="MOIText"/>
        <w:ind w:left="0"/>
      </w:pPr>
    </w:p>
    <w:p w:rsidR="00172DBF" w:rsidRPr="002712D6" w:rsidRDefault="00F00372" w:rsidP="002805E5">
      <w:pPr>
        <w:pStyle w:val="Heading1"/>
      </w:pPr>
      <w:bookmarkStart w:id="25" w:name="_Toc504733060"/>
      <w:r w:rsidRPr="002712D6">
        <w:lastRenderedPageBreak/>
        <w:t>COMMERCIAL FRAMEWORK</w:t>
      </w:r>
      <w:bookmarkEnd w:id="25"/>
    </w:p>
    <w:p w:rsidR="00F00372" w:rsidRPr="003B0DA7" w:rsidRDefault="00F00372" w:rsidP="0024666E">
      <w:pPr>
        <w:pStyle w:val="MOIText"/>
        <w:spacing w:before="0" w:after="0"/>
        <w:ind w:left="0"/>
      </w:pPr>
      <w:r w:rsidRPr="003B0DA7">
        <w:t>Potential Bidders’ attention is drawn to the following commercial information:</w:t>
      </w:r>
    </w:p>
    <w:p w:rsidR="00F00372" w:rsidRPr="00A3227F" w:rsidRDefault="00F00372" w:rsidP="0024666E">
      <w:pPr>
        <w:pStyle w:val="MOIText"/>
        <w:ind w:left="0"/>
        <w:rPr>
          <w:b/>
        </w:rPr>
      </w:pPr>
    </w:p>
    <w:p w:rsidR="00172DBF" w:rsidRPr="00A3227F" w:rsidRDefault="00F00372" w:rsidP="002805E5">
      <w:pPr>
        <w:pStyle w:val="Heading2"/>
      </w:pPr>
      <w:bookmarkStart w:id="26" w:name="_Toc504733061"/>
      <w:r w:rsidRPr="00A3227F">
        <w:t>Contract</w:t>
      </w:r>
      <w:bookmarkEnd w:id="26"/>
    </w:p>
    <w:p w:rsidR="00CD0C15" w:rsidRDefault="00920166" w:rsidP="004149C2">
      <w:pPr>
        <w:spacing w:after="0"/>
        <w:jc w:val="both"/>
      </w:pPr>
      <w:r w:rsidRPr="003B0DA7">
        <w:t xml:space="preserve">The Commissioners will agree a contract with the preferred </w:t>
      </w:r>
      <w:r w:rsidR="00CE0C47">
        <w:t>B</w:t>
      </w:r>
      <w:r w:rsidRPr="003B0DA7">
        <w:t xml:space="preserve">idder(s) that will be based upon the NHS Model Personal Dental Services </w:t>
      </w:r>
      <w:r w:rsidR="00955209" w:rsidRPr="003B0DA7">
        <w:t>(PDS)</w:t>
      </w:r>
      <w:r w:rsidR="00F94727" w:rsidRPr="003B0DA7">
        <w:t xml:space="preserve"> Plus</w:t>
      </w:r>
      <w:r w:rsidR="00955209" w:rsidRPr="003B0DA7">
        <w:t xml:space="preserve"> </w:t>
      </w:r>
      <w:r w:rsidR="00FE2AB8" w:rsidRPr="003B0DA7">
        <w:t>Agreement</w:t>
      </w:r>
      <w:r w:rsidR="00EB0081" w:rsidRPr="003B0DA7">
        <w:t xml:space="preserve"> </w:t>
      </w:r>
      <w:r w:rsidR="008127E1" w:rsidRPr="003B0DA7">
        <w:t>201</w:t>
      </w:r>
      <w:r w:rsidR="008127E1">
        <w:t>0</w:t>
      </w:r>
      <w:r w:rsidRPr="003B0DA7">
        <w:t xml:space="preserve">.  The final form of the </w:t>
      </w:r>
      <w:r w:rsidR="00FE2AB8" w:rsidRPr="003B0DA7">
        <w:t>agreement</w:t>
      </w:r>
      <w:r w:rsidRPr="003B0DA7">
        <w:t xml:space="preserve"> will in part be shaped by the type of organisation involved, the nature of the services offered and legal support and advice.</w:t>
      </w:r>
      <w:r w:rsidR="00CD0C15" w:rsidRPr="003B0DA7">
        <w:t xml:space="preserve">  </w:t>
      </w:r>
    </w:p>
    <w:p w:rsidR="00CE0C47" w:rsidRPr="003B0DA7" w:rsidRDefault="00CE0C47" w:rsidP="004149C2">
      <w:pPr>
        <w:spacing w:after="0"/>
        <w:jc w:val="both"/>
      </w:pPr>
    </w:p>
    <w:p w:rsidR="00920166" w:rsidRDefault="00920166" w:rsidP="004149C2">
      <w:pPr>
        <w:spacing w:after="0"/>
        <w:jc w:val="both"/>
      </w:pPr>
      <w:r w:rsidRPr="003B0DA7">
        <w:t>Within this context,</w:t>
      </w:r>
      <w:r w:rsidR="00FE2AB8" w:rsidRPr="003B0DA7">
        <w:t xml:space="preserve"> the agreement</w:t>
      </w:r>
      <w:r w:rsidRPr="003B0DA7">
        <w:t xml:space="preserve"> will be adapted as necessary to reflect the requirements of the Procurement Scheme (the </w:t>
      </w:r>
      <w:r w:rsidRPr="003B0DA7">
        <w:rPr>
          <w:b/>
        </w:rPr>
        <w:t>Contract</w:t>
      </w:r>
      <w:r w:rsidRPr="003B0DA7">
        <w:t>).</w:t>
      </w:r>
    </w:p>
    <w:p w:rsidR="00CE0C47" w:rsidRPr="003B0DA7" w:rsidRDefault="00CE0C47" w:rsidP="004149C2">
      <w:pPr>
        <w:spacing w:after="0"/>
        <w:jc w:val="both"/>
      </w:pPr>
    </w:p>
    <w:p w:rsidR="00920166" w:rsidRDefault="00920166" w:rsidP="004149C2">
      <w:pPr>
        <w:spacing w:after="0"/>
        <w:jc w:val="both"/>
      </w:pPr>
      <w:r w:rsidRPr="003B0DA7">
        <w:t>As further information becomes available during the procurement process bidders will be updated as appropriate.</w:t>
      </w:r>
    </w:p>
    <w:p w:rsidR="00CE0C47" w:rsidRPr="003B0DA7" w:rsidRDefault="00CE0C47" w:rsidP="004149C2">
      <w:pPr>
        <w:spacing w:after="0"/>
        <w:jc w:val="both"/>
      </w:pPr>
    </w:p>
    <w:p w:rsidR="00920166" w:rsidRPr="003B0DA7" w:rsidRDefault="00920166" w:rsidP="004149C2">
      <w:pPr>
        <w:spacing w:after="0"/>
        <w:jc w:val="both"/>
      </w:pPr>
      <w:r w:rsidRPr="003B0DA7">
        <w:t xml:space="preserve">Each </w:t>
      </w:r>
      <w:r w:rsidR="00FE2AB8" w:rsidRPr="003B0DA7">
        <w:t>agreement</w:t>
      </w:r>
      <w:r w:rsidRPr="003B0DA7">
        <w:t xml:space="preserve"> will be separate to, and independent of, any existing contract currently in place between a Provider and</w:t>
      </w:r>
      <w:r w:rsidR="00C46CDF">
        <w:t xml:space="preserve"> the Authority</w:t>
      </w:r>
      <w:r w:rsidRPr="003B0DA7">
        <w:t>.</w:t>
      </w:r>
    </w:p>
    <w:p w:rsidR="00F00372" w:rsidRPr="00A3227F" w:rsidRDefault="00380056" w:rsidP="001933BA">
      <w:pPr>
        <w:pStyle w:val="MOIText"/>
        <w:tabs>
          <w:tab w:val="left" w:pos="5743"/>
        </w:tabs>
        <w:ind w:left="0"/>
      </w:pPr>
      <w:r w:rsidRPr="00A3227F">
        <w:tab/>
      </w:r>
    </w:p>
    <w:p w:rsidR="00172DBF" w:rsidRPr="00A3227F" w:rsidRDefault="000B6286">
      <w:pPr>
        <w:pStyle w:val="Heading2"/>
      </w:pPr>
      <w:bookmarkStart w:id="27" w:name="_Toc504733062"/>
      <w:r w:rsidRPr="00A3227F">
        <w:t>Contract Duration</w:t>
      </w:r>
      <w:bookmarkEnd w:id="27"/>
    </w:p>
    <w:p w:rsidR="00632405" w:rsidRDefault="00C46CDF" w:rsidP="004149C2">
      <w:pPr>
        <w:pStyle w:val="MOIText"/>
        <w:spacing w:before="0" w:after="0"/>
        <w:ind w:left="0"/>
        <w:rPr>
          <w:color w:val="000000"/>
          <w:kern w:val="24"/>
        </w:rPr>
      </w:pPr>
      <w:r>
        <w:rPr>
          <w:sz w:val="23"/>
          <w:szCs w:val="23"/>
        </w:rPr>
        <w:t>The proposed Contract will be for a term of 5 years with the possibility of extending the term beyond the initial contracted duration by a further 5 year term by mutual agreement between the Provider and the Authority, subject to any Conditions to be stipulated by the Authority prior to said extension.</w:t>
      </w:r>
    </w:p>
    <w:p w:rsidR="00920166" w:rsidRPr="00A3227F" w:rsidRDefault="00920166" w:rsidP="004149C2">
      <w:pPr>
        <w:pStyle w:val="MOIText"/>
        <w:spacing w:before="0" w:after="0"/>
        <w:ind w:left="0"/>
      </w:pPr>
    </w:p>
    <w:p w:rsidR="00172DBF" w:rsidRPr="00A3227F" w:rsidRDefault="004818EF" w:rsidP="001933BA">
      <w:pPr>
        <w:pStyle w:val="Heading2"/>
      </w:pPr>
      <w:bookmarkStart w:id="28" w:name="_Toc504733063"/>
      <w:r w:rsidRPr="00A3227F">
        <w:t>Clinical</w:t>
      </w:r>
      <w:bookmarkEnd w:id="28"/>
    </w:p>
    <w:p w:rsidR="004818EF" w:rsidRDefault="00491014" w:rsidP="004149C2">
      <w:pPr>
        <w:pStyle w:val="MOIText"/>
        <w:spacing w:before="0" w:after="0"/>
        <w:ind w:left="0"/>
      </w:pPr>
      <w:r>
        <w:t>The Authority</w:t>
      </w:r>
      <w:r w:rsidRPr="003B0DA7">
        <w:t xml:space="preserve"> </w:t>
      </w:r>
      <w:r w:rsidR="004818EF" w:rsidRPr="00A3227F">
        <w:t xml:space="preserve">is looking for providers with the </w:t>
      </w:r>
      <w:r w:rsidR="00CD0C15">
        <w:t xml:space="preserve">following </w:t>
      </w:r>
      <w:r w:rsidR="004818EF" w:rsidRPr="00A3227F">
        <w:t>necessary</w:t>
      </w:r>
      <w:r w:rsidR="00CD0C15">
        <w:t xml:space="preserve"> </w:t>
      </w:r>
      <w:r w:rsidR="004818EF" w:rsidRPr="00A3227F">
        <w:t xml:space="preserve">capacity and capability (or a demonstrable ability to provide the necessary capacity and capability) to deliver high quality, patient-centred and </w:t>
      </w:r>
      <w:r w:rsidR="001A427B">
        <w:t>Value for Money (</w:t>
      </w:r>
      <w:r w:rsidR="004818EF" w:rsidRPr="00A3227F">
        <w:t>V</w:t>
      </w:r>
      <w:r w:rsidR="00D45E75">
        <w:t>f</w:t>
      </w:r>
      <w:r w:rsidR="004818EF" w:rsidRPr="00A3227F">
        <w:t>M</w:t>
      </w:r>
      <w:r w:rsidR="001A427B">
        <w:t>)</w:t>
      </w:r>
      <w:r w:rsidR="007517F2">
        <w:t xml:space="preserve"> primary care mandatory dental services</w:t>
      </w:r>
      <w:r w:rsidR="004818EF" w:rsidRPr="00A3227F">
        <w:t xml:space="preserve">, delivered in a safe and effective manner and through a learning environment </w:t>
      </w:r>
      <w:r w:rsidR="00920166" w:rsidRPr="00BC6323">
        <w:t xml:space="preserve">which includes the </w:t>
      </w:r>
      <w:r w:rsidR="00920166">
        <w:t>continuing professional development</w:t>
      </w:r>
      <w:r w:rsidR="00920166" w:rsidRPr="00BC6323">
        <w:t xml:space="preserve"> of dentists and other healthcare professionals.  </w:t>
      </w:r>
    </w:p>
    <w:p w:rsidR="007517F2" w:rsidRPr="00A3227F" w:rsidRDefault="007517F2" w:rsidP="004149C2">
      <w:pPr>
        <w:pStyle w:val="MOIText"/>
        <w:spacing w:before="0" w:after="0"/>
        <w:ind w:left="0"/>
      </w:pPr>
    </w:p>
    <w:p w:rsidR="00513AB1" w:rsidRPr="00296522" w:rsidRDefault="00513AB1" w:rsidP="001933BA">
      <w:pPr>
        <w:pStyle w:val="Heading2"/>
      </w:pPr>
      <w:bookmarkStart w:id="29" w:name="_Toc504733064"/>
      <w:r w:rsidRPr="00296522">
        <w:t>Workforce</w:t>
      </w:r>
      <w:bookmarkEnd w:id="29"/>
    </w:p>
    <w:p w:rsidR="00062E06" w:rsidRPr="00296522" w:rsidRDefault="00062E06" w:rsidP="006D40FC">
      <w:pPr>
        <w:pStyle w:val="BodyText"/>
        <w:jc w:val="both"/>
        <w:rPr>
          <w:bCs/>
        </w:rPr>
      </w:pPr>
      <w:r w:rsidRPr="00296522">
        <w:rPr>
          <w:bCs/>
        </w:rPr>
        <w:t>The staff composition will be as follows:</w:t>
      </w:r>
    </w:p>
    <w:p w:rsidR="00062E06" w:rsidRDefault="00062E06" w:rsidP="006D40FC">
      <w:pPr>
        <w:pStyle w:val="ListParagraph"/>
        <w:numPr>
          <w:ilvl w:val="0"/>
          <w:numId w:val="13"/>
        </w:numPr>
        <w:jc w:val="both"/>
        <w:rPr>
          <w:sz w:val="22"/>
          <w:szCs w:val="22"/>
        </w:rPr>
      </w:pPr>
      <w:r w:rsidRPr="00296522">
        <w:rPr>
          <w:bCs/>
          <w:sz w:val="22"/>
          <w:szCs w:val="22"/>
        </w:rPr>
        <w:t xml:space="preserve">Suitably experienced and qualified </w:t>
      </w:r>
      <w:r w:rsidR="005B63D4" w:rsidRPr="00296522">
        <w:rPr>
          <w:bCs/>
          <w:sz w:val="22"/>
          <w:szCs w:val="22"/>
        </w:rPr>
        <w:t>dentist</w:t>
      </w:r>
      <w:r w:rsidRPr="00296522">
        <w:rPr>
          <w:bCs/>
          <w:sz w:val="22"/>
          <w:szCs w:val="22"/>
        </w:rPr>
        <w:t xml:space="preserve"> </w:t>
      </w:r>
      <w:r w:rsidR="00296522" w:rsidRPr="00296522">
        <w:rPr>
          <w:bCs/>
          <w:sz w:val="22"/>
          <w:szCs w:val="22"/>
        </w:rPr>
        <w:t xml:space="preserve">who </w:t>
      </w:r>
      <w:r w:rsidR="00296522" w:rsidRPr="00296522">
        <w:rPr>
          <w:sz w:val="22"/>
          <w:szCs w:val="22"/>
        </w:rPr>
        <w:t xml:space="preserve">must be </w:t>
      </w:r>
      <w:r w:rsidR="005B63D4" w:rsidRPr="00296522">
        <w:rPr>
          <w:sz w:val="22"/>
          <w:szCs w:val="22"/>
        </w:rPr>
        <w:t>registered with the</w:t>
      </w:r>
      <w:r w:rsidRPr="00296522">
        <w:rPr>
          <w:sz w:val="22"/>
          <w:szCs w:val="22"/>
        </w:rPr>
        <w:t xml:space="preserve"> GDC</w:t>
      </w:r>
      <w:r w:rsidR="005B63D4" w:rsidRPr="00296522">
        <w:rPr>
          <w:sz w:val="22"/>
          <w:szCs w:val="22"/>
        </w:rPr>
        <w:t xml:space="preserve"> and on the </w:t>
      </w:r>
      <w:r w:rsidR="00B03B12">
        <w:rPr>
          <w:sz w:val="22"/>
          <w:szCs w:val="22"/>
        </w:rPr>
        <w:t xml:space="preserve">NHS </w:t>
      </w:r>
      <w:r w:rsidR="00296522" w:rsidRPr="00296522">
        <w:rPr>
          <w:sz w:val="22"/>
          <w:szCs w:val="22"/>
        </w:rPr>
        <w:t>National Dental Performers List.</w:t>
      </w:r>
    </w:p>
    <w:p w:rsidR="00433733" w:rsidRPr="00433733" w:rsidRDefault="00433733" w:rsidP="00877594">
      <w:pPr>
        <w:pStyle w:val="ListParagraph"/>
        <w:numPr>
          <w:ilvl w:val="0"/>
          <w:numId w:val="13"/>
        </w:numPr>
        <w:jc w:val="both"/>
        <w:rPr>
          <w:sz w:val="22"/>
          <w:szCs w:val="22"/>
        </w:rPr>
      </w:pPr>
      <w:r w:rsidRPr="00433733">
        <w:rPr>
          <w:sz w:val="22"/>
          <w:szCs w:val="22"/>
        </w:rPr>
        <w:t xml:space="preserve">Suitably experienced and qualified </w:t>
      </w:r>
      <w:r w:rsidR="007F0AD7">
        <w:rPr>
          <w:sz w:val="22"/>
          <w:szCs w:val="22"/>
        </w:rPr>
        <w:t xml:space="preserve">Dental Nurse </w:t>
      </w:r>
      <w:r w:rsidRPr="00433733">
        <w:rPr>
          <w:sz w:val="22"/>
          <w:szCs w:val="22"/>
        </w:rPr>
        <w:t>who must be registered with the GDC</w:t>
      </w:r>
      <w:r w:rsidR="00877594" w:rsidRPr="00877594">
        <w:t xml:space="preserve"> </w:t>
      </w:r>
      <w:r w:rsidR="00877594" w:rsidRPr="00877594">
        <w:rPr>
          <w:sz w:val="22"/>
          <w:szCs w:val="22"/>
        </w:rPr>
        <w:t>or nurses in recognised training positions however the majority of nurses must already be registered.</w:t>
      </w:r>
      <w:r w:rsidRPr="00433733">
        <w:rPr>
          <w:sz w:val="22"/>
          <w:szCs w:val="22"/>
        </w:rPr>
        <w:t>.</w:t>
      </w:r>
    </w:p>
    <w:p w:rsidR="00491BBD" w:rsidRPr="00296522" w:rsidRDefault="00062E06" w:rsidP="006D40FC">
      <w:pPr>
        <w:pStyle w:val="BodyText"/>
        <w:numPr>
          <w:ilvl w:val="0"/>
          <w:numId w:val="13"/>
        </w:numPr>
        <w:jc w:val="both"/>
        <w:rPr>
          <w:bCs/>
        </w:rPr>
      </w:pPr>
      <w:r w:rsidRPr="00296522">
        <w:rPr>
          <w:bCs/>
        </w:rPr>
        <w:t xml:space="preserve">Reception staff with excellent communication and customer care skills who are able to signpost patients </w:t>
      </w:r>
      <w:r w:rsidR="00296522" w:rsidRPr="00296522">
        <w:rPr>
          <w:bCs/>
        </w:rPr>
        <w:t>appropriately</w:t>
      </w:r>
      <w:r w:rsidR="006D40FC">
        <w:rPr>
          <w:bCs/>
        </w:rPr>
        <w:t>.</w:t>
      </w:r>
    </w:p>
    <w:p w:rsidR="0047617C" w:rsidRPr="00062E06" w:rsidRDefault="0047617C" w:rsidP="006D40FC">
      <w:pPr>
        <w:pStyle w:val="MOIText"/>
        <w:spacing w:before="0" w:after="0"/>
        <w:ind w:left="0"/>
        <w:rPr>
          <w:b/>
        </w:rPr>
      </w:pPr>
    </w:p>
    <w:p w:rsidR="00172DBF" w:rsidRPr="00A3227F" w:rsidRDefault="002652EB" w:rsidP="006D40FC">
      <w:pPr>
        <w:pStyle w:val="Heading3"/>
        <w:jc w:val="both"/>
      </w:pPr>
      <w:bookmarkStart w:id="30" w:name="_Toc504733065"/>
      <w:r>
        <w:t>3</w:t>
      </w:r>
      <w:r w:rsidR="00EC7155" w:rsidRPr="00A3227F">
        <w:t xml:space="preserve">.4.1 </w:t>
      </w:r>
      <w:r w:rsidR="00116195">
        <w:t xml:space="preserve"> </w:t>
      </w:r>
      <w:r w:rsidR="00513AB1" w:rsidRPr="00A3227F">
        <w:t>Policies and Strategies</w:t>
      </w:r>
      <w:bookmarkEnd w:id="30"/>
    </w:p>
    <w:p w:rsidR="00C46CDF" w:rsidRPr="00C46CDF" w:rsidRDefault="00C46CDF" w:rsidP="00C46CDF">
      <w:pPr>
        <w:autoSpaceDE w:val="0"/>
        <w:autoSpaceDN w:val="0"/>
        <w:adjustRightInd w:val="0"/>
        <w:spacing w:before="0" w:after="0"/>
        <w:rPr>
          <w:rFonts w:eastAsiaTheme="minorHAnsi"/>
          <w:color w:val="000000"/>
          <w:sz w:val="23"/>
          <w:szCs w:val="23"/>
          <w:lang w:eastAsia="en-US"/>
        </w:rPr>
      </w:pPr>
      <w:r w:rsidRPr="00C46CDF">
        <w:rPr>
          <w:rFonts w:eastAsiaTheme="minorHAnsi"/>
          <w:color w:val="000000"/>
          <w:sz w:val="23"/>
          <w:szCs w:val="23"/>
          <w:lang w:eastAsia="en-US"/>
        </w:rPr>
        <w:t xml:space="preserve">Bidders will be required to provide evidence that all proposed workforce policies, strategies, processes and practices comply with all relevant employment legislation applicable in the UK and in addition comply with the provisions outlined in: </w:t>
      </w:r>
    </w:p>
    <w:p w:rsidR="00C46CDF" w:rsidRPr="00C46CDF" w:rsidRDefault="00C46CDF" w:rsidP="000C6FF0">
      <w:pPr>
        <w:autoSpaceDE w:val="0"/>
        <w:autoSpaceDN w:val="0"/>
        <w:adjustRightInd w:val="0"/>
        <w:spacing w:before="0" w:after="0"/>
        <w:rPr>
          <w:rFonts w:eastAsiaTheme="minorHAnsi"/>
          <w:color w:val="000000"/>
          <w:sz w:val="23"/>
          <w:szCs w:val="23"/>
          <w:lang w:eastAsia="en-US"/>
        </w:rPr>
      </w:pPr>
      <w:r w:rsidRPr="00C46CDF">
        <w:rPr>
          <w:rFonts w:eastAsiaTheme="minorHAnsi"/>
          <w:color w:val="000000"/>
          <w:sz w:val="23"/>
          <w:szCs w:val="23"/>
          <w:lang w:eastAsia="en-US"/>
        </w:rPr>
        <w:t xml:space="preserve">- NHS Employment Check Standards (2013) </w:t>
      </w:r>
    </w:p>
    <w:p w:rsidR="00C46CDF" w:rsidRPr="00C46CDF" w:rsidRDefault="00C46CDF" w:rsidP="000C6FF0">
      <w:pPr>
        <w:autoSpaceDE w:val="0"/>
        <w:autoSpaceDN w:val="0"/>
        <w:adjustRightInd w:val="0"/>
        <w:spacing w:before="0" w:after="0"/>
        <w:rPr>
          <w:rFonts w:eastAsiaTheme="minorHAnsi"/>
          <w:color w:val="000000"/>
          <w:sz w:val="23"/>
          <w:szCs w:val="23"/>
          <w:lang w:eastAsia="en-US"/>
        </w:rPr>
      </w:pPr>
      <w:r w:rsidRPr="00C46CDF">
        <w:rPr>
          <w:rFonts w:eastAsiaTheme="minorHAnsi"/>
          <w:color w:val="000000"/>
          <w:sz w:val="23"/>
          <w:szCs w:val="23"/>
          <w:lang w:eastAsia="en-US"/>
        </w:rPr>
        <w:t xml:space="preserve">- The Code of Practice for the International Recruitment of Healthcare </w:t>
      </w:r>
    </w:p>
    <w:p w:rsidR="00C46CDF" w:rsidRPr="00C46CDF" w:rsidRDefault="00C46CDF" w:rsidP="000C6FF0">
      <w:pPr>
        <w:autoSpaceDE w:val="0"/>
        <w:autoSpaceDN w:val="0"/>
        <w:adjustRightInd w:val="0"/>
        <w:spacing w:before="0" w:after="0"/>
        <w:rPr>
          <w:rFonts w:eastAsiaTheme="minorHAnsi"/>
          <w:color w:val="000000"/>
          <w:sz w:val="23"/>
          <w:szCs w:val="23"/>
          <w:lang w:eastAsia="en-US"/>
        </w:rPr>
      </w:pPr>
    </w:p>
    <w:p w:rsidR="00C46CDF" w:rsidRPr="00C46CDF" w:rsidRDefault="00C46CDF" w:rsidP="000C6FF0">
      <w:pPr>
        <w:autoSpaceDE w:val="0"/>
        <w:autoSpaceDN w:val="0"/>
        <w:adjustRightInd w:val="0"/>
        <w:spacing w:before="0" w:after="0"/>
        <w:rPr>
          <w:rFonts w:eastAsiaTheme="minorHAnsi"/>
          <w:color w:val="000000"/>
          <w:sz w:val="23"/>
          <w:szCs w:val="23"/>
          <w:lang w:eastAsia="en-US"/>
        </w:rPr>
      </w:pPr>
      <w:r w:rsidRPr="00C46CDF">
        <w:rPr>
          <w:rFonts w:eastAsiaTheme="minorHAnsi"/>
          <w:color w:val="000000"/>
          <w:sz w:val="23"/>
          <w:szCs w:val="23"/>
          <w:lang w:eastAsia="en-US"/>
        </w:rPr>
        <w:lastRenderedPageBreak/>
        <w:t xml:space="preserve">Professionals (December 2004) (the Code of Practice) </w:t>
      </w:r>
    </w:p>
    <w:p w:rsidR="00C46CDF" w:rsidRPr="00C46CDF" w:rsidRDefault="00C46CDF" w:rsidP="000C6FF0">
      <w:pPr>
        <w:autoSpaceDE w:val="0"/>
        <w:autoSpaceDN w:val="0"/>
        <w:adjustRightInd w:val="0"/>
        <w:spacing w:before="0" w:after="0"/>
        <w:rPr>
          <w:rFonts w:eastAsiaTheme="minorHAnsi"/>
          <w:color w:val="000000"/>
          <w:sz w:val="23"/>
          <w:szCs w:val="23"/>
          <w:lang w:eastAsia="en-US"/>
        </w:rPr>
      </w:pPr>
      <w:r w:rsidRPr="00C46CDF">
        <w:rPr>
          <w:rFonts w:eastAsiaTheme="minorHAnsi"/>
          <w:color w:val="000000"/>
          <w:sz w:val="23"/>
          <w:szCs w:val="23"/>
          <w:lang w:eastAsia="en-US"/>
        </w:rPr>
        <w:t xml:space="preserve">- Pensions </w:t>
      </w:r>
    </w:p>
    <w:p w:rsidR="00C46CDF" w:rsidRPr="00C46CDF" w:rsidRDefault="00C46CDF" w:rsidP="000C6FF0">
      <w:pPr>
        <w:autoSpaceDE w:val="0"/>
        <w:autoSpaceDN w:val="0"/>
        <w:adjustRightInd w:val="0"/>
        <w:spacing w:before="0" w:after="0"/>
        <w:rPr>
          <w:rFonts w:eastAsiaTheme="minorHAnsi"/>
          <w:color w:val="000000"/>
          <w:sz w:val="23"/>
          <w:szCs w:val="23"/>
          <w:lang w:eastAsia="en-US"/>
        </w:rPr>
      </w:pPr>
      <w:r w:rsidRPr="00C46CDF">
        <w:rPr>
          <w:rFonts w:eastAsiaTheme="minorHAnsi"/>
          <w:color w:val="000000"/>
          <w:sz w:val="23"/>
          <w:szCs w:val="23"/>
          <w:lang w:eastAsia="en-US"/>
        </w:rPr>
        <w:t>- CQC Registration Requirements (201</w:t>
      </w:r>
      <w:r w:rsidR="00DF14AF">
        <w:rPr>
          <w:rFonts w:eastAsiaTheme="minorHAnsi"/>
          <w:color w:val="000000"/>
          <w:sz w:val="23"/>
          <w:szCs w:val="23"/>
          <w:lang w:eastAsia="en-US"/>
        </w:rPr>
        <w:t>1</w:t>
      </w:r>
      <w:r w:rsidRPr="00C46CDF">
        <w:rPr>
          <w:rFonts w:eastAsiaTheme="minorHAnsi"/>
          <w:color w:val="000000"/>
          <w:sz w:val="23"/>
          <w:szCs w:val="23"/>
          <w:lang w:eastAsia="en-US"/>
        </w:rPr>
        <w:t xml:space="preserve">) </w:t>
      </w:r>
    </w:p>
    <w:p w:rsidR="00513AB1" w:rsidRDefault="00513AB1" w:rsidP="006D40FC">
      <w:pPr>
        <w:pStyle w:val="MOIText"/>
        <w:spacing w:before="0" w:after="0"/>
        <w:ind w:left="0"/>
      </w:pPr>
    </w:p>
    <w:p w:rsidR="00422923" w:rsidRPr="00422923" w:rsidRDefault="002652EB" w:rsidP="006D40FC">
      <w:pPr>
        <w:pStyle w:val="Heading3"/>
        <w:jc w:val="both"/>
      </w:pPr>
      <w:bookmarkStart w:id="31" w:name="_Toc504733066"/>
      <w:r>
        <w:t>3</w:t>
      </w:r>
      <w:r w:rsidR="00422923" w:rsidRPr="00422923">
        <w:t>.4.2</w:t>
      </w:r>
      <w:r w:rsidR="00422923" w:rsidRPr="00422923">
        <w:tab/>
        <w:t>Pensions</w:t>
      </w:r>
      <w:bookmarkEnd w:id="31"/>
      <w:r w:rsidR="00422923" w:rsidRPr="00422923">
        <w:t xml:space="preserve"> </w:t>
      </w:r>
    </w:p>
    <w:p w:rsidR="00422923" w:rsidRDefault="00422923" w:rsidP="006D40FC">
      <w:pPr>
        <w:pStyle w:val="MOIText"/>
        <w:spacing w:before="0" w:after="0"/>
        <w:ind w:left="0"/>
      </w:pPr>
      <w:r>
        <w:t>If the Provider is an organisation that meets eligibility conditions for P</w:t>
      </w:r>
      <w:r w:rsidR="00EB1DCE">
        <w:t xml:space="preserve">DS contracting </w:t>
      </w:r>
      <w:r>
        <w:t xml:space="preserve">the NHS Pension Scheme can be accessed.  It is therefore anticipated that </w:t>
      </w:r>
      <w:r w:rsidR="00BC6747">
        <w:t>dentists</w:t>
      </w:r>
      <w:r>
        <w:t xml:space="preserve"> registered on the</w:t>
      </w:r>
      <w:r w:rsidR="00491BBD">
        <w:t xml:space="preserve"> </w:t>
      </w:r>
      <w:r w:rsidR="00B03B12">
        <w:t xml:space="preserve">NHS </w:t>
      </w:r>
      <w:r w:rsidR="00491BBD">
        <w:t>National Dental Performers</w:t>
      </w:r>
      <w:r w:rsidR="00AB5491">
        <w:t>’</w:t>
      </w:r>
      <w:r w:rsidR="00491BBD">
        <w:t xml:space="preserve"> L</w:t>
      </w:r>
      <w:r>
        <w:t xml:space="preserve">ist will be able to </w:t>
      </w:r>
      <w:r w:rsidR="0078193D">
        <w:t>access the NHS Pension Scheme.</w:t>
      </w:r>
    </w:p>
    <w:p w:rsidR="00422923" w:rsidRPr="00A3227F" w:rsidRDefault="00422923" w:rsidP="00692C6F">
      <w:pPr>
        <w:pStyle w:val="MOIText"/>
        <w:spacing w:before="0" w:after="0"/>
        <w:ind w:left="0"/>
        <w:jc w:val="left"/>
      </w:pPr>
    </w:p>
    <w:p w:rsidR="00172DBF" w:rsidRPr="003B0A6A" w:rsidRDefault="002652EB" w:rsidP="002805E5">
      <w:pPr>
        <w:pStyle w:val="Heading3"/>
      </w:pPr>
      <w:bookmarkStart w:id="32" w:name="_Toc504733067"/>
      <w:r>
        <w:t>3</w:t>
      </w:r>
      <w:r w:rsidR="00EC7155" w:rsidRPr="003B0A6A">
        <w:t>.4.</w:t>
      </w:r>
      <w:r w:rsidR="00FC0A29" w:rsidRPr="003B0A6A">
        <w:t>3</w:t>
      </w:r>
      <w:r w:rsidR="004579F4" w:rsidRPr="003B0A6A">
        <w:t xml:space="preserve"> </w:t>
      </w:r>
      <w:r w:rsidR="00EC7155" w:rsidRPr="003B0A6A">
        <w:t xml:space="preserve"> </w:t>
      </w:r>
      <w:r w:rsidR="00A35D9F" w:rsidRPr="003B0A6A">
        <w:t>TUPE</w:t>
      </w:r>
      <w:bookmarkEnd w:id="32"/>
    </w:p>
    <w:p w:rsidR="008B0A92" w:rsidRDefault="003B0A6A" w:rsidP="00172DBF">
      <w:pPr>
        <w:jc w:val="both"/>
      </w:pPr>
      <w:r>
        <w:t>This is not a requirement for this procurement</w:t>
      </w:r>
      <w:r w:rsidR="00B47BEC">
        <w:t xml:space="preserve"> as these are new contracts.</w:t>
      </w:r>
    </w:p>
    <w:p w:rsidR="00534BA7" w:rsidRPr="00247E6F" w:rsidRDefault="00534BA7" w:rsidP="00172DBF">
      <w:pPr>
        <w:jc w:val="both"/>
      </w:pPr>
    </w:p>
    <w:p w:rsidR="00F05407" w:rsidRPr="00A3227F" w:rsidRDefault="00F05407" w:rsidP="002805E5">
      <w:pPr>
        <w:pStyle w:val="Heading2"/>
      </w:pPr>
      <w:bookmarkStart w:id="33" w:name="_Toc504733068"/>
      <w:r w:rsidRPr="00A3227F">
        <w:t>Premises, Facilities Management &amp; Equipment</w:t>
      </w:r>
      <w:bookmarkEnd w:id="33"/>
    </w:p>
    <w:p w:rsidR="00850C1C" w:rsidRPr="002805E5" w:rsidRDefault="002652EB" w:rsidP="002805E5">
      <w:pPr>
        <w:pStyle w:val="Heading3"/>
      </w:pPr>
      <w:bookmarkStart w:id="34" w:name="_Toc504733069"/>
      <w:r>
        <w:t>3</w:t>
      </w:r>
      <w:r w:rsidR="00422923" w:rsidRPr="002805E5">
        <w:t>.5</w:t>
      </w:r>
      <w:r w:rsidR="00EC7155" w:rsidRPr="002805E5">
        <w:t xml:space="preserve">.1 </w:t>
      </w:r>
      <w:r w:rsidR="00116195" w:rsidRPr="002805E5">
        <w:t xml:space="preserve"> </w:t>
      </w:r>
      <w:r w:rsidR="00172DBF" w:rsidRPr="002805E5">
        <w:t>Premises</w:t>
      </w:r>
      <w:bookmarkEnd w:id="34"/>
    </w:p>
    <w:p w:rsidR="00FC0A29" w:rsidRPr="007B4413" w:rsidRDefault="00FC0A29" w:rsidP="004149C2">
      <w:pPr>
        <w:spacing w:before="0" w:after="0"/>
        <w:jc w:val="both"/>
      </w:pPr>
      <w:r w:rsidRPr="007B4413">
        <w:t>As a property solution</w:t>
      </w:r>
      <w:r>
        <w:t xml:space="preserve"> is not mandated</w:t>
      </w:r>
      <w:r w:rsidRPr="007B4413">
        <w:t>, Bidders will be required to propose their own premises solution to provide the service. Further details on such p</w:t>
      </w:r>
      <w:r>
        <w:t>roposals and / or requirements will</w:t>
      </w:r>
      <w:r w:rsidRPr="007B4413">
        <w:t xml:space="preserve"> be set out in the </w:t>
      </w:r>
      <w:r w:rsidR="00EB1DCE">
        <w:t>Service Specification</w:t>
      </w:r>
      <w:r w:rsidRPr="007B4413">
        <w:t>.</w:t>
      </w:r>
    </w:p>
    <w:p w:rsidR="00692C6F" w:rsidRDefault="00692C6F" w:rsidP="004149C2">
      <w:pPr>
        <w:spacing w:before="0" w:after="0"/>
        <w:jc w:val="both"/>
      </w:pPr>
    </w:p>
    <w:p w:rsidR="00FC0A29" w:rsidRPr="007B4413" w:rsidRDefault="00FC0A29" w:rsidP="004149C2">
      <w:pPr>
        <w:spacing w:before="0" w:after="0"/>
        <w:jc w:val="both"/>
      </w:pPr>
      <w:r w:rsidRPr="007B4413">
        <w:t xml:space="preserve">The Provider will be expected to fund rent, utility and insurance costs for the premises solution.  However, </w:t>
      </w:r>
      <w:r w:rsidR="00491BBD">
        <w:t xml:space="preserve">in line with the Statement of Financial Entitlement, </w:t>
      </w:r>
      <w:r w:rsidRPr="007B4413">
        <w:t xml:space="preserve">the Provider </w:t>
      </w:r>
      <w:r>
        <w:t xml:space="preserve">will be reimbursed </w:t>
      </w:r>
      <w:r w:rsidRPr="007B4413">
        <w:t xml:space="preserve">for business rates costs, separately to payments for </w:t>
      </w:r>
      <w:r w:rsidR="00BC6747">
        <w:t>primary care mandatory dental services</w:t>
      </w:r>
      <w:r w:rsidRPr="007B4413">
        <w:t xml:space="preserve">.  The exact mechanics of the payment mechanism will be detailed in the </w:t>
      </w:r>
      <w:r w:rsidR="00EB1DCE" w:rsidRPr="00EB1DCE">
        <w:t>Service Specification</w:t>
      </w:r>
      <w:r w:rsidR="00EB1DCE">
        <w:t>.</w:t>
      </w:r>
    </w:p>
    <w:p w:rsidR="00692C6F" w:rsidRDefault="00692C6F" w:rsidP="001933BA">
      <w:pPr>
        <w:pStyle w:val="MOIText"/>
        <w:spacing w:before="0" w:after="0"/>
        <w:ind w:left="0"/>
      </w:pPr>
    </w:p>
    <w:p w:rsidR="00F05407" w:rsidRPr="00850C1C" w:rsidRDefault="00F05407">
      <w:pPr>
        <w:pStyle w:val="MOIText"/>
        <w:spacing w:before="0" w:after="0"/>
        <w:ind w:left="0"/>
      </w:pPr>
      <w:r w:rsidRPr="00850C1C">
        <w:t>Further details on such proposals and / or requirements for</w:t>
      </w:r>
      <w:r w:rsidR="00D043C6">
        <w:t xml:space="preserve"> the </w:t>
      </w:r>
      <w:r w:rsidR="00491014">
        <w:t>Authority</w:t>
      </w:r>
      <w:r w:rsidR="00491014" w:rsidRPr="003B0DA7">
        <w:t xml:space="preserve"> </w:t>
      </w:r>
      <w:r w:rsidRPr="00850C1C">
        <w:t xml:space="preserve">Scheme will be set out in the </w:t>
      </w:r>
      <w:r w:rsidR="00EB1DCE" w:rsidRPr="00EB1DCE">
        <w:t>Service Specification</w:t>
      </w:r>
      <w:r w:rsidRPr="00850C1C">
        <w:t>.</w:t>
      </w:r>
    </w:p>
    <w:p w:rsidR="00BF75B8" w:rsidRPr="00850C1C" w:rsidRDefault="00BF75B8">
      <w:pPr>
        <w:pStyle w:val="MOIText"/>
        <w:spacing w:before="0" w:after="0"/>
        <w:ind w:left="0"/>
      </w:pPr>
    </w:p>
    <w:p w:rsidR="00040E80" w:rsidRPr="00A3227F" w:rsidRDefault="002652EB" w:rsidP="004149C2">
      <w:pPr>
        <w:pStyle w:val="Heading3"/>
        <w:jc w:val="both"/>
      </w:pPr>
      <w:bookmarkStart w:id="35" w:name="_Toc504733070"/>
      <w:r>
        <w:t>3</w:t>
      </w:r>
      <w:r w:rsidR="00040E80" w:rsidRPr="00A3227F">
        <w:t>.</w:t>
      </w:r>
      <w:r w:rsidR="00040E80">
        <w:t>5</w:t>
      </w:r>
      <w:r w:rsidR="00040E80" w:rsidRPr="00A3227F">
        <w:t>.</w:t>
      </w:r>
      <w:r w:rsidR="00552B3C">
        <w:t>2</w:t>
      </w:r>
      <w:r w:rsidR="00040E80">
        <w:t xml:space="preserve"> </w:t>
      </w:r>
      <w:r w:rsidR="00040E80" w:rsidRPr="00A3227F">
        <w:t xml:space="preserve"> Equipment</w:t>
      </w:r>
      <w:bookmarkEnd w:id="35"/>
    </w:p>
    <w:p w:rsidR="00040E80" w:rsidRPr="00A3227F" w:rsidRDefault="00040E80" w:rsidP="004149C2">
      <w:pPr>
        <w:pStyle w:val="MOIText"/>
        <w:spacing w:before="0" w:after="0"/>
        <w:ind w:left="0"/>
      </w:pPr>
      <w:r w:rsidRPr="00A3227F">
        <w:t>Providers will be responsible for the provision and cost</w:t>
      </w:r>
      <w:r w:rsidRPr="00A3227F" w:rsidDel="00936BA9">
        <w:t xml:space="preserve"> of</w:t>
      </w:r>
      <w:r w:rsidRPr="00A3227F">
        <w:t xml:space="preserve"> equipment as deemed necessary for the provision of the </w:t>
      </w:r>
      <w:r w:rsidR="005D0A49">
        <w:t>service</w:t>
      </w:r>
      <w:r w:rsidRPr="00A3227F">
        <w:t xml:space="preserve">.  There will be no funding made available for capital expenditure. Further information will be provided in the </w:t>
      </w:r>
      <w:r w:rsidR="00EB1DCE" w:rsidRPr="00EB1DCE">
        <w:t>Service Specification</w:t>
      </w:r>
      <w:r w:rsidRPr="00A3227F">
        <w:t xml:space="preserve">. </w:t>
      </w:r>
    </w:p>
    <w:p w:rsidR="00DE38A7" w:rsidRPr="00A3227F" w:rsidRDefault="00DE38A7" w:rsidP="003B0DA7">
      <w:pPr>
        <w:pStyle w:val="MOIText"/>
        <w:ind w:left="0" w:firstLine="720"/>
        <w:jc w:val="left"/>
        <w:rPr>
          <w:b/>
        </w:rPr>
      </w:pPr>
    </w:p>
    <w:p w:rsidR="002F51AE" w:rsidRPr="00172DBF" w:rsidRDefault="00633379" w:rsidP="00456343">
      <w:pPr>
        <w:pStyle w:val="Heading2"/>
      </w:pPr>
      <w:bookmarkStart w:id="36" w:name="_Toc504733071"/>
      <w:r w:rsidRPr="00A3227F">
        <w:t>I</w:t>
      </w:r>
      <w:r w:rsidR="005D0A49">
        <w:t xml:space="preserve">nformation, </w:t>
      </w:r>
      <w:r w:rsidRPr="00A3227F">
        <w:t>M</w:t>
      </w:r>
      <w:r w:rsidR="005D0A49">
        <w:t xml:space="preserve">anagement </w:t>
      </w:r>
      <w:r w:rsidRPr="00A3227F">
        <w:t>&amp;</w:t>
      </w:r>
      <w:r w:rsidR="005D0A49">
        <w:t xml:space="preserve"> </w:t>
      </w:r>
      <w:r w:rsidRPr="00A3227F">
        <w:t>T</w:t>
      </w:r>
      <w:r w:rsidR="005D0A49">
        <w:t>echnology (IM&amp;T)</w:t>
      </w:r>
      <w:bookmarkEnd w:id="36"/>
    </w:p>
    <w:p w:rsidR="00DE38A7" w:rsidRDefault="00DE38A7" w:rsidP="00DF14AF">
      <w:r w:rsidRPr="007B4413">
        <w:t>Provision of IM&amp;T hardware and software will be the responsibility of the Provider</w:t>
      </w:r>
      <w:r>
        <w:t xml:space="preserve">, who </w:t>
      </w:r>
      <w:r w:rsidRPr="007B4413">
        <w:t>will need to manage the selection and deployment of IM&amp;T solutions effectively.</w:t>
      </w:r>
    </w:p>
    <w:p w:rsidR="00B47BEC" w:rsidRPr="007B4413" w:rsidRDefault="00B47BEC" w:rsidP="00DF14AF"/>
    <w:p w:rsidR="00DE38A7" w:rsidRDefault="00DE38A7" w:rsidP="00DF14AF">
      <w:r w:rsidRPr="00F743ED">
        <w:t xml:space="preserve">Providers will be required to </w:t>
      </w:r>
      <w:r>
        <w:t xml:space="preserve">maintain an </w:t>
      </w:r>
      <w:r w:rsidR="00DC598E">
        <w:t xml:space="preserve">NHS.net </w:t>
      </w:r>
      <w:r>
        <w:t>e-mail address for “alerts” notification</w:t>
      </w:r>
      <w:r w:rsidR="001E35BA">
        <w:t>.</w:t>
      </w:r>
    </w:p>
    <w:p w:rsidR="00B47BEC" w:rsidRDefault="00B47BEC" w:rsidP="00DF14AF"/>
    <w:p w:rsidR="00DE38A7" w:rsidRDefault="00DE38A7" w:rsidP="00DF14AF">
      <w:r w:rsidRPr="00F74C10">
        <w:t>Providers will also be required to put appropriate information management and governance systems and processes in place to safeguard patient information.  This will need to be supported by appropriate training of staff.</w:t>
      </w:r>
      <w:r w:rsidR="000C6FF0">
        <w:br/>
      </w:r>
    </w:p>
    <w:p w:rsidR="009E1A9C" w:rsidRPr="009E1A9C" w:rsidRDefault="009E1A9C" w:rsidP="009E1A9C">
      <w:pPr>
        <w:rPr>
          <w:b/>
        </w:rPr>
      </w:pPr>
      <w:r w:rsidRPr="009E1A9C">
        <w:rPr>
          <w:b/>
        </w:rPr>
        <w:t>3.6</w:t>
      </w:r>
      <w:r w:rsidR="000C6FF0">
        <w:rPr>
          <w:b/>
        </w:rPr>
        <w:t>.1</w:t>
      </w:r>
      <w:r w:rsidRPr="009E1A9C">
        <w:rPr>
          <w:b/>
        </w:rPr>
        <w:t xml:space="preserve">  Data protection</w:t>
      </w:r>
    </w:p>
    <w:p w:rsidR="009E1A9C" w:rsidRDefault="009E1A9C" w:rsidP="009E1A9C"/>
    <w:p w:rsidR="009E1A9C" w:rsidRDefault="009E1A9C" w:rsidP="009E1A9C">
      <w:r>
        <w:t xml:space="preserve">The provider will need to be committed to, and capable of demonstrating, the highest standards of information governance (including information security). It will need to be at Level 2 or 3 of the Information Governance (IG) Toolkit, or to be able to provide an </w:t>
      </w:r>
      <w:r>
        <w:lastRenderedPageBreak/>
        <w:t xml:space="preserve">improvement plan showing how the relevant requirements at Level 2 or equivalent requirements under the redesigned toolkit that is due to be rolled out in April 2018 will be met by the time of the letting of the contract. </w:t>
      </w:r>
    </w:p>
    <w:p w:rsidR="009E1A9C" w:rsidRDefault="009E1A9C" w:rsidP="009E1A9C">
      <w:r>
        <w:t xml:space="preserve">The provider should also already be preparing to comply with the General Data Protection Regulation (GDPR) (which will apply from 25 May 2018). There will be a requirement for the provider to take account of the common law duty of confidentiality (particularly in respect of consent to the use of personal confidential data for a secondary purpose), the Caldicott Principles, and NHS codes of practice. The provider should, as necessary, adhere to statutory codes of practice issued by the Information Commissioner’s Office (such as the </w:t>
      </w:r>
      <w:r>
        <w:rPr>
          <w:i/>
          <w:iCs/>
        </w:rPr>
        <w:t xml:space="preserve">Data sharing code of practice </w:t>
      </w:r>
      <w:r>
        <w:t xml:space="preserve">and the </w:t>
      </w:r>
      <w:r>
        <w:rPr>
          <w:i/>
          <w:iCs/>
        </w:rPr>
        <w:t>Anonymisation code of practice</w:t>
      </w:r>
      <w:r>
        <w:t xml:space="preserve">) and guidance issued by other relevant parties (such as the Information Governance Alliance and NHS Digital).  </w:t>
      </w:r>
      <w:r>
        <w:rPr>
          <w:i/>
          <w:iCs/>
        </w:rPr>
        <w:t> </w:t>
      </w:r>
      <w:r>
        <w:t> </w:t>
      </w:r>
    </w:p>
    <w:p w:rsidR="009E1A9C" w:rsidRDefault="009E1A9C" w:rsidP="009E1A9C"/>
    <w:p w:rsidR="009E1A9C" w:rsidRPr="009E1A9C" w:rsidRDefault="000C6FF0" w:rsidP="009E1A9C">
      <w:pPr>
        <w:rPr>
          <w:b/>
        </w:rPr>
      </w:pPr>
      <w:r>
        <w:rPr>
          <w:b/>
        </w:rPr>
        <w:t>3.6.2</w:t>
      </w:r>
      <w:r w:rsidR="009E1A9C" w:rsidRPr="009E1A9C">
        <w:rPr>
          <w:b/>
        </w:rPr>
        <w:t xml:space="preserve">  Data Protection Officer</w:t>
      </w:r>
    </w:p>
    <w:p w:rsidR="009E1A9C" w:rsidRDefault="009E1A9C" w:rsidP="009E1A9C">
      <w:pPr>
        <w:rPr>
          <w:rFonts w:ascii="Calibri" w:hAnsi="Calibri" w:cs="Times New Roman"/>
          <w:b/>
          <w:bCs/>
        </w:rPr>
      </w:pPr>
    </w:p>
    <w:p w:rsidR="009E1A9C" w:rsidRDefault="009E1A9C" w:rsidP="009E1A9C">
      <w:pPr>
        <w:rPr>
          <w:b/>
          <w:bCs/>
        </w:rPr>
      </w:pPr>
      <w:r>
        <w:t xml:space="preserve">A Data Protection Officer (DPO) will be required to ensure compliance with the General Data Protection Regulation (GDPR) from 25 May 2018. Where the provider has a DPO in post or under a contract for service, due to its ongoing processing of personal data, that person should be able to advise on data protection matters affecting the services as part of their wider duties. However, were the lead provider to be a new entrant, it would be required to commission this function in accordance with the requirements of the GDPR and with reference to the existing, and any future, associated guidance. In carrying out their prescribed duties, a DPO will need to report direct to the highest management level of the provider.     </w:t>
      </w:r>
    </w:p>
    <w:p w:rsidR="00552B3C" w:rsidRPr="00F74C10" w:rsidRDefault="00552B3C" w:rsidP="004149C2">
      <w:pPr>
        <w:jc w:val="both"/>
      </w:pPr>
    </w:p>
    <w:p w:rsidR="00456343" w:rsidRPr="00456343" w:rsidRDefault="00172DBF" w:rsidP="001933BA">
      <w:pPr>
        <w:pStyle w:val="Heading2"/>
        <w:rPr>
          <w:rStyle w:val="Heading2Char"/>
          <w:b/>
          <w:bCs/>
          <w:iCs/>
        </w:rPr>
      </w:pPr>
      <w:bookmarkStart w:id="37" w:name="_Toc504733072"/>
      <w:r w:rsidRPr="00456343">
        <w:rPr>
          <w:rStyle w:val="Heading2Char"/>
          <w:b/>
          <w:bCs/>
          <w:iCs/>
        </w:rPr>
        <w:t>Payment Mechanism</w:t>
      </w:r>
      <w:bookmarkEnd w:id="37"/>
    </w:p>
    <w:p w:rsidR="002F51AE" w:rsidRDefault="00633379" w:rsidP="004149C2">
      <w:pPr>
        <w:pStyle w:val="MOIText"/>
        <w:ind w:left="0"/>
      </w:pPr>
      <w:r w:rsidRPr="00A3227F">
        <w:t xml:space="preserve">Payment to </w:t>
      </w:r>
      <w:r w:rsidR="002F51AE">
        <w:t xml:space="preserve">the </w:t>
      </w:r>
      <w:r w:rsidR="005D0A49">
        <w:t xml:space="preserve">successful </w:t>
      </w:r>
      <w:r w:rsidR="005D0A49" w:rsidRPr="00A3227F">
        <w:t>Provider</w:t>
      </w:r>
      <w:r w:rsidR="005D0A49">
        <w:t xml:space="preserve"> </w:t>
      </w:r>
      <w:r w:rsidRPr="00A3227F">
        <w:t>will generally be linked to volume of activity</w:t>
      </w:r>
      <w:r w:rsidR="00552B3C">
        <w:t xml:space="preserve">. </w:t>
      </w:r>
    </w:p>
    <w:p w:rsidR="00633379" w:rsidRPr="00A3227F" w:rsidRDefault="00633379" w:rsidP="001933BA">
      <w:pPr>
        <w:pStyle w:val="MOIText"/>
        <w:ind w:left="0"/>
      </w:pPr>
      <w:r w:rsidRPr="00A3227F">
        <w:t xml:space="preserve">Further details on the payment mechanism will be set out in the </w:t>
      </w:r>
      <w:r w:rsidR="00EB1DCE" w:rsidRPr="00EB1DCE">
        <w:t>Service Specification</w:t>
      </w:r>
      <w:r w:rsidRPr="00A3227F">
        <w:t>.</w:t>
      </w:r>
    </w:p>
    <w:p w:rsidR="00A34691" w:rsidRPr="00A3227F" w:rsidRDefault="00A34691">
      <w:pPr>
        <w:pStyle w:val="MOIText"/>
        <w:ind w:left="0"/>
      </w:pPr>
    </w:p>
    <w:p w:rsidR="006734B5" w:rsidRPr="00A3227F" w:rsidRDefault="00172DBF">
      <w:pPr>
        <w:pStyle w:val="Heading2"/>
      </w:pPr>
      <w:bookmarkStart w:id="38" w:name="_Toc504733073"/>
      <w:r>
        <w:t>Financial Standing</w:t>
      </w:r>
      <w:bookmarkEnd w:id="38"/>
    </w:p>
    <w:p w:rsidR="004B1514" w:rsidRPr="00F74C10" w:rsidRDefault="004B1514" w:rsidP="004149C2">
      <w:pPr>
        <w:jc w:val="both"/>
      </w:pPr>
      <w:r w:rsidRPr="00F74C10">
        <w:t>Financial standing requirements for th</w:t>
      </w:r>
      <w:r>
        <w:t xml:space="preserve">is </w:t>
      </w:r>
      <w:r w:rsidRPr="00F74C10">
        <w:t xml:space="preserve">Procurement will be limited at the </w:t>
      </w:r>
      <w:r w:rsidR="00AB5491">
        <w:t>Selective</w:t>
      </w:r>
      <w:r w:rsidR="00C46CDF">
        <w:t xml:space="preserve"> </w:t>
      </w:r>
      <w:r w:rsidRPr="00F74C10">
        <w:t>Q</w:t>
      </w:r>
      <w:r w:rsidR="00C46CDF">
        <w:t>uestionnaire</w:t>
      </w:r>
      <w:r w:rsidRPr="00F74C10">
        <w:t xml:space="preserve"> stage to confirmation of identity, solvency and proposed business structure, with no other financial requirements.  At the ITT stage, Bidders will be required to put forward detailed proposals as to how the </w:t>
      </w:r>
      <w:r>
        <w:t xml:space="preserve">Procurement </w:t>
      </w:r>
      <w:r w:rsidRPr="00F74C10">
        <w:t>Scheme fu</w:t>
      </w:r>
      <w:r>
        <w:t>nding requirement would be met and to submit any updated accounts information.</w:t>
      </w:r>
    </w:p>
    <w:p w:rsidR="00172DBF" w:rsidRPr="00A3227F" w:rsidRDefault="00172DBF" w:rsidP="001933BA">
      <w:pPr>
        <w:pStyle w:val="MOIText"/>
        <w:ind w:left="0"/>
      </w:pPr>
    </w:p>
    <w:p w:rsidR="00A34691" w:rsidRPr="00A3227F" w:rsidRDefault="00A34691" w:rsidP="001933BA">
      <w:pPr>
        <w:pStyle w:val="Heading2"/>
      </w:pPr>
      <w:bookmarkStart w:id="39" w:name="_Toc504733074"/>
      <w:r w:rsidRPr="00A3227F">
        <w:t>Performance Security</w:t>
      </w:r>
      <w:bookmarkEnd w:id="39"/>
    </w:p>
    <w:p w:rsidR="00A34691" w:rsidRPr="00A3227F" w:rsidRDefault="00A34691" w:rsidP="004149C2">
      <w:pPr>
        <w:pStyle w:val="MOIText"/>
        <w:ind w:left="0"/>
      </w:pPr>
      <w:r w:rsidRPr="00A3227F">
        <w:t xml:space="preserve">It is expected that no performance security will be required from Providers for </w:t>
      </w:r>
      <w:r w:rsidRPr="00A3227F" w:rsidDel="002C4BF7">
        <w:t xml:space="preserve">the </w:t>
      </w:r>
      <w:r w:rsidR="00C46CDF">
        <w:t>Authority’s</w:t>
      </w:r>
      <w:r w:rsidRPr="00A3227F">
        <w:t xml:space="preserve"> Procurement.  However, if the </w:t>
      </w:r>
      <w:r w:rsidR="00C46CDF">
        <w:t>Authority’s</w:t>
      </w:r>
      <w:r w:rsidRPr="00A3227F">
        <w:t xml:space="preserve"> Scheme requires substantive infrastructure spending and expects high activity volumes, some performance security may need to be considered for the </w:t>
      </w:r>
      <w:r w:rsidR="00C46CDF">
        <w:t>Authority’s</w:t>
      </w:r>
      <w:r w:rsidRPr="00A3227F">
        <w:t xml:space="preserve"> Scheme. If required, details will be set out in the </w:t>
      </w:r>
      <w:r w:rsidR="00C46CDF">
        <w:t>Authority’s</w:t>
      </w:r>
      <w:r w:rsidRPr="00A3227F">
        <w:t xml:space="preserve"> </w:t>
      </w:r>
      <w:r w:rsidR="00693D43">
        <w:t>Service Specification</w:t>
      </w:r>
      <w:r w:rsidRPr="00A3227F">
        <w:t>.</w:t>
      </w:r>
    </w:p>
    <w:p w:rsidR="002F51AE" w:rsidRPr="00A3227F" w:rsidRDefault="002F51AE" w:rsidP="001933BA">
      <w:pPr>
        <w:pStyle w:val="MOIText"/>
        <w:ind w:left="0"/>
      </w:pPr>
    </w:p>
    <w:p w:rsidR="000C0AE0" w:rsidRPr="00A3227F" w:rsidRDefault="000C0AE0">
      <w:pPr>
        <w:pStyle w:val="Heading2"/>
      </w:pPr>
      <w:r w:rsidRPr="00A3227F">
        <w:t xml:space="preserve"> </w:t>
      </w:r>
      <w:bookmarkStart w:id="40" w:name="_Toc504733075"/>
      <w:r w:rsidRPr="00A3227F">
        <w:t>Insurance</w:t>
      </w:r>
      <w:bookmarkEnd w:id="40"/>
    </w:p>
    <w:p w:rsidR="00172DBF" w:rsidRDefault="000C0AE0" w:rsidP="004149C2">
      <w:pPr>
        <w:pStyle w:val="MOIText"/>
        <w:ind w:left="0"/>
      </w:pPr>
      <w:r w:rsidRPr="00A3227F">
        <w:t xml:space="preserve">A comprehensive schedule of insurances that the Provider(s) will be required to obtain for the </w:t>
      </w:r>
      <w:r w:rsidR="004B5A40">
        <w:t>Authority’s Scheme is</w:t>
      </w:r>
      <w:r w:rsidR="00EB1DCE">
        <w:t xml:space="preserve"> set out in </w:t>
      </w:r>
      <w:r w:rsidR="004B5A40">
        <w:t xml:space="preserve">on-line </w:t>
      </w:r>
      <w:r w:rsidR="00AB5491">
        <w:t>Selective Questionnaire.</w:t>
      </w:r>
    </w:p>
    <w:p w:rsidR="00B47BEC" w:rsidRPr="00A3227F" w:rsidRDefault="00B47BEC" w:rsidP="004149C2">
      <w:pPr>
        <w:pStyle w:val="MOIText"/>
        <w:ind w:left="0"/>
      </w:pPr>
    </w:p>
    <w:p w:rsidR="007B0181" w:rsidRPr="002712D6" w:rsidRDefault="007B0181" w:rsidP="00456343">
      <w:pPr>
        <w:pStyle w:val="Heading1"/>
      </w:pPr>
      <w:bookmarkStart w:id="41" w:name="_Toc504733076"/>
      <w:r w:rsidRPr="002712D6">
        <w:lastRenderedPageBreak/>
        <w:t>GOVERNANCE AND ADMINISTRATION</w:t>
      </w:r>
      <w:bookmarkEnd w:id="41"/>
    </w:p>
    <w:p w:rsidR="002F51AE" w:rsidRDefault="002F51AE" w:rsidP="0024666E">
      <w:pPr>
        <w:pStyle w:val="MOIText"/>
        <w:ind w:left="0"/>
        <w:rPr>
          <w:b/>
        </w:rPr>
      </w:pPr>
    </w:p>
    <w:p w:rsidR="00067337" w:rsidRPr="00A3227F" w:rsidRDefault="00067337" w:rsidP="004149C2">
      <w:pPr>
        <w:pStyle w:val="Heading3"/>
        <w:jc w:val="both"/>
      </w:pPr>
      <w:bookmarkStart w:id="42" w:name="_Toc504733077"/>
      <w:r w:rsidRPr="00A3227F">
        <w:t>Disclaimer</w:t>
      </w:r>
      <w:bookmarkEnd w:id="42"/>
    </w:p>
    <w:p w:rsidR="00EE5907" w:rsidRDefault="00EF2BC9" w:rsidP="00EE5907">
      <w:pPr>
        <w:pStyle w:val="Default"/>
        <w:rPr>
          <w:rFonts w:ascii="Arial" w:hAnsi="Arial" w:cs="Arial"/>
          <w:sz w:val="23"/>
          <w:szCs w:val="23"/>
        </w:rPr>
      </w:pPr>
      <w:bookmarkStart w:id="43" w:name="_Toc161720202"/>
      <w:bookmarkStart w:id="44" w:name="_Toc161720203"/>
      <w:bookmarkEnd w:id="43"/>
      <w:bookmarkEnd w:id="44"/>
      <w:r>
        <w:rPr>
          <w:rFonts w:ascii="Arial" w:hAnsi="Arial" w:cs="Arial"/>
          <w:sz w:val="23"/>
          <w:szCs w:val="23"/>
        </w:rPr>
        <w:t>I</w:t>
      </w:r>
      <w:r w:rsidR="00EE5907" w:rsidRPr="00EE5907">
        <w:rPr>
          <w:rFonts w:ascii="Arial" w:hAnsi="Arial" w:cs="Arial"/>
          <w:sz w:val="23"/>
          <w:szCs w:val="23"/>
        </w:rPr>
        <w:t xml:space="preserve">nformation contained in this MOI is presented in good faith and does not purport to be comprehensive or to have been independently verified. Information contained in subsequent procurement documentation may supersede information contained in this MOI. </w:t>
      </w:r>
    </w:p>
    <w:p w:rsidR="00EE5907" w:rsidRPr="00EE5907" w:rsidRDefault="00EE5907" w:rsidP="00EE5907">
      <w:pPr>
        <w:pStyle w:val="Default"/>
        <w:rPr>
          <w:rFonts w:ascii="Arial" w:hAnsi="Arial" w:cs="Arial"/>
          <w:sz w:val="23"/>
          <w:szCs w:val="23"/>
        </w:rPr>
      </w:pPr>
    </w:p>
    <w:p w:rsidR="00EE5907" w:rsidRDefault="00EE5907" w:rsidP="00EE5907">
      <w:pPr>
        <w:autoSpaceDE w:val="0"/>
        <w:autoSpaceDN w:val="0"/>
        <w:adjustRightInd w:val="0"/>
        <w:spacing w:before="0" w:after="0"/>
        <w:rPr>
          <w:rFonts w:eastAsiaTheme="minorHAnsi"/>
          <w:color w:val="000000"/>
          <w:sz w:val="23"/>
          <w:szCs w:val="23"/>
          <w:lang w:eastAsia="en-US"/>
        </w:rPr>
      </w:pPr>
      <w:r w:rsidRPr="00EE5907">
        <w:rPr>
          <w:rFonts w:eastAsiaTheme="minorHAnsi"/>
          <w:color w:val="000000"/>
          <w:sz w:val="23"/>
          <w:szCs w:val="23"/>
          <w:lang w:eastAsia="en-US"/>
        </w:rPr>
        <w:t xml:space="preserve">Neither the Authority, the DH, nor any of their advisers accept any responsibility or liability in relation to its accuracy or completeness or any other information which has been, or which is subsequently, made available to any potential Bidder, Provider, Bidder Member, Clinical Services Supplier, financiers or any of their advisers, orally or in writing or in whatever media. </w:t>
      </w:r>
    </w:p>
    <w:p w:rsidR="00EE5907" w:rsidRPr="00EE5907" w:rsidRDefault="00EE5907" w:rsidP="00EE5907">
      <w:pPr>
        <w:autoSpaceDE w:val="0"/>
        <w:autoSpaceDN w:val="0"/>
        <w:adjustRightInd w:val="0"/>
        <w:spacing w:before="0" w:after="0"/>
        <w:rPr>
          <w:rFonts w:eastAsiaTheme="minorHAnsi"/>
          <w:color w:val="000000"/>
          <w:sz w:val="23"/>
          <w:szCs w:val="23"/>
          <w:lang w:eastAsia="en-US"/>
        </w:rPr>
      </w:pPr>
    </w:p>
    <w:p w:rsidR="00EE5907" w:rsidRDefault="00EE5907" w:rsidP="00EE5907">
      <w:pPr>
        <w:autoSpaceDE w:val="0"/>
        <w:autoSpaceDN w:val="0"/>
        <w:adjustRightInd w:val="0"/>
        <w:spacing w:before="0" w:after="0"/>
        <w:rPr>
          <w:rFonts w:eastAsiaTheme="minorHAnsi"/>
          <w:color w:val="000000"/>
          <w:sz w:val="23"/>
          <w:szCs w:val="23"/>
          <w:lang w:eastAsia="en-US"/>
        </w:rPr>
      </w:pPr>
      <w:r w:rsidRPr="00EE5907">
        <w:rPr>
          <w:rFonts w:eastAsiaTheme="minorHAnsi"/>
          <w:color w:val="000000"/>
          <w:sz w:val="23"/>
          <w:szCs w:val="23"/>
          <w:lang w:eastAsia="en-US"/>
        </w:rPr>
        <w:t xml:space="preserve">Interested Applicants and their advisers must therefore take their own steps to verify the accuracy of any information that they consider relevant. They must not, and are not entitled to, rely on any statement or representation made by the Authority, the DH or any of their advisers. </w:t>
      </w:r>
    </w:p>
    <w:p w:rsidR="00EE5907" w:rsidRPr="00EE5907" w:rsidRDefault="00EE5907" w:rsidP="00EE5907">
      <w:pPr>
        <w:autoSpaceDE w:val="0"/>
        <w:autoSpaceDN w:val="0"/>
        <w:adjustRightInd w:val="0"/>
        <w:spacing w:before="0" w:after="0"/>
        <w:rPr>
          <w:rFonts w:eastAsiaTheme="minorHAnsi"/>
          <w:color w:val="000000"/>
          <w:sz w:val="23"/>
          <w:szCs w:val="23"/>
          <w:lang w:eastAsia="en-US"/>
        </w:rPr>
      </w:pPr>
    </w:p>
    <w:p w:rsidR="00EE5907" w:rsidRDefault="00EE5907" w:rsidP="00EE5907">
      <w:pPr>
        <w:autoSpaceDE w:val="0"/>
        <w:autoSpaceDN w:val="0"/>
        <w:adjustRightInd w:val="0"/>
        <w:spacing w:before="0" w:after="0"/>
        <w:rPr>
          <w:rFonts w:eastAsiaTheme="minorHAnsi"/>
          <w:color w:val="000000"/>
          <w:sz w:val="23"/>
          <w:szCs w:val="23"/>
          <w:lang w:eastAsia="en-US"/>
        </w:rPr>
      </w:pPr>
      <w:r w:rsidRPr="00EE5907">
        <w:rPr>
          <w:rFonts w:eastAsiaTheme="minorHAnsi"/>
          <w:color w:val="000000"/>
          <w:sz w:val="23"/>
          <w:szCs w:val="23"/>
          <w:lang w:eastAsia="en-US"/>
        </w:rPr>
        <w:t xml:space="preserve">The Authority reserves the right to change the basis of, or the procedures (including the timetable) relating to, the Procurement process; to reject any, or all, of the Bidder’s proposals; not to invite a potential Bidder to proceed further; not to furnish a potential Bidder with additional information nor otherwise to negotiate with a potential Bidder in respect of the Procurement. The Authority shall not be obliged to appoint any of the Bidders and reserves the right not to proceed with the Procurement, or any part thereof, at any time. </w:t>
      </w:r>
    </w:p>
    <w:p w:rsidR="00EE5907" w:rsidRPr="00EE5907" w:rsidRDefault="00EE5907" w:rsidP="00EE5907">
      <w:pPr>
        <w:autoSpaceDE w:val="0"/>
        <w:autoSpaceDN w:val="0"/>
        <w:adjustRightInd w:val="0"/>
        <w:spacing w:before="0" w:after="0"/>
        <w:rPr>
          <w:rFonts w:eastAsiaTheme="minorHAnsi"/>
          <w:color w:val="000000"/>
          <w:sz w:val="23"/>
          <w:szCs w:val="23"/>
          <w:lang w:eastAsia="en-US"/>
        </w:rPr>
      </w:pPr>
    </w:p>
    <w:p w:rsidR="00EE5907" w:rsidRDefault="00EE5907" w:rsidP="00EE5907">
      <w:pPr>
        <w:autoSpaceDE w:val="0"/>
        <w:autoSpaceDN w:val="0"/>
        <w:adjustRightInd w:val="0"/>
        <w:spacing w:before="0" w:after="0"/>
        <w:rPr>
          <w:rFonts w:eastAsiaTheme="minorHAnsi"/>
          <w:color w:val="000000"/>
          <w:sz w:val="23"/>
          <w:szCs w:val="23"/>
          <w:lang w:eastAsia="en-US"/>
        </w:rPr>
      </w:pPr>
      <w:r w:rsidRPr="00EE5907">
        <w:rPr>
          <w:rFonts w:eastAsiaTheme="minorHAnsi"/>
          <w:color w:val="000000"/>
          <w:sz w:val="23"/>
          <w:szCs w:val="23"/>
          <w:lang w:eastAsia="en-US"/>
        </w:rPr>
        <w:t xml:space="preserve">Nothing in this MOI is, nor shall be relied upon as, a promise or representation as to any decision by the Authority in relation to this Procurement. No person has been authorised by the Authority or its advisers or consultants to give any information or make any representation not contained in this MOI and, if given or made, any such information or representation shall not be relied upon as having been so authorised. </w:t>
      </w:r>
    </w:p>
    <w:p w:rsidR="00EE5907" w:rsidRPr="00EE5907" w:rsidRDefault="00EE5907" w:rsidP="00EE5907">
      <w:pPr>
        <w:autoSpaceDE w:val="0"/>
        <w:autoSpaceDN w:val="0"/>
        <w:adjustRightInd w:val="0"/>
        <w:spacing w:before="0" w:after="0"/>
        <w:rPr>
          <w:rFonts w:eastAsiaTheme="minorHAnsi"/>
          <w:color w:val="000000"/>
          <w:sz w:val="23"/>
          <w:szCs w:val="23"/>
          <w:lang w:eastAsia="en-US"/>
        </w:rPr>
      </w:pPr>
    </w:p>
    <w:p w:rsidR="00EE5907" w:rsidRDefault="00EE5907" w:rsidP="00EE5907">
      <w:pPr>
        <w:autoSpaceDE w:val="0"/>
        <w:autoSpaceDN w:val="0"/>
        <w:adjustRightInd w:val="0"/>
        <w:spacing w:before="0" w:after="0"/>
        <w:rPr>
          <w:rFonts w:eastAsiaTheme="minorHAnsi"/>
          <w:color w:val="000000"/>
          <w:sz w:val="23"/>
          <w:szCs w:val="23"/>
          <w:lang w:eastAsia="en-US"/>
        </w:rPr>
      </w:pPr>
      <w:r w:rsidRPr="00EE5907">
        <w:rPr>
          <w:rFonts w:eastAsiaTheme="minorHAnsi"/>
          <w:color w:val="000000"/>
          <w:sz w:val="23"/>
          <w:szCs w:val="23"/>
          <w:lang w:eastAsia="en-US"/>
        </w:rPr>
        <w:t xml:space="preserve">Nothing in this MOI or any other pre-contractual documentation shall constitute the basis of an express or implied contract that may be concluded in relation to the Procurement, nor shall such documentation/information be used in construing any such contract. Each potential Bidder must rely on the terms and conditions contained in any contract when, and if, finally executed, subject to such limitations and restrictions that may be specified in such contract. No such contract will contain any representation or warranty in respect of the MOI or other pre-contract documentation. </w:t>
      </w:r>
    </w:p>
    <w:p w:rsidR="00EE5907" w:rsidRPr="00EE5907" w:rsidRDefault="00EE5907" w:rsidP="00EE5907">
      <w:pPr>
        <w:autoSpaceDE w:val="0"/>
        <w:autoSpaceDN w:val="0"/>
        <w:adjustRightInd w:val="0"/>
        <w:spacing w:before="0" w:after="0"/>
        <w:rPr>
          <w:rFonts w:eastAsiaTheme="minorHAnsi"/>
          <w:color w:val="000000"/>
          <w:sz w:val="23"/>
          <w:szCs w:val="23"/>
          <w:lang w:eastAsia="en-US"/>
        </w:rPr>
      </w:pPr>
    </w:p>
    <w:p w:rsidR="00116195" w:rsidRDefault="00EE5907" w:rsidP="00EE5907">
      <w:pPr>
        <w:pStyle w:val="MOIText"/>
        <w:spacing w:before="0" w:after="0"/>
        <w:ind w:left="0"/>
      </w:pPr>
      <w:r w:rsidRPr="00EE5907">
        <w:rPr>
          <w:rFonts w:eastAsiaTheme="minorHAnsi"/>
          <w:color w:val="000000"/>
          <w:sz w:val="23"/>
          <w:szCs w:val="23"/>
          <w:lang w:eastAsia="en-US"/>
        </w:rPr>
        <w:t xml:space="preserve">In this section, references to this MOI include all information contained in it and any other information (whether written, oral or in machine-readable form) or opinions made available by or on behalf of the Authority, DH or any of their advisers or consultants in connection with this MOI or any other pre-contract documentation. </w:t>
      </w:r>
      <w:r w:rsidR="00116195">
        <w:br w:type="page"/>
      </w:r>
    </w:p>
    <w:p w:rsidR="00E26121" w:rsidRPr="00CB2514" w:rsidRDefault="00623944" w:rsidP="00456343">
      <w:pPr>
        <w:pStyle w:val="Heading1"/>
      </w:pPr>
      <w:bookmarkStart w:id="45" w:name="_Toc504733078"/>
      <w:r w:rsidRPr="00CB2514">
        <w:lastRenderedPageBreak/>
        <w:t>GLOSSARY OF TERMS AND ABBREVIATIONS</w:t>
      </w:r>
      <w:bookmarkEnd w:id="45"/>
    </w:p>
    <w:p w:rsidR="00623944" w:rsidRPr="00A3227F" w:rsidRDefault="00623944" w:rsidP="0024666E">
      <w:pPr>
        <w:pStyle w:val="MOIText"/>
        <w:ind w:left="0"/>
        <w:rPr>
          <w:b/>
        </w:rPr>
      </w:pPr>
    </w:p>
    <w:tbl>
      <w:tblPr>
        <w:tblW w:w="84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20" w:firstRow="1" w:lastRow="0" w:firstColumn="0" w:lastColumn="0" w:noHBand="0" w:noVBand="0"/>
      </w:tblPr>
      <w:tblGrid>
        <w:gridCol w:w="1800"/>
        <w:gridCol w:w="6660"/>
      </w:tblGrid>
      <w:tr w:rsidR="00623944" w:rsidRPr="00A3227F" w:rsidTr="00172DBF">
        <w:trPr>
          <w:cantSplit/>
          <w:jc w:val="center"/>
        </w:trPr>
        <w:tc>
          <w:tcPr>
            <w:tcW w:w="1800" w:type="dxa"/>
            <w:shd w:val="clear" w:color="auto" w:fill="A6A6A6" w:themeFill="background1" w:themeFillShade="A6"/>
            <w:vAlign w:val="center"/>
          </w:tcPr>
          <w:p w:rsidR="00623944" w:rsidRPr="002712D6" w:rsidRDefault="00623944" w:rsidP="0024666E">
            <w:pPr>
              <w:pStyle w:val="10pttable"/>
              <w:jc w:val="both"/>
              <w:rPr>
                <w:b/>
                <w:bCs/>
                <w:sz w:val="22"/>
                <w:szCs w:val="22"/>
              </w:rPr>
            </w:pPr>
          </w:p>
        </w:tc>
        <w:tc>
          <w:tcPr>
            <w:tcW w:w="6660" w:type="dxa"/>
            <w:shd w:val="clear" w:color="auto" w:fill="A6A6A6" w:themeFill="background1" w:themeFillShade="A6"/>
            <w:vAlign w:val="center"/>
          </w:tcPr>
          <w:p w:rsidR="00623944" w:rsidRPr="00A3227F" w:rsidRDefault="00623944" w:rsidP="0024666E">
            <w:pPr>
              <w:pStyle w:val="10pttable"/>
              <w:spacing w:before="0" w:after="0"/>
              <w:jc w:val="both"/>
              <w:rPr>
                <w:b/>
                <w:sz w:val="22"/>
                <w:szCs w:val="22"/>
              </w:rPr>
            </w:pPr>
            <w:r w:rsidRPr="00A3227F">
              <w:rPr>
                <w:b/>
                <w:sz w:val="22"/>
                <w:szCs w:val="22"/>
              </w:rPr>
              <w:t>Description</w:t>
            </w:r>
          </w:p>
        </w:tc>
      </w:tr>
      <w:tr w:rsidR="00623944" w:rsidRPr="00A3227F" w:rsidTr="00172DBF">
        <w:trPr>
          <w:cantSplit/>
          <w:jc w:val="center"/>
        </w:trPr>
        <w:tc>
          <w:tcPr>
            <w:tcW w:w="1800" w:type="dxa"/>
            <w:shd w:val="clear" w:color="auto" w:fill="auto"/>
            <w:vAlign w:val="center"/>
          </w:tcPr>
          <w:p w:rsidR="00623944" w:rsidRPr="002712D6" w:rsidRDefault="00D630AF" w:rsidP="0024666E">
            <w:pPr>
              <w:pStyle w:val="10pttable"/>
              <w:jc w:val="both"/>
              <w:rPr>
                <w:b/>
                <w:bCs/>
                <w:sz w:val="22"/>
                <w:szCs w:val="22"/>
              </w:rPr>
            </w:pPr>
            <w:r>
              <w:rPr>
                <w:b/>
                <w:bCs/>
                <w:sz w:val="22"/>
                <w:szCs w:val="22"/>
              </w:rPr>
              <w:t>AT</w:t>
            </w:r>
          </w:p>
        </w:tc>
        <w:tc>
          <w:tcPr>
            <w:tcW w:w="6660" w:type="dxa"/>
            <w:shd w:val="clear" w:color="auto" w:fill="auto"/>
            <w:vAlign w:val="center"/>
          </w:tcPr>
          <w:p w:rsidR="00623944" w:rsidRPr="002712D6" w:rsidRDefault="00D630AF" w:rsidP="00F247B7">
            <w:pPr>
              <w:pStyle w:val="10pttable"/>
              <w:spacing w:before="0" w:after="0"/>
              <w:rPr>
                <w:sz w:val="22"/>
                <w:szCs w:val="22"/>
              </w:rPr>
            </w:pPr>
            <w:r>
              <w:rPr>
                <w:sz w:val="22"/>
                <w:szCs w:val="22"/>
              </w:rPr>
              <w:t>Area Team (of NHS England)</w:t>
            </w:r>
          </w:p>
        </w:tc>
      </w:tr>
      <w:tr w:rsidR="00D630AF" w:rsidRPr="00A3227F" w:rsidTr="00172DBF">
        <w:trPr>
          <w:cantSplit/>
          <w:jc w:val="center"/>
        </w:trPr>
        <w:tc>
          <w:tcPr>
            <w:tcW w:w="1800" w:type="dxa"/>
            <w:shd w:val="clear" w:color="auto" w:fill="auto"/>
            <w:vAlign w:val="center"/>
          </w:tcPr>
          <w:p w:rsidR="00D630AF" w:rsidDel="00D630AF" w:rsidRDefault="00D630AF" w:rsidP="0024666E">
            <w:pPr>
              <w:pStyle w:val="10pttable"/>
              <w:jc w:val="both"/>
              <w:rPr>
                <w:b/>
                <w:bCs/>
                <w:sz w:val="22"/>
                <w:szCs w:val="22"/>
              </w:rPr>
            </w:pPr>
            <w:r>
              <w:rPr>
                <w:b/>
                <w:bCs/>
                <w:sz w:val="22"/>
                <w:szCs w:val="22"/>
              </w:rPr>
              <w:t>BDA</w:t>
            </w:r>
          </w:p>
        </w:tc>
        <w:tc>
          <w:tcPr>
            <w:tcW w:w="6660" w:type="dxa"/>
            <w:shd w:val="clear" w:color="auto" w:fill="auto"/>
            <w:vAlign w:val="center"/>
          </w:tcPr>
          <w:p w:rsidR="00D630AF" w:rsidRDefault="00D630AF" w:rsidP="00F247B7">
            <w:pPr>
              <w:pStyle w:val="10pttable"/>
              <w:spacing w:before="0" w:after="0"/>
              <w:rPr>
                <w:sz w:val="22"/>
                <w:szCs w:val="22"/>
              </w:rPr>
            </w:pPr>
            <w:r>
              <w:rPr>
                <w:sz w:val="22"/>
                <w:szCs w:val="22"/>
              </w:rPr>
              <w:t>British Dental Association</w:t>
            </w:r>
          </w:p>
        </w:tc>
      </w:tr>
      <w:tr w:rsidR="00623944" w:rsidRPr="00A3227F" w:rsidTr="00172DBF">
        <w:trPr>
          <w:cantSplit/>
          <w:jc w:val="center"/>
        </w:trPr>
        <w:tc>
          <w:tcPr>
            <w:tcW w:w="1800" w:type="dxa"/>
            <w:shd w:val="clear" w:color="auto" w:fill="auto"/>
            <w:vAlign w:val="center"/>
          </w:tcPr>
          <w:p w:rsidR="00623944" w:rsidRPr="002712D6" w:rsidRDefault="00623944" w:rsidP="0024666E">
            <w:pPr>
              <w:pStyle w:val="10pttable"/>
              <w:jc w:val="both"/>
              <w:rPr>
                <w:b/>
                <w:bCs/>
                <w:sz w:val="22"/>
                <w:szCs w:val="22"/>
              </w:rPr>
            </w:pPr>
            <w:r w:rsidRPr="002712D6">
              <w:rPr>
                <w:b/>
                <w:bCs/>
                <w:sz w:val="22"/>
                <w:szCs w:val="22"/>
              </w:rPr>
              <w:t>Bidder</w:t>
            </w:r>
          </w:p>
        </w:tc>
        <w:tc>
          <w:tcPr>
            <w:tcW w:w="6660" w:type="dxa"/>
            <w:shd w:val="clear" w:color="auto" w:fill="auto"/>
            <w:vAlign w:val="center"/>
          </w:tcPr>
          <w:p w:rsidR="00623944" w:rsidRPr="00034E4C" w:rsidRDefault="00034E4C" w:rsidP="009A14EC">
            <w:pPr>
              <w:pStyle w:val="10pttable"/>
              <w:spacing w:before="0" w:after="0"/>
              <w:rPr>
                <w:sz w:val="22"/>
                <w:szCs w:val="22"/>
              </w:rPr>
            </w:pPr>
            <w:r w:rsidRPr="00034E4C">
              <w:rPr>
                <w:sz w:val="22"/>
                <w:szCs w:val="22"/>
              </w:rPr>
              <w:t xml:space="preserve">A single operating organisation/person that has been short-listed through the </w:t>
            </w:r>
            <w:r w:rsidR="00EE5907">
              <w:rPr>
                <w:sz w:val="22"/>
                <w:szCs w:val="22"/>
              </w:rPr>
              <w:t>S</w:t>
            </w:r>
            <w:r w:rsidRPr="00034E4C">
              <w:rPr>
                <w:sz w:val="22"/>
                <w:szCs w:val="22"/>
              </w:rPr>
              <w:t>Q evaluation process and been invited to participate in the ITT stage and is bidding for one or more Schemes</w:t>
            </w:r>
          </w:p>
        </w:tc>
      </w:tr>
      <w:tr w:rsidR="00D630AF" w:rsidRPr="00A3227F" w:rsidTr="00172DBF">
        <w:trPr>
          <w:cantSplit/>
          <w:jc w:val="center"/>
        </w:trPr>
        <w:tc>
          <w:tcPr>
            <w:tcW w:w="1800" w:type="dxa"/>
            <w:shd w:val="clear" w:color="auto" w:fill="auto"/>
            <w:vAlign w:val="center"/>
          </w:tcPr>
          <w:p w:rsidR="00D630AF" w:rsidRPr="002712D6" w:rsidRDefault="00D630AF" w:rsidP="0024666E">
            <w:pPr>
              <w:pStyle w:val="10pttable"/>
              <w:jc w:val="both"/>
              <w:rPr>
                <w:b/>
                <w:bCs/>
                <w:sz w:val="22"/>
                <w:szCs w:val="22"/>
              </w:rPr>
            </w:pPr>
            <w:r>
              <w:rPr>
                <w:b/>
                <w:bCs/>
                <w:sz w:val="22"/>
                <w:szCs w:val="22"/>
              </w:rPr>
              <w:t>CDS</w:t>
            </w:r>
          </w:p>
        </w:tc>
        <w:tc>
          <w:tcPr>
            <w:tcW w:w="6660" w:type="dxa"/>
            <w:shd w:val="clear" w:color="auto" w:fill="auto"/>
            <w:vAlign w:val="center"/>
          </w:tcPr>
          <w:p w:rsidR="00D630AF" w:rsidRPr="00034E4C" w:rsidRDefault="00D630AF" w:rsidP="009A14EC">
            <w:pPr>
              <w:pStyle w:val="10pttable"/>
              <w:spacing w:before="0" w:after="0"/>
              <w:rPr>
                <w:sz w:val="22"/>
                <w:szCs w:val="22"/>
              </w:rPr>
            </w:pPr>
            <w:r>
              <w:rPr>
                <w:sz w:val="22"/>
                <w:szCs w:val="22"/>
              </w:rPr>
              <w:t>Community Dental Services (also referred to as Special Care Dental Services)</w:t>
            </w:r>
          </w:p>
        </w:tc>
      </w:tr>
      <w:tr w:rsidR="00623944" w:rsidRPr="00A3227F" w:rsidTr="00172DBF">
        <w:trPr>
          <w:cantSplit/>
          <w:trHeight w:val="405"/>
          <w:jc w:val="center"/>
        </w:trPr>
        <w:tc>
          <w:tcPr>
            <w:tcW w:w="1800" w:type="dxa"/>
            <w:shd w:val="clear" w:color="auto" w:fill="auto"/>
            <w:vAlign w:val="center"/>
          </w:tcPr>
          <w:p w:rsidR="00623944" w:rsidRPr="002712D6" w:rsidRDefault="00623944" w:rsidP="0024666E">
            <w:pPr>
              <w:pStyle w:val="10pttable"/>
              <w:jc w:val="both"/>
              <w:rPr>
                <w:b/>
                <w:bCs/>
                <w:sz w:val="22"/>
                <w:szCs w:val="22"/>
              </w:rPr>
            </w:pPr>
            <w:r w:rsidRPr="002712D6">
              <w:rPr>
                <w:b/>
                <w:bCs/>
                <w:sz w:val="22"/>
                <w:szCs w:val="22"/>
              </w:rPr>
              <w:t>CPD</w:t>
            </w:r>
          </w:p>
        </w:tc>
        <w:tc>
          <w:tcPr>
            <w:tcW w:w="6660" w:type="dxa"/>
            <w:shd w:val="clear" w:color="auto" w:fill="auto"/>
            <w:vAlign w:val="center"/>
          </w:tcPr>
          <w:p w:rsidR="00623944" w:rsidRPr="002712D6" w:rsidRDefault="00623944" w:rsidP="00F247B7">
            <w:pPr>
              <w:pStyle w:val="10pttable"/>
              <w:spacing w:before="0" w:after="0"/>
              <w:rPr>
                <w:sz w:val="22"/>
                <w:szCs w:val="22"/>
              </w:rPr>
            </w:pPr>
            <w:r w:rsidRPr="002712D6">
              <w:rPr>
                <w:sz w:val="22"/>
                <w:szCs w:val="22"/>
              </w:rPr>
              <w:t>Continuing Professional Development</w:t>
            </w:r>
          </w:p>
        </w:tc>
      </w:tr>
      <w:tr w:rsidR="00623944" w:rsidRPr="00A3227F" w:rsidTr="00172DBF">
        <w:trPr>
          <w:cantSplit/>
          <w:trHeight w:val="405"/>
          <w:jc w:val="center"/>
        </w:trPr>
        <w:tc>
          <w:tcPr>
            <w:tcW w:w="1800" w:type="dxa"/>
            <w:shd w:val="clear" w:color="auto" w:fill="auto"/>
            <w:vAlign w:val="center"/>
          </w:tcPr>
          <w:p w:rsidR="00623944" w:rsidRPr="002712D6" w:rsidRDefault="00623944" w:rsidP="0024666E">
            <w:pPr>
              <w:pStyle w:val="10pttable"/>
              <w:jc w:val="both"/>
              <w:rPr>
                <w:b/>
                <w:bCs/>
                <w:sz w:val="22"/>
                <w:szCs w:val="22"/>
              </w:rPr>
            </w:pPr>
            <w:r w:rsidRPr="002712D6">
              <w:rPr>
                <w:b/>
                <w:bCs/>
                <w:sz w:val="22"/>
                <w:szCs w:val="22"/>
              </w:rPr>
              <w:t>Clinical Services Supplier</w:t>
            </w:r>
          </w:p>
        </w:tc>
        <w:tc>
          <w:tcPr>
            <w:tcW w:w="6660" w:type="dxa"/>
            <w:shd w:val="clear" w:color="auto" w:fill="auto"/>
            <w:vAlign w:val="center"/>
          </w:tcPr>
          <w:p w:rsidR="00623944" w:rsidRPr="002712D6" w:rsidRDefault="00623944" w:rsidP="00F247B7">
            <w:pPr>
              <w:pStyle w:val="10pttable"/>
              <w:spacing w:before="0" w:after="0"/>
              <w:rPr>
                <w:sz w:val="22"/>
                <w:szCs w:val="22"/>
              </w:rPr>
            </w:pPr>
            <w:r w:rsidRPr="002712D6">
              <w:rPr>
                <w:sz w:val="22"/>
                <w:szCs w:val="22"/>
              </w:rPr>
              <w:t>All suppliers providing clinical services which are the subject of the Contract including, but not limited to, primary medical care services</w:t>
            </w:r>
          </w:p>
        </w:tc>
      </w:tr>
      <w:tr w:rsidR="00623944" w:rsidRPr="00A3227F" w:rsidTr="00172DBF">
        <w:trPr>
          <w:cantSplit/>
          <w:jc w:val="center"/>
        </w:trPr>
        <w:tc>
          <w:tcPr>
            <w:tcW w:w="1800" w:type="dxa"/>
            <w:shd w:val="clear" w:color="auto" w:fill="auto"/>
            <w:vAlign w:val="center"/>
          </w:tcPr>
          <w:p w:rsidR="00623944" w:rsidRPr="002712D6" w:rsidRDefault="00623944" w:rsidP="0024666E">
            <w:pPr>
              <w:pStyle w:val="10pttable"/>
              <w:jc w:val="both"/>
              <w:rPr>
                <w:b/>
                <w:bCs/>
                <w:sz w:val="22"/>
                <w:szCs w:val="22"/>
              </w:rPr>
            </w:pPr>
            <w:r w:rsidRPr="002712D6">
              <w:rPr>
                <w:b/>
                <w:bCs/>
                <w:sz w:val="22"/>
                <w:szCs w:val="22"/>
              </w:rPr>
              <w:t>Contract</w:t>
            </w:r>
          </w:p>
        </w:tc>
        <w:tc>
          <w:tcPr>
            <w:tcW w:w="6660" w:type="dxa"/>
            <w:shd w:val="clear" w:color="auto" w:fill="auto"/>
            <w:vAlign w:val="center"/>
          </w:tcPr>
          <w:p w:rsidR="00623944" w:rsidRPr="002712D6" w:rsidRDefault="00FE2AB8" w:rsidP="00BC6747">
            <w:pPr>
              <w:pStyle w:val="10pttable"/>
              <w:spacing w:before="0" w:after="0"/>
              <w:rPr>
                <w:sz w:val="22"/>
                <w:szCs w:val="22"/>
              </w:rPr>
            </w:pPr>
            <w:r>
              <w:rPr>
                <w:sz w:val="22"/>
                <w:szCs w:val="22"/>
              </w:rPr>
              <w:t>PDS</w:t>
            </w:r>
            <w:r w:rsidR="00623944" w:rsidRPr="002712D6">
              <w:rPr>
                <w:sz w:val="22"/>
                <w:szCs w:val="22"/>
              </w:rPr>
              <w:t xml:space="preserve"> </w:t>
            </w:r>
            <w:r w:rsidR="002F51AE">
              <w:rPr>
                <w:sz w:val="22"/>
                <w:szCs w:val="22"/>
              </w:rPr>
              <w:t xml:space="preserve">form of </w:t>
            </w:r>
            <w:r>
              <w:rPr>
                <w:sz w:val="22"/>
                <w:szCs w:val="22"/>
              </w:rPr>
              <w:t>agreement</w:t>
            </w:r>
            <w:r w:rsidR="00623944" w:rsidRPr="002712D6">
              <w:rPr>
                <w:sz w:val="22"/>
                <w:szCs w:val="22"/>
              </w:rPr>
              <w:t xml:space="preserve">, as detailed further in </w:t>
            </w:r>
            <w:r w:rsidR="00034E4C">
              <w:rPr>
                <w:sz w:val="22"/>
                <w:szCs w:val="22"/>
              </w:rPr>
              <w:t xml:space="preserve">paragraph 4.1 </w:t>
            </w:r>
            <w:r w:rsidR="00623944" w:rsidRPr="002712D6">
              <w:rPr>
                <w:sz w:val="22"/>
                <w:szCs w:val="22"/>
              </w:rPr>
              <w:t xml:space="preserve">to be entered into between the </w:t>
            </w:r>
            <w:r w:rsidR="00491014">
              <w:rPr>
                <w:sz w:val="22"/>
                <w:szCs w:val="22"/>
              </w:rPr>
              <w:t>Authority</w:t>
            </w:r>
            <w:r w:rsidR="00623944" w:rsidRPr="002712D6">
              <w:rPr>
                <w:sz w:val="22"/>
                <w:szCs w:val="22"/>
              </w:rPr>
              <w:t xml:space="preserve"> and Recommended Bidder for the provision of </w:t>
            </w:r>
            <w:r w:rsidR="00BC6747">
              <w:rPr>
                <w:sz w:val="22"/>
                <w:szCs w:val="22"/>
              </w:rPr>
              <w:t>primary care mandatory dental services</w:t>
            </w:r>
          </w:p>
        </w:tc>
      </w:tr>
      <w:tr w:rsidR="00D630AF" w:rsidRPr="00A3227F" w:rsidTr="00172DBF">
        <w:trPr>
          <w:cantSplit/>
          <w:jc w:val="center"/>
        </w:trPr>
        <w:tc>
          <w:tcPr>
            <w:tcW w:w="1800" w:type="dxa"/>
            <w:shd w:val="clear" w:color="auto" w:fill="auto"/>
            <w:vAlign w:val="center"/>
          </w:tcPr>
          <w:p w:rsidR="00D630AF" w:rsidRPr="002712D6" w:rsidRDefault="00D630AF" w:rsidP="0024666E">
            <w:pPr>
              <w:pStyle w:val="10pttable"/>
              <w:jc w:val="both"/>
              <w:rPr>
                <w:b/>
                <w:bCs/>
                <w:sz w:val="22"/>
                <w:szCs w:val="22"/>
              </w:rPr>
            </w:pPr>
            <w:r>
              <w:rPr>
                <w:b/>
                <w:bCs/>
                <w:sz w:val="22"/>
                <w:szCs w:val="22"/>
              </w:rPr>
              <w:t>CQC</w:t>
            </w:r>
          </w:p>
        </w:tc>
        <w:tc>
          <w:tcPr>
            <w:tcW w:w="6660" w:type="dxa"/>
            <w:shd w:val="clear" w:color="auto" w:fill="auto"/>
            <w:vAlign w:val="center"/>
          </w:tcPr>
          <w:p w:rsidR="00D630AF" w:rsidRDefault="00D630AF" w:rsidP="00BC6747">
            <w:pPr>
              <w:pStyle w:val="10pttable"/>
              <w:spacing w:before="0" w:after="0"/>
              <w:rPr>
                <w:sz w:val="22"/>
                <w:szCs w:val="22"/>
              </w:rPr>
            </w:pPr>
            <w:r>
              <w:rPr>
                <w:sz w:val="22"/>
                <w:szCs w:val="22"/>
              </w:rPr>
              <w:t>Care Quality Commission</w:t>
            </w:r>
          </w:p>
        </w:tc>
      </w:tr>
      <w:tr w:rsidR="00623944" w:rsidRPr="00A3227F" w:rsidTr="00172DBF">
        <w:trPr>
          <w:cantSplit/>
          <w:jc w:val="center"/>
        </w:trPr>
        <w:tc>
          <w:tcPr>
            <w:tcW w:w="1800" w:type="dxa"/>
            <w:shd w:val="clear" w:color="auto" w:fill="auto"/>
            <w:vAlign w:val="center"/>
          </w:tcPr>
          <w:p w:rsidR="00623944" w:rsidRPr="002712D6" w:rsidRDefault="00623944" w:rsidP="0024666E">
            <w:pPr>
              <w:pStyle w:val="10pttable"/>
              <w:jc w:val="both"/>
              <w:rPr>
                <w:b/>
                <w:bCs/>
                <w:sz w:val="22"/>
                <w:szCs w:val="22"/>
              </w:rPr>
            </w:pPr>
            <w:r w:rsidRPr="002712D6">
              <w:rPr>
                <w:b/>
                <w:bCs/>
                <w:sz w:val="22"/>
                <w:szCs w:val="22"/>
              </w:rPr>
              <w:t>DH</w:t>
            </w:r>
          </w:p>
        </w:tc>
        <w:tc>
          <w:tcPr>
            <w:tcW w:w="6660" w:type="dxa"/>
            <w:shd w:val="clear" w:color="auto" w:fill="auto"/>
            <w:vAlign w:val="center"/>
          </w:tcPr>
          <w:p w:rsidR="00623944" w:rsidRPr="002712D6" w:rsidRDefault="00623944" w:rsidP="00F247B7">
            <w:pPr>
              <w:pStyle w:val="10pttable"/>
              <w:spacing w:before="0" w:after="0"/>
              <w:rPr>
                <w:sz w:val="22"/>
                <w:szCs w:val="22"/>
              </w:rPr>
            </w:pPr>
            <w:r w:rsidRPr="002712D6">
              <w:rPr>
                <w:sz w:val="22"/>
                <w:szCs w:val="22"/>
              </w:rPr>
              <w:t>Department of Health</w:t>
            </w:r>
          </w:p>
        </w:tc>
      </w:tr>
      <w:tr w:rsidR="00D630AF" w:rsidRPr="00A3227F" w:rsidTr="00172DBF">
        <w:trPr>
          <w:cantSplit/>
          <w:jc w:val="center"/>
        </w:trPr>
        <w:tc>
          <w:tcPr>
            <w:tcW w:w="1800" w:type="dxa"/>
            <w:shd w:val="clear" w:color="auto" w:fill="auto"/>
            <w:vAlign w:val="center"/>
          </w:tcPr>
          <w:p w:rsidR="00D630AF" w:rsidRPr="002712D6" w:rsidRDefault="00D630AF" w:rsidP="0024666E">
            <w:pPr>
              <w:pStyle w:val="10pttable"/>
              <w:jc w:val="both"/>
              <w:rPr>
                <w:b/>
                <w:bCs/>
                <w:sz w:val="22"/>
                <w:szCs w:val="22"/>
              </w:rPr>
            </w:pPr>
            <w:r>
              <w:rPr>
                <w:b/>
                <w:bCs/>
                <w:sz w:val="22"/>
                <w:szCs w:val="22"/>
              </w:rPr>
              <w:t>DBOH</w:t>
            </w:r>
          </w:p>
        </w:tc>
        <w:tc>
          <w:tcPr>
            <w:tcW w:w="6660" w:type="dxa"/>
            <w:shd w:val="clear" w:color="auto" w:fill="auto"/>
            <w:vAlign w:val="center"/>
          </w:tcPr>
          <w:p w:rsidR="00D630AF" w:rsidRPr="002712D6" w:rsidRDefault="00D630AF" w:rsidP="00F247B7">
            <w:pPr>
              <w:pStyle w:val="10pttable"/>
              <w:spacing w:before="0" w:after="0"/>
              <w:rPr>
                <w:sz w:val="22"/>
                <w:szCs w:val="22"/>
              </w:rPr>
            </w:pPr>
            <w:r>
              <w:rPr>
                <w:sz w:val="22"/>
                <w:szCs w:val="22"/>
              </w:rPr>
              <w:t>DH publication ‘Delivering Better Oral Health: an evidenced-based toolkit for prevention’ (third edition – published June 2014)</w:t>
            </w:r>
          </w:p>
        </w:tc>
      </w:tr>
      <w:tr w:rsidR="00623944" w:rsidRPr="00A3227F" w:rsidTr="00172DBF">
        <w:trPr>
          <w:cantSplit/>
          <w:jc w:val="center"/>
        </w:trPr>
        <w:tc>
          <w:tcPr>
            <w:tcW w:w="1800" w:type="dxa"/>
            <w:shd w:val="clear" w:color="auto" w:fill="auto"/>
            <w:vAlign w:val="center"/>
          </w:tcPr>
          <w:p w:rsidR="00623944" w:rsidRPr="002712D6" w:rsidRDefault="00623944" w:rsidP="003B24B3">
            <w:pPr>
              <w:pStyle w:val="10pttable"/>
              <w:rPr>
                <w:b/>
                <w:bCs/>
                <w:sz w:val="22"/>
                <w:szCs w:val="22"/>
              </w:rPr>
            </w:pPr>
            <w:r w:rsidRPr="002712D6">
              <w:rPr>
                <w:b/>
                <w:bCs/>
                <w:sz w:val="22"/>
                <w:szCs w:val="22"/>
              </w:rPr>
              <w:t>FOIA</w:t>
            </w:r>
            <w:r w:rsidR="00E26785">
              <w:rPr>
                <w:b/>
                <w:bCs/>
                <w:sz w:val="22"/>
                <w:szCs w:val="22"/>
              </w:rPr>
              <w:t xml:space="preserve"> /</w:t>
            </w:r>
            <w:r w:rsidRPr="002712D6">
              <w:rPr>
                <w:b/>
                <w:bCs/>
                <w:sz w:val="22"/>
                <w:szCs w:val="22"/>
              </w:rPr>
              <w:t xml:space="preserve"> Freedom of Information Act</w:t>
            </w:r>
          </w:p>
        </w:tc>
        <w:tc>
          <w:tcPr>
            <w:tcW w:w="6660" w:type="dxa"/>
            <w:shd w:val="clear" w:color="auto" w:fill="auto"/>
            <w:vAlign w:val="center"/>
          </w:tcPr>
          <w:p w:rsidR="00623944" w:rsidRPr="002712D6" w:rsidRDefault="00623944" w:rsidP="00F247B7">
            <w:pPr>
              <w:pStyle w:val="10pttable"/>
              <w:spacing w:before="0" w:after="0"/>
              <w:rPr>
                <w:sz w:val="22"/>
                <w:szCs w:val="22"/>
              </w:rPr>
            </w:pPr>
            <w:r w:rsidRPr="002712D6">
              <w:rPr>
                <w:sz w:val="22"/>
                <w:szCs w:val="22"/>
              </w:rPr>
              <w:t>The Freedom of Information Act 2000 and any subordinate legislation made under that Act from time to time, together with any guidance and / or codes of practice issued by the Information Commissioner, the Department of Constitutional Affairs, the Office of Government Commerce and the NHS in relation to such legislation or relevant codes of practice to which the DH and</w:t>
            </w:r>
            <w:r w:rsidR="0076725F" w:rsidRPr="002712D6">
              <w:rPr>
                <w:sz w:val="22"/>
                <w:szCs w:val="22"/>
              </w:rPr>
              <w:t xml:space="preserve"> </w:t>
            </w:r>
            <w:r w:rsidR="00491014">
              <w:rPr>
                <w:sz w:val="22"/>
                <w:szCs w:val="22"/>
              </w:rPr>
              <w:t>the Authority</w:t>
            </w:r>
            <w:r w:rsidR="0076725F" w:rsidRPr="002712D6">
              <w:rPr>
                <w:sz w:val="22"/>
                <w:szCs w:val="22"/>
              </w:rPr>
              <w:t xml:space="preserve"> </w:t>
            </w:r>
            <w:r w:rsidRPr="002712D6">
              <w:rPr>
                <w:sz w:val="22"/>
                <w:szCs w:val="22"/>
              </w:rPr>
              <w:t>is subject</w:t>
            </w:r>
          </w:p>
        </w:tc>
      </w:tr>
      <w:tr w:rsidR="00D630AF" w:rsidRPr="00A3227F" w:rsidTr="00172DBF">
        <w:trPr>
          <w:cantSplit/>
          <w:jc w:val="center"/>
        </w:trPr>
        <w:tc>
          <w:tcPr>
            <w:tcW w:w="1800" w:type="dxa"/>
            <w:shd w:val="clear" w:color="auto" w:fill="auto"/>
            <w:vAlign w:val="center"/>
          </w:tcPr>
          <w:p w:rsidR="00D630AF" w:rsidRPr="002712D6" w:rsidRDefault="00D630AF" w:rsidP="003B24B3">
            <w:pPr>
              <w:pStyle w:val="10pttable"/>
              <w:rPr>
                <w:b/>
                <w:bCs/>
                <w:sz w:val="22"/>
                <w:szCs w:val="22"/>
              </w:rPr>
            </w:pPr>
            <w:r>
              <w:rPr>
                <w:b/>
                <w:bCs/>
                <w:sz w:val="22"/>
                <w:szCs w:val="22"/>
              </w:rPr>
              <w:t>GDC</w:t>
            </w:r>
          </w:p>
        </w:tc>
        <w:tc>
          <w:tcPr>
            <w:tcW w:w="6660" w:type="dxa"/>
            <w:shd w:val="clear" w:color="auto" w:fill="auto"/>
            <w:vAlign w:val="center"/>
          </w:tcPr>
          <w:p w:rsidR="00D630AF" w:rsidRPr="002712D6" w:rsidRDefault="00D630AF" w:rsidP="00F247B7">
            <w:pPr>
              <w:pStyle w:val="10pttable"/>
              <w:spacing w:before="0" w:after="0"/>
              <w:rPr>
                <w:sz w:val="22"/>
                <w:szCs w:val="22"/>
              </w:rPr>
            </w:pPr>
            <w:r>
              <w:rPr>
                <w:sz w:val="22"/>
                <w:szCs w:val="22"/>
              </w:rPr>
              <w:t>General Dental Council</w:t>
            </w:r>
          </w:p>
        </w:tc>
      </w:tr>
      <w:tr w:rsidR="00623944" w:rsidRPr="00A3227F" w:rsidTr="00172DBF">
        <w:trPr>
          <w:cantSplit/>
          <w:jc w:val="center"/>
        </w:trPr>
        <w:tc>
          <w:tcPr>
            <w:tcW w:w="1800" w:type="dxa"/>
            <w:shd w:val="clear" w:color="auto" w:fill="auto"/>
            <w:vAlign w:val="center"/>
          </w:tcPr>
          <w:p w:rsidR="00623944" w:rsidRPr="002712D6" w:rsidRDefault="00623944" w:rsidP="0024666E">
            <w:pPr>
              <w:pStyle w:val="10pttable"/>
              <w:jc w:val="both"/>
              <w:rPr>
                <w:b/>
                <w:bCs/>
                <w:sz w:val="22"/>
                <w:szCs w:val="22"/>
              </w:rPr>
            </w:pPr>
            <w:r w:rsidRPr="002712D6">
              <w:rPr>
                <w:b/>
                <w:bCs/>
                <w:sz w:val="22"/>
                <w:szCs w:val="22"/>
              </w:rPr>
              <w:t>IM&amp;T</w:t>
            </w:r>
          </w:p>
        </w:tc>
        <w:tc>
          <w:tcPr>
            <w:tcW w:w="6660" w:type="dxa"/>
            <w:shd w:val="clear" w:color="auto" w:fill="auto"/>
            <w:vAlign w:val="center"/>
          </w:tcPr>
          <w:p w:rsidR="00623944" w:rsidRPr="002712D6" w:rsidRDefault="00623944" w:rsidP="00F247B7">
            <w:pPr>
              <w:pStyle w:val="10pttable"/>
              <w:spacing w:before="0" w:after="0"/>
              <w:rPr>
                <w:sz w:val="22"/>
                <w:szCs w:val="22"/>
              </w:rPr>
            </w:pPr>
            <w:r w:rsidRPr="002712D6">
              <w:rPr>
                <w:sz w:val="22"/>
                <w:szCs w:val="22"/>
              </w:rPr>
              <w:t>Information Management and Technology</w:t>
            </w:r>
          </w:p>
        </w:tc>
      </w:tr>
      <w:tr w:rsidR="00623944" w:rsidRPr="00A3227F" w:rsidTr="00172DBF">
        <w:trPr>
          <w:cantSplit/>
          <w:jc w:val="center"/>
        </w:trPr>
        <w:tc>
          <w:tcPr>
            <w:tcW w:w="1800" w:type="dxa"/>
            <w:shd w:val="clear" w:color="auto" w:fill="auto"/>
            <w:vAlign w:val="center"/>
          </w:tcPr>
          <w:p w:rsidR="00623944" w:rsidRPr="002712D6" w:rsidRDefault="00623944" w:rsidP="0024666E">
            <w:pPr>
              <w:pStyle w:val="10pttable"/>
              <w:jc w:val="both"/>
              <w:rPr>
                <w:b/>
                <w:bCs/>
                <w:sz w:val="22"/>
                <w:szCs w:val="22"/>
              </w:rPr>
            </w:pPr>
            <w:r w:rsidRPr="002712D6">
              <w:rPr>
                <w:b/>
                <w:bCs/>
                <w:sz w:val="22"/>
                <w:szCs w:val="22"/>
              </w:rPr>
              <w:t>ITT</w:t>
            </w:r>
          </w:p>
        </w:tc>
        <w:tc>
          <w:tcPr>
            <w:tcW w:w="6660" w:type="dxa"/>
            <w:shd w:val="clear" w:color="auto" w:fill="auto"/>
            <w:vAlign w:val="center"/>
          </w:tcPr>
          <w:p w:rsidR="00623944" w:rsidRPr="002712D6" w:rsidRDefault="00623944" w:rsidP="00F247B7">
            <w:pPr>
              <w:pStyle w:val="10pttable"/>
              <w:spacing w:before="0" w:after="0"/>
              <w:rPr>
                <w:sz w:val="22"/>
                <w:szCs w:val="22"/>
              </w:rPr>
            </w:pPr>
            <w:r w:rsidRPr="002712D6">
              <w:rPr>
                <w:sz w:val="22"/>
                <w:szCs w:val="22"/>
              </w:rPr>
              <w:t>Invitation to Tender</w:t>
            </w:r>
          </w:p>
        </w:tc>
      </w:tr>
      <w:tr w:rsidR="00D630AF" w:rsidRPr="00A3227F" w:rsidTr="00172DBF">
        <w:trPr>
          <w:cantSplit/>
          <w:jc w:val="center"/>
        </w:trPr>
        <w:tc>
          <w:tcPr>
            <w:tcW w:w="1800" w:type="dxa"/>
            <w:shd w:val="clear" w:color="auto" w:fill="auto"/>
            <w:vAlign w:val="center"/>
          </w:tcPr>
          <w:p w:rsidR="00D630AF" w:rsidRPr="002712D6" w:rsidRDefault="00D630AF" w:rsidP="0024666E">
            <w:pPr>
              <w:pStyle w:val="10pttable"/>
              <w:jc w:val="both"/>
              <w:rPr>
                <w:b/>
                <w:bCs/>
                <w:sz w:val="22"/>
                <w:szCs w:val="22"/>
              </w:rPr>
            </w:pPr>
            <w:r>
              <w:rPr>
                <w:b/>
                <w:bCs/>
                <w:sz w:val="22"/>
                <w:szCs w:val="22"/>
              </w:rPr>
              <w:t>KPIs</w:t>
            </w:r>
          </w:p>
        </w:tc>
        <w:tc>
          <w:tcPr>
            <w:tcW w:w="6660" w:type="dxa"/>
            <w:shd w:val="clear" w:color="auto" w:fill="auto"/>
            <w:vAlign w:val="center"/>
          </w:tcPr>
          <w:p w:rsidR="00D630AF" w:rsidRPr="002712D6" w:rsidRDefault="00D630AF" w:rsidP="00F247B7">
            <w:pPr>
              <w:pStyle w:val="10pttable"/>
              <w:spacing w:before="0" w:after="0"/>
              <w:rPr>
                <w:sz w:val="22"/>
                <w:szCs w:val="22"/>
              </w:rPr>
            </w:pPr>
            <w:r>
              <w:rPr>
                <w:sz w:val="22"/>
                <w:szCs w:val="22"/>
              </w:rPr>
              <w:t>Key Performance Indicators</w:t>
            </w:r>
          </w:p>
        </w:tc>
      </w:tr>
      <w:tr w:rsidR="00623944" w:rsidRPr="00A3227F" w:rsidTr="00172DBF">
        <w:trPr>
          <w:cantSplit/>
          <w:jc w:val="center"/>
        </w:trPr>
        <w:tc>
          <w:tcPr>
            <w:tcW w:w="1800" w:type="dxa"/>
            <w:shd w:val="clear" w:color="auto" w:fill="auto"/>
            <w:vAlign w:val="center"/>
          </w:tcPr>
          <w:p w:rsidR="00623944" w:rsidRPr="002712D6" w:rsidRDefault="00623944" w:rsidP="0024666E">
            <w:pPr>
              <w:pStyle w:val="10pttable"/>
              <w:jc w:val="both"/>
              <w:rPr>
                <w:b/>
                <w:bCs/>
                <w:sz w:val="22"/>
                <w:szCs w:val="22"/>
              </w:rPr>
            </w:pPr>
            <w:r w:rsidRPr="002712D6">
              <w:rPr>
                <w:b/>
                <w:bCs/>
                <w:sz w:val="22"/>
                <w:szCs w:val="22"/>
              </w:rPr>
              <w:t>MOI</w:t>
            </w:r>
          </w:p>
        </w:tc>
        <w:tc>
          <w:tcPr>
            <w:tcW w:w="6660" w:type="dxa"/>
            <w:shd w:val="clear" w:color="auto" w:fill="auto"/>
            <w:vAlign w:val="center"/>
          </w:tcPr>
          <w:p w:rsidR="00623944" w:rsidRPr="002712D6" w:rsidRDefault="00623944" w:rsidP="009A14EC">
            <w:pPr>
              <w:pStyle w:val="10pttable"/>
              <w:spacing w:before="0" w:after="0"/>
              <w:rPr>
                <w:sz w:val="22"/>
                <w:szCs w:val="22"/>
              </w:rPr>
            </w:pPr>
            <w:r w:rsidRPr="002712D6">
              <w:rPr>
                <w:sz w:val="22"/>
                <w:szCs w:val="22"/>
              </w:rPr>
              <w:t>This Memorandum of Information setting out the details of each Scheme and the requirements of the</w:t>
            </w:r>
            <w:r w:rsidR="0076725F" w:rsidRPr="002712D6">
              <w:rPr>
                <w:sz w:val="22"/>
                <w:szCs w:val="22"/>
              </w:rPr>
              <w:t xml:space="preserve"> </w:t>
            </w:r>
            <w:r w:rsidR="00491014">
              <w:rPr>
                <w:sz w:val="22"/>
                <w:szCs w:val="22"/>
              </w:rPr>
              <w:t>Authority</w:t>
            </w:r>
            <w:r w:rsidR="0076725F" w:rsidRPr="002712D6">
              <w:rPr>
                <w:sz w:val="22"/>
                <w:szCs w:val="22"/>
              </w:rPr>
              <w:t xml:space="preserve"> </w:t>
            </w:r>
            <w:r w:rsidRPr="002712D6">
              <w:rPr>
                <w:sz w:val="22"/>
                <w:szCs w:val="22"/>
              </w:rPr>
              <w:t xml:space="preserve">Procurement </w:t>
            </w:r>
          </w:p>
        </w:tc>
      </w:tr>
      <w:tr w:rsidR="00623944" w:rsidRPr="00A3227F" w:rsidTr="00172DBF">
        <w:trPr>
          <w:cantSplit/>
          <w:jc w:val="center"/>
        </w:trPr>
        <w:tc>
          <w:tcPr>
            <w:tcW w:w="1800" w:type="dxa"/>
            <w:shd w:val="clear" w:color="auto" w:fill="auto"/>
            <w:vAlign w:val="center"/>
          </w:tcPr>
          <w:p w:rsidR="00623944" w:rsidRPr="002712D6" w:rsidRDefault="00623944" w:rsidP="0024666E">
            <w:pPr>
              <w:pStyle w:val="10pttable"/>
              <w:jc w:val="both"/>
              <w:rPr>
                <w:b/>
                <w:bCs/>
                <w:sz w:val="22"/>
                <w:szCs w:val="22"/>
              </w:rPr>
            </w:pPr>
            <w:r w:rsidRPr="002712D6">
              <w:rPr>
                <w:b/>
                <w:bCs/>
                <w:sz w:val="22"/>
                <w:szCs w:val="22"/>
              </w:rPr>
              <w:t>NHS</w:t>
            </w:r>
          </w:p>
        </w:tc>
        <w:tc>
          <w:tcPr>
            <w:tcW w:w="6660" w:type="dxa"/>
            <w:shd w:val="clear" w:color="auto" w:fill="auto"/>
            <w:vAlign w:val="center"/>
          </w:tcPr>
          <w:p w:rsidR="00623944" w:rsidRPr="002712D6" w:rsidRDefault="00623944" w:rsidP="00F247B7">
            <w:pPr>
              <w:pStyle w:val="10pttable"/>
              <w:spacing w:before="0" w:after="0"/>
              <w:rPr>
                <w:sz w:val="22"/>
                <w:szCs w:val="22"/>
              </w:rPr>
            </w:pPr>
            <w:r w:rsidRPr="002712D6">
              <w:rPr>
                <w:sz w:val="22"/>
                <w:szCs w:val="22"/>
              </w:rPr>
              <w:t>National Health Service</w:t>
            </w:r>
          </w:p>
        </w:tc>
      </w:tr>
      <w:tr w:rsidR="00284427" w:rsidRPr="00A3227F" w:rsidTr="00172DBF">
        <w:trPr>
          <w:cantSplit/>
          <w:jc w:val="center"/>
        </w:trPr>
        <w:tc>
          <w:tcPr>
            <w:tcW w:w="1800" w:type="dxa"/>
            <w:shd w:val="clear" w:color="auto" w:fill="auto"/>
            <w:vAlign w:val="center"/>
          </w:tcPr>
          <w:p w:rsidR="00284427" w:rsidRPr="002712D6" w:rsidRDefault="00284427" w:rsidP="0024666E">
            <w:pPr>
              <w:pStyle w:val="10pttable"/>
              <w:jc w:val="both"/>
              <w:rPr>
                <w:b/>
                <w:bCs/>
                <w:sz w:val="22"/>
                <w:szCs w:val="22"/>
              </w:rPr>
            </w:pPr>
            <w:r>
              <w:rPr>
                <w:b/>
                <w:bCs/>
                <w:sz w:val="22"/>
                <w:szCs w:val="22"/>
              </w:rPr>
              <w:t>OOHs</w:t>
            </w:r>
          </w:p>
        </w:tc>
        <w:tc>
          <w:tcPr>
            <w:tcW w:w="6660" w:type="dxa"/>
            <w:shd w:val="clear" w:color="auto" w:fill="auto"/>
            <w:vAlign w:val="center"/>
          </w:tcPr>
          <w:p w:rsidR="00284427" w:rsidRPr="002712D6" w:rsidRDefault="00284427" w:rsidP="00F247B7">
            <w:pPr>
              <w:pStyle w:val="10pttable"/>
              <w:spacing w:before="0" w:after="0"/>
              <w:rPr>
                <w:sz w:val="22"/>
                <w:szCs w:val="22"/>
              </w:rPr>
            </w:pPr>
            <w:r>
              <w:rPr>
                <w:sz w:val="22"/>
                <w:szCs w:val="22"/>
              </w:rPr>
              <w:t>Out of Hours</w:t>
            </w:r>
          </w:p>
        </w:tc>
      </w:tr>
      <w:tr w:rsidR="00623944" w:rsidRPr="00A3227F" w:rsidTr="00172DBF">
        <w:trPr>
          <w:cantSplit/>
          <w:jc w:val="center"/>
        </w:trPr>
        <w:tc>
          <w:tcPr>
            <w:tcW w:w="1800" w:type="dxa"/>
            <w:shd w:val="clear" w:color="auto" w:fill="auto"/>
            <w:vAlign w:val="center"/>
          </w:tcPr>
          <w:p w:rsidR="00623944" w:rsidRPr="002712D6" w:rsidRDefault="00034E4C" w:rsidP="00AC316B">
            <w:pPr>
              <w:pStyle w:val="10pttable"/>
              <w:jc w:val="both"/>
              <w:rPr>
                <w:b/>
                <w:bCs/>
                <w:sz w:val="22"/>
                <w:szCs w:val="22"/>
              </w:rPr>
            </w:pPr>
            <w:r>
              <w:rPr>
                <w:b/>
                <w:bCs/>
                <w:sz w:val="22"/>
                <w:szCs w:val="22"/>
              </w:rPr>
              <w:t>PD</w:t>
            </w:r>
            <w:r w:rsidR="00623944" w:rsidRPr="002712D6">
              <w:rPr>
                <w:b/>
                <w:bCs/>
                <w:sz w:val="22"/>
                <w:szCs w:val="22"/>
              </w:rPr>
              <w:t>S</w:t>
            </w:r>
            <w:r w:rsidR="00AC316B">
              <w:rPr>
                <w:b/>
                <w:bCs/>
                <w:sz w:val="22"/>
                <w:szCs w:val="22"/>
              </w:rPr>
              <w:t xml:space="preserve"> </w:t>
            </w:r>
            <w:r w:rsidR="00486708">
              <w:rPr>
                <w:b/>
                <w:bCs/>
                <w:sz w:val="22"/>
                <w:szCs w:val="22"/>
              </w:rPr>
              <w:t>Plus Agreement</w:t>
            </w:r>
          </w:p>
        </w:tc>
        <w:tc>
          <w:tcPr>
            <w:tcW w:w="6660" w:type="dxa"/>
            <w:shd w:val="clear" w:color="auto" w:fill="auto"/>
            <w:vAlign w:val="center"/>
          </w:tcPr>
          <w:p w:rsidR="00623944" w:rsidRPr="002712D6" w:rsidRDefault="00623944" w:rsidP="00F247B7">
            <w:pPr>
              <w:pStyle w:val="10pttable"/>
              <w:spacing w:before="0" w:after="0"/>
              <w:rPr>
                <w:sz w:val="22"/>
                <w:szCs w:val="22"/>
              </w:rPr>
            </w:pPr>
            <w:r w:rsidRPr="002712D6">
              <w:rPr>
                <w:sz w:val="22"/>
                <w:szCs w:val="22"/>
              </w:rPr>
              <w:t>Personal</w:t>
            </w:r>
            <w:r w:rsidR="00034E4C">
              <w:rPr>
                <w:sz w:val="22"/>
                <w:szCs w:val="22"/>
              </w:rPr>
              <w:t xml:space="preserve"> Dental</w:t>
            </w:r>
            <w:r w:rsidRPr="002712D6">
              <w:rPr>
                <w:sz w:val="22"/>
                <w:szCs w:val="22"/>
              </w:rPr>
              <w:t xml:space="preserve"> Services </w:t>
            </w:r>
            <w:r w:rsidR="00D630AF">
              <w:rPr>
                <w:sz w:val="22"/>
                <w:szCs w:val="22"/>
              </w:rPr>
              <w:t>Plus contract</w:t>
            </w:r>
          </w:p>
        </w:tc>
      </w:tr>
      <w:tr w:rsidR="00623944" w:rsidRPr="00A3227F" w:rsidTr="00172DBF">
        <w:trPr>
          <w:cantSplit/>
          <w:jc w:val="center"/>
        </w:trPr>
        <w:tc>
          <w:tcPr>
            <w:tcW w:w="1800" w:type="dxa"/>
            <w:shd w:val="clear" w:color="auto" w:fill="auto"/>
            <w:vAlign w:val="center"/>
          </w:tcPr>
          <w:p w:rsidR="00623944" w:rsidRPr="002712D6" w:rsidRDefault="00410A7C" w:rsidP="0024666E">
            <w:pPr>
              <w:pStyle w:val="10pttable"/>
              <w:jc w:val="both"/>
              <w:rPr>
                <w:b/>
                <w:bCs/>
                <w:sz w:val="22"/>
                <w:szCs w:val="22"/>
              </w:rPr>
            </w:pPr>
            <w:r>
              <w:rPr>
                <w:b/>
                <w:bCs/>
                <w:sz w:val="22"/>
                <w:szCs w:val="22"/>
              </w:rPr>
              <w:t>P</w:t>
            </w:r>
            <w:r w:rsidR="00623944" w:rsidRPr="002712D6">
              <w:rPr>
                <w:b/>
                <w:bCs/>
                <w:sz w:val="22"/>
                <w:szCs w:val="22"/>
              </w:rPr>
              <w:t>otential Bidder</w:t>
            </w:r>
          </w:p>
        </w:tc>
        <w:tc>
          <w:tcPr>
            <w:tcW w:w="6660" w:type="dxa"/>
            <w:shd w:val="clear" w:color="auto" w:fill="auto"/>
            <w:vAlign w:val="center"/>
          </w:tcPr>
          <w:p w:rsidR="00623944" w:rsidRPr="002712D6" w:rsidRDefault="00623944" w:rsidP="00F247B7">
            <w:pPr>
              <w:pStyle w:val="10pttable"/>
              <w:spacing w:before="0" w:after="0"/>
              <w:rPr>
                <w:sz w:val="22"/>
                <w:szCs w:val="22"/>
                <w:highlight w:val="yellow"/>
              </w:rPr>
            </w:pPr>
            <w:r w:rsidRPr="002712D6">
              <w:rPr>
                <w:sz w:val="22"/>
                <w:szCs w:val="22"/>
              </w:rPr>
              <w:t>A single operating organisation or person that is participating in the</w:t>
            </w:r>
            <w:r w:rsidR="0076725F" w:rsidRPr="002712D6">
              <w:rPr>
                <w:sz w:val="22"/>
                <w:szCs w:val="22"/>
              </w:rPr>
              <w:t xml:space="preserve"> </w:t>
            </w:r>
            <w:r w:rsidR="00491014">
              <w:rPr>
                <w:sz w:val="22"/>
                <w:szCs w:val="22"/>
              </w:rPr>
              <w:t>Authority</w:t>
            </w:r>
            <w:r w:rsidR="0076725F" w:rsidRPr="002712D6">
              <w:rPr>
                <w:sz w:val="22"/>
                <w:szCs w:val="22"/>
              </w:rPr>
              <w:t xml:space="preserve"> </w:t>
            </w:r>
            <w:r w:rsidRPr="002712D6">
              <w:rPr>
                <w:sz w:val="22"/>
                <w:szCs w:val="22"/>
              </w:rPr>
              <w:t xml:space="preserve"> Procurement, but that has not at the relevant time been invited to respond to an ITT</w:t>
            </w:r>
          </w:p>
        </w:tc>
      </w:tr>
      <w:tr w:rsidR="00623944" w:rsidRPr="00A3227F" w:rsidTr="00172DBF">
        <w:trPr>
          <w:cantSplit/>
          <w:jc w:val="center"/>
        </w:trPr>
        <w:tc>
          <w:tcPr>
            <w:tcW w:w="1800" w:type="dxa"/>
            <w:shd w:val="clear" w:color="auto" w:fill="auto"/>
            <w:vAlign w:val="center"/>
          </w:tcPr>
          <w:p w:rsidR="00623944" w:rsidRPr="002712D6" w:rsidRDefault="00623944" w:rsidP="0024666E">
            <w:pPr>
              <w:pStyle w:val="10pttable"/>
              <w:jc w:val="both"/>
              <w:rPr>
                <w:b/>
                <w:bCs/>
                <w:sz w:val="22"/>
                <w:szCs w:val="22"/>
              </w:rPr>
            </w:pPr>
            <w:r w:rsidRPr="002712D6">
              <w:rPr>
                <w:b/>
                <w:bCs/>
                <w:sz w:val="22"/>
                <w:szCs w:val="22"/>
              </w:rPr>
              <w:t>Provider</w:t>
            </w:r>
          </w:p>
        </w:tc>
        <w:tc>
          <w:tcPr>
            <w:tcW w:w="6660" w:type="dxa"/>
            <w:shd w:val="clear" w:color="auto" w:fill="auto"/>
            <w:vAlign w:val="center"/>
          </w:tcPr>
          <w:p w:rsidR="00623944" w:rsidRPr="002712D6" w:rsidRDefault="00623944" w:rsidP="00BC6747">
            <w:pPr>
              <w:pStyle w:val="10pttable"/>
              <w:spacing w:before="0" w:after="0"/>
              <w:rPr>
                <w:sz w:val="22"/>
                <w:szCs w:val="22"/>
              </w:rPr>
            </w:pPr>
            <w:r w:rsidRPr="002712D6">
              <w:rPr>
                <w:sz w:val="22"/>
                <w:szCs w:val="22"/>
              </w:rPr>
              <w:t xml:space="preserve">The successful Bidder who has entered into a Contract with </w:t>
            </w:r>
            <w:r w:rsidR="00491014">
              <w:rPr>
                <w:sz w:val="22"/>
                <w:szCs w:val="22"/>
              </w:rPr>
              <w:t>the Authority</w:t>
            </w:r>
            <w:r w:rsidR="0076725F" w:rsidRPr="002712D6">
              <w:rPr>
                <w:sz w:val="22"/>
                <w:szCs w:val="22"/>
              </w:rPr>
              <w:t xml:space="preserve"> </w:t>
            </w:r>
            <w:r w:rsidRPr="002712D6">
              <w:rPr>
                <w:sz w:val="22"/>
                <w:szCs w:val="22"/>
              </w:rPr>
              <w:t xml:space="preserve">to provide </w:t>
            </w:r>
            <w:r w:rsidR="00BC6747">
              <w:rPr>
                <w:sz w:val="22"/>
                <w:szCs w:val="22"/>
              </w:rPr>
              <w:t>primary care mandatory dental services</w:t>
            </w:r>
            <w:r w:rsidRPr="002712D6">
              <w:rPr>
                <w:sz w:val="22"/>
                <w:szCs w:val="22"/>
              </w:rPr>
              <w:t xml:space="preserve"> specified in the </w:t>
            </w:r>
            <w:r w:rsidR="00491014">
              <w:rPr>
                <w:sz w:val="22"/>
                <w:szCs w:val="22"/>
              </w:rPr>
              <w:t>Authority</w:t>
            </w:r>
            <w:r w:rsidRPr="002712D6">
              <w:rPr>
                <w:sz w:val="22"/>
                <w:szCs w:val="22"/>
              </w:rPr>
              <w:t xml:space="preserve"> Scheme</w:t>
            </w:r>
          </w:p>
        </w:tc>
      </w:tr>
      <w:tr w:rsidR="00623944" w:rsidRPr="00A3227F" w:rsidTr="00172DBF">
        <w:trPr>
          <w:cantSplit/>
          <w:jc w:val="center"/>
        </w:trPr>
        <w:tc>
          <w:tcPr>
            <w:tcW w:w="1800" w:type="dxa"/>
            <w:shd w:val="clear" w:color="auto" w:fill="auto"/>
            <w:vAlign w:val="center"/>
          </w:tcPr>
          <w:p w:rsidR="00623944" w:rsidRPr="002712D6" w:rsidRDefault="00623944" w:rsidP="0024666E">
            <w:pPr>
              <w:pStyle w:val="10pttable"/>
              <w:jc w:val="both"/>
              <w:rPr>
                <w:b/>
                <w:bCs/>
                <w:sz w:val="22"/>
                <w:szCs w:val="22"/>
              </w:rPr>
            </w:pPr>
            <w:r w:rsidRPr="002712D6">
              <w:rPr>
                <w:b/>
                <w:bCs/>
                <w:sz w:val="22"/>
                <w:szCs w:val="22"/>
              </w:rPr>
              <w:lastRenderedPageBreak/>
              <w:t>Relevant Organisation</w:t>
            </w:r>
          </w:p>
        </w:tc>
        <w:tc>
          <w:tcPr>
            <w:tcW w:w="6660" w:type="dxa"/>
            <w:shd w:val="clear" w:color="auto" w:fill="auto"/>
            <w:vAlign w:val="center"/>
          </w:tcPr>
          <w:p w:rsidR="00623944" w:rsidRPr="002712D6" w:rsidRDefault="00623944" w:rsidP="00F247B7">
            <w:pPr>
              <w:pStyle w:val="10pttable"/>
              <w:spacing w:before="0" w:after="0"/>
              <w:rPr>
                <w:sz w:val="22"/>
                <w:szCs w:val="22"/>
              </w:rPr>
            </w:pPr>
            <w:r w:rsidRPr="002712D6">
              <w:rPr>
                <w:sz w:val="22"/>
                <w:szCs w:val="22"/>
              </w:rPr>
              <w:t>An organisation(s) or person connected with a response to a PQQ and / or connected with a bid submission including (without limitation):</w:t>
            </w:r>
          </w:p>
          <w:p w:rsidR="00623944" w:rsidRPr="002712D6" w:rsidRDefault="00623944" w:rsidP="001676C8">
            <w:pPr>
              <w:pStyle w:val="10pttable"/>
              <w:numPr>
                <w:ilvl w:val="0"/>
                <w:numId w:val="6"/>
              </w:numPr>
              <w:spacing w:before="0" w:after="0"/>
              <w:ind w:left="1077"/>
              <w:rPr>
                <w:sz w:val="22"/>
                <w:szCs w:val="22"/>
              </w:rPr>
            </w:pPr>
            <w:r w:rsidRPr="002712D6">
              <w:rPr>
                <w:sz w:val="22"/>
                <w:szCs w:val="22"/>
              </w:rPr>
              <w:t xml:space="preserve">the potential Bidder; </w:t>
            </w:r>
          </w:p>
          <w:p w:rsidR="00623944" w:rsidRPr="002712D6" w:rsidRDefault="00623944" w:rsidP="001676C8">
            <w:pPr>
              <w:pStyle w:val="10pttable"/>
              <w:numPr>
                <w:ilvl w:val="0"/>
                <w:numId w:val="6"/>
              </w:numPr>
              <w:spacing w:before="0" w:after="0"/>
              <w:ind w:left="1077"/>
              <w:rPr>
                <w:sz w:val="22"/>
                <w:szCs w:val="22"/>
              </w:rPr>
            </w:pPr>
            <w:r w:rsidRPr="002712D6">
              <w:rPr>
                <w:sz w:val="22"/>
                <w:szCs w:val="22"/>
              </w:rPr>
              <w:t>the Bidder;</w:t>
            </w:r>
          </w:p>
          <w:p w:rsidR="00623944" w:rsidRPr="0067118C" w:rsidRDefault="00623944" w:rsidP="001676C8">
            <w:pPr>
              <w:pStyle w:val="10pttable"/>
              <w:numPr>
                <w:ilvl w:val="0"/>
                <w:numId w:val="6"/>
              </w:numPr>
              <w:spacing w:before="0" w:after="0"/>
              <w:ind w:left="1077"/>
              <w:rPr>
                <w:sz w:val="22"/>
                <w:szCs w:val="22"/>
              </w:rPr>
            </w:pPr>
            <w:r w:rsidRPr="0067118C">
              <w:rPr>
                <w:sz w:val="22"/>
                <w:szCs w:val="22"/>
              </w:rPr>
              <w:t>the Provider;</w:t>
            </w:r>
          </w:p>
          <w:p w:rsidR="00623944" w:rsidRPr="002712D6" w:rsidRDefault="00623944" w:rsidP="001676C8">
            <w:pPr>
              <w:pStyle w:val="10pttable"/>
              <w:numPr>
                <w:ilvl w:val="0"/>
                <w:numId w:val="6"/>
              </w:numPr>
              <w:spacing w:before="0" w:after="0"/>
              <w:ind w:left="1077"/>
              <w:rPr>
                <w:sz w:val="22"/>
                <w:szCs w:val="22"/>
              </w:rPr>
            </w:pPr>
            <w:r w:rsidRPr="002712D6">
              <w:rPr>
                <w:sz w:val="22"/>
                <w:szCs w:val="22"/>
              </w:rPr>
              <w:t>each Clinical Services Supplier</w:t>
            </w:r>
          </w:p>
          <w:p w:rsidR="00646656" w:rsidRPr="002712D6" w:rsidRDefault="00646656" w:rsidP="00F247B7">
            <w:pPr>
              <w:pStyle w:val="10pttable"/>
              <w:spacing w:before="0" w:after="0"/>
              <w:ind w:left="1077"/>
              <w:rPr>
                <w:sz w:val="22"/>
                <w:szCs w:val="22"/>
              </w:rPr>
            </w:pPr>
          </w:p>
        </w:tc>
      </w:tr>
      <w:tr w:rsidR="00623944" w:rsidRPr="00A3227F" w:rsidTr="00172DBF">
        <w:trPr>
          <w:cantSplit/>
          <w:jc w:val="center"/>
        </w:trPr>
        <w:tc>
          <w:tcPr>
            <w:tcW w:w="1800" w:type="dxa"/>
            <w:shd w:val="clear" w:color="auto" w:fill="auto"/>
            <w:vAlign w:val="center"/>
          </w:tcPr>
          <w:p w:rsidR="00623944" w:rsidRPr="00DB3CD0" w:rsidRDefault="00623944" w:rsidP="0024666E">
            <w:pPr>
              <w:pStyle w:val="10pttable"/>
              <w:jc w:val="both"/>
              <w:rPr>
                <w:b/>
                <w:bCs/>
                <w:sz w:val="22"/>
                <w:szCs w:val="22"/>
              </w:rPr>
            </w:pPr>
            <w:r w:rsidRPr="00DB3CD0">
              <w:rPr>
                <w:b/>
                <w:bCs/>
                <w:sz w:val="22"/>
                <w:szCs w:val="22"/>
              </w:rPr>
              <w:t>TUPE</w:t>
            </w:r>
          </w:p>
        </w:tc>
        <w:tc>
          <w:tcPr>
            <w:tcW w:w="6660" w:type="dxa"/>
            <w:shd w:val="clear" w:color="auto" w:fill="auto"/>
            <w:vAlign w:val="center"/>
          </w:tcPr>
          <w:p w:rsidR="00623944" w:rsidRPr="00DB3CD0" w:rsidRDefault="00623944" w:rsidP="00F247B7">
            <w:pPr>
              <w:pStyle w:val="10pttable"/>
              <w:spacing w:before="0" w:after="0"/>
              <w:rPr>
                <w:sz w:val="22"/>
                <w:szCs w:val="22"/>
              </w:rPr>
            </w:pPr>
            <w:r w:rsidRPr="00DB3CD0">
              <w:rPr>
                <w:sz w:val="22"/>
                <w:szCs w:val="22"/>
              </w:rPr>
              <w:t>Transfer of Undertakings (Protection of Employment) Regulations 2006 (SI/2006/246)</w:t>
            </w:r>
          </w:p>
        </w:tc>
      </w:tr>
      <w:tr w:rsidR="00284427" w:rsidRPr="00A3227F" w:rsidTr="00172DBF">
        <w:trPr>
          <w:cantSplit/>
          <w:jc w:val="center"/>
        </w:trPr>
        <w:tc>
          <w:tcPr>
            <w:tcW w:w="1800" w:type="dxa"/>
            <w:shd w:val="clear" w:color="auto" w:fill="auto"/>
            <w:vAlign w:val="center"/>
          </w:tcPr>
          <w:p w:rsidR="00284427" w:rsidRPr="00DB3CD0" w:rsidRDefault="00284427" w:rsidP="0024666E">
            <w:pPr>
              <w:pStyle w:val="10pttable"/>
              <w:jc w:val="both"/>
              <w:rPr>
                <w:b/>
                <w:bCs/>
                <w:sz w:val="22"/>
                <w:szCs w:val="22"/>
              </w:rPr>
            </w:pPr>
            <w:r>
              <w:rPr>
                <w:b/>
                <w:bCs/>
                <w:sz w:val="22"/>
                <w:szCs w:val="22"/>
              </w:rPr>
              <w:t>UDAs</w:t>
            </w:r>
          </w:p>
        </w:tc>
        <w:tc>
          <w:tcPr>
            <w:tcW w:w="6660" w:type="dxa"/>
            <w:shd w:val="clear" w:color="auto" w:fill="auto"/>
            <w:vAlign w:val="center"/>
          </w:tcPr>
          <w:p w:rsidR="00284427" w:rsidRPr="00DB3CD0" w:rsidRDefault="00284427" w:rsidP="00F247B7">
            <w:pPr>
              <w:pStyle w:val="10pttable"/>
              <w:spacing w:before="0" w:after="0"/>
              <w:rPr>
                <w:sz w:val="22"/>
                <w:szCs w:val="22"/>
              </w:rPr>
            </w:pPr>
            <w:r>
              <w:rPr>
                <w:sz w:val="22"/>
                <w:szCs w:val="22"/>
              </w:rPr>
              <w:t>Units of Dental Activity</w:t>
            </w:r>
          </w:p>
        </w:tc>
      </w:tr>
      <w:tr w:rsidR="00623944" w:rsidRPr="00A3227F" w:rsidTr="00172DBF">
        <w:trPr>
          <w:cantSplit/>
          <w:jc w:val="center"/>
        </w:trPr>
        <w:tc>
          <w:tcPr>
            <w:tcW w:w="1800" w:type="dxa"/>
            <w:shd w:val="clear" w:color="auto" w:fill="auto"/>
            <w:vAlign w:val="center"/>
          </w:tcPr>
          <w:p w:rsidR="00623944" w:rsidRPr="002712D6" w:rsidRDefault="00623944" w:rsidP="0024666E">
            <w:pPr>
              <w:pStyle w:val="10pttable"/>
              <w:jc w:val="both"/>
              <w:rPr>
                <w:b/>
                <w:bCs/>
                <w:sz w:val="22"/>
                <w:szCs w:val="22"/>
              </w:rPr>
            </w:pPr>
            <w:r w:rsidRPr="002712D6">
              <w:rPr>
                <w:b/>
                <w:bCs/>
                <w:sz w:val="22"/>
                <w:szCs w:val="22"/>
              </w:rPr>
              <w:t>VfM</w:t>
            </w:r>
          </w:p>
        </w:tc>
        <w:tc>
          <w:tcPr>
            <w:tcW w:w="6660" w:type="dxa"/>
            <w:shd w:val="clear" w:color="auto" w:fill="auto"/>
            <w:vAlign w:val="center"/>
          </w:tcPr>
          <w:p w:rsidR="00623944" w:rsidRPr="002712D6" w:rsidRDefault="00623944" w:rsidP="00F247B7">
            <w:pPr>
              <w:pStyle w:val="10pttable"/>
              <w:spacing w:before="0" w:after="0"/>
              <w:rPr>
                <w:sz w:val="22"/>
                <w:szCs w:val="22"/>
              </w:rPr>
            </w:pPr>
            <w:r w:rsidRPr="002712D6">
              <w:rPr>
                <w:sz w:val="22"/>
                <w:szCs w:val="22"/>
              </w:rPr>
              <w:t>Value for Money which is the optimum combination of whole-life cost and quality (fitness for purpose) to meet the overall service requirement</w:t>
            </w:r>
          </w:p>
        </w:tc>
      </w:tr>
    </w:tbl>
    <w:p w:rsidR="00B211CF" w:rsidRDefault="00B211CF" w:rsidP="00B211CF">
      <w:pPr>
        <w:pStyle w:val="MOIText"/>
        <w:rPr>
          <w:b/>
        </w:rPr>
      </w:pPr>
    </w:p>
    <w:p w:rsidR="00116195" w:rsidRPr="00A3227F" w:rsidRDefault="00116195" w:rsidP="00B211CF">
      <w:pPr>
        <w:pStyle w:val="MOIText"/>
        <w:rPr>
          <w:b/>
        </w:rPr>
      </w:pPr>
    </w:p>
    <w:p w:rsidR="006D27BA" w:rsidRDefault="006D27BA" w:rsidP="006D27BA">
      <w:pPr>
        <w:pStyle w:val="MOIText"/>
        <w:ind w:left="0"/>
        <w:jc w:val="left"/>
        <w:rPr>
          <w:b/>
        </w:rPr>
      </w:pPr>
    </w:p>
    <w:p w:rsidR="00D166AF" w:rsidRPr="002712D6" w:rsidRDefault="00D166AF" w:rsidP="00C22EFE">
      <w:pPr>
        <w:pStyle w:val="MOIText"/>
        <w:rPr>
          <w:b/>
        </w:rPr>
      </w:pPr>
    </w:p>
    <w:sectPr w:rsidR="00D166AF" w:rsidRPr="002712D6" w:rsidSect="00116195">
      <w:footerReference w:type="default" r:id="rId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2AC2" w:rsidRDefault="00CA2AC2" w:rsidP="00146DDA">
      <w:pPr>
        <w:spacing w:before="0" w:after="0"/>
      </w:pPr>
      <w:r>
        <w:separator/>
      </w:r>
    </w:p>
  </w:endnote>
  <w:endnote w:type="continuationSeparator" w:id="0">
    <w:p w:rsidR="00CA2AC2" w:rsidRDefault="00CA2AC2" w:rsidP="00146DD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utiger 45 Ligh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014280"/>
      <w:docPartObj>
        <w:docPartGallery w:val="Page Numbers (Bottom of Page)"/>
        <w:docPartUnique/>
      </w:docPartObj>
    </w:sdtPr>
    <w:sdtEndPr/>
    <w:sdtContent>
      <w:p w:rsidR="00CA2AC2" w:rsidRPr="008476AE" w:rsidRDefault="00CA2AC2">
        <w:pPr>
          <w:pStyle w:val="Footer"/>
          <w:jc w:val="right"/>
        </w:pPr>
        <w:r w:rsidRPr="008476AE">
          <w:t xml:space="preserve">pg. </w:t>
        </w:r>
        <w:r w:rsidRPr="008476AE">
          <w:fldChar w:fldCharType="begin"/>
        </w:r>
        <w:r w:rsidRPr="008476AE">
          <w:instrText xml:space="preserve"> PAGE    \* MERGEFORMAT </w:instrText>
        </w:r>
        <w:r w:rsidRPr="008476AE">
          <w:fldChar w:fldCharType="separate"/>
        </w:r>
        <w:r w:rsidR="00477EFE">
          <w:rPr>
            <w:noProof/>
          </w:rPr>
          <w:t>1</w:t>
        </w:r>
        <w:r w:rsidRPr="008476AE">
          <w:rPr>
            <w:noProof/>
          </w:rPr>
          <w:fldChar w:fldCharType="end"/>
        </w:r>
      </w:p>
    </w:sdtContent>
  </w:sdt>
  <w:p w:rsidR="00CA2AC2" w:rsidRPr="008476AE" w:rsidRDefault="00CA2A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2AC2" w:rsidRDefault="00CA2AC2" w:rsidP="00146DDA">
      <w:pPr>
        <w:spacing w:before="0" w:after="0"/>
      </w:pPr>
      <w:r>
        <w:separator/>
      </w:r>
    </w:p>
  </w:footnote>
  <w:footnote w:type="continuationSeparator" w:id="0">
    <w:p w:rsidR="00CA2AC2" w:rsidRDefault="00CA2AC2" w:rsidP="00146DDA">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F43DE"/>
    <w:multiLevelType w:val="multilevel"/>
    <w:tmpl w:val="8580E31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D3D0B00"/>
    <w:multiLevelType w:val="hybridMultilevel"/>
    <w:tmpl w:val="FEE6688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1A3B4B"/>
    <w:multiLevelType w:val="hybridMultilevel"/>
    <w:tmpl w:val="E08A9BF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061062C"/>
    <w:multiLevelType w:val="hybridMultilevel"/>
    <w:tmpl w:val="F5DA493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57C59AB"/>
    <w:multiLevelType w:val="hybridMultilevel"/>
    <w:tmpl w:val="9514A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334E00"/>
    <w:multiLevelType w:val="hybridMultilevel"/>
    <w:tmpl w:val="4538DC3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17C5BE7"/>
    <w:multiLevelType w:val="hybridMultilevel"/>
    <w:tmpl w:val="373425D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307254"/>
    <w:multiLevelType w:val="hybridMultilevel"/>
    <w:tmpl w:val="B3B6E81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57C4E9E"/>
    <w:multiLevelType w:val="hybridMultilevel"/>
    <w:tmpl w:val="9CD89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DE5302"/>
    <w:multiLevelType w:val="multilevel"/>
    <w:tmpl w:val="74544198"/>
    <w:lvl w:ilvl="0">
      <w:start w:val="1"/>
      <w:numFmt w:val="decimal"/>
      <w:pStyle w:val="Heading1"/>
      <w:lvlText w:val="%1"/>
      <w:lvlJc w:val="left"/>
      <w:pPr>
        <w:tabs>
          <w:tab w:val="num" w:pos="432"/>
        </w:tabs>
        <w:ind w:left="432" w:hanging="432"/>
      </w:pPr>
      <w:rPr>
        <w:rFonts w:ascii="Arial Bold" w:hAnsi="Arial Bold" w:hint="default"/>
        <w:b/>
        <w:i w:val="0"/>
        <w:color w:val="auto"/>
        <w:sz w:val="28"/>
      </w:rPr>
    </w:lvl>
    <w:lvl w:ilvl="1">
      <w:start w:val="1"/>
      <w:numFmt w:val="decimal"/>
      <w:pStyle w:val="Heading2"/>
      <w:lvlText w:val="%1.%2"/>
      <w:lvlJc w:val="left"/>
      <w:pPr>
        <w:tabs>
          <w:tab w:val="num" w:pos="576"/>
        </w:tabs>
        <w:ind w:left="576" w:hanging="576"/>
      </w:pPr>
      <w:rPr>
        <w:rFonts w:ascii="Arial Bold" w:hAnsi="Arial Bold" w:hint="default"/>
        <w:b/>
        <w:i w:val="0"/>
        <w:sz w:val="24"/>
      </w:rPr>
    </w:lvl>
    <w:lvl w:ilvl="2">
      <w:start w:val="1"/>
      <w:numFmt w:val="decimal"/>
      <w:lvlText w:val="%1.%2.%3"/>
      <w:lvlJc w:val="left"/>
      <w:pPr>
        <w:tabs>
          <w:tab w:val="num" w:pos="720"/>
        </w:tabs>
        <w:ind w:left="720" w:hanging="720"/>
      </w:pPr>
      <w:rPr>
        <w:rFonts w:hint="default"/>
        <w:b/>
      </w:rPr>
    </w:lvl>
    <w:lvl w:ilvl="3">
      <w:start w:val="1"/>
      <w:numFmt w:val="decimal"/>
      <w:pStyle w:val="Heading4"/>
      <w:lvlText w:val="%1.%2.%3.%4"/>
      <w:lvlJc w:val="left"/>
      <w:pPr>
        <w:tabs>
          <w:tab w:val="num" w:pos="864"/>
        </w:tabs>
        <w:ind w:left="864" w:hanging="864"/>
      </w:pPr>
      <w:rPr>
        <w:rFonts w:ascii="Arial" w:hAnsi="Arial" w:hint="default"/>
        <w:b w:val="0"/>
        <w:i/>
        <w:sz w:val="22"/>
      </w:rPr>
    </w:lvl>
    <w:lvl w:ilvl="4">
      <w:start w:val="1"/>
      <w:numFmt w:val="decimal"/>
      <w:pStyle w:val="Heading5"/>
      <w:lvlText w:val="%1.%2.%3.%4.%5"/>
      <w:lvlJc w:val="left"/>
      <w:pPr>
        <w:tabs>
          <w:tab w:val="num" w:pos="1008"/>
        </w:tabs>
        <w:ind w:left="1008" w:hanging="1008"/>
      </w:pPr>
      <w:rPr>
        <w:rFonts w:hint="default"/>
        <w:b/>
      </w:rPr>
    </w:lvl>
    <w:lvl w:ilvl="5">
      <w:start w:val="1"/>
      <w:numFmt w:val="decimal"/>
      <w:pStyle w:val="Heading6"/>
      <w:lvlText w:val="%1.%2.%3.%4.%5.%6"/>
      <w:lvlJc w:val="left"/>
      <w:pPr>
        <w:tabs>
          <w:tab w:val="num" w:pos="1152"/>
        </w:tabs>
        <w:ind w:left="1152" w:hanging="1152"/>
      </w:pPr>
      <w:rPr>
        <w:rFonts w:hint="default"/>
        <w:b/>
      </w:rPr>
    </w:lvl>
    <w:lvl w:ilvl="6">
      <w:start w:val="1"/>
      <w:numFmt w:val="decimal"/>
      <w:pStyle w:val="Heading7"/>
      <w:lvlText w:val="%1.%2.%3.%4.%5.%6.%7"/>
      <w:lvlJc w:val="left"/>
      <w:pPr>
        <w:tabs>
          <w:tab w:val="num" w:pos="1296"/>
        </w:tabs>
        <w:ind w:left="1296" w:hanging="1296"/>
      </w:pPr>
      <w:rPr>
        <w:rFonts w:hint="default"/>
        <w:b/>
      </w:rPr>
    </w:lvl>
    <w:lvl w:ilvl="7">
      <w:start w:val="1"/>
      <w:numFmt w:val="decimal"/>
      <w:pStyle w:val="Heading8"/>
      <w:lvlText w:val="%1.%2.%3.%4.%5.%6.%7.%8"/>
      <w:lvlJc w:val="left"/>
      <w:pPr>
        <w:tabs>
          <w:tab w:val="num" w:pos="1440"/>
        </w:tabs>
        <w:ind w:left="1440" w:hanging="1440"/>
      </w:pPr>
      <w:rPr>
        <w:rFonts w:hint="default"/>
        <w:b/>
      </w:rPr>
    </w:lvl>
    <w:lvl w:ilvl="8">
      <w:start w:val="1"/>
      <w:numFmt w:val="decimal"/>
      <w:pStyle w:val="Heading9"/>
      <w:lvlText w:val="%1.%2.%3.%4.%5.%6.%7.%8.%9"/>
      <w:lvlJc w:val="left"/>
      <w:pPr>
        <w:tabs>
          <w:tab w:val="num" w:pos="1584"/>
        </w:tabs>
        <w:ind w:left="1584" w:hanging="1584"/>
      </w:pPr>
      <w:rPr>
        <w:rFonts w:hint="default"/>
        <w:b/>
      </w:rPr>
    </w:lvl>
  </w:abstractNum>
  <w:abstractNum w:abstractNumId="10" w15:restartNumberingAfterBreak="0">
    <w:nsid w:val="2DC217FA"/>
    <w:multiLevelType w:val="hybridMultilevel"/>
    <w:tmpl w:val="121278E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0A6511"/>
    <w:multiLevelType w:val="hybridMultilevel"/>
    <w:tmpl w:val="14B22EF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52C19FC"/>
    <w:multiLevelType w:val="hybridMultilevel"/>
    <w:tmpl w:val="0D9A1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225445"/>
    <w:multiLevelType w:val="hybridMultilevel"/>
    <w:tmpl w:val="2CE22BD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77213F"/>
    <w:multiLevelType w:val="multilevel"/>
    <w:tmpl w:val="8EF02CB6"/>
    <w:lvl w:ilvl="0">
      <w:start w:val="1"/>
      <w:numFmt w:val="decimal"/>
      <w:lvlRestart w:val="0"/>
      <w:pStyle w:val="AgtLevel1Heading"/>
      <w:isLgl/>
      <w:lvlText w:val="%1"/>
      <w:lvlJc w:val="left"/>
      <w:pPr>
        <w:tabs>
          <w:tab w:val="num" w:pos="720"/>
        </w:tabs>
        <w:ind w:left="720" w:hanging="720"/>
      </w:pPr>
      <w:rPr>
        <w:b/>
        <w:i w:val="0"/>
        <w:u w:val="none"/>
      </w:rPr>
    </w:lvl>
    <w:lvl w:ilvl="1">
      <w:start w:val="1"/>
      <w:numFmt w:val="decimal"/>
      <w:pStyle w:val="AgtLevel2"/>
      <w:isLgl/>
      <w:lvlText w:val="%1.%2"/>
      <w:lvlJc w:val="left"/>
      <w:pPr>
        <w:tabs>
          <w:tab w:val="num" w:pos="720"/>
        </w:tabs>
        <w:ind w:left="720" w:hanging="720"/>
      </w:pPr>
    </w:lvl>
    <w:lvl w:ilvl="2">
      <w:start w:val="1"/>
      <w:numFmt w:val="lowerLetter"/>
      <w:pStyle w:val="AgtLevel3"/>
      <w:lvlText w:val="(%3)"/>
      <w:lvlJc w:val="left"/>
      <w:pPr>
        <w:tabs>
          <w:tab w:val="num" w:pos="1440"/>
        </w:tabs>
        <w:ind w:left="1440" w:hanging="720"/>
      </w:pPr>
    </w:lvl>
    <w:lvl w:ilvl="3">
      <w:start w:val="1"/>
      <w:numFmt w:val="lowerRoman"/>
      <w:pStyle w:val="AgtLevel4"/>
      <w:lvlText w:val="(%4)"/>
      <w:lvlJc w:val="left"/>
      <w:pPr>
        <w:tabs>
          <w:tab w:val="num" w:pos="2160"/>
        </w:tabs>
        <w:ind w:left="2160" w:hanging="720"/>
      </w:pPr>
    </w:lvl>
    <w:lvl w:ilvl="4">
      <w:start w:val="1"/>
      <w:numFmt w:val="upperLetter"/>
      <w:pStyle w:val="AgtLevel5"/>
      <w:lvlText w:val="(%5)"/>
      <w:lvlJc w:val="left"/>
      <w:pPr>
        <w:tabs>
          <w:tab w:val="num" w:pos="2880"/>
        </w:tabs>
        <w:ind w:left="2880" w:hanging="720"/>
      </w:pPr>
    </w:lvl>
    <w:lvl w:ilvl="5">
      <w:start w:val="1"/>
      <w:numFmt w:val="decimal"/>
      <w:pStyle w:val="AgtLevel6"/>
      <w:lvlText w:val="%6)"/>
      <w:lvlJc w:val="left"/>
      <w:pPr>
        <w:tabs>
          <w:tab w:val="num" w:pos="3600"/>
        </w:tabs>
        <w:ind w:left="3600" w:hanging="720"/>
      </w:pPr>
    </w:lvl>
    <w:lvl w:ilvl="6">
      <w:start w:val="1"/>
      <w:numFmt w:val="lowerLetter"/>
      <w:pStyle w:val="AgtLevel7"/>
      <w:lvlText w:val="%7)"/>
      <w:lvlJc w:val="left"/>
      <w:pPr>
        <w:tabs>
          <w:tab w:val="num" w:pos="4320"/>
        </w:tabs>
        <w:ind w:left="4320" w:hanging="720"/>
      </w:pPr>
    </w:lvl>
    <w:lvl w:ilvl="7">
      <w:start w:val="1"/>
      <w:numFmt w:val="lowerRoman"/>
      <w:pStyle w:val="AgtLevel8"/>
      <w:lvlText w:val="%8)"/>
      <w:lvlJc w:val="left"/>
      <w:pPr>
        <w:tabs>
          <w:tab w:val="num" w:pos="5040"/>
        </w:tabs>
        <w:ind w:left="5040" w:hanging="720"/>
      </w:pPr>
    </w:lvl>
    <w:lvl w:ilvl="8">
      <w:start w:val="1"/>
      <w:numFmt w:val="none"/>
      <w:suff w:val="nothing"/>
      <w:lvlText w:val=""/>
      <w:lvlJc w:val="left"/>
      <w:pPr>
        <w:ind w:left="5760" w:hanging="720"/>
      </w:pPr>
    </w:lvl>
  </w:abstractNum>
  <w:abstractNum w:abstractNumId="15" w15:restartNumberingAfterBreak="0">
    <w:nsid w:val="3AC4329A"/>
    <w:multiLevelType w:val="multilevel"/>
    <w:tmpl w:val="7DBE6FC8"/>
    <w:lvl w:ilvl="0">
      <w:start w:val="1"/>
      <w:numFmt w:val="decimal"/>
      <w:pStyle w:val="StyleOutlinenumberedLatinArialBoldBold"/>
      <w:lvlText w:val="%1."/>
      <w:lvlJc w:val="left"/>
      <w:pPr>
        <w:tabs>
          <w:tab w:val="num" w:pos="720"/>
        </w:tabs>
        <w:ind w:left="720" w:hanging="360"/>
      </w:pPr>
      <w:rPr>
        <w:rFonts w:ascii="Arial Bold" w:hAnsi="Arial Bold" w:cs="Symbol"/>
        <w:b/>
        <w:bCs/>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BBC3B92"/>
    <w:multiLevelType w:val="hybridMultilevel"/>
    <w:tmpl w:val="68667EE8"/>
    <w:lvl w:ilvl="0" w:tplc="229896AE">
      <w:start w:val="1"/>
      <w:numFmt w:val="bullet"/>
      <w:pStyle w:val="StyleMOIbulletBefore3ptAfter3pt"/>
      <w:lvlText w:val=""/>
      <w:lvlJc w:val="left"/>
      <w:pPr>
        <w:tabs>
          <w:tab w:val="num" w:pos="612"/>
        </w:tabs>
        <w:ind w:left="612" w:hanging="360"/>
      </w:pPr>
      <w:rPr>
        <w:rFonts w:ascii="Symbol" w:hAnsi="Symbol" w:hint="default"/>
        <w:sz w:val="18"/>
      </w:rPr>
    </w:lvl>
    <w:lvl w:ilvl="1" w:tplc="08090003" w:tentative="1">
      <w:start w:val="1"/>
      <w:numFmt w:val="bullet"/>
      <w:lvlText w:val="o"/>
      <w:lvlJc w:val="left"/>
      <w:pPr>
        <w:tabs>
          <w:tab w:val="num" w:pos="2520"/>
        </w:tabs>
        <w:ind w:left="2520" w:hanging="360"/>
      </w:pPr>
      <w:rPr>
        <w:rFonts w:ascii="Courier New" w:hAnsi="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4E654000"/>
    <w:multiLevelType w:val="hybridMultilevel"/>
    <w:tmpl w:val="B4E2F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CF335B"/>
    <w:multiLevelType w:val="hybridMultilevel"/>
    <w:tmpl w:val="B1E8B084"/>
    <w:lvl w:ilvl="0" w:tplc="08090005">
      <w:start w:val="1"/>
      <w:numFmt w:val="bullet"/>
      <w:lvlText w:val=""/>
      <w:lvlJc w:val="left"/>
      <w:pPr>
        <w:ind w:left="360" w:hanging="360"/>
      </w:pPr>
      <w:rPr>
        <w:rFonts w:ascii="Wingdings" w:hAnsi="Wingdings" w:hint="default"/>
      </w:rPr>
    </w:lvl>
    <w:lvl w:ilvl="1" w:tplc="C86A48EC">
      <w:numFmt w:val="bullet"/>
      <w:lvlText w:val=""/>
      <w:lvlJc w:val="left"/>
      <w:pPr>
        <w:ind w:left="1440" w:hanging="720"/>
      </w:pPr>
      <w:rPr>
        <w:rFonts w:ascii="Wingdings" w:eastAsia="Arial" w:hAnsi="Wingdings"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BAE6E1B"/>
    <w:multiLevelType w:val="hybridMultilevel"/>
    <w:tmpl w:val="90081EB6"/>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FAE6999"/>
    <w:multiLevelType w:val="hybridMultilevel"/>
    <w:tmpl w:val="8724011C"/>
    <w:lvl w:ilvl="0" w:tplc="202802E6">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65984474"/>
    <w:multiLevelType w:val="hybridMultilevel"/>
    <w:tmpl w:val="D0B8C254"/>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77A0D32"/>
    <w:multiLevelType w:val="hybridMultilevel"/>
    <w:tmpl w:val="BFA0D20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4F6E09"/>
    <w:multiLevelType w:val="hybridMultilevel"/>
    <w:tmpl w:val="B7D62E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BA55F08"/>
    <w:multiLevelType w:val="hybridMultilevel"/>
    <w:tmpl w:val="E0F6F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4A205E"/>
    <w:multiLevelType w:val="hybridMultilevel"/>
    <w:tmpl w:val="C0B0D0A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4326154"/>
    <w:multiLevelType w:val="hybridMultilevel"/>
    <w:tmpl w:val="FEDA8296"/>
    <w:lvl w:ilvl="0" w:tplc="5B0A2AA2">
      <w:start w:val="1"/>
      <w:numFmt w:val="bullet"/>
      <w:pStyle w:val="BulletMOI"/>
      <w:lvlText w:val=""/>
      <w:lvlJc w:val="left"/>
      <w:pPr>
        <w:tabs>
          <w:tab w:val="num" w:pos="-2772"/>
        </w:tabs>
        <w:ind w:left="-2772" w:hanging="360"/>
      </w:pPr>
      <w:rPr>
        <w:rFonts w:ascii="Wingdings" w:hAnsi="Wingdings" w:hint="default"/>
      </w:rPr>
    </w:lvl>
    <w:lvl w:ilvl="1" w:tplc="08090003">
      <w:start w:val="1"/>
      <w:numFmt w:val="bullet"/>
      <w:lvlText w:val="o"/>
      <w:lvlJc w:val="left"/>
      <w:pPr>
        <w:tabs>
          <w:tab w:val="num" w:pos="-2931"/>
        </w:tabs>
        <w:ind w:left="-2931" w:hanging="360"/>
      </w:pPr>
      <w:rPr>
        <w:rFonts w:ascii="Courier New" w:hAnsi="Courier New" w:hint="default"/>
      </w:rPr>
    </w:lvl>
    <w:lvl w:ilvl="2" w:tplc="08090005">
      <w:start w:val="1"/>
      <w:numFmt w:val="bullet"/>
      <w:lvlText w:val=""/>
      <w:lvlJc w:val="left"/>
      <w:pPr>
        <w:tabs>
          <w:tab w:val="num" w:pos="-2211"/>
        </w:tabs>
        <w:ind w:left="-2211" w:hanging="360"/>
      </w:pPr>
      <w:rPr>
        <w:rFonts w:ascii="Wingdings" w:hAnsi="Wingdings" w:hint="default"/>
      </w:rPr>
    </w:lvl>
    <w:lvl w:ilvl="3" w:tplc="08090001" w:tentative="1">
      <w:start w:val="1"/>
      <w:numFmt w:val="bullet"/>
      <w:lvlText w:val=""/>
      <w:lvlJc w:val="left"/>
      <w:pPr>
        <w:tabs>
          <w:tab w:val="num" w:pos="-1491"/>
        </w:tabs>
        <w:ind w:left="-1491" w:hanging="360"/>
      </w:pPr>
      <w:rPr>
        <w:rFonts w:ascii="Symbol" w:hAnsi="Symbol" w:hint="default"/>
      </w:rPr>
    </w:lvl>
    <w:lvl w:ilvl="4" w:tplc="08090003" w:tentative="1">
      <w:start w:val="1"/>
      <w:numFmt w:val="bullet"/>
      <w:lvlText w:val="o"/>
      <w:lvlJc w:val="left"/>
      <w:pPr>
        <w:tabs>
          <w:tab w:val="num" w:pos="-771"/>
        </w:tabs>
        <w:ind w:left="-771" w:hanging="360"/>
      </w:pPr>
      <w:rPr>
        <w:rFonts w:ascii="Courier New" w:hAnsi="Courier New" w:hint="default"/>
      </w:rPr>
    </w:lvl>
    <w:lvl w:ilvl="5" w:tplc="08090005" w:tentative="1">
      <w:start w:val="1"/>
      <w:numFmt w:val="bullet"/>
      <w:lvlText w:val=""/>
      <w:lvlJc w:val="left"/>
      <w:pPr>
        <w:tabs>
          <w:tab w:val="num" w:pos="-51"/>
        </w:tabs>
        <w:ind w:left="-51" w:hanging="360"/>
      </w:pPr>
      <w:rPr>
        <w:rFonts w:ascii="Wingdings" w:hAnsi="Wingdings" w:hint="default"/>
      </w:rPr>
    </w:lvl>
    <w:lvl w:ilvl="6" w:tplc="08090001" w:tentative="1">
      <w:start w:val="1"/>
      <w:numFmt w:val="bullet"/>
      <w:lvlText w:val=""/>
      <w:lvlJc w:val="left"/>
      <w:pPr>
        <w:tabs>
          <w:tab w:val="num" w:pos="669"/>
        </w:tabs>
        <w:ind w:left="669" w:hanging="360"/>
      </w:pPr>
      <w:rPr>
        <w:rFonts w:ascii="Symbol" w:hAnsi="Symbol" w:hint="default"/>
      </w:rPr>
    </w:lvl>
    <w:lvl w:ilvl="7" w:tplc="08090003" w:tentative="1">
      <w:start w:val="1"/>
      <w:numFmt w:val="bullet"/>
      <w:lvlText w:val="o"/>
      <w:lvlJc w:val="left"/>
      <w:pPr>
        <w:tabs>
          <w:tab w:val="num" w:pos="1389"/>
        </w:tabs>
        <w:ind w:left="1389" w:hanging="360"/>
      </w:pPr>
      <w:rPr>
        <w:rFonts w:ascii="Courier New" w:hAnsi="Courier New" w:hint="default"/>
      </w:rPr>
    </w:lvl>
    <w:lvl w:ilvl="8" w:tplc="08090005" w:tentative="1">
      <w:start w:val="1"/>
      <w:numFmt w:val="bullet"/>
      <w:lvlText w:val=""/>
      <w:lvlJc w:val="left"/>
      <w:pPr>
        <w:tabs>
          <w:tab w:val="num" w:pos="2109"/>
        </w:tabs>
        <w:ind w:left="2109" w:hanging="360"/>
      </w:pPr>
      <w:rPr>
        <w:rFonts w:ascii="Wingdings" w:hAnsi="Wingdings" w:hint="default"/>
      </w:rPr>
    </w:lvl>
  </w:abstractNum>
  <w:num w:numId="1">
    <w:abstractNumId w:val="26"/>
  </w:num>
  <w:num w:numId="2">
    <w:abstractNumId w:val="9"/>
  </w:num>
  <w:num w:numId="3">
    <w:abstractNumId w:val="6"/>
  </w:num>
  <w:num w:numId="4">
    <w:abstractNumId w:val="14"/>
  </w:num>
  <w:num w:numId="5">
    <w:abstractNumId w:val="15"/>
  </w:num>
  <w:num w:numId="6">
    <w:abstractNumId w:val="20"/>
  </w:num>
  <w:num w:numId="7">
    <w:abstractNumId w:val="16"/>
  </w:num>
  <w:num w:numId="8">
    <w:abstractNumId w:val="0"/>
  </w:num>
  <w:num w:numId="9">
    <w:abstractNumId w:val="18"/>
  </w:num>
  <w:num w:numId="10">
    <w:abstractNumId w:val="3"/>
  </w:num>
  <w:num w:numId="11">
    <w:abstractNumId w:val="19"/>
  </w:num>
  <w:num w:numId="12">
    <w:abstractNumId w:val="2"/>
  </w:num>
  <w:num w:numId="13">
    <w:abstractNumId w:val="7"/>
  </w:num>
  <w:num w:numId="14">
    <w:abstractNumId w:val="13"/>
  </w:num>
  <w:num w:numId="15">
    <w:abstractNumId w:val="25"/>
  </w:num>
  <w:num w:numId="16">
    <w:abstractNumId w:val="11"/>
  </w:num>
  <w:num w:numId="17">
    <w:abstractNumId w:val="22"/>
  </w:num>
  <w:num w:numId="18">
    <w:abstractNumId w:val="21"/>
  </w:num>
  <w:num w:numId="19">
    <w:abstractNumId w:val="5"/>
  </w:num>
  <w:num w:numId="20">
    <w:abstractNumId w:val="10"/>
  </w:num>
  <w:num w:numId="21">
    <w:abstractNumId w:val="23"/>
  </w:num>
  <w:num w:numId="22">
    <w:abstractNumId w:val="1"/>
  </w:num>
  <w:num w:numId="23">
    <w:abstractNumId w:val="17"/>
  </w:num>
  <w:num w:numId="24">
    <w:abstractNumId w:val="4"/>
  </w:num>
  <w:num w:numId="25">
    <w:abstractNumId w:val="8"/>
  </w:num>
  <w:num w:numId="26">
    <w:abstractNumId w:val="24"/>
  </w:num>
  <w:num w:numId="27">
    <w:abstractNumId w:val="12"/>
  </w:num>
  <w:num w:numId="28">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A73"/>
    <w:rsid w:val="00001DDD"/>
    <w:rsid w:val="0000240A"/>
    <w:rsid w:val="00002BFC"/>
    <w:rsid w:val="0000458B"/>
    <w:rsid w:val="00004F5F"/>
    <w:rsid w:val="00006AA3"/>
    <w:rsid w:val="000142B4"/>
    <w:rsid w:val="00025A50"/>
    <w:rsid w:val="00025FA5"/>
    <w:rsid w:val="00027D4B"/>
    <w:rsid w:val="0003131F"/>
    <w:rsid w:val="00033CC8"/>
    <w:rsid w:val="00034E4C"/>
    <w:rsid w:val="00040E80"/>
    <w:rsid w:val="000413B7"/>
    <w:rsid w:val="000474C0"/>
    <w:rsid w:val="000512DD"/>
    <w:rsid w:val="000528EA"/>
    <w:rsid w:val="00053B38"/>
    <w:rsid w:val="00062E06"/>
    <w:rsid w:val="00067337"/>
    <w:rsid w:val="00072D34"/>
    <w:rsid w:val="00073DD1"/>
    <w:rsid w:val="00081184"/>
    <w:rsid w:val="00093AC3"/>
    <w:rsid w:val="000954FA"/>
    <w:rsid w:val="000A1D83"/>
    <w:rsid w:val="000B4684"/>
    <w:rsid w:val="000B4AFE"/>
    <w:rsid w:val="000B55DB"/>
    <w:rsid w:val="000B6286"/>
    <w:rsid w:val="000C0AE0"/>
    <w:rsid w:val="000C6FF0"/>
    <w:rsid w:val="000C7B92"/>
    <w:rsid w:val="000D5ED4"/>
    <w:rsid w:val="000E61DB"/>
    <w:rsid w:val="000E66DF"/>
    <w:rsid w:val="000E6758"/>
    <w:rsid w:val="00116195"/>
    <w:rsid w:val="001163C6"/>
    <w:rsid w:val="00117E58"/>
    <w:rsid w:val="001227C7"/>
    <w:rsid w:val="00125A03"/>
    <w:rsid w:val="001303E1"/>
    <w:rsid w:val="00134406"/>
    <w:rsid w:val="00143CE8"/>
    <w:rsid w:val="001440AB"/>
    <w:rsid w:val="00146DDA"/>
    <w:rsid w:val="00156679"/>
    <w:rsid w:val="00156A5E"/>
    <w:rsid w:val="00160F54"/>
    <w:rsid w:val="00163F69"/>
    <w:rsid w:val="00167238"/>
    <w:rsid w:val="001676C8"/>
    <w:rsid w:val="00172DBF"/>
    <w:rsid w:val="00173210"/>
    <w:rsid w:val="001843CD"/>
    <w:rsid w:val="0018512E"/>
    <w:rsid w:val="001933BA"/>
    <w:rsid w:val="0019658F"/>
    <w:rsid w:val="001A427B"/>
    <w:rsid w:val="001B14C7"/>
    <w:rsid w:val="001B5985"/>
    <w:rsid w:val="001D2125"/>
    <w:rsid w:val="001D54C9"/>
    <w:rsid w:val="001D58A6"/>
    <w:rsid w:val="001D6AE6"/>
    <w:rsid w:val="001E34E2"/>
    <w:rsid w:val="001E35BA"/>
    <w:rsid w:val="001E46D6"/>
    <w:rsid w:val="001E6985"/>
    <w:rsid w:val="001F1963"/>
    <w:rsid w:val="001F5FD0"/>
    <w:rsid w:val="001F65B6"/>
    <w:rsid w:val="00203C5C"/>
    <w:rsid w:val="002075C8"/>
    <w:rsid w:val="00224624"/>
    <w:rsid w:val="00230D56"/>
    <w:rsid w:val="00233ABA"/>
    <w:rsid w:val="0024666E"/>
    <w:rsid w:val="00247E6F"/>
    <w:rsid w:val="00253208"/>
    <w:rsid w:val="00256BC7"/>
    <w:rsid w:val="0026323E"/>
    <w:rsid w:val="002652EB"/>
    <w:rsid w:val="002712D6"/>
    <w:rsid w:val="002749F9"/>
    <w:rsid w:val="00274F29"/>
    <w:rsid w:val="0027578E"/>
    <w:rsid w:val="002805E5"/>
    <w:rsid w:val="00283F23"/>
    <w:rsid w:val="00284427"/>
    <w:rsid w:val="002929A3"/>
    <w:rsid w:val="00293448"/>
    <w:rsid w:val="00295204"/>
    <w:rsid w:val="00296522"/>
    <w:rsid w:val="002A5EF3"/>
    <w:rsid w:val="002B0486"/>
    <w:rsid w:val="002C0779"/>
    <w:rsid w:val="002C2692"/>
    <w:rsid w:val="002C29E7"/>
    <w:rsid w:val="002C38B3"/>
    <w:rsid w:val="002D0028"/>
    <w:rsid w:val="002D3882"/>
    <w:rsid w:val="002E41C1"/>
    <w:rsid w:val="002F03D1"/>
    <w:rsid w:val="002F46FC"/>
    <w:rsid w:val="002F4AE6"/>
    <w:rsid w:val="002F5058"/>
    <w:rsid w:val="002F51AE"/>
    <w:rsid w:val="002F6848"/>
    <w:rsid w:val="003027A4"/>
    <w:rsid w:val="00304FF0"/>
    <w:rsid w:val="0032094A"/>
    <w:rsid w:val="00323B3A"/>
    <w:rsid w:val="00333792"/>
    <w:rsid w:val="00334140"/>
    <w:rsid w:val="003349C2"/>
    <w:rsid w:val="0034180F"/>
    <w:rsid w:val="00342719"/>
    <w:rsid w:val="00342DA4"/>
    <w:rsid w:val="00344AF7"/>
    <w:rsid w:val="00350966"/>
    <w:rsid w:val="0035321B"/>
    <w:rsid w:val="003675F5"/>
    <w:rsid w:val="003748DC"/>
    <w:rsid w:val="00375BF8"/>
    <w:rsid w:val="00380056"/>
    <w:rsid w:val="00387A43"/>
    <w:rsid w:val="003B0A6A"/>
    <w:rsid w:val="003B0DA7"/>
    <w:rsid w:val="003B1B79"/>
    <w:rsid w:val="003B21A4"/>
    <w:rsid w:val="003B24B3"/>
    <w:rsid w:val="003B6A1D"/>
    <w:rsid w:val="003B7DBF"/>
    <w:rsid w:val="003C3A19"/>
    <w:rsid w:val="003C537D"/>
    <w:rsid w:val="003C54F5"/>
    <w:rsid w:val="003D49B3"/>
    <w:rsid w:val="003D6827"/>
    <w:rsid w:val="003E13BE"/>
    <w:rsid w:val="003E2C95"/>
    <w:rsid w:val="003E2E92"/>
    <w:rsid w:val="003F52D1"/>
    <w:rsid w:val="003F7D61"/>
    <w:rsid w:val="0040490B"/>
    <w:rsid w:val="00404988"/>
    <w:rsid w:val="00410A7C"/>
    <w:rsid w:val="00412AA7"/>
    <w:rsid w:val="004149C2"/>
    <w:rsid w:val="0041528E"/>
    <w:rsid w:val="004173D6"/>
    <w:rsid w:val="00422923"/>
    <w:rsid w:val="00433733"/>
    <w:rsid w:val="00440A65"/>
    <w:rsid w:val="00442F6A"/>
    <w:rsid w:val="00456343"/>
    <w:rsid w:val="004579F4"/>
    <w:rsid w:val="00470EC8"/>
    <w:rsid w:val="004734C4"/>
    <w:rsid w:val="0047617C"/>
    <w:rsid w:val="00477EFE"/>
    <w:rsid w:val="004818EF"/>
    <w:rsid w:val="004847DC"/>
    <w:rsid w:val="004865F3"/>
    <w:rsid w:val="00486708"/>
    <w:rsid w:val="00491014"/>
    <w:rsid w:val="00491BBD"/>
    <w:rsid w:val="004A7FE3"/>
    <w:rsid w:val="004B1514"/>
    <w:rsid w:val="004B4CBB"/>
    <w:rsid w:val="004B5A40"/>
    <w:rsid w:val="004D1E25"/>
    <w:rsid w:val="004D7835"/>
    <w:rsid w:val="004E2D24"/>
    <w:rsid w:val="004E3B56"/>
    <w:rsid w:val="004E61FB"/>
    <w:rsid w:val="004F046D"/>
    <w:rsid w:val="004F1359"/>
    <w:rsid w:val="004F5146"/>
    <w:rsid w:val="004F76D5"/>
    <w:rsid w:val="00501D44"/>
    <w:rsid w:val="00507808"/>
    <w:rsid w:val="00513AAE"/>
    <w:rsid w:val="00513AB1"/>
    <w:rsid w:val="00516221"/>
    <w:rsid w:val="005251BF"/>
    <w:rsid w:val="00525955"/>
    <w:rsid w:val="005267F9"/>
    <w:rsid w:val="00530B57"/>
    <w:rsid w:val="00533827"/>
    <w:rsid w:val="00534BA7"/>
    <w:rsid w:val="00535F05"/>
    <w:rsid w:val="00542A69"/>
    <w:rsid w:val="00551959"/>
    <w:rsid w:val="00552B3C"/>
    <w:rsid w:val="00554EEB"/>
    <w:rsid w:val="00565836"/>
    <w:rsid w:val="00566988"/>
    <w:rsid w:val="00570E20"/>
    <w:rsid w:val="00573E69"/>
    <w:rsid w:val="0058353E"/>
    <w:rsid w:val="005837AD"/>
    <w:rsid w:val="005935C3"/>
    <w:rsid w:val="00593B04"/>
    <w:rsid w:val="0059434D"/>
    <w:rsid w:val="00596361"/>
    <w:rsid w:val="00596B32"/>
    <w:rsid w:val="005A2A75"/>
    <w:rsid w:val="005B6036"/>
    <w:rsid w:val="005B63D4"/>
    <w:rsid w:val="005B6AE5"/>
    <w:rsid w:val="005B7595"/>
    <w:rsid w:val="005C7FC7"/>
    <w:rsid w:val="005D0A49"/>
    <w:rsid w:val="005D129B"/>
    <w:rsid w:val="005D20E5"/>
    <w:rsid w:val="005D2D0C"/>
    <w:rsid w:val="005D4565"/>
    <w:rsid w:val="005D4EF1"/>
    <w:rsid w:val="005E41B8"/>
    <w:rsid w:val="005E673B"/>
    <w:rsid w:val="005F3393"/>
    <w:rsid w:val="005F43BC"/>
    <w:rsid w:val="00606949"/>
    <w:rsid w:val="00623944"/>
    <w:rsid w:val="0062434D"/>
    <w:rsid w:val="00631191"/>
    <w:rsid w:val="00632405"/>
    <w:rsid w:val="00633379"/>
    <w:rsid w:val="00637283"/>
    <w:rsid w:val="00640255"/>
    <w:rsid w:val="0064084B"/>
    <w:rsid w:val="00642B79"/>
    <w:rsid w:val="0064545A"/>
    <w:rsid w:val="00646656"/>
    <w:rsid w:val="00650420"/>
    <w:rsid w:val="006533C7"/>
    <w:rsid w:val="006560CB"/>
    <w:rsid w:val="006569B6"/>
    <w:rsid w:val="006641F1"/>
    <w:rsid w:val="00664F85"/>
    <w:rsid w:val="006707DF"/>
    <w:rsid w:val="0067118C"/>
    <w:rsid w:val="006714EA"/>
    <w:rsid w:val="00671E45"/>
    <w:rsid w:val="006734B5"/>
    <w:rsid w:val="00674DDB"/>
    <w:rsid w:val="00676A3D"/>
    <w:rsid w:val="00686493"/>
    <w:rsid w:val="00686B35"/>
    <w:rsid w:val="00692C6F"/>
    <w:rsid w:val="00693D43"/>
    <w:rsid w:val="00695943"/>
    <w:rsid w:val="006A51A4"/>
    <w:rsid w:val="006C751F"/>
    <w:rsid w:val="006D02B5"/>
    <w:rsid w:val="006D2755"/>
    <w:rsid w:val="006D27BA"/>
    <w:rsid w:val="006D40FC"/>
    <w:rsid w:val="006D4F1A"/>
    <w:rsid w:val="006E4703"/>
    <w:rsid w:val="006F18EE"/>
    <w:rsid w:val="006F7154"/>
    <w:rsid w:val="00701D07"/>
    <w:rsid w:val="00701EC8"/>
    <w:rsid w:val="00713104"/>
    <w:rsid w:val="00715AE8"/>
    <w:rsid w:val="007235A9"/>
    <w:rsid w:val="007249ED"/>
    <w:rsid w:val="00732443"/>
    <w:rsid w:val="00733798"/>
    <w:rsid w:val="00741228"/>
    <w:rsid w:val="00741DF4"/>
    <w:rsid w:val="00742A3F"/>
    <w:rsid w:val="00747538"/>
    <w:rsid w:val="00750D0A"/>
    <w:rsid w:val="007517F2"/>
    <w:rsid w:val="00754C7C"/>
    <w:rsid w:val="00761B08"/>
    <w:rsid w:val="0076725F"/>
    <w:rsid w:val="00771F4E"/>
    <w:rsid w:val="0077227B"/>
    <w:rsid w:val="007761C8"/>
    <w:rsid w:val="0078193D"/>
    <w:rsid w:val="007827BA"/>
    <w:rsid w:val="00786375"/>
    <w:rsid w:val="007A22F1"/>
    <w:rsid w:val="007A2740"/>
    <w:rsid w:val="007A5777"/>
    <w:rsid w:val="007B0181"/>
    <w:rsid w:val="007B5AB4"/>
    <w:rsid w:val="007C6204"/>
    <w:rsid w:val="007D012F"/>
    <w:rsid w:val="007D4319"/>
    <w:rsid w:val="007E3200"/>
    <w:rsid w:val="007E46F5"/>
    <w:rsid w:val="007E5BE5"/>
    <w:rsid w:val="007E66F0"/>
    <w:rsid w:val="007F0AD7"/>
    <w:rsid w:val="00800D27"/>
    <w:rsid w:val="00805150"/>
    <w:rsid w:val="00806660"/>
    <w:rsid w:val="0080735C"/>
    <w:rsid w:val="0081167D"/>
    <w:rsid w:val="00811706"/>
    <w:rsid w:val="008127E1"/>
    <w:rsid w:val="00817845"/>
    <w:rsid w:val="0082050A"/>
    <w:rsid w:val="00824B79"/>
    <w:rsid w:val="0082621C"/>
    <w:rsid w:val="00827CB0"/>
    <w:rsid w:val="00830E82"/>
    <w:rsid w:val="0083749F"/>
    <w:rsid w:val="00840339"/>
    <w:rsid w:val="0084239E"/>
    <w:rsid w:val="008475C3"/>
    <w:rsid w:val="008476AE"/>
    <w:rsid w:val="00850C1C"/>
    <w:rsid w:val="00861ECD"/>
    <w:rsid w:val="00862F62"/>
    <w:rsid w:val="00865699"/>
    <w:rsid w:val="00865894"/>
    <w:rsid w:val="00870031"/>
    <w:rsid w:val="008720B8"/>
    <w:rsid w:val="008727C0"/>
    <w:rsid w:val="00872CC9"/>
    <w:rsid w:val="00877594"/>
    <w:rsid w:val="0088007B"/>
    <w:rsid w:val="0088461C"/>
    <w:rsid w:val="00885B3C"/>
    <w:rsid w:val="00890E26"/>
    <w:rsid w:val="00892E74"/>
    <w:rsid w:val="00894FFF"/>
    <w:rsid w:val="008A1A22"/>
    <w:rsid w:val="008A257C"/>
    <w:rsid w:val="008A4E65"/>
    <w:rsid w:val="008B0A92"/>
    <w:rsid w:val="008B1189"/>
    <w:rsid w:val="008B25CF"/>
    <w:rsid w:val="008B5C25"/>
    <w:rsid w:val="008C3CE5"/>
    <w:rsid w:val="008D0128"/>
    <w:rsid w:val="008D4B2C"/>
    <w:rsid w:val="008D5736"/>
    <w:rsid w:val="008D59F9"/>
    <w:rsid w:val="008D5ACF"/>
    <w:rsid w:val="008D69FF"/>
    <w:rsid w:val="008E0875"/>
    <w:rsid w:val="008E428E"/>
    <w:rsid w:val="009004DB"/>
    <w:rsid w:val="00902E91"/>
    <w:rsid w:val="00903FFC"/>
    <w:rsid w:val="00906179"/>
    <w:rsid w:val="00910DF9"/>
    <w:rsid w:val="00910EFB"/>
    <w:rsid w:val="00913656"/>
    <w:rsid w:val="00920166"/>
    <w:rsid w:val="0092250B"/>
    <w:rsid w:val="00926A5A"/>
    <w:rsid w:val="00930E4D"/>
    <w:rsid w:val="00931BD4"/>
    <w:rsid w:val="00933512"/>
    <w:rsid w:val="0093395F"/>
    <w:rsid w:val="009341DC"/>
    <w:rsid w:val="00936F82"/>
    <w:rsid w:val="00941483"/>
    <w:rsid w:val="009517AE"/>
    <w:rsid w:val="009536C5"/>
    <w:rsid w:val="00955209"/>
    <w:rsid w:val="0095712A"/>
    <w:rsid w:val="00957387"/>
    <w:rsid w:val="00960348"/>
    <w:rsid w:val="00962326"/>
    <w:rsid w:val="0096292C"/>
    <w:rsid w:val="00964619"/>
    <w:rsid w:val="009647AA"/>
    <w:rsid w:val="00967AE8"/>
    <w:rsid w:val="009702E8"/>
    <w:rsid w:val="00970416"/>
    <w:rsid w:val="009707F6"/>
    <w:rsid w:val="00970FE6"/>
    <w:rsid w:val="00974033"/>
    <w:rsid w:val="00974036"/>
    <w:rsid w:val="00980A43"/>
    <w:rsid w:val="009868F6"/>
    <w:rsid w:val="0099766C"/>
    <w:rsid w:val="009A14EC"/>
    <w:rsid w:val="009A49C8"/>
    <w:rsid w:val="009A5FF4"/>
    <w:rsid w:val="009C78F8"/>
    <w:rsid w:val="009D28C4"/>
    <w:rsid w:val="009D7D9C"/>
    <w:rsid w:val="009E1A9C"/>
    <w:rsid w:val="009F147C"/>
    <w:rsid w:val="00A01830"/>
    <w:rsid w:val="00A077F9"/>
    <w:rsid w:val="00A07F7F"/>
    <w:rsid w:val="00A11780"/>
    <w:rsid w:val="00A1513A"/>
    <w:rsid w:val="00A21912"/>
    <w:rsid w:val="00A266B9"/>
    <w:rsid w:val="00A31DAE"/>
    <w:rsid w:val="00A3227F"/>
    <w:rsid w:val="00A34691"/>
    <w:rsid w:val="00A35D9F"/>
    <w:rsid w:val="00A42554"/>
    <w:rsid w:val="00A46C5A"/>
    <w:rsid w:val="00A47304"/>
    <w:rsid w:val="00A47A80"/>
    <w:rsid w:val="00A55A47"/>
    <w:rsid w:val="00A60320"/>
    <w:rsid w:val="00A70EEB"/>
    <w:rsid w:val="00A74B27"/>
    <w:rsid w:val="00A83F2F"/>
    <w:rsid w:val="00A86F99"/>
    <w:rsid w:val="00A933B4"/>
    <w:rsid w:val="00AA368F"/>
    <w:rsid w:val="00AB1A6C"/>
    <w:rsid w:val="00AB1E05"/>
    <w:rsid w:val="00AB5491"/>
    <w:rsid w:val="00AC316B"/>
    <w:rsid w:val="00AE1878"/>
    <w:rsid w:val="00AF5C1A"/>
    <w:rsid w:val="00AF6EA2"/>
    <w:rsid w:val="00B00613"/>
    <w:rsid w:val="00B03444"/>
    <w:rsid w:val="00B03B12"/>
    <w:rsid w:val="00B03BD1"/>
    <w:rsid w:val="00B06FCF"/>
    <w:rsid w:val="00B104A1"/>
    <w:rsid w:val="00B1215C"/>
    <w:rsid w:val="00B12DB9"/>
    <w:rsid w:val="00B16245"/>
    <w:rsid w:val="00B17990"/>
    <w:rsid w:val="00B211CF"/>
    <w:rsid w:val="00B235A1"/>
    <w:rsid w:val="00B30F40"/>
    <w:rsid w:val="00B329B1"/>
    <w:rsid w:val="00B33F5D"/>
    <w:rsid w:val="00B342F8"/>
    <w:rsid w:val="00B36662"/>
    <w:rsid w:val="00B41611"/>
    <w:rsid w:val="00B422CB"/>
    <w:rsid w:val="00B46CDA"/>
    <w:rsid w:val="00B47BEC"/>
    <w:rsid w:val="00B507F8"/>
    <w:rsid w:val="00B53D57"/>
    <w:rsid w:val="00B6246D"/>
    <w:rsid w:val="00B71E32"/>
    <w:rsid w:val="00B80B91"/>
    <w:rsid w:val="00B83207"/>
    <w:rsid w:val="00B83CAE"/>
    <w:rsid w:val="00B83F2F"/>
    <w:rsid w:val="00B84F46"/>
    <w:rsid w:val="00B86B95"/>
    <w:rsid w:val="00B871A8"/>
    <w:rsid w:val="00B92921"/>
    <w:rsid w:val="00B92B79"/>
    <w:rsid w:val="00B97238"/>
    <w:rsid w:val="00BA12AE"/>
    <w:rsid w:val="00BB1940"/>
    <w:rsid w:val="00BB196A"/>
    <w:rsid w:val="00BB2FD4"/>
    <w:rsid w:val="00BC511D"/>
    <w:rsid w:val="00BC6747"/>
    <w:rsid w:val="00BD4DF1"/>
    <w:rsid w:val="00BF1ADA"/>
    <w:rsid w:val="00BF3963"/>
    <w:rsid w:val="00BF5AB5"/>
    <w:rsid w:val="00BF69DB"/>
    <w:rsid w:val="00BF6F10"/>
    <w:rsid w:val="00BF75B8"/>
    <w:rsid w:val="00BF7AF1"/>
    <w:rsid w:val="00C01354"/>
    <w:rsid w:val="00C0290C"/>
    <w:rsid w:val="00C047B2"/>
    <w:rsid w:val="00C05159"/>
    <w:rsid w:val="00C05AD7"/>
    <w:rsid w:val="00C1650C"/>
    <w:rsid w:val="00C224C6"/>
    <w:rsid w:val="00C22EFE"/>
    <w:rsid w:val="00C236A2"/>
    <w:rsid w:val="00C24708"/>
    <w:rsid w:val="00C34764"/>
    <w:rsid w:val="00C41C24"/>
    <w:rsid w:val="00C430FB"/>
    <w:rsid w:val="00C446C5"/>
    <w:rsid w:val="00C46CDF"/>
    <w:rsid w:val="00C47CDF"/>
    <w:rsid w:val="00C540C3"/>
    <w:rsid w:val="00C57C3C"/>
    <w:rsid w:val="00C655D6"/>
    <w:rsid w:val="00C727A0"/>
    <w:rsid w:val="00C75BA2"/>
    <w:rsid w:val="00C76E7D"/>
    <w:rsid w:val="00C82083"/>
    <w:rsid w:val="00C85ED0"/>
    <w:rsid w:val="00C86618"/>
    <w:rsid w:val="00C9079E"/>
    <w:rsid w:val="00C91D54"/>
    <w:rsid w:val="00C92E36"/>
    <w:rsid w:val="00CA2AC2"/>
    <w:rsid w:val="00CB2514"/>
    <w:rsid w:val="00CB2652"/>
    <w:rsid w:val="00CB2A2E"/>
    <w:rsid w:val="00CB5C7B"/>
    <w:rsid w:val="00CB5D5D"/>
    <w:rsid w:val="00CB7A8E"/>
    <w:rsid w:val="00CC07A3"/>
    <w:rsid w:val="00CC7552"/>
    <w:rsid w:val="00CC7EC3"/>
    <w:rsid w:val="00CD0C15"/>
    <w:rsid w:val="00CD3840"/>
    <w:rsid w:val="00CD507B"/>
    <w:rsid w:val="00CD6A30"/>
    <w:rsid w:val="00CE0C47"/>
    <w:rsid w:val="00CE40DE"/>
    <w:rsid w:val="00CE68AD"/>
    <w:rsid w:val="00CE6FDB"/>
    <w:rsid w:val="00CF063D"/>
    <w:rsid w:val="00CF1961"/>
    <w:rsid w:val="00CF24E8"/>
    <w:rsid w:val="00CF3205"/>
    <w:rsid w:val="00CF4E6F"/>
    <w:rsid w:val="00CF6CAC"/>
    <w:rsid w:val="00D043C6"/>
    <w:rsid w:val="00D05EB9"/>
    <w:rsid w:val="00D166AF"/>
    <w:rsid w:val="00D16E74"/>
    <w:rsid w:val="00D23A6D"/>
    <w:rsid w:val="00D250A8"/>
    <w:rsid w:val="00D30B31"/>
    <w:rsid w:val="00D31631"/>
    <w:rsid w:val="00D45E75"/>
    <w:rsid w:val="00D46CCB"/>
    <w:rsid w:val="00D5386B"/>
    <w:rsid w:val="00D540C2"/>
    <w:rsid w:val="00D5499A"/>
    <w:rsid w:val="00D560EA"/>
    <w:rsid w:val="00D567EB"/>
    <w:rsid w:val="00D56E77"/>
    <w:rsid w:val="00D61F5B"/>
    <w:rsid w:val="00D630AF"/>
    <w:rsid w:val="00D65869"/>
    <w:rsid w:val="00D6695C"/>
    <w:rsid w:val="00D714C8"/>
    <w:rsid w:val="00D77AEA"/>
    <w:rsid w:val="00D8227E"/>
    <w:rsid w:val="00D875F7"/>
    <w:rsid w:val="00D92914"/>
    <w:rsid w:val="00DA6FCD"/>
    <w:rsid w:val="00DB3588"/>
    <w:rsid w:val="00DB3CD0"/>
    <w:rsid w:val="00DB45A4"/>
    <w:rsid w:val="00DB6CF5"/>
    <w:rsid w:val="00DC139E"/>
    <w:rsid w:val="00DC1562"/>
    <w:rsid w:val="00DC598E"/>
    <w:rsid w:val="00DD12B1"/>
    <w:rsid w:val="00DD148B"/>
    <w:rsid w:val="00DD2D41"/>
    <w:rsid w:val="00DD7ED9"/>
    <w:rsid w:val="00DE1E1A"/>
    <w:rsid w:val="00DE2A01"/>
    <w:rsid w:val="00DE38A7"/>
    <w:rsid w:val="00DE6CFA"/>
    <w:rsid w:val="00DE7AD5"/>
    <w:rsid w:val="00DF14AF"/>
    <w:rsid w:val="00DF3DC7"/>
    <w:rsid w:val="00DF435D"/>
    <w:rsid w:val="00DF7E92"/>
    <w:rsid w:val="00E039A3"/>
    <w:rsid w:val="00E07790"/>
    <w:rsid w:val="00E10698"/>
    <w:rsid w:val="00E12167"/>
    <w:rsid w:val="00E212EA"/>
    <w:rsid w:val="00E26121"/>
    <w:rsid w:val="00E26785"/>
    <w:rsid w:val="00E40DDC"/>
    <w:rsid w:val="00E42DBC"/>
    <w:rsid w:val="00E47711"/>
    <w:rsid w:val="00E53C4F"/>
    <w:rsid w:val="00E63539"/>
    <w:rsid w:val="00E738DB"/>
    <w:rsid w:val="00E75304"/>
    <w:rsid w:val="00E95309"/>
    <w:rsid w:val="00EA27C3"/>
    <w:rsid w:val="00EB0081"/>
    <w:rsid w:val="00EB0B17"/>
    <w:rsid w:val="00EB1DCE"/>
    <w:rsid w:val="00EB31E6"/>
    <w:rsid w:val="00EC0A73"/>
    <w:rsid w:val="00EC1C00"/>
    <w:rsid w:val="00EC7155"/>
    <w:rsid w:val="00ED010E"/>
    <w:rsid w:val="00ED2727"/>
    <w:rsid w:val="00ED3AD6"/>
    <w:rsid w:val="00ED46E4"/>
    <w:rsid w:val="00ED4FEC"/>
    <w:rsid w:val="00ED6122"/>
    <w:rsid w:val="00ED6D9B"/>
    <w:rsid w:val="00EE13FE"/>
    <w:rsid w:val="00EE5907"/>
    <w:rsid w:val="00EF2BC9"/>
    <w:rsid w:val="00EF46C4"/>
    <w:rsid w:val="00EF5BF2"/>
    <w:rsid w:val="00F00372"/>
    <w:rsid w:val="00F05407"/>
    <w:rsid w:val="00F14F4C"/>
    <w:rsid w:val="00F16EFC"/>
    <w:rsid w:val="00F22421"/>
    <w:rsid w:val="00F2459C"/>
    <w:rsid w:val="00F245BD"/>
    <w:rsid w:val="00F247B7"/>
    <w:rsid w:val="00F25459"/>
    <w:rsid w:val="00F26666"/>
    <w:rsid w:val="00F2666F"/>
    <w:rsid w:val="00F27988"/>
    <w:rsid w:val="00F359AB"/>
    <w:rsid w:val="00F45E99"/>
    <w:rsid w:val="00F476FA"/>
    <w:rsid w:val="00F60535"/>
    <w:rsid w:val="00F64F0A"/>
    <w:rsid w:val="00F67A59"/>
    <w:rsid w:val="00F83158"/>
    <w:rsid w:val="00F84641"/>
    <w:rsid w:val="00F91CB2"/>
    <w:rsid w:val="00F94727"/>
    <w:rsid w:val="00FA2FC4"/>
    <w:rsid w:val="00FA4014"/>
    <w:rsid w:val="00FB1F73"/>
    <w:rsid w:val="00FB23F8"/>
    <w:rsid w:val="00FB5C69"/>
    <w:rsid w:val="00FB7DCD"/>
    <w:rsid w:val="00FC0A29"/>
    <w:rsid w:val="00FC1A5C"/>
    <w:rsid w:val="00FC30F1"/>
    <w:rsid w:val="00FD0821"/>
    <w:rsid w:val="00FD0ACA"/>
    <w:rsid w:val="00FD3811"/>
    <w:rsid w:val="00FD441D"/>
    <w:rsid w:val="00FD5512"/>
    <w:rsid w:val="00FE037F"/>
    <w:rsid w:val="00FE0C93"/>
    <w:rsid w:val="00FE2AB8"/>
    <w:rsid w:val="00FE7DB9"/>
    <w:rsid w:val="00FF021F"/>
    <w:rsid w:val="00FF24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5:docId w15:val="{497955F1-9310-48D8-8AEF-2ED6D0585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0A73"/>
    <w:pPr>
      <w:spacing w:before="60" w:after="60" w:line="240" w:lineRule="auto"/>
    </w:pPr>
    <w:rPr>
      <w:rFonts w:ascii="Arial" w:eastAsia="Arial" w:hAnsi="Arial" w:cs="Arial"/>
      <w:lang w:eastAsia="en-GB"/>
    </w:rPr>
  </w:style>
  <w:style w:type="paragraph" w:styleId="Heading1">
    <w:name w:val="heading 1"/>
    <w:basedOn w:val="Normal"/>
    <w:next w:val="Normal"/>
    <w:link w:val="Heading1Char"/>
    <w:autoRedefine/>
    <w:qFormat/>
    <w:rsid w:val="000474C0"/>
    <w:pPr>
      <w:keepNext/>
      <w:pageBreakBefore/>
      <w:numPr>
        <w:numId w:val="2"/>
      </w:numPr>
      <w:spacing w:after="120"/>
      <w:jc w:val="both"/>
      <w:outlineLvl w:val="0"/>
    </w:pPr>
    <w:rPr>
      <w:b/>
      <w:bCs/>
      <w:kern w:val="32"/>
      <w:sz w:val="28"/>
      <w:szCs w:val="32"/>
    </w:rPr>
  </w:style>
  <w:style w:type="paragraph" w:styleId="Heading2">
    <w:name w:val="heading 2"/>
    <w:basedOn w:val="Normal"/>
    <w:next w:val="Normal"/>
    <w:link w:val="Heading2Char"/>
    <w:qFormat/>
    <w:rsid w:val="000474C0"/>
    <w:pPr>
      <w:keepNext/>
      <w:numPr>
        <w:ilvl w:val="1"/>
        <w:numId w:val="2"/>
      </w:numPr>
      <w:jc w:val="both"/>
      <w:outlineLvl w:val="1"/>
    </w:pPr>
    <w:rPr>
      <w:b/>
      <w:bCs/>
      <w:iCs/>
      <w:sz w:val="24"/>
      <w:szCs w:val="28"/>
    </w:rPr>
  </w:style>
  <w:style w:type="paragraph" w:styleId="Heading3">
    <w:name w:val="heading 3"/>
    <w:basedOn w:val="Normal"/>
    <w:next w:val="Normal"/>
    <w:link w:val="Heading3Char"/>
    <w:uiPriority w:val="9"/>
    <w:unhideWhenUsed/>
    <w:qFormat/>
    <w:rsid w:val="00BF5AB5"/>
    <w:pPr>
      <w:keepNext/>
      <w:keepLines/>
      <w:spacing w:before="200" w:after="0"/>
      <w:outlineLvl w:val="2"/>
    </w:pPr>
    <w:rPr>
      <w:rFonts w:eastAsiaTheme="majorEastAsia" w:cstheme="majorBidi"/>
      <w:b/>
      <w:bCs/>
    </w:rPr>
  </w:style>
  <w:style w:type="paragraph" w:styleId="Heading4">
    <w:name w:val="heading 4"/>
    <w:basedOn w:val="Normal"/>
    <w:next w:val="Normal"/>
    <w:link w:val="Heading4Char"/>
    <w:qFormat/>
    <w:rsid w:val="000474C0"/>
    <w:pPr>
      <w:keepNext/>
      <w:numPr>
        <w:ilvl w:val="3"/>
        <w:numId w:val="2"/>
      </w:numPr>
      <w:outlineLvl w:val="3"/>
    </w:pPr>
    <w:rPr>
      <w:bCs/>
      <w:i/>
      <w:szCs w:val="28"/>
    </w:rPr>
  </w:style>
  <w:style w:type="paragraph" w:styleId="Heading5">
    <w:name w:val="heading 5"/>
    <w:basedOn w:val="Normal"/>
    <w:next w:val="Normal"/>
    <w:link w:val="Heading5Char"/>
    <w:qFormat/>
    <w:rsid w:val="000474C0"/>
    <w:pPr>
      <w:numPr>
        <w:ilvl w:val="4"/>
        <w:numId w:val="2"/>
      </w:numPr>
      <w:spacing w:before="240"/>
      <w:outlineLvl w:val="4"/>
    </w:pPr>
    <w:rPr>
      <w:b/>
      <w:bCs/>
      <w:i/>
      <w:iCs/>
      <w:sz w:val="26"/>
      <w:szCs w:val="26"/>
    </w:rPr>
  </w:style>
  <w:style w:type="paragraph" w:styleId="Heading6">
    <w:name w:val="heading 6"/>
    <w:basedOn w:val="Normal"/>
    <w:next w:val="Normal"/>
    <w:link w:val="Heading6Char"/>
    <w:qFormat/>
    <w:rsid w:val="000474C0"/>
    <w:pPr>
      <w:numPr>
        <w:ilvl w:val="5"/>
        <w:numId w:val="2"/>
      </w:numPr>
      <w:spacing w:before="240"/>
      <w:outlineLvl w:val="5"/>
    </w:pPr>
    <w:rPr>
      <w:b/>
      <w:bCs/>
    </w:rPr>
  </w:style>
  <w:style w:type="paragraph" w:styleId="Heading7">
    <w:name w:val="heading 7"/>
    <w:basedOn w:val="Normal"/>
    <w:next w:val="Normal"/>
    <w:link w:val="Heading7Char"/>
    <w:qFormat/>
    <w:rsid w:val="000474C0"/>
    <w:pPr>
      <w:numPr>
        <w:ilvl w:val="6"/>
        <w:numId w:val="2"/>
      </w:numPr>
      <w:spacing w:before="240"/>
      <w:outlineLvl w:val="6"/>
    </w:pPr>
  </w:style>
  <w:style w:type="paragraph" w:styleId="Heading8">
    <w:name w:val="heading 8"/>
    <w:basedOn w:val="Normal"/>
    <w:next w:val="Normal"/>
    <w:link w:val="Heading8Char"/>
    <w:qFormat/>
    <w:rsid w:val="000474C0"/>
    <w:pPr>
      <w:numPr>
        <w:ilvl w:val="7"/>
        <w:numId w:val="2"/>
      </w:numPr>
      <w:spacing w:before="240"/>
      <w:outlineLvl w:val="7"/>
    </w:pPr>
    <w:rPr>
      <w:i/>
      <w:iCs/>
    </w:rPr>
  </w:style>
  <w:style w:type="paragraph" w:styleId="Heading9">
    <w:name w:val="heading 9"/>
    <w:basedOn w:val="Normal"/>
    <w:next w:val="Normal"/>
    <w:link w:val="Heading9Char"/>
    <w:qFormat/>
    <w:rsid w:val="000474C0"/>
    <w:pPr>
      <w:numPr>
        <w:ilvl w:val="8"/>
        <w:numId w:val="2"/>
      </w:numPr>
      <w:spacing w:before="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OIText">
    <w:name w:val="MOI Text"/>
    <w:basedOn w:val="Normal"/>
    <w:rsid w:val="00EC0A73"/>
    <w:pPr>
      <w:ind w:left="720"/>
      <w:jc w:val="both"/>
    </w:pPr>
    <w:rPr>
      <w:rFonts w:eastAsia="Times New Roman"/>
    </w:rPr>
  </w:style>
  <w:style w:type="paragraph" w:styleId="BalloonText">
    <w:name w:val="Balloon Text"/>
    <w:basedOn w:val="Normal"/>
    <w:link w:val="BalloonTextChar"/>
    <w:uiPriority w:val="99"/>
    <w:semiHidden/>
    <w:unhideWhenUsed/>
    <w:rsid w:val="00EC0A73"/>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0A73"/>
    <w:rPr>
      <w:rFonts w:ascii="Tahoma" w:eastAsia="Arial" w:hAnsi="Tahoma" w:cs="Tahoma"/>
      <w:sz w:val="16"/>
      <w:szCs w:val="16"/>
      <w:lang w:eastAsia="en-GB"/>
    </w:rPr>
  </w:style>
  <w:style w:type="character" w:styleId="Hyperlink">
    <w:name w:val="Hyperlink"/>
    <w:uiPriority w:val="99"/>
    <w:rsid w:val="00EC0A73"/>
    <w:rPr>
      <w:color w:val="0000FF"/>
      <w:u w:val="single"/>
    </w:rPr>
  </w:style>
  <w:style w:type="paragraph" w:styleId="TOC1">
    <w:name w:val="toc 1"/>
    <w:basedOn w:val="Normal"/>
    <w:next w:val="Normal"/>
    <w:autoRedefine/>
    <w:uiPriority w:val="39"/>
    <w:qFormat/>
    <w:rsid w:val="002D3882"/>
    <w:pPr>
      <w:tabs>
        <w:tab w:val="left" w:pos="440"/>
        <w:tab w:val="right" w:leader="dot" w:pos="8777"/>
      </w:tabs>
      <w:spacing w:after="0"/>
    </w:pPr>
    <w:rPr>
      <w:b/>
      <w:bCs/>
      <w:caps/>
      <w:noProof/>
      <w:sz w:val="24"/>
      <w:szCs w:val="24"/>
    </w:rPr>
  </w:style>
  <w:style w:type="paragraph" w:styleId="TOC2">
    <w:name w:val="toc 2"/>
    <w:basedOn w:val="Normal"/>
    <w:next w:val="Normal"/>
    <w:autoRedefine/>
    <w:uiPriority w:val="39"/>
    <w:qFormat/>
    <w:rsid w:val="004B5A40"/>
    <w:pPr>
      <w:tabs>
        <w:tab w:val="left" w:pos="900"/>
        <w:tab w:val="right" w:leader="dot" w:pos="8777"/>
      </w:tabs>
      <w:ind w:left="360" w:hanging="360"/>
      <w:jc w:val="both"/>
    </w:pPr>
    <w:rPr>
      <w:rFonts w:eastAsia="Times New Roman"/>
      <w:noProof/>
    </w:rPr>
  </w:style>
  <w:style w:type="paragraph" w:customStyle="1" w:styleId="BulletMOI">
    <w:name w:val="Bullet MOI"/>
    <w:basedOn w:val="Normal"/>
    <w:rsid w:val="00EC0A73"/>
    <w:pPr>
      <w:numPr>
        <w:numId w:val="1"/>
      </w:numPr>
      <w:tabs>
        <w:tab w:val="left" w:pos="720"/>
      </w:tabs>
      <w:spacing w:before="0" w:after="0"/>
      <w:jc w:val="both"/>
    </w:pPr>
  </w:style>
  <w:style w:type="paragraph" w:styleId="ListParagraph">
    <w:name w:val="List Paragraph"/>
    <w:basedOn w:val="Normal"/>
    <w:uiPriority w:val="34"/>
    <w:qFormat/>
    <w:rsid w:val="000E6758"/>
    <w:pPr>
      <w:spacing w:before="0" w:after="0"/>
      <w:ind w:left="720"/>
      <w:contextualSpacing/>
    </w:pPr>
    <w:rPr>
      <w:rFonts w:eastAsia="Times New Roman"/>
      <w:sz w:val="24"/>
      <w:szCs w:val="24"/>
    </w:rPr>
  </w:style>
  <w:style w:type="paragraph" w:customStyle="1" w:styleId="Default">
    <w:name w:val="Default"/>
    <w:basedOn w:val="Normal"/>
    <w:rsid w:val="000E6758"/>
    <w:pPr>
      <w:autoSpaceDE w:val="0"/>
      <w:autoSpaceDN w:val="0"/>
      <w:spacing w:before="0" w:after="0"/>
    </w:pPr>
    <w:rPr>
      <w:rFonts w:ascii="Frutiger 45 Light" w:eastAsiaTheme="minorHAnsi" w:hAnsi="Frutiger 45 Light" w:cs="Times New Roman"/>
      <w:color w:val="000000"/>
      <w:sz w:val="24"/>
      <w:szCs w:val="24"/>
      <w:lang w:eastAsia="en-US"/>
    </w:rPr>
  </w:style>
  <w:style w:type="character" w:customStyle="1" w:styleId="font-size-21">
    <w:name w:val="font-size-21"/>
    <w:basedOn w:val="DefaultParagraphFont"/>
    <w:rsid w:val="000E6758"/>
  </w:style>
  <w:style w:type="paragraph" w:customStyle="1" w:styleId="ITTnormal">
    <w:name w:val="ITT normal"/>
    <w:basedOn w:val="Normal"/>
    <w:link w:val="ITTnormalChar"/>
    <w:uiPriority w:val="99"/>
    <w:rsid w:val="00093AC3"/>
    <w:pPr>
      <w:autoSpaceDE w:val="0"/>
      <w:autoSpaceDN w:val="0"/>
      <w:adjustRightInd w:val="0"/>
      <w:ind w:left="720"/>
      <w:jc w:val="both"/>
    </w:pPr>
    <w:rPr>
      <w:rFonts w:eastAsia="Times New Roman"/>
    </w:rPr>
  </w:style>
  <w:style w:type="character" w:customStyle="1" w:styleId="ITTnormalChar">
    <w:name w:val="ITT normal Char"/>
    <w:link w:val="ITTnormal"/>
    <w:uiPriority w:val="99"/>
    <w:locked/>
    <w:rsid w:val="00093AC3"/>
    <w:rPr>
      <w:rFonts w:ascii="Arial" w:eastAsia="Times New Roman" w:hAnsi="Arial" w:cs="Arial"/>
      <w:lang w:eastAsia="en-GB"/>
    </w:rPr>
  </w:style>
  <w:style w:type="character" w:customStyle="1" w:styleId="Heading1Char">
    <w:name w:val="Heading 1 Char"/>
    <w:basedOn w:val="DefaultParagraphFont"/>
    <w:link w:val="Heading1"/>
    <w:rsid w:val="000474C0"/>
    <w:rPr>
      <w:rFonts w:ascii="Arial" w:eastAsia="Arial" w:hAnsi="Arial" w:cs="Arial"/>
      <w:b/>
      <w:bCs/>
      <w:kern w:val="32"/>
      <w:sz w:val="28"/>
      <w:szCs w:val="32"/>
      <w:lang w:eastAsia="en-GB"/>
    </w:rPr>
  </w:style>
  <w:style w:type="character" w:customStyle="1" w:styleId="Heading2Char">
    <w:name w:val="Heading 2 Char"/>
    <w:basedOn w:val="DefaultParagraphFont"/>
    <w:link w:val="Heading2"/>
    <w:rsid w:val="000474C0"/>
    <w:rPr>
      <w:rFonts w:ascii="Arial" w:eastAsia="Arial" w:hAnsi="Arial" w:cs="Arial"/>
      <w:b/>
      <w:bCs/>
      <w:iCs/>
      <w:sz w:val="24"/>
      <w:szCs w:val="28"/>
      <w:lang w:eastAsia="en-GB"/>
    </w:rPr>
  </w:style>
  <w:style w:type="character" w:customStyle="1" w:styleId="Heading4Char">
    <w:name w:val="Heading 4 Char"/>
    <w:basedOn w:val="DefaultParagraphFont"/>
    <w:link w:val="Heading4"/>
    <w:rsid w:val="000474C0"/>
    <w:rPr>
      <w:rFonts w:ascii="Arial" w:eastAsia="Arial" w:hAnsi="Arial" w:cs="Arial"/>
      <w:bCs/>
      <w:i/>
      <w:szCs w:val="28"/>
      <w:lang w:eastAsia="en-GB"/>
    </w:rPr>
  </w:style>
  <w:style w:type="character" w:customStyle="1" w:styleId="Heading5Char">
    <w:name w:val="Heading 5 Char"/>
    <w:basedOn w:val="DefaultParagraphFont"/>
    <w:link w:val="Heading5"/>
    <w:rsid w:val="000474C0"/>
    <w:rPr>
      <w:rFonts w:ascii="Arial" w:eastAsia="Arial" w:hAnsi="Arial" w:cs="Arial"/>
      <w:b/>
      <w:bCs/>
      <w:i/>
      <w:iCs/>
      <w:sz w:val="26"/>
      <w:szCs w:val="26"/>
      <w:lang w:eastAsia="en-GB"/>
    </w:rPr>
  </w:style>
  <w:style w:type="character" w:customStyle="1" w:styleId="Heading6Char">
    <w:name w:val="Heading 6 Char"/>
    <w:basedOn w:val="DefaultParagraphFont"/>
    <w:link w:val="Heading6"/>
    <w:rsid w:val="000474C0"/>
    <w:rPr>
      <w:rFonts w:ascii="Arial" w:eastAsia="Arial" w:hAnsi="Arial" w:cs="Arial"/>
      <w:b/>
      <w:bCs/>
      <w:lang w:eastAsia="en-GB"/>
    </w:rPr>
  </w:style>
  <w:style w:type="character" w:customStyle="1" w:styleId="Heading7Char">
    <w:name w:val="Heading 7 Char"/>
    <w:basedOn w:val="DefaultParagraphFont"/>
    <w:link w:val="Heading7"/>
    <w:rsid w:val="000474C0"/>
    <w:rPr>
      <w:rFonts w:ascii="Arial" w:eastAsia="Arial" w:hAnsi="Arial" w:cs="Arial"/>
      <w:lang w:eastAsia="en-GB"/>
    </w:rPr>
  </w:style>
  <w:style w:type="character" w:customStyle="1" w:styleId="Heading8Char">
    <w:name w:val="Heading 8 Char"/>
    <w:basedOn w:val="DefaultParagraphFont"/>
    <w:link w:val="Heading8"/>
    <w:rsid w:val="000474C0"/>
    <w:rPr>
      <w:rFonts w:ascii="Arial" w:eastAsia="Arial" w:hAnsi="Arial" w:cs="Arial"/>
      <w:i/>
      <w:iCs/>
      <w:lang w:eastAsia="en-GB"/>
    </w:rPr>
  </w:style>
  <w:style w:type="character" w:customStyle="1" w:styleId="Heading9Char">
    <w:name w:val="Heading 9 Char"/>
    <w:basedOn w:val="DefaultParagraphFont"/>
    <w:link w:val="Heading9"/>
    <w:rsid w:val="000474C0"/>
    <w:rPr>
      <w:rFonts w:ascii="Arial" w:eastAsia="Arial" w:hAnsi="Arial" w:cs="Arial"/>
      <w:lang w:eastAsia="en-GB"/>
    </w:rPr>
  </w:style>
  <w:style w:type="paragraph" w:styleId="FootnoteText">
    <w:name w:val="footnote text"/>
    <w:basedOn w:val="Normal"/>
    <w:link w:val="FootnoteTextChar"/>
    <w:semiHidden/>
    <w:unhideWhenUsed/>
    <w:rsid w:val="00732443"/>
    <w:pPr>
      <w:spacing w:before="0" w:after="0"/>
    </w:pPr>
    <w:rPr>
      <w:sz w:val="20"/>
      <w:szCs w:val="20"/>
    </w:rPr>
  </w:style>
  <w:style w:type="character" w:customStyle="1" w:styleId="FootnoteTextChar">
    <w:name w:val="Footnote Text Char"/>
    <w:basedOn w:val="DefaultParagraphFont"/>
    <w:link w:val="FootnoteText"/>
    <w:uiPriority w:val="99"/>
    <w:semiHidden/>
    <w:rsid w:val="00732443"/>
    <w:rPr>
      <w:rFonts w:ascii="Arial" w:eastAsia="Arial" w:hAnsi="Arial" w:cs="Arial"/>
      <w:sz w:val="20"/>
      <w:szCs w:val="20"/>
      <w:lang w:eastAsia="en-GB"/>
    </w:rPr>
  </w:style>
  <w:style w:type="character" w:styleId="FollowedHyperlink">
    <w:name w:val="FollowedHyperlink"/>
    <w:basedOn w:val="DefaultParagraphFont"/>
    <w:uiPriority w:val="99"/>
    <w:semiHidden/>
    <w:unhideWhenUsed/>
    <w:rsid w:val="007249ED"/>
    <w:rPr>
      <w:color w:val="800080" w:themeColor="followedHyperlink"/>
      <w:u w:val="single"/>
    </w:rPr>
  </w:style>
  <w:style w:type="paragraph" w:customStyle="1" w:styleId="CentreCaption">
    <w:name w:val="CentreCaption"/>
    <w:basedOn w:val="Caption"/>
    <w:rsid w:val="00FB5C69"/>
    <w:pPr>
      <w:spacing w:before="120" w:after="120"/>
      <w:ind w:left="720"/>
      <w:jc w:val="center"/>
    </w:pPr>
    <w:rPr>
      <w:rFonts w:eastAsia="Times New Roman"/>
      <w:color w:val="auto"/>
      <w:sz w:val="20"/>
      <w:szCs w:val="20"/>
    </w:rPr>
  </w:style>
  <w:style w:type="paragraph" w:styleId="Caption">
    <w:name w:val="caption"/>
    <w:basedOn w:val="Normal"/>
    <w:next w:val="Normal"/>
    <w:unhideWhenUsed/>
    <w:qFormat/>
    <w:rsid w:val="00FB5C69"/>
    <w:pPr>
      <w:spacing w:before="0" w:after="200"/>
    </w:pPr>
    <w:rPr>
      <w:b/>
      <w:bCs/>
      <w:color w:val="4F81BD" w:themeColor="accent1"/>
      <w:sz w:val="18"/>
      <w:szCs w:val="18"/>
    </w:rPr>
  </w:style>
  <w:style w:type="paragraph" w:customStyle="1" w:styleId="AgtLevel1Heading">
    <w:name w:val="Agt/Level1 Heading"/>
    <w:basedOn w:val="Normal"/>
    <w:rsid w:val="00554EEB"/>
    <w:pPr>
      <w:keepNext/>
      <w:numPr>
        <w:numId w:val="4"/>
      </w:numPr>
      <w:spacing w:before="0" w:after="240" w:line="288" w:lineRule="auto"/>
      <w:jc w:val="both"/>
    </w:pPr>
    <w:rPr>
      <w:rFonts w:eastAsia="Times New Roman" w:cs="Times New Roman"/>
      <w:b/>
      <w:sz w:val="20"/>
      <w:szCs w:val="20"/>
      <w:lang w:eastAsia="en-US"/>
    </w:rPr>
  </w:style>
  <w:style w:type="paragraph" w:customStyle="1" w:styleId="AgtLevel2">
    <w:name w:val="Agt/Level2"/>
    <w:basedOn w:val="Normal"/>
    <w:rsid w:val="00554EEB"/>
    <w:pPr>
      <w:numPr>
        <w:ilvl w:val="1"/>
        <w:numId w:val="4"/>
      </w:numPr>
      <w:spacing w:before="0" w:after="240" w:line="288" w:lineRule="auto"/>
      <w:jc w:val="both"/>
    </w:pPr>
    <w:rPr>
      <w:rFonts w:eastAsia="Times New Roman" w:cs="Times New Roman"/>
      <w:sz w:val="20"/>
      <w:szCs w:val="20"/>
      <w:lang w:eastAsia="en-US"/>
    </w:rPr>
  </w:style>
  <w:style w:type="paragraph" w:customStyle="1" w:styleId="AgtLevel3">
    <w:name w:val="Agt/Level3"/>
    <w:basedOn w:val="Normal"/>
    <w:rsid w:val="00554EEB"/>
    <w:pPr>
      <w:numPr>
        <w:ilvl w:val="2"/>
        <w:numId w:val="4"/>
      </w:numPr>
      <w:spacing w:before="0" w:after="240" w:line="288" w:lineRule="auto"/>
      <w:jc w:val="both"/>
    </w:pPr>
    <w:rPr>
      <w:rFonts w:eastAsia="Times New Roman" w:cs="Times New Roman"/>
      <w:sz w:val="20"/>
      <w:szCs w:val="20"/>
      <w:lang w:eastAsia="en-US"/>
    </w:rPr>
  </w:style>
  <w:style w:type="paragraph" w:customStyle="1" w:styleId="AgtLevel4">
    <w:name w:val="Agt/Level4"/>
    <w:basedOn w:val="Normal"/>
    <w:rsid w:val="00554EEB"/>
    <w:pPr>
      <w:numPr>
        <w:ilvl w:val="3"/>
        <w:numId w:val="4"/>
      </w:numPr>
      <w:spacing w:before="0" w:after="240" w:line="288" w:lineRule="auto"/>
      <w:jc w:val="both"/>
    </w:pPr>
    <w:rPr>
      <w:rFonts w:eastAsia="Times New Roman" w:cs="Times New Roman"/>
      <w:sz w:val="20"/>
      <w:szCs w:val="20"/>
      <w:lang w:eastAsia="en-US"/>
    </w:rPr>
  </w:style>
  <w:style w:type="paragraph" w:customStyle="1" w:styleId="AgtLevel5">
    <w:name w:val="Agt/Level5"/>
    <w:basedOn w:val="Normal"/>
    <w:rsid w:val="00554EEB"/>
    <w:pPr>
      <w:numPr>
        <w:ilvl w:val="4"/>
        <w:numId w:val="4"/>
      </w:numPr>
      <w:spacing w:before="0" w:after="240" w:line="288" w:lineRule="auto"/>
      <w:jc w:val="both"/>
    </w:pPr>
    <w:rPr>
      <w:rFonts w:eastAsia="Times New Roman" w:cs="Times New Roman"/>
      <w:sz w:val="20"/>
      <w:szCs w:val="20"/>
      <w:lang w:eastAsia="en-US"/>
    </w:rPr>
  </w:style>
  <w:style w:type="paragraph" w:customStyle="1" w:styleId="AgtLevel6">
    <w:name w:val="Agt/Level6"/>
    <w:basedOn w:val="Normal"/>
    <w:rsid w:val="00554EEB"/>
    <w:pPr>
      <w:numPr>
        <w:ilvl w:val="5"/>
        <w:numId w:val="4"/>
      </w:numPr>
      <w:spacing w:before="0" w:after="240" w:line="288" w:lineRule="auto"/>
      <w:jc w:val="both"/>
    </w:pPr>
    <w:rPr>
      <w:rFonts w:eastAsia="Times New Roman" w:cs="Times New Roman"/>
      <w:sz w:val="20"/>
      <w:szCs w:val="20"/>
      <w:lang w:eastAsia="en-US"/>
    </w:rPr>
  </w:style>
  <w:style w:type="paragraph" w:customStyle="1" w:styleId="AgtLevel7">
    <w:name w:val="Agt/Level7"/>
    <w:basedOn w:val="Normal"/>
    <w:rsid w:val="00554EEB"/>
    <w:pPr>
      <w:numPr>
        <w:ilvl w:val="6"/>
        <w:numId w:val="4"/>
      </w:numPr>
      <w:spacing w:before="0" w:after="240" w:line="288" w:lineRule="auto"/>
      <w:jc w:val="both"/>
    </w:pPr>
    <w:rPr>
      <w:rFonts w:eastAsia="Times New Roman" w:cs="Times New Roman"/>
      <w:sz w:val="20"/>
      <w:szCs w:val="20"/>
      <w:lang w:eastAsia="en-US"/>
    </w:rPr>
  </w:style>
  <w:style w:type="paragraph" w:customStyle="1" w:styleId="AgtLevel8">
    <w:name w:val="Agt/Level8"/>
    <w:basedOn w:val="Normal"/>
    <w:rsid w:val="00554EEB"/>
    <w:pPr>
      <w:numPr>
        <w:ilvl w:val="7"/>
        <w:numId w:val="4"/>
      </w:numPr>
      <w:spacing w:before="0" w:after="240" w:line="288" w:lineRule="auto"/>
      <w:jc w:val="both"/>
    </w:pPr>
    <w:rPr>
      <w:rFonts w:eastAsia="Times New Roman" w:cs="Times New Roman"/>
      <w:sz w:val="20"/>
      <w:szCs w:val="20"/>
      <w:lang w:eastAsia="en-US"/>
    </w:rPr>
  </w:style>
  <w:style w:type="paragraph" w:customStyle="1" w:styleId="StyleOutlinenumberedLatinArialBoldBold">
    <w:name w:val="Style Outline numbered (Latin) Arial Bold Bold"/>
    <w:basedOn w:val="Normal"/>
    <w:rsid w:val="00F00372"/>
    <w:pPr>
      <w:numPr>
        <w:numId w:val="5"/>
      </w:numPr>
      <w:spacing w:before="0" w:after="0"/>
      <w:ind w:left="714" w:hanging="357"/>
    </w:pPr>
  </w:style>
  <w:style w:type="character" w:customStyle="1" w:styleId="Heading3Char">
    <w:name w:val="Heading 3 Char"/>
    <w:basedOn w:val="DefaultParagraphFont"/>
    <w:link w:val="Heading3"/>
    <w:uiPriority w:val="9"/>
    <w:rsid w:val="00BF5AB5"/>
    <w:rPr>
      <w:rFonts w:ascii="Arial" w:eastAsiaTheme="majorEastAsia" w:hAnsi="Arial" w:cstheme="majorBidi"/>
      <w:b/>
      <w:bCs/>
      <w:lang w:eastAsia="en-GB"/>
    </w:rPr>
  </w:style>
  <w:style w:type="character" w:styleId="FootnoteReference">
    <w:name w:val="footnote reference"/>
    <w:semiHidden/>
    <w:rsid w:val="00146DDA"/>
    <w:rPr>
      <w:vertAlign w:val="superscript"/>
    </w:rPr>
  </w:style>
  <w:style w:type="paragraph" w:styleId="NoSpacing">
    <w:name w:val="No Spacing"/>
    <w:uiPriority w:val="1"/>
    <w:qFormat/>
    <w:rsid w:val="00FF2450"/>
    <w:pPr>
      <w:spacing w:after="0" w:line="240" w:lineRule="auto"/>
    </w:pPr>
    <w:rPr>
      <w:rFonts w:ascii="Calibri" w:eastAsia="Calibri" w:hAnsi="Calibri" w:cs="Times New Roman"/>
    </w:rPr>
  </w:style>
  <w:style w:type="paragraph" w:styleId="Header">
    <w:name w:val="header"/>
    <w:basedOn w:val="Normal"/>
    <w:link w:val="HeaderChar"/>
    <w:rsid w:val="00633379"/>
    <w:pPr>
      <w:tabs>
        <w:tab w:val="center" w:pos="4153"/>
        <w:tab w:val="right" w:pos="8306"/>
      </w:tabs>
    </w:pPr>
  </w:style>
  <w:style w:type="character" w:customStyle="1" w:styleId="HeaderChar">
    <w:name w:val="Header Char"/>
    <w:basedOn w:val="DefaultParagraphFont"/>
    <w:link w:val="Header"/>
    <w:rsid w:val="00633379"/>
    <w:rPr>
      <w:rFonts w:ascii="Arial" w:eastAsia="Arial" w:hAnsi="Arial" w:cs="Arial"/>
      <w:lang w:eastAsia="en-GB"/>
    </w:rPr>
  </w:style>
  <w:style w:type="paragraph" w:customStyle="1" w:styleId="10pttable">
    <w:name w:val="10 pt table"/>
    <w:basedOn w:val="Normal"/>
    <w:rsid w:val="00623944"/>
    <w:rPr>
      <w:sz w:val="20"/>
      <w:szCs w:val="20"/>
    </w:rPr>
  </w:style>
  <w:style w:type="paragraph" w:styleId="Footer">
    <w:name w:val="footer"/>
    <w:basedOn w:val="Normal"/>
    <w:link w:val="FooterChar"/>
    <w:uiPriority w:val="99"/>
    <w:unhideWhenUsed/>
    <w:rsid w:val="00283F23"/>
    <w:pPr>
      <w:tabs>
        <w:tab w:val="center" w:pos="4513"/>
        <w:tab w:val="right" w:pos="9026"/>
      </w:tabs>
      <w:spacing w:before="0" w:after="0"/>
    </w:pPr>
  </w:style>
  <w:style w:type="character" w:customStyle="1" w:styleId="FooterChar">
    <w:name w:val="Footer Char"/>
    <w:basedOn w:val="DefaultParagraphFont"/>
    <w:link w:val="Footer"/>
    <w:uiPriority w:val="99"/>
    <w:rsid w:val="00283F23"/>
    <w:rPr>
      <w:rFonts w:ascii="Arial" w:eastAsia="Arial" w:hAnsi="Arial" w:cs="Arial"/>
      <w:lang w:eastAsia="en-GB"/>
    </w:rPr>
  </w:style>
  <w:style w:type="paragraph" w:customStyle="1" w:styleId="TableSet">
    <w:name w:val="TableSet"/>
    <w:basedOn w:val="Normal"/>
    <w:rsid w:val="00FB1F73"/>
    <w:pPr>
      <w:spacing w:before="40" w:after="40"/>
      <w:ind w:left="74"/>
      <w:jc w:val="both"/>
    </w:pPr>
    <w:rPr>
      <w:rFonts w:eastAsia="Times New Roman" w:cs="Times New Roman"/>
      <w:sz w:val="18"/>
      <w:szCs w:val="24"/>
      <w:lang w:eastAsia="en-US"/>
    </w:rPr>
  </w:style>
  <w:style w:type="paragraph" w:customStyle="1" w:styleId="StyleMOIbulletBefore3ptAfter3pt">
    <w:name w:val="Style MOI bullet + Before:  3 pt After:  3 pt"/>
    <w:basedOn w:val="Normal"/>
    <w:rsid w:val="00FB1F73"/>
    <w:pPr>
      <w:numPr>
        <w:numId w:val="7"/>
      </w:numPr>
      <w:ind w:left="606" w:hanging="357"/>
      <w:jc w:val="both"/>
    </w:pPr>
    <w:rPr>
      <w:rFonts w:eastAsia="Times New Roman" w:cs="Times New Roman"/>
      <w:sz w:val="18"/>
      <w:szCs w:val="24"/>
      <w:lang w:eastAsia="en-US"/>
    </w:rPr>
  </w:style>
  <w:style w:type="paragraph" w:styleId="TOCHeading">
    <w:name w:val="TOC Heading"/>
    <w:basedOn w:val="Heading1"/>
    <w:next w:val="Normal"/>
    <w:uiPriority w:val="39"/>
    <w:semiHidden/>
    <w:unhideWhenUsed/>
    <w:qFormat/>
    <w:rsid w:val="00BF5AB5"/>
    <w:pPr>
      <w:keepLines/>
      <w:pageBreakBefore w:val="0"/>
      <w:numPr>
        <w:numId w:val="0"/>
      </w:numPr>
      <w:spacing w:before="480" w:after="0" w:line="276" w:lineRule="auto"/>
      <w:jc w:val="left"/>
      <w:outlineLvl w:val="9"/>
    </w:pPr>
    <w:rPr>
      <w:rFonts w:asciiTheme="majorHAnsi" w:eastAsiaTheme="majorEastAsia" w:hAnsiTheme="majorHAnsi" w:cstheme="majorBidi"/>
      <w:color w:val="365F91" w:themeColor="accent1" w:themeShade="BF"/>
      <w:kern w:val="0"/>
      <w:szCs w:val="28"/>
      <w:lang w:val="en-US" w:eastAsia="ja-JP"/>
    </w:rPr>
  </w:style>
  <w:style w:type="paragraph" w:styleId="TOC3">
    <w:name w:val="toc 3"/>
    <w:basedOn w:val="Normal"/>
    <w:next w:val="Normal"/>
    <w:autoRedefine/>
    <w:uiPriority w:val="39"/>
    <w:unhideWhenUsed/>
    <w:qFormat/>
    <w:rsid w:val="00EE5907"/>
    <w:pPr>
      <w:tabs>
        <w:tab w:val="left" w:pos="1320"/>
        <w:tab w:val="right" w:leader="dot" w:pos="9016"/>
      </w:tabs>
      <w:spacing w:after="100"/>
      <w:ind w:left="440"/>
    </w:pPr>
  </w:style>
  <w:style w:type="paragraph" w:styleId="BodyText">
    <w:name w:val="Body Text"/>
    <w:basedOn w:val="Normal"/>
    <w:link w:val="BodyTextChar"/>
    <w:semiHidden/>
    <w:rsid w:val="006714EA"/>
    <w:pPr>
      <w:spacing w:before="0" w:after="0"/>
    </w:pPr>
    <w:rPr>
      <w:rFonts w:eastAsia="Times New Roman"/>
      <w:lang w:eastAsia="en-US"/>
    </w:rPr>
  </w:style>
  <w:style w:type="character" w:customStyle="1" w:styleId="BodyTextChar">
    <w:name w:val="Body Text Char"/>
    <w:basedOn w:val="DefaultParagraphFont"/>
    <w:link w:val="BodyText"/>
    <w:semiHidden/>
    <w:rsid w:val="006714EA"/>
    <w:rPr>
      <w:rFonts w:ascii="Arial" w:eastAsia="Times New Roman" w:hAnsi="Arial" w:cs="Arial"/>
    </w:rPr>
  </w:style>
  <w:style w:type="character" w:styleId="CommentReference">
    <w:name w:val="annotation reference"/>
    <w:basedOn w:val="DefaultParagraphFont"/>
    <w:uiPriority w:val="99"/>
    <w:semiHidden/>
    <w:unhideWhenUsed/>
    <w:rsid w:val="009004DB"/>
    <w:rPr>
      <w:sz w:val="16"/>
      <w:szCs w:val="16"/>
    </w:rPr>
  </w:style>
  <w:style w:type="paragraph" w:styleId="CommentText">
    <w:name w:val="annotation text"/>
    <w:basedOn w:val="Normal"/>
    <w:link w:val="CommentTextChar"/>
    <w:uiPriority w:val="99"/>
    <w:semiHidden/>
    <w:unhideWhenUsed/>
    <w:rsid w:val="009004DB"/>
    <w:rPr>
      <w:sz w:val="20"/>
      <w:szCs w:val="20"/>
    </w:rPr>
  </w:style>
  <w:style w:type="character" w:customStyle="1" w:styleId="CommentTextChar">
    <w:name w:val="Comment Text Char"/>
    <w:basedOn w:val="DefaultParagraphFont"/>
    <w:link w:val="CommentText"/>
    <w:uiPriority w:val="99"/>
    <w:semiHidden/>
    <w:rsid w:val="009004DB"/>
    <w:rPr>
      <w:rFonts w:ascii="Arial" w:eastAsia="Arial" w:hAnsi="Arial" w:cs="Arial"/>
      <w:sz w:val="20"/>
      <w:szCs w:val="20"/>
      <w:lang w:eastAsia="en-GB"/>
    </w:rPr>
  </w:style>
  <w:style w:type="paragraph" w:styleId="CommentSubject">
    <w:name w:val="annotation subject"/>
    <w:basedOn w:val="CommentText"/>
    <w:next w:val="CommentText"/>
    <w:link w:val="CommentSubjectChar"/>
    <w:uiPriority w:val="99"/>
    <w:semiHidden/>
    <w:unhideWhenUsed/>
    <w:rsid w:val="009004DB"/>
    <w:rPr>
      <w:b/>
      <w:bCs/>
    </w:rPr>
  </w:style>
  <w:style w:type="character" w:customStyle="1" w:styleId="CommentSubjectChar">
    <w:name w:val="Comment Subject Char"/>
    <w:basedOn w:val="CommentTextChar"/>
    <w:link w:val="CommentSubject"/>
    <w:uiPriority w:val="99"/>
    <w:semiHidden/>
    <w:rsid w:val="009004DB"/>
    <w:rPr>
      <w:rFonts w:ascii="Arial" w:eastAsia="Arial" w:hAnsi="Arial" w:cs="Arial"/>
      <w:b/>
      <w:bCs/>
      <w:sz w:val="20"/>
      <w:szCs w:val="20"/>
      <w:lang w:eastAsia="en-GB"/>
    </w:rPr>
  </w:style>
  <w:style w:type="paragraph" w:styleId="NormalWeb">
    <w:name w:val="Normal (Web)"/>
    <w:basedOn w:val="Normal"/>
    <w:uiPriority w:val="99"/>
    <w:semiHidden/>
    <w:unhideWhenUsed/>
    <w:rsid w:val="009D28C4"/>
    <w:pPr>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970416"/>
    <w:pPr>
      <w:spacing w:after="0" w:line="240" w:lineRule="auto"/>
    </w:pPr>
    <w:rPr>
      <w:rFonts w:ascii="Arial" w:eastAsia="Arial"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261023">
      <w:bodyDiv w:val="1"/>
      <w:marLeft w:val="0"/>
      <w:marRight w:val="0"/>
      <w:marTop w:val="0"/>
      <w:marBottom w:val="0"/>
      <w:divBdr>
        <w:top w:val="none" w:sz="0" w:space="0" w:color="auto"/>
        <w:left w:val="none" w:sz="0" w:space="0" w:color="auto"/>
        <w:bottom w:val="none" w:sz="0" w:space="0" w:color="auto"/>
        <w:right w:val="none" w:sz="0" w:space="0" w:color="auto"/>
      </w:divBdr>
    </w:div>
    <w:div w:id="477959943">
      <w:bodyDiv w:val="1"/>
      <w:marLeft w:val="0"/>
      <w:marRight w:val="0"/>
      <w:marTop w:val="0"/>
      <w:marBottom w:val="0"/>
      <w:divBdr>
        <w:top w:val="none" w:sz="0" w:space="0" w:color="auto"/>
        <w:left w:val="none" w:sz="0" w:space="0" w:color="auto"/>
        <w:bottom w:val="none" w:sz="0" w:space="0" w:color="auto"/>
        <w:right w:val="none" w:sz="0" w:space="0" w:color="auto"/>
      </w:divBdr>
    </w:div>
    <w:div w:id="1066296277">
      <w:bodyDiv w:val="1"/>
      <w:marLeft w:val="0"/>
      <w:marRight w:val="0"/>
      <w:marTop w:val="0"/>
      <w:marBottom w:val="0"/>
      <w:divBdr>
        <w:top w:val="none" w:sz="0" w:space="0" w:color="auto"/>
        <w:left w:val="none" w:sz="0" w:space="0" w:color="auto"/>
        <w:bottom w:val="none" w:sz="0" w:space="0" w:color="auto"/>
        <w:right w:val="none" w:sz="0" w:space="0" w:color="auto"/>
      </w:divBdr>
    </w:div>
    <w:div w:id="1917277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C37746-57F2-4A09-A16E-7C0A9B16A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5146</Words>
  <Characters>29335</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NHS London</Company>
  <LinksUpToDate>false</LinksUpToDate>
  <CharactersWithSpaces>34413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Sanjay Ojha</dc:creator>
  <cp:lastModifiedBy>Mansfield, David - Senior Procurement Manager</cp:lastModifiedBy>
  <cp:revision>3</cp:revision>
  <cp:lastPrinted>2015-01-08T14:14:00Z</cp:lastPrinted>
  <dcterms:created xsi:type="dcterms:W3CDTF">2018-02-13T13:27:00Z</dcterms:created>
  <dcterms:modified xsi:type="dcterms:W3CDTF">2018-02-13T14:15:00Z</dcterms:modified>
</cp:coreProperties>
</file>