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Rule="auto"/>
        <w:jc w:val="both"/>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Rule="auto"/>
              <w:rPr>
                <w:rFonts w:ascii="Arial" w:cs="Arial" w:eastAsia="Arial" w:hAnsi="Arial"/>
                <w:b w:val="1"/>
                <w:highlight w:val="cyan"/>
              </w:rPr>
            </w:pPr>
            <w:r w:rsidDel="00000000" w:rsidR="00000000" w:rsidRPr="00000000">
              <w:rPr>
                <w:rFonts w:ascii="Arial" w:cs="Arial" w:eastAsia="Arial" w:hAnsi="Arial"/>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spacing w:after="240" w:lineRule="auto"/>
        <w:jc w:val="both"/>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keepNext w:val="1"/>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Call-Off Schedule 17 (MOD Terms) </w:t>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spacing w:after="240" w:before="120" w:lineRule="auto"/>
        <w:ind w:left="360" w:hanging="360"/>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w:t>
      </w:r>
      <w:r w:rsidDel="00000000" w:rsidR="00000000" w:rsidRPr="00000000">
        <w:rPr>
          <w:rFonts w:ascii="Arial Bold" w:cs="Arial Bold" w:eastAsia="Arial Bold" w:hAnsi="Arial Bold"/>
          <w:b w:val="1"/>
          <w:color w:val="000000"/>
          <w:sz w:val="24"/>
          <w:szCs w:val="24"/>
          <w:rtl w:val="0"/>
        </w:rPr>
        <w:t xml:space="preserve">efinitions</w:t>
      </w:r>
      <w:r w:rsidDel="00000000" w:rsidR="00000000" w:rsidRPr="00000000">
        <w:rPr>
          <w:rtl w:val="0"/>
        </w:rPr>
      </w:r>
    </w:p>
    <w:p w:rsidR="00000000" w:rsidDel="00000000" w:rsidP="00000000" w:rsidRDefault="00000000" w:rsidRPr="00000000" w14:paraId="00000006">
      <w:pPr>
        <w:keepNext w:val="1"/>
        <w:numPr>
          <w:ilvl w:val="1"/>
          <w:numId w:val="1"/>
        </w:numPr>
        <w:pBdr>
          <w:top w:space="0" w:sz="0" w:val="nil"/>
          <w:left w:space="0" w:sz="0" w:val="nil"/>
          <w:bottom w:space="0" w:sz="0" w:val="nil"/>
          <w:right w:space="0" w:sz="0" w:val="nil"/>
          <w:between w:space="0" w:sz="0" w:val="nil"/>
        </w:pBdr>
        <w:tabs>
          <w:tab w:val="left" w:pos="709"/>
        </w:tabs>
        <w:spacing w:after="120" w:before="120" w:lineRule="auto"/>
        <w:ind w:left="93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Schedule, the following words shall have the following meanings and they shall supplement Joint Schedule 1 (Definitions):</w:t>
      </w:r>
    </w:p>
    <w:tbl>
      <w:tblPr>
        <w:tblStyle w:val="Table2"/>
        <w:tblW w:w="8018.0" w:type="dxa"/>
        <w:jc w:val="left"/>
        <w:tblInd w:w="10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422"/>
        <w:gridCol w:w="4596"/>
        <w:tblGridChange w:id="0">
          <w:tblGrid>
            <w:gridCol w:w="3422"/>
            <w:gridCol w:w="4596"/>
          </w:tblGrid>
        </w:tblGridChange>
      </w:tblGrid>
      <w:tr>
        <w:trPr>
          <w:cantSplit w:val="0"/>
          <w:tblHeader w:val="0"/>
        </w:trPr>
        <w:tc>
          <w:tcPr/>
          <w:p w:rsidR="00000000" w:rsidDel="00000000" w:rsidP="00000000" w:rsidRDefault="00000000" w:rsidRPr="00000000" w14:paraId="00000007">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"MOD Terms and Conditions"</w:t>
            </w:r>
          </w:p>
        </w:tc>
        <w:tc>
          <w:tcPr/>
          <w:p w:rsidR="00000000" w:rsidDel="00000000" w:rsidP="00000000" w:rsidRDefault="00000000" w:rsidRPr="00000000" w14:paraId="00000008">
            <w:pPr>
              <w:rPr>
                <w:rFonts w:ascii="Arial" w:cs="Arial" w:eastAsia="Arial" w:hAnsi="Arial"/>
                <w:sz w:val="24"/>
                <w:szCs w:val="24"/>
              </w:rPr>
            </w:pPr>
            <w:r w:rsidDel="00000000" w:rsidR="00000000" w:rsidRPr="00000000">
              <w:rPr>
                <w:rFonts w:ascii="Arial" w:cs="Arial" w:eastAsia="Arial" w:hAnsi="Arial"/>
                <w:sz w:val="24"/>
                <w:szCs w:val="24"/>
                <w:rtl w:val="0"/>
              </w:rPr>
              <w:t xml:space="preserve">the terms and conditions listed in this Schedule;</w:t>
            </w:r>
          </w:p>
          <w:p w:rsidR="00000000" w:rsidDel="00000000" w:rsidP="00000000" w:rsidRDefault="00000000" w:rsidRPr="00000000" w14:paraId="00000009">
            <w:pPr>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A">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"MOD Site"</w:t>
            </w:r>
          </w:p>
        </w:tc>
        <w:tc>
          <w:tcPr/>
          <w:p w:rsidR="00000000" w:rsidDel="00000000" w:rsidP="00000000" w:rsidRDefault="00000000" w:rsidRPr="00000000" w14:paraId="0000000B">
            <w:pPr>
              <w:rPr>
                <w:rFonts w:ascii="Arial" w:cs="Arial" w:eastAsia="Arial" w:hAnsi="Arial"/>
                <w:sz w:val="24"/>
                <w:szCs w:val="24"/>
              </w:rPr>
            </w:pPr>
            <w:r w:rsidDel="00000000" w:rsidR="00000000" w:rsidRPr="00000000">
              <w:rPr>
                <w:rFonts w:ascii="Arial" w:cs="Arial" w:eastAsia="Arial" w:hAnsi="Arial"/>
                <w:sz w:val="24"/>
                <w:szCs w:val="24"/>
                <w:rtl w:val="0"/>
              </w:rPr>
              <w:t xml:space="preserve">shall include any of Her Majesty's Ships or Vessels and Service Stations;</w:t>
            </w:r>
          </w:p>
          <w:p w:rsidR="00000000" w:rsidDel="00000000" w:rsidP="00000000" w:rsidRDefault="00000000" w:rsidRPr="00000000" w14:paraId="0000000C">
            <w:pPr>
              <w:rPr>
                <w:rFonts w:ascii="Arial" w:cs="Arial" w:eastAsia="Arial" w:hAnsi="Arial"/>
                <w:b w:val="1"/>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D">
            <w:pP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"Officer in charge"</w:t>
            </w:r>
          </w:p>
        </w:tc>
        <w:tc>
          <w:tcPr/>
          <w:p w:rsidR="00000000" w:rsidDel="00000000" w:rsidP="00000000" w:rsidRDefault="00000000" w:rsidRPr="00000000" w14:paraId="0000000E">
            <w:pPr>
              <w:rPr>
                <w:rFonts w:ascii="Arial" w:cs="Arial" w:eastAsia="Arial" w:hAnsi="Arial"/>
                <w:b w:val="1"/>
                <w:sz w:val="24"/>
                <w:szCs w:val="24"/>
              </w:rPr>
            </w:pPr>
            <w:r w:rsidDel="00000000" w:rsidR="00000000" w:rsidRPr="00000000">
              <w:rPr>
                <w:rFonts w:ascii="Arial" w:cs="Arial" w:eastAsia="Arial" w:hAnsi="Arial"/>
                <w:sz w:val="24"/>
                <w:szCs w:val="24"/>
                <w:rtl w:val="0"/>
              </w:rPr>
              <w:t xml:space="preserve">shall include Officers Commanding Service Stations, Ships' Masters or Senior Officers, and Officers superintending Government Establishments;</w:t>
            </w:r>
            <w:r w:rsidDel="00000000" w:rsidR="00000000" w:rsidRPr="00000000">
              <w:rPr>
                <w:rtl w:val="0"/>
              </w:rPr>
            </w:r>
          </w:p>
        </w:tc>
      </w:tr>
    </w:tbl>
    <w:p w:rsidR="00000000" w:rsidDel="00000000" w:rsidP="00000000" w:rsidRDefault="00000000" w:rsidRPr="00000000" w14:paraId="0000000F">
      <w:pPr>
        <w:keepNext w:val="1"/>
        <w:numPr>
          <w:ilvl w:val="0"/>
          <w:numId w:val="1"/>
        </w:numPr>
        <w:pBdr>
          <w:top w:space="0" w:sz="0" w:val="nil"/>
          <w:left w:space="0" w:sz="0" w:val="nil"/>
          <w:bottom w:space="0" w:sz="0" w:val="nil"/>
          <w:right w:space="0" w:sz="0" w:val="nil"/>
          <w:between w:space="0" w:sz="0" w:val="nil"/>
        </w:pBdr>
        <w:spacing w:after="240" w:before="120" w:lineRule="auto"/>
        <w:ind w:left="360" w:hanging="360"/>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Access to MOD sites</w:t>
      </w:r>
    </w:p>
    <w:p w:rsidR="00000000" w:rsidDel="00000000" w:rsidP="00000000" w:rsidRDefault="00000000" w:rsidRPr="00000000" w14:paraId="00000010">
      <w:pPr>
        <w:numPr>
          <w:ilvl w:val="1"/>
          <w:numId w:val="1"/>
        </w:numPr>
        <w:pBdr>
          <w:top w:space="0" w:sz="0" w:val="nil"/>
          <w:left w:space="0" w:sz="0" w:val="nil"/>
          <w:bottom w:space="0" w:sz="0" w:val="nil"/>
          <w:right w:space="0" w:sz="0" w:val="nil"/>
          <w:between w:space="0" w:sz="0" w:val="nil"/>
        </w:pBdr>
        <w:tabs>
          <w:tab w:val="left" w:pos="709"/>
        </w:tabs>
        <w:spacing w:after="120" w:before="120" w:lineRule="auto"/>
        <w:ind w:left="93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issue passes for those representatives of the Supplier who are approved for admission to the MOD Site and a representative shall not be admitted unless in possession of such a pass.  Passes shall remain the property of the Buyer and shall be surrendered on demand or on completion of the supply of the Deliverables.</w:t>
      </w:r>
    </w:p>
    <w:p w:rsidR="00000000" w:rsidDel="00000000" w:rsidP="00000000" w:rsidRDefault="00000000" w:rsidRPr="00000000" w14:paraId="00000011">
      <w:pPr>
        <w:numPr>
          <w:ilvl w:val="1"/>
          <w:numId w:val="1"/>
        </w:numPr>
        <w:pBdr>
          <w:top w:space="0" w:sz="0" w:val="nil"/>
          <w:left w:space="0" w:sz="0" w:val="nil"/>
          <w:bottom w:space="0" w:sz="0" w:val="nil"/>
          <w:right w:space="0" w:sz="0" w:val="nil"/>
          <w:between w:space="0" w:sz="0" w:val="nil"/>
        </w:pBdr>
        <w:tabs>
          <w:tab w:val="left" w:pos="709"/>
        </w:tabs>
        <w:spacing w:after="120" w:before="120" w:lineRule="auto"/>
        <w:ind w:left="936" w:hanging="576"/>
        <w:rPr>
          <w:rFonts w:ascii="Arial" w:cs="Arial" w:eastAsia="Arial" w:hAnsi="Arial"/>
          <w:color w:val="000000"/>
          <w:sz w:val="24"/>
          <w:szCs w:val="24"/>
        </w:rPr>
      </w:pPr>
      <w:bookmarkStart w:colFirst="0" w:colLast="0" w:name="_heading=h.30j0zll" w:id="0"/>
      <w:bookmarkEnd w:id="0"/>
      <w:r w:rsidDel="00000000" w:rsidR="00000000" w:rsidRPr="00000000">
        <w:rPr>
          <w:rFonts w:ascii="Arial" w:cs="Arial" w:eastAsia="Arial" w:hAnsi="Arial"/>
          <w:color w:val="000000"/>
          <w:sz w:val="24"/>
          <w:szCs w:val="24"/>
          <w:rtl w:val="0"/>
        </w:rPr>
        <w:t xml:space="preserve">The Supplier's representatives when employed within the boundaries of a MOD Site, shall comply with such rules, regulations and requirements (including those relating to security arrangements) as may be in force for the time being for the conduct of staff at that MOD Site.  When on board ship, compliance shall be with the Ship's Regulations as interpreted by the Officer in charge.  Details of such rules, regulations and requirements shall be provided, on request, by the Officer in charge.</w:t>
      </w:r>
    </w:p>
    <w:p w:rsidR="00000000" w:rsidDel="00000000" w:rsidP="00000000" w:rsidRDefault="00000000" w:rsidRPr="00000000" w14:paraId="00000012">
      <w:pPr>
        <w:numPr>
          <w:ilvl w:val="1"/>
          <w:numId w:val="1"/>
        </w:numPr>
        <w:pBdr>
          <w:top w:space="0" w:sz="0" w:val="nil"/>
          <w:left w:space="0" w:sz="0" w:val="nil"/>
          <w:bottom w:space="0" w:sz="0" w:val="nil"/>
          <w:right w:space="0" w:sz="0" w:val="nil"/>
          <w:between w:space="0" w:sz="0" w:val="nil"/>
        </w:pBdr>
        <w:tabs>
          <w:tab w:val="left" w:pos="709"/>
        </w:tabs>
        <w:spacing w:after="120" w:before="120" w:lineRule="auto"/>
        <w:ind w:left="93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be responsible for the living accommodation and maintenance of its representatives while they are employed at a MOD Site.  Sleeping accommodation and messing facilities, if required, may be provided by the Buyer wherever possible, at the discretion of the Officer in charge, at a cost fixed in accordance with current Ministry of Defence regulations.  At MOD Sites overseas, accommodation and messing facilities, if required, shall be provided wherever possible.  The status to be accorded to the Supplier's staff for messing purposes shall be at the discretion of the Officer in charge who shall, wherever possible give his decision before the commencement of this Contract where so asked by the Supplier.  When sleeping accommodation and messing facilities are not available, a certificate to this effect may be required by the Buyer and shall be obtained by the Supplier from the Officer in charge.  Such certificate shall be presented to the Buyer with other evidence relating to the costs of this Contract.</w:t>
      </w:r>
    </w:p>
    <w:p w:rsidR="00000000" w:rsidDel="00000000" w:rsidP="00000000" w:rsidRDefault="00000000" w:rsidRPr="00000000" w14:paraId="00000013">
      <w:pPr>
        <w:numPr>
          <w:ilvl w:val="1"/>
          <w:numId w:val="1"/>
        </w:numPr>
        <w:pBdr>
          <w:top w:space="0" w:sz="0" w:val="nil"/>
          <w:left w:space="0" w:sz="0" w:val="nil"/>
          <w:bottom w:space="0" w:sz="0" w:val="nil"/>
          <w:right w:space="0" w:sz="0" w:val="nil"/>
          <w:between w:space="0" w:sz="0" w:val="nil"/>
        </w:pBdr>
        <w:tabs>
          <w:tab w:val="left" w:pos="709"/>
        </w:tabs>
        <w:spacing w:after="120" w:before="120" w:lineRule="auto"/>
        <w:ind w:left="93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Where the Supplier's representatives are required by this Contract to join or visit a Site overseas, transport between the United Kingdom and the place of duty (but excluding transport within the United Kingdom) shall be provided for them free of charge by the Ministry of Defence whenever possible, normally by Royal Air Force or by MOD chartered aircraft.  The Supplier shall make such arrangements through the Technical Branch named for this purpose in the Buyer Contract Details.  When such transport is not available within a reasonable time, or in circumstances where the Supplier wishes its representatives to accompany material for installation which it is to arrange to be delivered, the Supplier shall make its own transport arrangements.  The Buyer shall reimburse the Supplier's reasonable costs for such transport of its representatives on presentation of evidence supporting the use of alternative transport and of the costs involved.  Transport of the Supplier's representatives locally overseas which is necessary for the purpose of this Contract shall be provided wherever possible by the Ministry of Defence, or by the Officer in charge and, where so provided, shall be free of charge.</w:t>
      </w:r>
    </w:p>
    <w:p w:rsidR="00000000" w:rsidDel="00000000" w:rsidP="00000000" w:rsidRDefault="00000000" w:rsidRPr="00000000" w14:paraId="00000014">
      <w:pPr>
        <w:numPr>
          <w:ilvl w:val="1"/>
          <w:numId w:val="1"/>
        </w:numPr>
        <w:pBdr>
          <w:top w:space="0" w:sz="0" w:val="nil"/>
          <w:left w:space="0" w:sz="0" w:val="nil"/>
          <w:bottom w:space="0" w:sz="0" w:val="nil"/>
          <w:right w:space="0" w:sz="0" w:val="nil"/>
          <w:between w:space="0" w:sz="0" w:val="nil"/>
        </w:pBdr>
        <w:tabs>
          <w:tab w:val="left" w:pos="709"/>
        </w:tabs>
        <w:spacing w:after="120" w:before="120" w:lineRule="auto"/>
        <w:ind w:left="93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Out-patient medical treatment given to the Supplier's representatives by a Service Medical Officer or other Government Medical Officer at a Site overseas shall be free of charge.  Treatment in a Service hospital or medical centre, dental treatment, the provision of dentures or spectacles, conveyance to and from a hospital, medical centre or surgery not within the Site and transportation of the Supplier's representatives back to the United Kingdom, or elsewhere, for medical reasons, shall be charged to the Supplier at rates fixed in accordance with current Ministry of Defence regulations.</w:t>
      </w:r>
    </w:p>
    <w:p w:rsidR="00000000" w:rsidDel="00000000" w:rsidP="00000000" w:rsidRDefault="00000000" w:rsidRPr="00000000" w14:paraId="00000015">
      <w:pPr>
        <w:numPr>
          <w:ilvl w:val="1"/>
          <w:numId w:val="1"/>
        </w:numPr>
        <w:pBdr>
          <w:top w:space="0" w:sz="0" w:val="nil"/>
          <w:left w:space="0" w:sz="0" w:val="nil"/>
          <w:bottom w:space="0" w:sz="0" w:val="nil"/>
          <w:right w:space="0" w:sz="0" w:val="nil"/>
          <w:between w:space="0" w:sz="0" w:val="nil"/>
        </w:pBdr>
        <w:tabs>
          <w:tab w:val="left" w:pos="709"/>
        </w:tabs>
        <w:spacing w:after="120" w:before="120" w:lineRule="auto"/>
        <w:ind w:left="93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Accidents to the Supplier's representatives which ordinarily require to be reported in accordance with Health and Safety at Work etc. Act 1974, shall be reported to the Officer in charge so that the Inspector of Factories may be informed.</w:t>
      </w:r>
    </w:p>
    <w:p w:rsidR="00000000" w:rsidDel="00000000" w:rsidP="00000000" w:rsidRDefault="00000000" w:rsidRPr="00000000" w14:paraId="00000016">
      <w:pPr>
        <w:numPr>
          <w:ilvl w:val="1"/>
          <w:numId w:val="1"/>
        </w:numPr>
        <w:pBdr>
          <w:top w:space="0" w:sz="0" w:val="nil"/>
          <w:left w:space="0" w:sz="0" w:val="nil"/>
          <w:bottom w:space="0" w:sz="0" w:val="nil"/>
          <w:right w:space="0" w:sz="0" w:val="nil"/>
          <w:between w:space="0" w:sz="0" w:val="nil"/>
        </w:pBdr>
        <w:tabs>
          <w:tab w:val="left" w:pos="709"/>
        </w:tabs>
        <w:spacing w:after="120" w:before="120" w:lineRule="auto"/>
        <w:ind w:left="93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 assistance from public funds, and no messing facilities, accommodation or transport overseas shall be provided for dependants or members of the families of the Supplier's representatives.  Medical or necessary dental treatment may, however, be provided for dependants or members of families on repayment at current Ministry of Defence rates.</w:t>
      </w:r>
    </w:p>
    <w:p w:rsidR="00000000" w:rsidDel="00000000" w:rsidP="00000000" w:rsidRDefault="00000000" w:rsidRPr="00000000" w14:paraId="00000017">
      <w:pPr>
        <w:numPr>
          <w:ilvl w:val="1"/>
          <w:numId w:val="1"/>
        </w:numPr>
        <w:pBdr>
          <w:top w:space="0" w:sz="0" w:val="nil"/>
          <w:left w:space="0" w:sz="0" w:val="nil"/>
          <w:bottom w:space="0" w:sz="0" w:val="nil"/>
          <w:right w:space="0" w:sz="0" w:val="nil"/>
          <w:between w:space="0" w:sz="0" w:val="nil"/>
        </w:pBdr>
        <w:tabs>
          <w:tab w:val="left" w:pos="709"/>
        </w:tabs>
        <w:spacing w:after="120" w:before="120" w:lineRule="auto"/>
        <w:ind w:left="93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Supplier shall, wherever possible, arrange for funds to be provided to its representatives overseas through normal banking channels (e.g. by travellers' cheques).  If banking or other suitable facilities are not available, the Buyer shall, upon request by the Supplier and subject to any limitation required by the Supplier, make arrangements for payments, converted at the prevailing rate of exchange (where applicable), to be made at the Site to which the Supplier's representatives are attached.  All such advances made by the Buyer shall be recovered from the Supplier</w:t>
      </w:r>
    </w:p>
    <w:p w:rsidR="00000000" w:rsidDel="00000000" w:rsidP="00000000" w:rsidRDefault="00000000" w:rsidRPr="00000000" w14:paraId="00000018">
      <w:pPr>
        <w:pStyle w:val="Heading1"/>
        <w:numPr>
          <w:ilvl w:val="0"/>
          <w:numId w:val="1"/>
        </w:numPr>
        <w:ind w:left="432" w:hanging="432"/>
        <w:rPr>
          <w:rFonts w:ascii="Arial" w:cs="Arial" w:eastAsia="Arial" w:hAnsi="Arial"/>
          <w:sz w:val="24"/>
          <w:szCs w:val="24"/>
        </w:rPr>
      </w:pPr>
      <w:r w:rsidDel="00000000" w:rsidR="00000000" w:rsidRPr="00000000">
        <w:rPr>
          <w:rFonts w:ascii="Arial" w:cs="Arial" w:eastAsia="Arial" w:hAnsi="Arial"/>
          <w:sz w:val="24"/>
          <w:szCs w:val="24"/>
          <w:rtl w:val="0"/>
        </w:rPr>
        <w:t xml:space="preserve">DEFCONS and DEFFORMS</w:t>
      </w:r>
    </w:p>
    <w:p w:rsidR="00000000" w:rsidDel="00000000" w:rsidP="00000000" w:rsidRDefault="00000000" w:rsidRPr="00000000" w14:paraId="00000019">
      <w:pPr>
        <w:pStyle w:val="Heading2"/>
        <w:numPr>
          <w:ilvl w:val="1"/>
          <w:numId w:val="1"/>
        </w:numPr>
        <w:ind w:left="57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The DEFCONS and DEFORMS listed in Annex 1 to this Schedule are incorporated into this Contract.  </w:t>
      </w:r>
    </w:p>
    <w:p w:rsidR="00000000" w:rsidDel="00000000" w:rsidP="00000000" w:rsidRDefault="00000000" w:rsidRPr="00000000" w14:paraId="0000001A">
      <w:pPr>
        <w:pStyle w:val="Heading2"/>
        <w:numPr>
          <w:ilvl w:val="1"/>
          <w:numId w:val="1"/>
        </w:numPr>
        <w:ind w:left="57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Where a DEFCON or DEFORM is updated or replaced the reference shall be taken as referring to the updated or replacement DEFCON or DEFORM from time to time.</w:t>
      </w:r>
    </w:p>
    <w:p w:rsidR="00000000" w:rsidDel="00000000" w:rsidP="00000000" w:rsidRDefault="00000000" w:rsidRPr="00000000" w14:paraId="0000001B">
      <w:pPr>
        <w:pStyle w:val="Heading2"/>
        <w:numPr>
          <w:ilvl w:val="1"/>
          <w:numId w:val="1"/>
        </w:numPr>
        <w:ind w:left="57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In the event of a conflict between any DEFCONs and DEFFORMS listed in the Order Form and the other terms in a Call Off Contract, the DEFCONs and DEFFORMS shall prevail. </w:t>
      </w:r>
    </w:p>
    <w:p w:rsidR="00000000" w:rsidDel="00000000" w:rsidP="00000000" w:rsidRDefault="00000000" w:rsidRPr="00000000" w14:paraId="0000001C">
      <w:pPr>
        <w:pStyle w:val="Heading1"/>
        <w:numPr>
          <w:ilvl w:val="0"/>
          <w:numId w:val="1"/>
        </w:numPr>
        <w:ind w:left="432" w:hanging="432"/>
        <w:rPr>
          <w:rFonts w:ascii="Arial" w:cs="Arial" w:eastAsia="Arial" w:hAnsi="Arial"/>
          <w:sz w:val="24"/>
          <w:szCs w:val="24"/>
        </w:rPr>
      </w:pPr>
      <w:r w:rsidDel="00000000" w:rsidR="00000000" w:rsidRPr="00000000">
        <w:rPr>
          <w:rFonts w:ascii="Arial" w:cs="Arial" w:eastAsia="Arial" w:hAnsi="Arial"/>
          <w:sz w:val="24"/>
          <w:szCs w:val="24"/>
          <w:rtl w:val="0"/>
        </w:rPr>
        <w:t xml:space="preserve">Authorisation by the Crown for use of third party intellectual property rights</w:t>
      </w:r>
    </w:p>
    <w:p w:rsidR="00000000" w:rsidDel="00000000" w:rsidP="00000000" w:rsidRDefault="00000000" w:rsidRPr="00000000" w14:paraId="0000001D">
      <w:pPr>
        <w:pStyle w:val="Heading2"/>
        <w:numPr>
          <w:ilvl w:val="1"/>
          <w:numId w:val="1"/>
        </w:numPr>
        <w:ind w:left="576" w:hanging="576"/>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Notwithstanding any other provisions of the Call Off Contract and for the avoidance of doubt, award of the Call Off Contract by the Buyer and placement of any contract task under it does not constitute an authorisation by the Crown under Sections 55 and 56 of the Patents Act 1977 or Section 12 of the Registered Designs Act 1949. The Supplier acknowledges that any such authorisation by the Buyer under its statutory powers must be expressly provided in writing, with reference to the acts authorised and the specific intellectual property involved.</w:t>
      </w:r>
    </w:p>
    <w:p w:rsidR="00000000" w:rsidDel="00000000" w:rsidP="00000000" w:rsidRDefault="00000000" w:rsidRPr="00000000" w14:paraId="0000001E">
      <w:pPr>
        <w:rPr>
          <w:rFonts w:ascii="Arial" w:cs="Arial" w:eastAsia="Arial" w:hAnsi="Arial"/>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1F">
      <w:pP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20">
      <w:pPr>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ANNEX 1 - DEFCONS &amp; DEFFORMS</w:t>
      </w:r>
    </w:p>
    <w:p w:rsidR="00000000" w:rsidDel="00000000" w:rsidP="00000000" w:rsidRDefault="00000000" w:rsidRPr="00000000" w14:paraId="00000021">
      <w:pP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2">
      <w:pPr>
        <w:rPr>
          <w:rFonts w:ascii="Arial" w:cs="Arial" w:eastAsia="Arial" w:hAnsi="Arial"/>
          <w:color w:val="000000"/>
          <w:sz w:val="24"/>
          <w:szCs w:val="24"/>
        </w:rPr>
      </w:pPr>
      <w:bookmarkStart w:colFirst="0" w:colLast="0" w:name="_heading=h.gjdgxs" w:id="1"/>
      <w:bookmarkEnd w:id="1"/>
      <w:r w:rsidDel="00000000" w:rsidR="00000000" w:rsidRPr="00000000">
        <w:rPr>
          <w:rFonts w:ascii="Arial" w:cs="Arial" w:eastAsia="Arial" w:hAnsi="Arial"/>
          <w:color w:val="000000"/>
          <w:sz w:val="24"/>
          <w:szCs w:val="24"/>
          <w:rtl w:val="0"/>
        </w:rPr>
        <w:t xml:space="preserve">The full text of Defence Conditions (DEFCONs) and Defence Forms (DEFFORMS) are available electronically via </w:t>
      </w:r>
      <w:hyperlink r:id="rId7">
        <w:r w:rsidDel="00000000" w:rsidR="00000000" w:rsidRPr="00000000">
          <w:rPr>
            <w:rFonts w:ascii="Arial" w:cs="Arial" w:eastAsia="Arial" w:hAnsi="Arial"/>
            <w:color w:val="0000ff"/>
            <w:sz w:val="24"/>
            <w:szCs w:val="24"/>
            <w:u w:val="single"/>
            <w:rtl w:val="0"/>
          </w:rPr>
          <w:t xml:space="preserve">https://www.gov.uk/guidance/knowledge-in-defence-kid</w:t>
        </w:r>
      </w:hyperlink>
      <w:r w:rsidDel="00000000" w:rsidR="00000000" w:rsidRPr="00000000">
        <w:rPr>
          <w:rFonts w:ascii="Arial" w:cs="Arial" w:eastAsia="Arial" w:hAnsi="Arial"/>
          <w:color w:val="000000"/>
          <w:sz w:val="24"/>
          <w:szCs w:val="24"/>
          <w:rtl w:val="0"/>
        </w:rPr>
        <w:t xml:space="preserve">.</w:t>
      </w:r>
    </w:p>
    <w:p w:rsidR="00000000" w:rsidDel="00000000" w:rsidP="00000000" w:rsidRDefault="00000000" w:rsidRPr="00000000" w14:paraId="00000023">
      <w:pPr>
        <w:spacing w:after="240" w:lineRule="auto"/>
        <w:ind w:left="576" w:hanging="576"/>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following MOD DEFCONs and DEFFORMs form part of this contract:</w:t>
      </w:r>
    </w:p>
    <w:p w:rsidR="00000000" w:rsidDel="00000000" w:rsidP="00000000" w:rsidRDefault="00000000" w:rsidRPr="00000000" w14:paraId="00000024">
      <w:pPr>
        <w:spacing w:after="0" w:lineRule="auto"/>
        <w:ind w:left="851"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DEFCONs</w:t>
      </w:r>
    </w:p>
    <w:p w:rsidR="00000000" w:rsidDel="00000000" w:rsidP="00000000" w:rsidRDefault="00000000" w:rsidRPr="00000000" w14:paraId="00000025">
      <w:pPr>
        <w:spacing w:after="0" w:lineRule="auto"/>
        <w:ind w:left="720" w:firstLine="0"/>
        <w:rPr>
          <w:rFonts w:ascii="Arial" w:cs="Arial" w:eastAsia="Arial" w:hAnsi="Arial"/>
          <w:color w:val="000000"/>
          <w:sz w:val="24"/>
          <w:szCs w:val="24"/>
        </w:rPr>
      </w:pPr>
      <w:r w:rsidDel="00000000" w:rsidR="00000000" w:rsidRPr="00000000">
        <w:rPr>
          <w:rtl w:val="0"/>
        </w:rPr>
      </w:r>
    </w:p>
    <w:tbl>
      <w:tblPr>
        <w:tblStyle w:val="Table3"/>
        <w:tblW w:w="865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70"/>
        <w:gridCol w:w="2861"/>
        <w:gridCol w:w="2928"/>
        <w:tblGridChange w:id="0">
          <w:tblGrid>
            <w:gridCol w:w="2870"/>
            <w:gridCol w:w="2861"/>
            <w:gridCol w:w="2928"/>
          </w:tblGrid>
        </w:tblGridChange>
      </w:tblGrid>
      <w:tr>
        <w:trPr>
          <w:cantSplit w:val="0"/>
          <w:tblHeader w:val="0"/>
        </w:trPr>
        <w:tc>
          <w:tcPr/>
          <w:p w:rsidR="00000000" w:rsidDel="00000000" w:rsidP="00000000" w:rsidRDefault="00000000" w:rsidRPr="00000000" w14:paraId="00000026">
            <w:pP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DEFCON No</w:t>
            </w:r>
          </w:p>
        </w:tc>
        <w:tc>
          <w:tcPr/>
          <w:p w:rsidR="00000000" w:rsidDel="00000000" w:rsidP="00000000" w:rsidRDefault="00000000" w:rsidRPr="00000000" w14:paraId="00000027">
            <w:pPr>
              <w:spacing w:after="120" w:lineRule="auto"/>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rtl w:val="0"/>
              </w:rPr>
              <w:t xml:space="preserve">Version</w:t>
            </w:r>
            <w:r w:rsidDel="00000000" w:rsidR="00000000" w:rsidRPr="00000000">
              <w:rPr>
                <w:rtl w:val="0"/>
              </w:rPr>
            </w:r>
          </w:p>
        </w:tc>
        <w:tc>
          <w:tcPr/>
          <w:p w:rsidR="00000000" w:rsidDel="00000000" w:rsidP="00000000" w:rsidRDefault="00000000" w:rsidRPr="00000000" w14:paraId="00000028">
            <w:pPr>
              <w:spacing w:after="120" w:lineRule="auto"/>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rtl w:val="0"/>
              </w:rPr>
              <w:t xml:space="preserve">Description</w:t>
            </w:r>
            <w:r w:rsidDel="00000000" w:rsidR="00000000" w:rsidRPr="00000000">
              <w:rPr>
                <w:rtl w:val="0"/>
              </w:rPr>
            </w:r>
          </w:p>
        </w:tc>
      </w:tr>
      <w:tr>
        <w:trPr>
          <w:cantSplit w:val="0"/>
          <w:tblHeader w:val="0"/>
        </w:trPr>
        <w:tc>
          <w:tcPr/>
          <w:p w:rsidR="00000000" w:rsidDel="00000000" w:rsidP="00000000" w:rsidRDefault="00000000" w:rsidRPr="00000000" w14:paraId="00000029">
            <w:pPr>
              <w:spacing w:after="120" w:lineRule="auto"/>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2A">
            <w:pPr>
              <w:spacing w:after="120" w:lineRule="auto"/>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2B">
            <w:pPr>
              <w:spacing w:after="120" w:lineRule="auto"/>
              <w:rPr>
                <w:rFonts w:ascii="Arial" w:cs="Arial" w:eastAsia="Arial" w:hAnsi="Arial"/>
                <w:b w:val="1"/>
                <w:color w:val="000000"/>
                <w:sz w:val="24"/>
                <w:szCs w:val="24"/>
              </w:rPr>
            </w:pPr>
            <w:r w:rsidDel="00000000" w:rsidR="00000000" w:rsidRPr="00000000">
              <w:rPr>
                <w:rtl w:val="0"/>
              </w:rPr>
            </w:r>
          </w:p>
        </w:tc>
      </w:tr>
    </w:tbl>
    <w:p w:rsidR="00000000" w:rsidDel="00000000" w:rsidP="00000000" w:rsidRDefault="00000000" w:rsidRPr="00000000" w14:paraId="0000002C">
      <w:pP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D">
      <w:pP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E">
      <w:pPr>
        <w:spacing w:after="0" w:lineRule="auto"/>
        <w:ind w:left="720"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2F">
      <w:pPr>
        <w:keepNext w:val="1"/>
        <w:spacing w:after="0" w:lineRule="auto"/>
        <w:ind w:left="720"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DEFFORMs (Ministry of Defence Forms)</w:t>
      </w:r>
    </w:p>
    <w:p w:rsidR="00000000" w:rsidDel="00000000" w:rsidP="00000000" w:rsidRDefault="00000000" w:rsidRPr="00000000" w14:paraId="00000030">
      <w:pPr>
        <w:keepNext w:val="1"/>
        <w:spacing w:after="0" w:lineRule="auto"/>
        <w:rPr>
          <w:rFonts w:ascii="Arial" w:cs="Arial" w:eastAsia="Arial" w:hAnsi="Arial"/>
          <w:color w:val="000000"/>
          <w:sz w:val="24"/>
          <w:szCs w:val="24"/>
        </w:rPr>
      </w:pPr>
      <w:r w:rsidDel="00000000" w:rsidR="00000000" w:rsidRPr="00000000">
        <w:rPr>
          <w:rtl w:val="0"/>
        </w:rPr>
      </w:r>
    </w:p>
    <w:tbl>
      <w:tblPr>
        <w:tblStyle w:val="Table4"/>
        <w:tblW w:w="885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6"/>
        <w:gridCol w:w="2975"/>
        <w:gridCol w:w="2899"/>
        <w:tblGridChange w:id="0">
          <w:tblGrid>
            <w:gridCol w:w="2976"/>
            <w:gridCol w:w="2975"/>
            <w:gridCol w:w="2899"/>
          </w:tblGrid>
        </w:tblGridChange>
      </w:tblGrid>
      <w:tr>
        <w:trPr>
          <w:cantSplit w:val="0"/>
          <w:tblHeader w:val="0"/>
        </w:trPr>
        <w:tc>
          <w:tcPr/>
          <w:p w:rsidR="00000000" w:rsidDel="00000000" w:rsidP="00000000" w:rsidRDefault="00000000" w:rsidRPr="00000000" w14:paraId="00000031">
            <w:pPr>
              <w:spacing w:after="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DEFFORM No</w:t>
            </w:r>
          </w:p>
        </w:tc>
        <w:tc>
          <w:tcPr/>
          <w:p w:rsidR="00000000" w:rsidDel="00000000" w:rsidP="00000000" w:rsidRDefault="00000000" w:rsidRPr="00000000" w14:paraId="00000032">
            <w:pPr>
              <w:spacing w:after="120" w:lineRule="auto"/>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rtl w:val="0"/>
              </w:rPr>
              <w:t xml:space="preserve">Version</w:t>
            </w:r>
            <w:r w:rsidDel="00000000" w:rsidR="00000000" w:rsidRPr="00000000">
              <w:rPr>
                <w:rtl w:val="0"/>
              </w:rPr>
            </w:r>
          </w:p>
        </w:tc>
        <w:tc>
          <w:tcPr/>
          <w:p w:rsidR="00000000" w:rsidDel="00000000" w:rsidP="00000000" w:rsidRDefault="00000000" w:rsidRPr="00000000" w14:paraId="00000033">
            <w:pPr>
              <w:spacing w:after="120" w:lineRule="auto"/>
              <w:rPr>
                <w:rFonts w:ascii="Arial" w:cs="Arial" w:eastAsia="Arial" w:hAnsi="Arial"/>
                <w:b w:val="1"/>
                <w:color w:val="000000"/>
                <w:sz w:val="24"/>
                <w:szCs w:val="24"/>
                <w:u w:val="single"/>
              </w:rPr>
            </w:pPr>
            <w:r w:rsidDel="00000000" w:rsidR="00000000" w:rsidRPr="00000000">
              <w:rPr>
                <w:rFonts w:ascii="Arial" w:cs="Arial" w:eastAsia="Arial" w:hAnsi="Arial"/>
                <w:b w:val="1"/>
                <w:color w:val="000000"/>
                <w:sz w:val="24"/>
                <w:szCs w:val="24"/>
                <w:rtl w:val="0"/>
              </w:rPr>
              <w:t xml:space="preserve">Description</w:t>
            </w:r>
            <w:r w:rsidDel="00000000" w:rsidR="00000000" w:rsidRPr="00000000">
              <w:rPr>
                <w:rtl w:val="0"/>
              </w:rPr>
            </w:r>
          </w:p>
        </w:tc>
      </w:tr>
      <w:tr>
        <w:trPr>
          <w:cantSplit w:val="0"/>
          <w:tblHeader w:val="0"/>
        </w:trPr>
        <w:tc>
          <w:tcPr/>
          <w:p w:rsidR="00000000" w:rsidDel="00000000" w:rsidP="00000000" w:rsidRDefault="00000000" w:rsidRPr="00000000" w14:paraId="00000034">
            <w:pPr>
              <w:spacing w:after="120" w:lineRule="auto"/>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35">
            <w:pPr>
              <w:spacing w:after="120" w:lineRule="auto"/>
              <w:rPr>
                <w:rFonts w:ascii="Arial" w:cs="Arial" w:eastAsia="Arial" w:hAnsi="Arial"/>
                <w:b w:val="1"/>
                <w:color w:val="000000"/>
                <w:sz w:val="24"/>
                <w:szCs w:val="24"/>
              </w:rPr>
            </w:pPr>
            <w:r w:rsidDel="00000000" w:rsidR="00000000" w:rsidRPr="00000000">
              <w:rPr>
                <w:rtl w:val="0"/>
              </w:rPr>
            </w:r>
          </w:p>
        </w:tc>
        <w:tc>
          <w:tcPr/>
          <w:p w:rsidR="00000000" w:rsidDel="00000000" w:rsidP="00000000" w:rsidRDefault="00000000" w:rsidRPr="00000000" w14:paraId="00000036">
            <w:pPr>
              <w:spacing w:after="120" w:lineRule="auto"/>
              <w:rPr>
                <w:rFonts w:ascii="Arial" w:cs="Arial" w:eastAsia="Arial" w:hAnsi="Arial"/>
                <w:b w:val="1"/>
                <w:color w:val="000000"/>
                <w:sz w:val="24"/>
                <w:szCs w:val="24"/>
              </w:rPr>
            </w:pPr>
            <w:r w:rsidDel="00000000" w:rsidR="00000000" w:rsidRPr="00000000">
              <w:rPr>
                <w:rtl w:val="0"/>
              </w:rPr>
            </w:r>
          </w:p>
        </w:tc>
      </w:tr>
    </w:tbl>
    <w:p w:rsidR="00000000" w:rsidDel="00000000" w:rsidP="00000000" w:rsidRDefault="00000000" w:rsidRPr="00000000" w14:paraId="00000037">
      <w:pPr>
        <w:rPr>
          <w:rFonts w:ascii="Arial" w:cs="Arial" w:eastAsia="Arial" w:hAnsi="Arial"/>
          <w:color w:val="000000"/>
          <w:sz w:val="24"/>
          <w:szCs w:val="24"/>
        </w:rPr>
        <w:sectPr>
          <w:headerReference r:id="rId8" w:type="default"/>
          <w:footerReference r:id="rId9" w:type="default"/>
          <w:footerReference r:id="rId10" w:type="first"/>
          <w:pgSz w:h="16838" w:w="11906" w:orient="portrait"/>
          <w:pgMar w:bottom="1440" w:top="1440" w:left="1440" w:right="1440" w:header="709" w:footer="709"/>
          <w:pgNumType w:start="1"/>
        </w:sectPr>
      </w:pPr>
      <w:r w:rsidDel="00000000" w:rsidR="00000000" w:rsidRPr="00000000">
        <w:rPr>
          <w:rtl w:val="0"/>
        </w:rPr>
      </w:r>
    </w:p>
    <w:p w:rsidR="00000000" w:rsidDel="00000000" w:rsidP="00000000" w:rsidRDefault="00000000" w:rsidRPr="00000000" w14:paraId="00000038">
      <w:pPr>
        <w:rPr>
          <w:rFonts w:ascii="Arial" w:cs="Arial" w:eastAsia="Arial" w:hAnsi="Arial"/>
          <w:color w:val="000000"/>
          <w:sz w:val="24"/>
          <w:szCs w:val="24"/>
        </w:rPr>
      </w:pPr>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tabs>
        <w:tab w:val="center" w:pos="4513"/>
        <w:tab w:val="right" w:pos="9026"/>
      </w:tabs>
      <w:spacing w:after="0" w:lineRule="auto"/>
      <w:rPr/>
    </w:pPr>
    <w:r w:rsidDel="00000000" w:rsidR="00000000" w:rsidRPr="00000000">
      <w:rPr>
        <w:rtl w:val="0"/>
      </w:rPr>
    </w:r>
  </w:p>
  <w:p w:rsidR="00000000" w:rsidDel="00000000" w:rsidP="00000000" w:rsidRDefault="00000000" w:rsidRPr="00000000" w14:paraId="0000003E">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r>
  </w:p>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0">
    <w:pPr>
      <w:tabs>
        <w:tab w:val="center" w:pos="4513"/>
        <w:tab w:val="right" w:pos="9026"/>
      </w:tabs>
      <w:spacing w:after="0" w:lineRule="auto"/>
      <w:rPr/>
    </w:pPr>
    <w:r w:rsidDel="00000000" w:rsidR="00000000" w:rsidRPr="00000000">
      <w:rPr>
        <w:rFonts w:ascii="Arial" w:cs="Arial" w:eastAsia="Arial" w:hAnsi="Arial"/>
        <w:sz w:val="20"/>
        <w:szCs w:val="20"/>
        <w:rtl w:val="0"/>
      </w:rPr>
      <w:t xml:space="preserve">Model Version: v3.1</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tabs>
        <w:tab w:val="center" w:pos="4513"/>
        <w:tab w:val="right" w:pos="9026"/>
      </w:tabs>
      <w:spacing w:after="0" w:lineRule="auto"/>
      <w:rPr/>
    </w:pPr>
    <w:r w:rsidDel="00000000" w:rsidR="00000000" w:rsidRPr="00000000">
      <w:rPr>
        <w:rtl w:val="0"/>
      </w:rPr>
    </w:r>
  </w:p>
  <w:p w:rsidR="00000000" w:rsidDel="00000000" w:rsidP="00000000" w:rsidRDefault="00000000" w:rsidRPr="00000000" w14:paraId="00000042">
    <w:pPr>
      <w:tabs>
        <w:tab w:val="center" w:pos="4513"/>
        <w:tab w:val="right" w:pos="9026"/>
      </w:tabs>
      <w:spacing w:after="0" w:lineRule="auto"/>
      <w:rPr/>
    </w:pPr>
    <w:r w:rsidDel="00000000" w:rsidR="00000000" w:rsidRPr="00000000">
      <w:rPr>
        <w:rtl w:val="0"/>
      </w:rPr>
      <w:t xml:space="preserve">Framework Ref: RM</w:t>
      <w:tab/>
      <w:t xml:space="preserve">                                           </w:t>
    </w:r>
  </w:p>
  <w:p w:rsidR="00000000" w:rsidDel="00000000" w:rsidP="00000000" w:rsidRDefault="00000000" w:rsidRPr="00000000" w14:paraId="00000043">
    <w:pPr>
      <w:tabs>
        <w:tab w:val="center" w:pos="4513"/>
        <w:tab w:val="right" w:pos="9026"/>
      </w:tabs>
      <w:spacing w:after="0" w:lineRule="auto"/>
      <w:rPr/>
    </w:pPr>
    <w:r w:rsidDel="00000000" w:rsidR="00000000" w:rsidRPr="00000000">
      <w:rPr>
        <w:rtl w:val="0"/>
      </w:rPr>
      <w:t xml:space="preserve">Project Version: v1.0</w:t>
      <w:tab/>
      <w:tab/>
      <w:tab/>
      <w:t xml:space="preserve"> -1-</w:t>
    </w:r>
  </w:p>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center" w:pos="4513"/>
        <w:tab w:val="right" w:pos="9026"/>
      </w:tabs>
      <w:spacing w:after="0" w:lineRule="auto"/>
      <w:rPr>
        <w:color w:val="000000"/>
      </w:rPr>
    </w:pPr>
    <w:r w:rsidDel="00000000" w:rsidR="00000000" w:rsidRPr="00000000">
      <w:rPr>
        <w:color w:val="000000"/>
        <w:rtl w:val="0"/>
      </w:rPr>
      <w:t xml:space="preserve">Model Version : v2.9</w:t>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Call-Off Schedule 17 (MOD Terms) </w:t>
    </w:r>
    <w:r w:rsidDel="00000000" w:rsidR="00000000" w:rsidRPr="00000000">
      <w:rPr>
        <w:rtl w:val="0"/>
      </w:rPr>
    </w:r>
  </w:p>
  <w:p w:rsidR="00000000" w:rsidDel="00000000" w:rsidP="00000000" w:rsidRDefault="00000000" w:rsidRPr="00000000" w14:paraId="0000003A">
    <w:pPr>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Call-Off Ref:</w:t>
    </w:r>
  </w:p>
  <w:p w:rsidR="00000000" w:rsidDel="00000000" w:rsidP="00000000" w:rsidRDefault="00000000" w:rsidRPr="00000000" w14:paraId="0000003B">
    <w:pPr>
      <w:spacing w:after="0" w:lineRule="auto"/>
      <w:rPr>
        <w:rFonts w:ascii="Arial" w:cs="Arial" w:eastAsia="Arial" w:hAnsi="Arial"/>
        <w:color w:val="000000"/>
        <w:sz w:val="20"/>
        <w:szCs w:val="20"/>
      </w:rPr>
    </w:pPr>
    <w:r w:rsidDel="00000000" w:rsidR="00000000" w:rsidRPr="00000000">
      <w:rPr>
        <w:rFonts w:ascii="Arial" w:cs="Arial" w:eastAsia="Arial" w:hAnsi="Arial"/>
        <w:sz w:val="20"/>
        <w:szCs w:val="20"/>
        <w:rtl w:val="0"/>
      </w:rPr>
      <w:t xml:space="preserve">Crown Copyright</w:t>
    </w:r>
    <w:r w:rsidDel="00000000" w:rsidR="00000000" w:rsidRPr="00000000">
      <w:rPr>
        <w:rFonts w:ascii="Arial" w:cs="Arial" w:eastAsia="Arial" w:hAnsi="Arial"/>
        <w:color w:val="000000"/>
        <w:sz w:val="14"/>
        <w:szCs w:val="14"/>
        <w:rtl w:val="0"/>
      </w:rPr>
      <w:t xml:space="preserve"> </w:t>
    </w:r>
    <w:r w:rsidDel="00000000" w:rsidR="00000000" w:rsidRPr="00000000">
      <w:rPr>
        <w:rFonts w:ascii="Arial" w:cs="Arial" w:eastAsia="Arial" w:hAnsi="Arial"/>
        <w:color w:val="000000"/>
        <w:sz w:val="20"/>
        <w:szCs w:val="20"/>
        <w:rtl w:val="0"/>
      </w:rPr>
      <w:t xml:space="preserve">20</w:t>
    </w:r>
    <w:r w:rsidDel="00000000" w:rsidR="00000000" w:rsidRPr="00000000">
      <w:rPr>
        <w:rFonts w:ascii="Arial" w:cs="Arial" w:eastAsia="Arial" w:hAnsi="Arial"/>
        <w:sz w:val="20"/>
        <w:szCs w:val="20"/>
        <w:rtl w:val="0"/>
      </w:rPr>
      <w:t xml:space="preserve">21</w:t>
    </w:r>
    <w:r w:rsidDel="00000000" w:rsidR="00000000" w:rsidRPr="00000000">
      <w:rPr>
        <w:rtl w:val="0"/>
      </w:rPr>
    </w:r>
  </w:p>
  <w:p w:rsidR="00000000" w:rsidDel="00000000" w:rsidP="00000000" w:rsidRDefault="00000000" w:rsidRPr="00000000" w14:paraId="0000003C">
    <w:pPr>
      <w:spacing w:after="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32" w:hanging="432"/>
      </w:pPr>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240" w:lineRule="auto"/>
      <w:ind w:left="720" w:hanging="720"/>
    </w:pPr>
    <w:rPr>
      <w:rFonts w:ascii="Calibri" w:cs="Calibri" w:eastAsia="Calibri" w:hAnsi="Calibri"/>
      <w:b w:val="1"/>
    </w:rPr>
  </w:style>
  <w:style w:type="paragraph" w:styleId="Heading2">
    <w:name w:val="heading 2"/>
    <w:basedOn w:val="Normal"/>
    <w:next w:val="Normal"/>
    <w:pPr>
      <w:keepNext w:val="1"/>
      <w:keepLines w:val="1"/>
      <w:spacing w:after="240" w:lineRule="auto"/>
      <w:ind w:left="1440" w:hanging="720"/>
      <w:jc w:val="both"/>
    </w:pPr>
    <w:rPr>
      <w:rFonts w:ascii="Calibri" w:cs="Calibri" w:eastAsia="Calibri" w:hAnsi="Calibri"/>
    </w:rPr>
  </w:style>
  <w:style w:type="paragraph" w:styleId="Heading3">
    <w:name w:val="heading 3"/>
    <w:basedOn w:val="Normal"/>
    <w:next w:val="Normal"/>
    <w:pPr>
      <w:keepNext w:val="1"/>
      <w:keepLines w:val="1"/>
      <w:spacing w:after="0" w:before="200" w:lineRule="auto"/>
      <w:ind w:left="2160" w:hanging="720"/>
    </w:pPr>
    <w:rPr>
      <w:rFonts w:ascii="Cambria" w:cs="Cambria" w:eastAsia="Cambria" w:hAnsi="Cambria"/>
      <w:b w:val="1"/>
      <w:color w:val="4f81bd"/>
    </w:rPr>
  </w:style>
  <w:style w:type="paragraph" w:styleId="Heading4">
    <w:name w:val="heading 4"/>
    <w:basedOn w:val="Normal"/>
    <w:next w:val="Normal"/>
    <w:pPr>
      <w:keepNext w:val="1"/>
      <w:keepLines w:val="1"/>
      <w:spacing w:after="0" w:before="200" w:lineRule="auto"/>
      <w:ind w:left="2880" w:hanging="720"/>
    </w:pPr>
    <w:rPr>
      <w:rFonts w:ascii="Cambria" w:cs="Cambria" w:eastAsia="Cambria" w:hAnsi="Cambria"/>
      <w:b w:val="1"/>
      <w:i w:val="1"/>
      <w:color w:val="4f81bd"/>
    </w:rPr>
  </w:style>
  <w:style w:type="paragraph" w:styleId="Heading5">
    <w:name w:val="heading 5"/>
    <w:basedOn w:val="Normal"/>
    <w:next w:val="Normal"/>
    <w:pPr>
      <w:keepNext w:val="1"/>
      <w:keepLines w:val="1"/>
      <w:spacing w:after="0" w:before="200" w:lineRule="auto"/>
      <w:ind w:left="3600" w:hanging="720"/>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ind w:left="4320" w:hanging="720"/>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rFonts w:cs="Times New Roman"/>
    </w:rPr>
  </w:style>
  <w:style w:type="paragraph" w:styleId="Heading1">
    <w:name w:val="heading 1"/>
    <w:basedOn w:val="Normal"/>
    <w:next w:val="Normal"/>
    <w:link w:val="Heading1Char"/>
    <w:uiPriority w:val="9"/>
    <w:qFormat w:val="1"/>
    <w:pPr>
      <w:keepNext w:val="1"/>
      <w:keepLines w:val="1"/>
      <w:numPr>
        <w:numId w:val="5"/>
      </w:numPr>
      <w:spacing w:after="240"/>
      <w:outlineLvl w:val="0"/>
    </w:pPr>
    <w:rPr>
      <w:rFonts w:asciiTheme="minorHAnsi" w:cstheme="majorBidi" w:eastAsiaTheme="majorEastAsia" w:hAnsiTheme="minorHAnsi"/>
      <w:b w:val="1"/>
      <w:bCs w:val="1"/>
      <w:szCs w:val="28"/>
    </w:rPr>
  </w:style>
  <w:style w:type="paragraph" w:styleId="Heading2">
    <w:name w:val="heading 2"/>
    <w:basedOn w:val="Normal"/>
    <w:next w:val="Normal"/>
    <w:link w:val="Heading2Char"/>
    <w:uiPriority w:val="9"/>
    <w:unhideWhenUsed w:val="1"/>
    <w:qFormat w:val="1"/>
    <w:pPr>
      <w:keepNext w:val="1"/>
      <w:keepLines w:val="1"/>
      <w:numPr>
        <w:ilvl w:val="1"/>
        <w:numId w:val="5"/>
      </w:numPr>
      <w:spacing w:after="240"/>
      <w:jc w:val="both"/>
      <w:outlineLvl w:val="1"/>
    </w:pPr>
    <w:rPr>
      <w:rFonts w:asciiTheme="minorHAnsi" w:cstheme="majorBidi" w:eastAsiaTheme="majorEastAsia" w:hAnsiTheme="minorHAnsi"/>
      <w:bCs w:val="1"/>
      <w:szCs w:val="26"/>
    </w:rPr>
  </w:style>
  <w:style w:type="paragraph" w:styleId="Heading3">
    <w:name w:val="heading 3"/>
    <w:basedOn w:val="Normal"/>
    <w:next w:val="Normal"/>
    <w:link w:val="Heading3Char"/>
    <w:uiPriority w:val="9"/>
    <w:semiHidden w:val="1"/>
    <w:unhideWhenUsed w:val="1"/>
    <w:qFormat w:val="1"/>
    <w:pPr>
      <w:keepNext w:val="1"/>
      <w:keepLines w:val="1"/>
      <w:numPr>
        <w:ilvl w:val="2"/>
        <w:numId w:val="5"/>
      </w:numPr>
      <w:spacing w:after="0"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link w:val="Heading4Char"/>
    <w:uiPriority w:val="9"/>
    <w:semiHidden w:val="1"/>
    <w:unhideWhenUsed w:val="1"/>
    <w:qFormat w:val="1"/>
    <w:pPr>
      <w:keepNext w:val="1"/>
      <w:keepLines w:val="1"/>
      <w:numPr>
        <w:ilvl w:val="3"/>
        <w:numId w:val="5"/>
      </w:numPr>
      <w:spacing w:after="0" w:before="200"/>
      <w:outlineLvl w:val="3"/>
    </w:pPr>
    <w:rPr>
      <w:rFonts w:asciiTheme="majorHAnsi" w:cstheme="majorBidi" w:eastAsiaTheme="majorEastAsia" w:hAnsiTheme="majorHAnsi"/>
      <w:b w:val="1"/>
      <w:bCs w:val="1"/>
      <w:i w:val="1"/>
      <w:iCs w:val="1"/>
      <w:color w:val="4f81bd" w:themeColor="accent1"/>
    </w:rPr>
  </w:style>
  <w:style w:type="paragraph" w:styleId="Heading5">
    <w:name w:val="heading 5"/>
    <w:basedOn w:val="Normal"/>
    <w:next w:val="Normal"/>
    <w:link w:val="Heading5Char"/>
    <w:uiPriority w:val="9"/>
    <w:semiHidden w:val="1"/>
    <w:unhideWhenUsed w:val="1"/>
    <w:qFormat w:val="1"/>
    <w:pPr>
      <w:keepNext w:val="1"/>
      <w:keepLines w:val="1"/>
      <w:numPr>
        <w:ilvl w:val="4"/>
        <w:numId w:val="5"/>
      </w:numPr>
      <w:spacing w:after="0" w:before="200"/>
      <w:outlineLvl w:val="4"/>
    </w:pPr>
    <w:rPr>
      <w:rFonts w:asciiTheme="majorHAnsi" w:cstheme="majorBidi" w:eastAsiaTheme="majorEastAsia" w:hAnsiTheme="majorHAnsi"/>
      <w:color w:val="243f60" w:themeColor="accent1" w:themeShade="00007F"/>
    </w:rPr>
  </w:style>
  <w:style w:type="paragraph" w:styleId="Heading6">
    <w:name w:val="heading 6"/>
    <w:basedOn w:val="Normal"/>
    <w:next w:val="Normal"/>
    <w:link w:val="Heading6Char"/>
    <w:uiPriority w:val="9"/>
    <w:semiHidden w:val="1"/>
    <w:unhideWhenUsed w:val="1"/>
    <w:qFormat w:val="1"/>
    <w:pPr>
      <w:keepNext w:val="1"/>
      <w:keepLines w:val="1"/>
      <w:numPr>
        <w:ilvl w:val="5"/>
        <w:numId w:val="5"/>
      </w:numPr>
      <w:spacing w:after="0" w:before="200"/>
      <w:outlineLvl w:val="5"/>
    </w:pPr>
    <w:rPr>
      <w:rFonts w:asciiTheme="majorHAnsi" w:cstheme="majorBidi" w:eastAsiaTheme="majorEastAsia" w:hAnsiTheme="majorHAnsi"/>
      <w:i w:val="1"/>
      <w:iCs w:val="1"/>
      <w:color w:val="243f60" w:themeColor="accent1" w:themeShade="00007F"/>
    </w:rPr>
  </w:style>
  <w:style w:type="paragraph" w:styleId="Heading7">
    <w:name w:val="heading 7"/>
    <w:basedOn w:val="Normal"/>
    <w:next w:val="Normal"/>
    <w:link w:val="Heading7Char"/>
    <w:uiPriority w:val="9"/>
    <w:semiHidden w:val="1"/>
    <w:unhideWhenUsed w:val="1"/>
    <w:qFormat w:val="1"/>
    <w:pPr>
      <w:keepNext w:val="1"/>
      <w:keepLines w:val="1"/>
      <w:numPr>
        <w:ilvl w:val="6"/>
        <w:numId w:val="5"/>
      </w:numPr>
      <w:spacing w:after="0"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pPr>
      <w:keepNext w:val="1"/>
      <w:keepLines w:val="1"/>
      <w:numPr>
        <w:ilvl w:val="7"/>
        <w:numId w:val="5"/>
      </w:numPr>
      <w:spacing w:after="0" w:before="200"/>
      <w:outlineLvl w:val="7"/>
    </w:pPr>
    <w:rPr>
      <w:rFonts w:asciiTheme="majorHAnsi" w:cstheme="majorBidi" w:eastAsiaTheme="majorEastAsia" w:hAnsiTheme="majorHAnsi"/>
      <w:color w:val="404040" w:themeColor="text1" w:themeTint="0000BF"/>
      <w:sz w:val="20"/>
      <w:szCs w:val="20"/>
    </w:rPr>
  </w:style>
  <w:style w:type="paragraph" w:styleId="Heading9">
    <w:name w:val="heading 9"/>
    <w:basedOn w:val="Normal"/>
    <w:next w:val="Normal"/>
    <w:link w:val="Heading9Char"/>
    <w:uiPriority w:val="9"/>
    <w:semiHidden w:val="1"/>
    <w:unhideWhenUsed w:val="1"/>
    <w:qFormat w:val="1"/>
    <w:pPr>
      <w:keepNext w:val="1"/>
      <w:keepLines w:val="1"/>
      <w:numPr>
        <w:ilvl w:val="8"/>
        <w:numId w:val="5"/>
      </w:numPr>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GPSL1CLAUSEHEADING" w:customStyle="1">
    <w:name w:val="GPS L1 CLAUSE HEADING"/>
    <w:basedOn w:val="Normal"/>
    <w:next w:val="Normal"/>
    <w:qFormat w:val="1"/>
    <w:pPr>
      <w:adjustRightInd w:val="0"/>
      <w:spacing w:after="240" w:before="120"/>
      <w:ind w:firstLine="360"/>
      <w:jc w:val="both"/>
      <w:outlineLvl w:val="1"/>
    </w:pPr>
    <w:rPr>
      <w:rFonts w:cs="Arial" w:eastAsia="STZhongsong"/>
      <w:b w:val="1"/>
      <w:caps w:val="1"/>
      <w:lang w:eastAsia="zh-CN"/>
    </w:rPr>
  </w:style>
  <w:style w:type="paragraph" w:styleId="GPSL3numberedclause" w:customStyle="1">
    <w:name w:val="GPS L3 numbered clause"/>
    <w:basedOn w:val="Normal"/>
    <w:link w:val="GPSL3numberedclauseChar"/>
    <w:qFormat w:val="1"/>
    <w:pPr>
      <w:tabs>
        <w:tab w:val="left" w:pos="1985"/>
      </w:tabs>
      <w:adjustRightInd w:val="0"/>
      <w:spacing w:after="120" w:before="120"/>
      <w:jc w:val="both"/>
    </w:pPr>
    <w:rPr>
      <w:rFonts w:cs="Arial" w:eastAsia="Times New Roman"/>
      <w:lang w:eastAsia="zh-CN"/>
    </w:rPr>
  </w:style>
  <w:style w:type="paragraph" w:styleId="GPSL4numberedclause" w:customStyle="1">
    <w:name w:val="GPS L4 numbered clause"/>
    <w:basedOn w:val="GPSL3numberedclause"/>
    <w:qFormat w:val="1"/>
    <w:pPr>
      <w:numPr>
        <w:ilvl w:val="3"/>
      </w:numPr>
      <w:tabs>
        <w:tab w:val="num" w:pos="360"/>
        <w:tab w:val="left" w:pos="2552"/>
      </w:tabs>
      <w:ind w:left="2552" w:hanging="567"/>
    </w:p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qFormat w:val="1"/>
    <w:pPr>
      <w:tabs>
        <w:tab w:val="left" w:pos="1134"/>
      </w:tabs>
      <w:adjustRightInd w:val="0"/>
      <w:spacing w:after="120" w:before="120"/>
      <w:jc w:val="both"/>
    </w:pPr>
    <w:rPr>
      <w:rFonts w:cs="Arial" w:eastAsia="Times New Roman"/>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paragraph" w:styleId="ORDERFORML1PraraNo" w:customStyle="1">
    <w:name w:val="ORDER FORM L1 Prara No"/>
    <w:basedOn w:val="Normal"/>
    <w:qFormat w:val="1"/>
    <w:pPr>
      <w:tabs>
        <w:tab w:val="num" w:pos="720"/>
      </w:tabs>
      <w:adjustRightInd w:val="0"/>
      <w:spacing w:after="0"/>
      <w:ind w:left="426" w:hanging="426"/>
      <w:jc w:val="both"/>
    </w:pPr>
    <w:rPr>
      <w:rFonts w:eastAsia="STZhongsong"/>
      <w:b w:val="1"/>
      <w:caps w:val="1"/>
      <w:lang w:eastAsia="zh-CN"/>
    </w:rPr>
  </w:style>
  <w:style w:type="paragraph" w:styleId="ORDERFORML2Title" w:customStyle="1">
    <w:name w:val="ORDER FORM L2 Title"/>
    <w:basedOn w:val="Normal"/>
    <w:qFormat w:val="1"/>
    <w:pPr>
      <w:tabs>
        <w:tab w:val="num" w:pos="1440"/>
      </w:tabs>
      <w:adjustRightInd w:val="0"/>
      <w:spacing w:after="120"/>
      <w:ind w:left="993" w:hanging="567"/>
      <w:jc w:val="both"/>
    </w:pPr>
    <w:rPr>
      <w:rFonts w:ascii="Arial" w:eastAsia="STZhongsong" w:hAnsi="Arial"/>
      <w:b w:val="1"/>
      <w:lang w:eastAsia="zh-CN"/>
    </w:rPr>
  </w:style>
  <w:style w:type="paragraph" w:styleId="GPSL2numberedclause" w:customStyle="1">
    <w:name w:val="GPS L2 numbered clause"/>
    <w:basedOn w:val="Normal"/>
    <w:link w:val="GPSL2numberedclauseChar1"/>
    <w:qFormat w:val="1"/>
    <w:pPr>
      <w:tabs>
        <w:tab w:val="left" w:pos="1134"/>
      </w:tabs>
      <w:adjustRightInd w:val="0"/>
      <w:spacing w:after="120" w:before="120"/>
      <w:ind w:left="1134" w:hanging="567"/>
      <w:jc w:val="both"/>
    </w:pPr>
    <w:rPr>
      <w:rFonts w:cs="Arial" w:eastAsia="Times New Roman"/>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paragraph" w:styleId="GPSL1SCHEDULEHeading" w:customStyle="1">
    <w:name w:val="GPS L1 SCHEDULE Heading"/>
    <w:basedOn w:val="GPSL1CLAUSEHEADING"/>
    <w:link w:val="GPSL1SCHEDULEHeadingChar"/>
    <w:qFormat w:val="1"/>
    <w:pPr>
      <w:tabs>
        <w:tab w:val="left" w:pos="0"/>
      </w:tabs>
      <w:spacing w:before="240"/>
      <w:outlineLvl w:val="9"/>
    </w:pPr>
  </w:style>
  <w:style w:type="character" w:styleId="GPSL1SCHEDULEHeadingChar" w:customStyle="1">
    <w:name w:val="GPS L1 SCHEDULE Heading Char"/>
    <w:link w:val="GPSL1SCHEDULEHeading"/>
    <w:rPr>
      <w:rFonts w:ascii="Calibri" w:cs="Arial" w:eastAsia="STZhongsong" w:hAnsi="Calibri"/>
      <w:b w:val="1"/>
      <w:caps w:val="1"/>
      <w:lang w:eastAsia="zh-CN"/>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rPr>
      <w:rFonts w:ascii="Calibri" w:cs="Times New Roman" w:eastAsia="Calibri" w:hAnsi="Calibri"/>
    </w:rPr>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rPr>
      <w:rFonts w:ascii="Calibri" w:cs="Times New Roman" w:eastAsia="Calibri" w:hAnsi="Calibri"/>
    </w:rPr>
  </w:style>
  <w:style w:type="character" w:styleId="Emphasis">
    <w:name w:val="Emphasis"/>
    <w:basedOn w:val="DefaultParagraphFont"/>
    <w:rPr>
      <w:i w:val="1"/>
      <w:iCs w:val="1"/>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Calibri" w:hAnsi="Tahoma"/>
      <w:sz w:val="16"/>
      <w:szCs w:val="16"/>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Times New Roman" w:eastAsia="Calibri"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Times New Roman" w:eastAsia="Calibri" w:hAnsi="Calibri"/>
      <w:b w:val="1"/>
      <w:bCs w:val="1"/>
      <w:sz w:val="20"/>
      <w:szCs w:val="20"/>
    </w:rPr>
  </w:style>
  <w:style w:type="table" w:styleId="TableGrid">
    <w:name w:val="Table Grid"/>
    <w:basedOn w:val="TableNormal"/>
    <w:uiPriority w:val="59"/>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Pr>
      <w:rFonts w:cstheme="majorBidi" w:eastAsiaTheme="majorEastAsia"/>
      <w:b w:val="1"/>
      <w:bCs w:val="1"/>
      <w:szCs w:val="28"/>
    </w:rPr>
  </w:style>
  <w:style w:type="character" w:styleId="Heading2Char" w:customStyle="1">
    <w:name w:val="Heading 2 Char"/>
    <w:basedOn w:val="DefaultParagraphFont"/>
    <w:link w:val="Heading2"/>
    <w:uiPriority w:val="9"/>
    <w:rPr>
      <w:rFonts w:cstheme="majorBidi" w:eastAsiaTheme="majorEastAsia"/>
      <w:bCs w:val="1"/>
      <w:szCs w:val="26"/>
    </w:rPr>
  </w:style>
  <w:style w:type="character" w:styleId="Heading3Char" w:customStyle="1">
    <w:name w:val="Heading 3 Char"/>
    <w:basedOn w:val="DefaultParagraphFont"/>
    <w:link w:val="Heading3"/>
    <w:uiPriority w:val="9"/>
    <w:semiHidden w:val="1"/>
    <w:rPr>
      <w:rFonts w:asciiTheme="majorHAnsi" w:cstheme="majorBidi" w:eastAsiaTheme="majorEastAsia" w:hAnsiTheme="majorHAnsi"/>
      <w:b w:val="1"/>
      <w:bCs w:val="1"/>
      <w:color w:val="4f81bd" w:themeColor="accent1"/>
    </w:rPr>
  </w:style>
  <w:style w:type="character" w:styleId="Heading4Char" w:customStyle="1">
    <w:name w:val="Heading 4 Char"/>
    <w:basedOn w:val="DefaultParagraphFont"/>
    <w:link w:val="Heading4"/>
    <w:uiPriority w:val="9"/>
    <w:semiHidden w:val="1"/>
    <w:rPr>
      <w:rFonts w:asciiTheme="majorHAnsi" w:cstheme="majorBidi" w:eastAsiaTheme="majorEastAsia" w:hAnsiTheme="majorHAnsi"/>
      <w:b w:val="1"/>
      <w:bCs w:val="1"/>
      <w:i w:val="1"/>
      <w:iCs w:val="1"/>
      <w:color w:val="4f81bd" w:themeColor="accent1"/>
    </w:rPr>
  </w:style>
  <w:style w:type="character" w:styleId="Heading5Char" w:customStyle="1">
    <w:name w:val="Heading 5 Char"/>
    <w:basedOn w:val="DefaultParagraphFont"/>
    <w:link w:val="Heading5"/>
    <w:uiPriority w:val="9"/>
    <w:semiHidden w:val="1"/>
    <w:rPr>
      <w:rFonts w:asciiTheme="majorHAnsi" w:cstheme="majorBidi" w:eastAsiaTheme="majorEastAsia" w:hAnsiTheme="majorHAnsi"/>
      <w:color w:val="243f60" w:themeColor="accent1" w:themeShade="00007F"/>
    </w:rPr>
  </w:style>
  <w:style w:type="character" w:styleId="Heading6Char" w:customStyle="1">
    <w:name w:val="Heading 6 Char"/>
    <w:basedOn w:val="DefaultParagraphFont"/>
    <w:link w:val="Heading6"/>
    <w:uiPriority w:val="9"/>
    <w:semiHidden w:val="1"/>
    <w:rPr>
      <w:rFonts w:asciiTheme="majorHAnsi" w:cstheme="majorBidi" w:eastAsiaTheme="majorEastAsia" w:hAnsiTheme="majorHAnsi"/>
      <w:i w:val="1"/>
      <w:iCs w:val="1"/>
      <w:color w:val="243f60" w:themeColor="accent1" w:themeShade="00007F"/>
    </w:rPr>
  </w:style>
  <w:style w:type="character" w:styleId="Heading7Char" w:customStyle="1">
    <w:name w:val="Heading 7 Char"/>
    <w:basedOn w:val="DefaultParagraphFont"/>
    <w:link w:val="Heading7"/>
    <w:uiPriority w:val="9"/>
    <w:semiHidden w:val="1"/>
    <w:rPr>
      <w:rFonts w:asciiTheme="majorHAnsi" w:cstheme="majorBidi" w:eastAsiaTheme="majorEastAsia" w:hAnsiTheme="majorHAnsi"/>
      <w:i w:val="1"/>
      <w:iCs w:val="1"/>
      <w:color w:val="404040" w:themeColor="text1" w:themeTint="0000BF"/>
    </w:rPr>
  </w:style>
  <w:style w:type="character" w:styleId="Heading8Char" w:customStyle="1">
    <w:name w:val="Heading 8 Char"/>
    <w:basedOn w:val="DefaultParagraphFont"/>
    <w:link w:val="Heading8"/>
    <w:uiPriority w:val="9"/>
    <w:semiHidden w:val="1"/>
    <w:rPr>
      <w:rFonts w:asciiTheme="majorHAnsi" w:cstheme="majorBidi" w:eastAsiaTheme="majorEastAsia" w:hAnsiTheme="majorHAnsi"/>
      <w:color w:val="404040" w:themeColor="text1" w:themeTint="0000BF"/>
      <w:sz w:val="20"/>
      <w:szCs w:val="20"/>
    </w:rPr>
  </w:style>
  <w:style w:type="character" w:styleId="Heading9Char" w:customStyle="1">
    <w:name w:val="Heading 9 Char"/>
    <w:basedOn w:val="DefaultParagraphFont"/>
    <w:link w:val="Heading9"/>
    <w:uiPriority w:val="9"/>
    <w:semiHidden w:val="1"/>
    <w:rPr>
      <w:rFonts w:asciiTheme="majorHAnsi" w:cstheme="majorBidi" w:eastAsiaTheme="majorEastAsia" w:hAnsiTheme="majorHAnsi"/>
      <w:i w:val="1"/>
      <w:iCs w:val="1"/>
      <w:color w:val="404040" w:themeColor="text1" w:themeTint="0000BF"/>
      <w:sz w:val="20"/>
      <w:szCs w:val="20"/>
    </w:rPr>
  </w:style>
  <w:style w:type="paragraph" w:styleId="GPSL2Numbered" w:customStyle="1">
    <w:name w:val="GPS L2 Numbered"/>
    <w:basedOn w:val="GPSL2NumberedBoldHeading"/>
    <w:link w:val="GPSL2NumberedChar"/>
    <w:qFormat w:val="1"/>
    <w:pPr>
      <w:tabs>
        <w:tab w:val="left" w:pos="709"/>
      </w:tabs>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Hyperlink">
    <w:name w:val="Hyperlink"/>
    <w:basedOn w:val="DefaultParagraphFont"/>
    <w:uiPriority w:val="99"/>
    <w:unhideWhenUsed w:val="1"/>
    <w:rPr>
      <w:color w:val="0000ff" w:themeColor="hyperlink"/>
      <w:u w:val="single"/>
    </w:rPr>
  </w:style>
  <w:style w:type="paragraph" w:styleId="GPSSchTitleandNumber" w:customStyle="1">
    <w:name w:val="GPS Sch Title and Number"/>
    <w:basedOn w:val="Normal"/>
    <w:link w:val="GPSSchTitleandNumberChar"/>
    <w:qFormat w:val="1"/>
    <w:rsid w:val="003E62C4"/>
    <w:pPr>
      <w:keepNext w:val="1"/>
      <w:adjustRightInd w:val="0"/>
      <w:spacing w:after="240"/>
      <w:jc w:val="center"/>
      <w:outlineLvl w:val="0"/>
    </w:pPr>
    <w:rPr>
      <w:rFonts w:ascii="Arial Bold" w:eastAsia="STZhongsong" w:hAnsi="Arial Bold"/>
      <w:b w:val="1"/>
      <w:caps w:val="1"/>
      <w:lang w:eastAsia="zh-CN"/>
    </w:rPr>
  </w:style>
  <w:style w:type="character" w:styleId="GPSSchTitleandNumberChar" w:customStyle="1">
    <w:name w:val="GPS Sch Title and Number Char"/>
    <w:link w:val="GPSSchTitleandNumber"/>
    <w:rsid w:val="003E62C4"/>
    <w:rPr>
      <w:rFonts w:ascii="Arial Bold" w:cs="Times New Roman" w:eastAsia="STZhongsong" w:hAnsi="Arial Bold"/>
      <w:b w:val="1"/>
      <w:caps w:val="1"/>
      <w:lang w:eastAsia="zh-CN"/>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pPr>
    <w:tblPr>
      <w:tblStyleRowBandSize w:val="1"/>
      <w:tblStyleColBandSize w:val="1"/>
    </w:tblPr>
  </w:style>
  <w:style w:type="table" w:styleId="a0" w:customStyle="1">
    <w:basedOn w:val="TableNormal"/>
    <w:pPr>
      <w:spacing w:after="0"/>
    </w:pPr>
    <w:tblPr>
      <w:tblStyleRowBandSize w:val="1"/>
      <w:tblStyleColBandSize w:val="1"/>
    </w:tblPr>
  </w:style>
  <w:style w:type="table" w:styleId="a1" w:customStyle="1">
    <w:basedOn w:val="TableNormal"/>
    <w:pPr>
      <w:spacing w:after="0"/>
    </w:pPr>
    <w:tblPr>
      <w:tblStyleRowBandSize w:val="1"/>
      <w:tblStyleColBandSize w:val="1"/>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pPr>
      <w:spacing w:after="0"/>
    </w:pPr>
    <w:tblPr>
      <w:tblStyleRowBandSize w:val="1"/>
      <w:tblStyleColBandSize w:val="1"/>
    </w:tblPr>
  </w:style>
  <w:style w:type="table" w:styleId="a4" w:customStyle="1">
    <w:basedOn w:val="TableNormal"/>
    <w:pPr>
      <w:spacing w:after="0"/>
    </w:pPr>
    <w:tblPr>
      <w:tblStyleRowBandSize w:val="1"/>
      <w:tblStyleColBandSize w:val="1"/>
    </w:tblPr>
  </w:style>
  <w:style w:type="table" w:styleId="a5" w:customStyle="1">
    <w:basedOn w:val="TableNormal"/>
    <w:pPr>
      <w:spacing w:after="0"/>
    </w:pPr>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uidance/knowledge-in-defence-kid" TargetMode="Externa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nzJzQi4jlHIyZJ2AE3DI/cON5A==">AMUW2mWLxZRnHu3Vqn38difYXclm/4ORdpHyrVb3TUSdBbz2ioBf23huHcUNw2pU9sTnWsOrXbs5z54B93p7AYhiODVEcjYAops7qRpdod/kxkZP311MysvLoHupucoOsq5heWURFxzG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2020-02-27T11:34:00Z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20 November 2017 D1V8</vt:lpwstr>
  </property>
</Properties>
</file>