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line="240" w:lineRule="auto"/>
        <w:jc w:val="both"/>
        <w:rPr>
          <w:rFonts w:ascii="Arial" w:cs="Arial" w:eastAsia="Arial" w:hAnsi="Arial"/>
          <w:b w:val="1"/>
          <w:sz w:val="36"/>
          <w:szCs w:val="36"/>
        </w:rPr>
      </w:pPr>
      <w:r w:rsidDel="00000000" w:rsidR="00000000" w:rsidRPr="00000000">
        <w:rPr>
          <w:rtl w:val="0"/>
        </w:rPr>
      </w:r>
    </w:p>
    <w:tbl>
      <w:tblPr>
        <w:tblStyle w:val="Table1"/>
        <w:tblW w:w="9026.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2">
            <w:pPr>
              <w:widowControl w:val="0"/>
              <w:spacing w:after="0" w:line="240" w:lineRule="auto"/>
              <w:rPr>
                <w:rFonts w:ascii="Arial" w:cs="Arial" w:eastAsia="Arial" w:hAnsi="Arial"/>
                <w:b w:val="1"/>
                <w:highlight w:val="cyan"/>
              </w:rPr>
            </w:pPr>
            <w:r w:rsidDel="00000000" w:rsidR="00000000" w:rsidRPr="00000000">
              <w:rPr>
                <w:rFonts w:ascii="Arial" w:cs="Arial" w:eastAsia="Arial" w:hAnsi="Arial"/>
                <w:b w:val="1"/>
                <w:rtl w:val="0"/>
              </w:rPr>
              <w:t xml:space="preserve">PLEASE RETAIN A COPY OF THIS SCHEDULE AS THIS FORMS PART OF YOUR CALL-OFF CONTRACT</w:t>
            </w:r>
            <w:r w:rsidDel="00000000" w:rsidR="00000000" w:rsidRPr="00000000">
              <w:rPr>
                <w:rtl w:val="0"/>
              </w:rPr>
            </w:r>
          </w:p>
        </w:tc>
      </w:tr>
    </w:tbl>
    <w:p w:rsidR="00000000" w:rsidDel="00000000" w:rsidP="00000000" w:rsidRDefault="00000000" w:rsidRPr="00000000" w14:paraId="00000003">
      <w:pPr>
        <w:spacing w:after="240" w:line="240" w:lineRule="auto"/>
        <w:jc w:val="both"/>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04">
      <w:pPr>
        <w:keepNext w:val="1"/>
        <w:pBdr>
          <w:top w:space="0" w:sz="0" w:val="nil"/>
          <w:left w:space="0" w:sz="0" w:val="nil"/>
          <w:bottom w:space="0" w:sz="0" w:val="nil"/>
          <w:right w:space="0" w:sz="0" w:val="nil"/>
          <w:between w:space="0" w:sz="0" w:val="nil"/>
        </w:pBdr>
        <w:spacing w:after="240" w:line="240" w:lineRule="auto"/>
        <w:rPr>
          <w:rFonts w:ascii="Arial" w:cs="Arial" w:eastAsia="Arial" w:hAnsi="Arial"/>
          <w:b w:val="1"/>
          <w:color w:val="000000"/>
          <w:sz w:val="36"/>
          <w:szCs w:val="36"/>
        </w:rPr>
      </w:pPr>
      <w:r w:rsidDel="00000000" w:rsidR="00000000" w:rsidRPr="00000000">
        <w:rPr>
          <w:rFonts w:ascii="Arial" w:cs="Arial" w:eastAsia="Arial" w:hAnsi="Arial"/>
          <w:b w:val="1"/>
          <w:color w:val="000000"/>
          <w:sz w:val="36"/>
          <w:szCs w:val="36"/>
          <w:rtl w:val="0"/>
        </w:rPr>
        <w:t xml:space="preserve">Call-Off Schedule 14 (Service Levels)</w:t>
      </w:r>
    </w:p>
    <w:p w:rsidR="00000000" w:rsidDel="00000000" w:rsidP="00000000" w:rsidRDefault="00000000" w:rsidRPr="00000000" w14:paraId="00000005">
      <w:pPr>
        <w:numPr>
          <w:ilvl w:val="0"/>
          <w:numId w:val="2"/>
        </w:numPr>
        <w:pBdr>
          <w:top w:space="0" w:sz="0" w:val="nil"/>
          <w:left w:space="0" w:sz="0" w:val="nil"/>
          <w:bottom w:space="0" w:sz="0" w:val="nil"/>
          <w:right w:space="0" w:sz="0" w:val="nil"/>
          <w:between w:space="0" w:sz="0" w:val="nil"/>
        </w:pBdr>
        <w:tabs>
          <w:tab w:val="left" w:pos="142"/>
        </w:tabs>
        <w:spacing w:after="120" w:before="240" w:line="240" w:lineRule="auto"/>
        <w:ind w:left="720" w:hanging="720"/>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Definitions</w:t>
      </w:r>
    </w:p>
    <w:p w:rsidR="00000000" w:rsidDel="00000000" w:rsidP="00000000" w:rsidRDefault="00000000" w:rsidRPr="00000000" w14:paraId="00000006">
      <w:pPr>
        <w:numPr>
          <w:ilvl w:val="1"/>
          <w:numId w:val="2"/>
        </w:numPr>
        <w:pBdr>
          <w:top w:space="0" w:sz="0" w:val="nil"/>
          <w:left w:space="0" w:sz="0" w:val="nil"/>
          <w:bottom w:space="0" w:sz="0" w:val="nil"/>
          <w:right w:space="0" w:sz="0" w:val="nil"/>
          <w:between w:space="0" w:sz="0" w:val="nil"/>
        </w:pBdr>
        <w:spacing w:after="120" w:before="120" w:line="240" w:lineRule="auto"/>
        <w:ind w:left="144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this Schedule, the following words shall have the following meanings and they shall supplement Joint Schedule 1 (Definitions):</w:t>
      </w:r>
    </w:p>
    <w:tbl>
      <w:tblPr>
        <w:tblStyle w:val="Table2"/>
        <w:tblW w:w="8363.0" w:type="dxa"/>
        <w:jc w:val="left"/>
        <w:tblInd w:w="959.0" w:type="dxa"/>
        <w:tblLayout w:type="fixed"/>
        <w:tblLook w:val="0400"/>
      </w:tblPr>
      <w:tblGrid>
        <w:gridCol w:w="2410"/>
        <w:gridCol w:w="5953"/>
        <w:tblGridChange w:id="0">
          <w:tblGrid>
            <w:gridCol w:w="2410"/>
            <w:gridCol w:w="5953"/>
          </w:tblGrid>
        </w:tblGridChange>
      </w:tblGrid>
      <w:tr>
        <w:trPr>
          <w:cantSplit w:val="0"/>
          <w:tblHeader w:val="0"/>
        </w:trPr>
        <w:tc>
          <w:tcPr>
            <w:shd w:fill="auto" w:val="clear"/>
          </w:tcPr>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line="240" w:lineRule="auto"/>
              <w:ind w:left="-108" w:firstLine="0"/>
              <w:rPr>
                <w:rFonts w:ascii="Arial" w:cs="Arial" w:eastAsia="Arial" w:hAnsi="Arial"/>
                <w:b w:val="1"/>
                <w:color w:val="000000"/>
                <w:sz w:val="24"/>
                <w:szCs w:val="24"/>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120" w:line="24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“Critical Service Level Failure”</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line="240" w:lineRule="auto"/>
              <w:ind w:left="-108" w:firstLine="0"/>
              <w:rPr>
                <w:rFonts w:ascii="Arial" w:cs="Arial" w:eastAsia="Arial" w:hAnsi="Arial"/>
                <w:b w:val="1"/>
                <w:color w:val="000000"/>
                <w:sz w:val="24"/>
                <w:szCs w:val="24"/>
              </w:rPr>
            </w:pPr>
            <w:r w:rsidDel="00000000" w:rsidR="00000000" w:rsidRPr="00000000">
              <w:rPr>
                <w:rtl w:val="0"/>
              </w:rPr>
            </w:r>
          </w:p>
        </w:tc>
        <w:tc>
          <w:tcPr>
            <w:shd w:fill="auto" w:val="clear"/>
          </w:tcPr>
          <w:p w:rsidR="00000000" w:rsidDel="00000000" w:rsidP="00000000" w:rsidRDefault="00000000" w:rsidRPr="00000000" w14:paraId="0000000A">
            <w:pPr>
              <w:pBdr>
                <w:top w:space="0" w:sz="0" w:val="nil"/>
                <w:left w:space="0" w:sz="0" w:val="nil"/>
                <w:bottom w:space="0" w:sz="0" w:val="nil"/>
                <w:right w:space="0" w:sz="0" w:val="nil"/>
                <w:between w:space="0" w:sz="0" w:val="nil"/>
              </w:pBdr>
              <w:tabs>
                <w:tab w:val="left" w:pos="-9"/>
                <w:tab w:val="left" w:pos="-179"/>
              </w:tabs>
              <w:spacing w:after="120" w:line="240" w:lineRule="auto"/>
              <w:ind w:left="170" w:hanging="17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tabs>
                <w:tab w:val="left" w:pos="-9"/>
                <w:tab w:val="left" w:pos="-179"/>
              </w:tabs>
              <w:spacing w:after="120" w:line="240" w:lineRule="auto"/>
              <w:ind w:left="170" w:hanging="17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the Order Form;</w:t>
            </w:r>
          </w:p>
        </w:tc>
      </w:tr>
      <w:tr>
        <w:trPr>
          <w:cantSplit w:val="0"/>
          <w:tblHeader w:val="0"/>
        </w:trPr>
        <w:tc>
          <w:tcPr>
            <w:shd w:fill="auto" w:val="clear"/>
          </w:tcPr>
          <w:p w:rsidR="00000000" w:rsidDel="00000000" w:rsidP="00000000" w:rsidRDefault="00000000" w:rsidRPr="00000000" w14:paraId="0000000C">
            <w:pPr>
              <w:pBdr>
                <w:top w:space="0" w:sz="0" w:val="nil"/>
                <w:left w:space="0" w:sz="0" w:val="nil"/>
                <w:bottom w:space="0" w:sz="0" w:val="nil"/>
                <w:right w:space="0" w:sz="0" w:val="nil"/>
                <w:between w:space="0" w:sz="0" w:val="nil"/>
              </w:pBdr>
              <w:spacing w:after="120" w:line="24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"Service Credits"</w:t>
            </w:r>
          </w:p>
        </w:tc>
        <w:tc>
          <w:tcPr>
            <w:shd w:fill="auto" w:val="clear"/>
          </w:tcPr>
          <w:p w:rsidR="00000000" w:rsidDel="00000000" w:rsidP="00000000" w:rsidRDefault="00000000" w:rsidRPr="00000000" w14:paraId="0000000D">
            <w:pPr>
              <w:numPr>
                <w:ilvl w:val="0"/>
                <w:numId w:val="3"/>
              </w:numPr>
              <w:pBdr>
                <w:top w:space="0" w:sz="0" w:val="nil"/>
                <w:left w:space="0" w:sz="0" w:val="nil"/>
                <w:bottom w:space="0" w:sz="0" w:val="nil"/>
                <w:right w:space="0" w:sz="0" w:val="nil"/>
                <w:between w:space="0" w:sz="0" w:val="nil"/>
              </w:pBdr>
              <w:tabs>
                <w:tab w:val="left" w:pos="-9"/>
                <w:tab w:val="left" w:pos="-179"/>
              </w:tabs>
              <w:spacing w:after="120" w:line="240" w:lineRule="auto"/>
              <w:ind w:left="170" w:hanging="17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service credits specified in the Annex to Part A of this Schedule being payable by the Supplier to the Buyer in respect of any failure by the Supplier to meet one or more Service Levels;</w:t>
            </w:r>
          </w:p>
        </w:tc>
      </w:tr>
      <w:tr>
        <w:trPr>
          <w:cantSplit w:val="0"/>
          <w:trHeight w:val="359" w:hRule="atLeast"/>
          <w:tblHeader w:val="0"/>
        </w:trPr>
        <w:tc>
          <w:tcPr>
            <w:shd w:fill="auto" w:val="clear"/>
          </w:tcPr>
          <w:p w:rsidR="00000000" w:rsidDel="00000000" w:rsidP="00000000" w:rsidRDefault="00000000" w:rsidRPr="00000000" w14:paraId="0000000E">
            <w:pPr>
              <w:pBdr>
                <w:top w:space="0" w:sz="0" w:val="nil"/>
                <w:left w:space="0" w:sz="0" w:val="nil"/>
                <w:bottom w:space="0" w:sz="0" w:val="nil"/>
                <w:right w:space="0" w:sz="0" w:val="nil"/>
                <w:between w:space="0" w:sz="0" w:val="nil"/>
              </w:pBdr>
              <w:spacing w:after="120" w:line="24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"Service Credit Cap"</w:t>
            </w:r>
          </w:p>
        </w:tc>
        <w:tc>
          <w:tcPr>
            <w:shd w:fill="auto" w:val="clear"/>
          </w:tcPr>
          <w:p w:rsidR="00000000" w:rsidDel="00000000" w:rsidP="00000000" w:rsidRDefault="00000000" w:rsidRPr="00000000" w14:paraId="0000000F">
            <w:pPr>
              <w:numPr>
                <w:ilvl w:val="0"/>
                <w:numId w:val="3"/>
              </w:numPr>
              <w:pBdr>
                <w:top w:space="0" w:sz="0" w:val="nil"/>
                <w:left w:space="0" w:sz="0" w:val="nil"/>
                <w:bottom w:space="0" w:sz="0" w:val="nil"/>
                <w:right w:space="0" w:sz="0" w:val="nil"/>
                <w:between w:space="0" w:sz="0" w:val="nil"/>
              </w:pBdr>
              <w:tabs>
                <w:tab w:val="left" w:pos="-9"/>
                <w:tab w:val="left" w:pos="-179"/>
              </w:tabs>
              <w:spacing w:after="120" w:line="240" w:lineRule="auto"/>
              <w:ind w:left="170" w:hanging="17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the meaning given to it in the Order Form;</w:t>
            </w:r>
          </w:p>
        </w:tc>
      </w:tr>
      <w:tr>
        <w:trPr>
          <w:cantSplit w:val="0"/>
          <w:tblHeader w:val="0"/>
        </w:trPr>
        <w:tc>
          <w:tcPr>
            <w:shd w:fill="auto" w:val="clear"/>
          </w:tcPr>
          <w:p w:rsidR="00000000" w:rsidDel="00000000" w:rsidP="00000000" w:rsidRDefault="00000000" w:rsidRPr="00000000" w14:paraId="00000010">
            <w:pPr>
              <w:pBdr>
                <w:top w:space="0" w:sz="0" w:val="nil"/>
                <w:left w:space="0" w:sz="0" w:val="nil"/>
                <w:bottom w:space="0" w:sz="0" w:val="nil"/>
                <w:right w:space="0" w:sz="0" w:val="nil"/>
                <w:between w:space="0" w:sz="0" w:val="nil"/>
              </w:pBdr>
              <w:spacing w:after="120" w:line="240" w:lineRule="auto"/>
              <w:ind w:left="-108" w:firstLine="0"/>
              <w:rPr>
                <w:rFonts w:ascii="Arial" w:cs="Arial" w:eastAsia="Arial" w:hAnsi="Arial"/>
                <w:b w:val="1"/>
                <w:color w:val="000000"/>
                <w:sz w:val="24"/>
                <w:szCs w:val="24"/>
              </w:rPr>
            </w:pPr>
            <w:r w:rsidDel="00000000" w:rsidR="00000000" w:rsidRPr="00000000">
              <w:rPr>
                <w:rtl w:val="0"/>
              </w:rPr>
            </w:r>
          </w:p>
        </w:tc>
        <w:tc>
          <w:tcPr>
            <w:shd w:fill="auto" w:val="clear"/>
          </w:tcPr>
          <w:p w:rsidR="00000000" w:rsidDel="00000000" w:rsidP="00000000" w:rsidRDefault="00000000" w:rsidRPr="00000000" w14:paraId="00000011">
            <w:pPr>
              <w:numPr>
                <w:ilvl w:val="0"/>
                <w:numId w:val="3"/>
              </w:numPr>
              <w:pBdr>
                <w:top w:space="0" w:sz="0" w:val="nil"/>
                <w:left w:space="0" w:sz="0" w:val="nil"/>
                <w:bottom w:space="0" w:sz="0" w:val="nil"/>
                <w:right w:space="0" w:sz="0" w:val="nil"/>
                <w:between w:space="0" w:sz="0" w:val="nil"/>
              </w:pBdr>
              <w:tabs>
                <w:tab w:val="left" w:pos="-9"/>
                <w:tab w:val="left" w:pos="-179"/>
              </w:tabs>
              <w:spacing w:after="120" w:line="240" w:lineRule="auto"/>
              <w:ind w:left="170" w:hanging="170"/>
              <w:rPr>
                <w:rFonts w:ascii="Arial" w:cs="Arial" w:eastAsia="Arial" w:hAnsi="Arial"/>
                <w:color w:val="000000"/>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120" w:line="24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"Service Level Failure"</w:t>
            </w:r>
          </w:p>
        </w:tc>
        <w:tc>
          <w:tcPr>
            <w:shd w:fill="auto" w:val="clear"/>
          </w:tcPr>
          <w:p w:rsidR="00000000" w:rsidDel="00000000" w:rsidP="00000000" w:rsidRDefault="00000000" w:rsidRPr="00000000" w14:paraId="00000013">
            <w:pPr>
              <w:numPr>
                <w:ilvl w:val="0"/>
                <w:numId w:val="3"/>
              </w:numPr>
              <w:pBdr>
                <w:top w:space="0" w:sz="0" w:val="nil"/>
                <w:left w:space="0" w:sz="0" w:val="nil"/>
                <w:bottom w:space="0" w:sz="0" w:val="nil"/>
                <w:right w:space="0" w:sz="0" w:val="nil"/>
                <w:between w:space="0" w:sz="0" w:val="nil"/>
              </w:pBdr>
              <w:tabs>
                <w:tab w:val="left" w:pos="-9"/>
                <w:tab w:val="left" w:pos="-179"/>
              </w:tabs>
              <w:spacing w:after="120" w:line="240" w:lineRule="auto"/>
              <w:ind w:left="170" w:hanging="17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means a failure to meet the Service Level Performance Measure in respect of a Service Level;</w:t>
            </w:r>
          </w:p>
        </w:tc>
      </w:tr>
      <w:tr>
        <w:trPr>
          <w:cantSplit w:val="0"/>
          <w:tblHeader w:val="0"/>
        </w:trPr>
        <w:tc>
          <w:tcPr>
            <w:shd w:fill="auto" w:val="clear"/>
          </w:tcPr>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120" w:line="24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"Service Level Performance Measure"</w:t>
            </w:r>
          </w:p>
        </w:tc>
        <w:tc>
          <w:tcPr>
            <w:shd w:fill="auto" w:val="clear"/>
          </w:tcPr>
          <w:p w:rsidR="00000000" w:rsidDel="00000000" w:rsidP="00000000" w:rsidRDefault="00000000" w:rsidRPr="00000000" w14:paraId="00000015">
            <w:pPr>
              <w:numPr>
                <w:ilvl w:val="0"/>
                <w:numId w:val="3"/>
              </w:numPr>
              <w:pBdr>
                <w:top w:space="0" w:sz="0" w:val="nil"/>
                <w:left w:space="0" w:sz="0" w:val="nil"/>
                <w:bottom w:space="0" w:sz="0" w:val="nil"/>
                <w:right w:space="0" w:sz="0" w:val="nil"/>
                <w:between w:space="0" w:sz="0" w:val="nil"/>
              </w:pBdr>
              <w:tabs>
                <w:tab w:val="left" w:pos="-9"/>
                <w:tab w:val="left" w:pos="-179"/>
              </w:tabs>
              <w:spacing w:after="120" w:line="240" w:lineRule="auto"/>
              <w:ind w:left="170" w:hanging="17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shall be as set out against the relevant Service Level in the Annex to Part A of this Schedule; and</w:t>
            </w:r>
          </w:p>
        </w:tc>
      </w:tr>
      <w:tr>
        <w:trPr>
          <w:cantSplit w:val="0"/>
          <w:tblHeader w:val="0"/>
        </w:trPr>
        <w:tc>
          <w:tcPr>
            <w:shd w:fill="auto" w:val="clear"/>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after="120" w:line="240" w:lineRule="auto"/>
              <w:ind w:left="-108" w:firstLine="0"/>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"Service Level Threshold"</w:t>
            </w:r>
          </w:p>
        </w:tc>
        <w:tc>
          <w:tcPr>
            <w:shd w:fill="auto" w:val="clear"/>
          </w:tcPr>
          <w:p w:rsidR="00000000" w:rsidDel="00000000" w:rsidP="00000000" w:rsidRDefault="00000000" w:rsidRPr="00000000" w14:paraId="00000017">
            <w:pPr>
              <w:numPr>
                <w:ilvl w:val="0"/>
                <w:numId w:val="3"/>
              </w:numPr>
              <w:pBdr>
                <w:top w:space="0" w:sz="0" w:val="nil"/>
                <w:left w:space="0" w:sz="0" w:val="nil"/>
                <w:bottom w:space="0" w:sz="0" w:val="nil"/>
                <w:right w:space="0" w:sz="0" w:val="nil"/>
                <w:between w:space="0" w:sz="0" w:val="nil"/>
              </w:pBdr>
              <w:tabs>
                <w:tab w:val="left" w:pos="-9"/>
                <w:tab w:val="left" w:pos="-179"/>
              </w:tabs>
              <w:spacing w:after="120" w:line="240" w:lineRule="auto"/>
              <w:ind w:left="170" w:hanging="17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shall be as set out against the relevant Service Level in the Annex to Part A of this Schedule.</w:t>
            </w:r>
          </w:p>
        </w:tc>
      </w:tr>
    </w:tbl>
    <w:p w:rsidR="00000000" w:rsidDel="00000000" w:rsidP="00000000" w:rsidRDefault="00000000" w:rsidRPr="00000000" w14:paraId="00000018">
      <w:pPr>
        <w:numPr>
          <w:ilvl w:val="0"/>
          <w:numId w:val="2"/>
        </w:numPr>
        <w:pBdr>
          <w:top w:space="0" w:sz="0" w:val="nil"/>
          <w:left w:space="0" w:sz="0" w:val="nil"/>
          <w:bottom w:space="0" w:sz="0" w:val="nil"/>
          <w:right w:space="0" w:sz="0" w:val="nil"/>
          <w:between w:space="0" w:sz="0" w:val="nil"/>
        </w:pBdr>
        <w:tabs>
          <w:tab w:val="left" w:pos="142"/>
        </w:tabs>
        <w:spacing w:after="120" w:before="240" w:line="240" w:lineRule="auto"/>
        <w:ind w:left="720" w:hanging="720"/>
        <w:rPr>
          <w:rFonts w:ascii="Arial" w:cs="Arial" w:eastAsia="Arial" w:hAnsi="Arial"/>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What happens if you don’t meet the Service Levels</w:t>
      </w:r>
      <w:r w:rsidDel="00000000" w:rsidR="00000000" w:rsidRPr="00000000">
        <w:rPr>
          <w:rtl w:val="0"/>
        </w:rPr>
      </w:r>
    </w:p>
    <w:p w:rsidR="00000000" w:rsidDel="00000000" w:rsidP="00000000" w:rsidRDefault="00000000" w:rsidRPr="00000000" w14:paraId="00000019">
      <w:pPr>
        <w:numPr>
          <w:ilvl w:val="1"/>
          <w:numId w:val="2"/>
        </w:numPr>
        <w:pBdr>
          <w:top w:space="0" w:sz="0" w:val="nil"/>
          <w:left w:space="0" w:sz="0" w:val="nil"/>
          <w:bottom w:space="0" w:sz="0" w:val="nil"/>
          <w:right w:space="0" w:sz="0" w:val="nil"/>
          <w:between w:space="0" w:sz="0" w:val="nil"/>
        </w:pBdr>
        <w:spacing w:after="120" w:before="120" w:line="240" w:lineRule="auto"/>
        <w:ind w:left="1440" w:hanging="720"/>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The Supplier shall at all times provide the Deliverables to meet or exceed the Service Level Performance Measure for each Service Level.</w:t>
      </w:r>
      <w:r w:rsidDel="00000000" w:rsidR="00000000" w:rsidRPr="00000000">
        <w:rPr>
          <w:rtl w:val="0"/>
        </w:rPr>
      </w:r>
    </w:p>
    <w:p w:rsidR="00000000" w:rsidDel="00000000" w:rsidP="00000000" w:rsidRDefault="00000000" w:rsidRPr="00000000" w14:paraId="0000001A">
      <w:pPr>
        <w:numPr>
          <w:ilvl w:val="1"/>
          <w:numId w:val="2"/>
        </w:numPr>
        <w:pBdr>
          <w:top w:space="0" w:sz="0" w:val="nil"/>
          <w:left w:space="0" w:sz="0" w:val="nil"/>
          <w:bottom w:space="0" w:sz="0" w:val="nil"/>
          <w:right w:space="0" w:sz="0" w:val="nil"/>
          <w:between w:space="0" w:sz="0" w:val="nil"/>
        </w:pBdr>
        <w:spacing w:after="120" w:before="120" w:line="240" w:lineRule="auto"/>
        <w:ind w:left="1440" w:hanging="720"/>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The Supplier acknowledges that any Service Level Failure shall entitle the Buyer to the rights set out in Part A of this Schedule including the right to any Service Credits and that any Service Credit is a price adjustment and not an estimate of the Loss that may be suffered by the Buyer as a result of the Supplier’s failure to meet any Service Level Performance Measure.</w:t>
      </w:r>
      <w:r w:rsidDel="00000000" w:rsidR="00000000" w:rsidRPr="00000000">
        <w:rPr>
          <w:rtl w:val="0"/>
        </w:rPr>
      </w:r>
    </w:p>
    <w:p w:rsidR="00000000" w:rsidDel="00000000" w:rsidP="00000000" w:rsidRDefault="00000000" w:rsidRPr="00000000" w14:paraId="0000001B">
      <w:pPr>
        <w:numPr>
          <w:ilvl w:val="1"/>
          <w:numId w:val="2"/>
        </w:numPr>
        <w:pBdr>
          <w:top w:space="0" w:sz="0" w:val="nil"/>
          <w:left w:space="0" w:sz="0" w:val="nil"/>
          <w:bottom w:space="0" w:sz="0" w:val="nil"/>
          <w:right w:space="0" w:sz="0" w:val="nil"/>
          <w:between w:space="0" w:sz="0" w:val="nil"/>
        </w:pBdr>
        <w:spacing w:after="120" w:before="120" w:line="240" w:lineRule="auto"/>
        <w:ind w:left="144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send Performance Monitoring Reports to the Buyer detailing the level of service which was achieved in accordance with the provisions of Part B (Performance Monitoring) of this Schedule.</w:t>
      </w:r>
    </w:p>
    <w:p w:rsidR="00000000" w:rsidDel="00000000" w:rsidP="00000000" w:rsidRDefault="00000000" w:rsidRPr="00000000" w14:paraId="0000001C">
      <w:pPr>
        <w:numPr>
          <w:ilvl w:val="1"/>
          <w:numId w:val="2"/>
        </w:numPr>
        <w:pBdr>
          <w:top w:space="0" w:sz="0" w:val="nil"/>
          <w:left w:space="0" w:sz="0" w:val="nil"/>
          <w:bottom w:space="0" w:sz="0" w:val="nil"/>
          <w:right w:space="0" w:sz="0" w:val="nil"/>
          <w:between w:space="0" w:sz="0" w:val="nil"/>
        </w:pBdr>
        <w:spacing w:after="120" w:before="120" w:line="240" w:lineRule="auto"/>
        <w:ind w:left="1440" w:hanging="720"/>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A Service Credit shall be the Buyer’s exclusive financial remedy for a Service Level Failure except where:</w:t>
      </w:r>
      <w:r w:rsidDel="00000000" w:rsidR="00000000" w:rsidRPr="00000000">
        <w:rPr>
          <w:rtl w:val="0"/>
        </w:rPr>
      </w:r>
    </w:p>
    <w:p w:rsidR="00000000" w:rsidDel="00000000" w:rsidP="00000000" w:rsidRDefault="00000000" w:rsidRPr="00000000" w14:paraId="0000001D">
      <w:pPr>
        <w:numPr>
          <w:ilvl w:val="2"/>
          <w:numId w:val="2"/>
        </w:numPr>
        <w:pBdr>
          <w:top w:space="0" w:sz="0" w:val="nil"/>
          <w:left w:space="0" w:sz="0" w:val="nil"/>
          <w:bottom w:space="0" w:sz="0" w:val="nil"/>
          <w:right w:space="0" w:sz="0" w:val="nil"/>
          <w:between w:space="0" w:sz="0" w:val="nil"/>
        </w:pBdr>
        <w:spacing w:after="120" w:before="120" w:line="240" w:lineRule="auto"/>
        <w:ind w:left="216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has over the previous (twelve) 12 Month period exceeded the Service Credit Cap; and/or</w:t>
      </w:r>
    </w:p>
    <w:p w:rsidR="00000000" w:rsidDel="00000000" w:rsidP="00000000" w:rsidRDefault="00000000" w:rsidRPr="00000000" w14:paraId="0000001E">
      <w:pPr>
        <w:numPr>
          <w:ilvl w:val="2"/>
          <w:numId w:val="2"/>
        </w:numPr>
        <w:pBdr>
          <w:top w:space="0" w:sz="0" w:val="nil"/>
          <w:left w:space="0" w:sz="0" w:val="nil"/>
          <w:bottom w:space="0" w:sz="0" w:val="nil"/>
          <w:right w:space="0" w:sz="0" w:val="nil"/>
          <w:between w:space="0" w:sz="0" w:val="nil"/>
        </w:pBdr>
        <w:spacing w:after="120" w:before="120" w:line="240" w:lineRule="auto"/>
        <w:ind w:left="216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Service Level Failure:</w:t>
      </w:r>
    </w:p>
    <w:p w:rsidR="00000000" w:rsidDel="00000000" w:rsidP="00000000" w:rsidRDefault="00000000" w:rsidRPr="00000000" w14:paraId="0000001F">
      <w:pPr>
        <w:numPr>
          <w:ilvl w:val="3"/>
          <w:numId w:val="2"/>
        </w:numPr>
        <w:pBdr>
          <w:top w:space="0" w:sz="0" w:val="nil"/>
          <w:left w:space="0" w:sz="0" w:val="nil"/>
          <w:bottom w:space="0" w:sz="0" w:val="nil"/>
          <w:right w:space="0" w:sz="0" w:val="nil"/>
          <w:between w:space="0" w:sz="0" w:val="nil"/>
        </w:pBdr>
        <w:spacing w:after="120" w:before="120" w:line="240" w:lineRule="auto"/>
        <w:ind w:left="288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exceeds the relevant Service Level Threshold;</w:t>
      </w:r>
    </w:p>
    <w:p w:rsidR="00000000" w:rsidDel="00000000" w:rsidP="00000000" w:rsidRDefault="00000000" w:rsidRPr="00000000" w14:paraId="00000020">
      <w:pPr>
        <w:numPr>
          <w:ilvl w:val="3"/>
          <w:numId w:val="2"/>
        </w:numPr>
        <w:pBdr>
          <w:top w:space="0" w:sz="0" w:val="nil"/>
          <w:left w:space="0" w:sz="0" w:val="nil"/>
          <w:bottom w:space="0" w:sz="0" w:val="nil"/>
          <w:right w:space="0" w:sz="0" w:val="nil"/>
          <w:between w:space="0" w:sz="0" w:val="nil"/>
        </w:pBdr>
        <w:spacing w:after="120" w:before="120" w:line="240" w:lineRule="auto"/>
        <w:ind w:left="288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has arisen due to a Prohibited Act or wilful Default by the Supplier; </w:t>
      </w:r>
    </w:p>
    <w:p w:rsidR="00000000" w:rsidDel="00000000" w:rsidP="00000000" w:rsidRDefault="00000000" w:rsidRPr="00000000" w14:paraId="00000021">
      <w:pPr>
        <w:numPr>
          <w:ilvl w:val="3"/>
          <w:numId w:val="2"/>
        </w:numPr>
        <w:pBdr>
          <w:top w:space="0" w:sz="0" w:val="nil"/>
          <w:left w:space="0" w:sz="0" w:val="nil"/>
          <w:bottom w:space="0" w:sz="0" w:val="nil"/>
          <w:right w:space="0" w:sz="0" w:val="nil"/>
          <w:between w:space="0" w:sz="0" w:val="nil"/>
        </w:pBdr>
        <w:spacing w:after="120" w:before="120" w:line="240" w:lineRule="auto"/>
        <w:ind w:left="288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results in the corruption or loss of any Government Data; and/or</w:t>
      </w:r>
    </w:p>
    <w:p w:rsidR="00000000" w:rsidDel="00000000" w:rsidP="00000000" w:rsidRDefault="00000000" w:rsidRPr="00000000" w14:paraId="00000022">
      <w:pPr>
        <w:numPr>
          <w:ilvl w:val="3"/>
          <w:numId w:val="2"/>
        </w:numPr>
        <w:pBdr>
          <w:top w:space="0" w:sz="0" w:val="nil"/>
          <w:left w:space="0" w:sz="0" w:val="nil"/>
          <w:bottom w:space="0" w:sz="0" w:val="nil"/>
          <w:right w:space="0" w:sz="0" w:val="nil"/>
          <w:between w:space="0" w:sz="0" w:val="nil"/>
        </w:pBdr>
        <w:spacing w:after="120" w:before="120" w:line="240" w:lineRule="auto"/>
        <w:ind w:left="288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results in the Buyer being required to make a compensation payment to one or more third parties; and/or</w:t>
      </w:r>
    </w:p>
    <w:p w:rsidR="00000000" w:rsidDel="00000000" w:rsidP="00000000" w:rsidRDefault="00000000" w:rsidRPr="00000000" w14:paraId="00000023">
      <w:pPr>
        <w:numPr>
          <w:ilvl w:val="2"/>
          <w:numId w:val="2"/>
        </w:numPr>
        <w:pBdr>
          <w:top w:space="0" w:sz="0" w:val="nil"/>
          <w:left w:space="0" w:sz="0" w:val="nil"/>
          <w:bottom w:space="0" w:sz="0" w:val="nil"/>
          <w:right w:space="0" w:sz="0" w:val="nil"/>
          <w:between w:space="0" w:sz="0" w:val="nil"/>
        </w:pBdr>
        <w:spacing w:after="120" w:before="120" w:line="240" w:lineRule="auto"/>
        <w:ind w:left="216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 is entitled to or does terminate this Contract pursuant to Clause 10.4 (CCS and Buyer Termination Rights).</w:t>
      </w:r>
    </w:p>
    <w:p w:rsidR="00000000" w:rsidDel="00000000" w:rsidP="00000000" w:rsidRDefault="00000000" w:rsidRPr="00000000" w14:paraId="00000024">
      <w:pPr>
        <w:numPr>
          <w:ilvl w:val="1"/>
          <w:numId w:val="2"/>
        </w:numPr>
        <w:pBdr>
          <w:top w:space="0" w:sz="0" w:val="nil"/>
          <w:left w:space="0" w:sz="0" w:val="nil"/>
          <w:bottom w:space="0" w:sz="0" w:val="nil"/>
          <w:right w:space="0" w:sz="0" w:val="nil"/>
          <w:between w:space="0" w:sz="0" w:val="nil"/>
        </w:pBdr>
        <w:spacing w:after="120" w:before="120" w:line="240" w:lineRule="auto"/>
        <w:ind w:left="144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Not more than once in each Contract Year, the Buyer may, on giving the Supplier at least three (3) Months’ notice, change the weighting of Service Level Performance Measure in respect of one or more Service Levels and the Supplier shall not be entitled to object to, or increase the Charges as a result of such changes, provided that:</w:t>
      </w:r>
    </w:p>
    <w:p w:rsidR="00000000" w:rsidDel="00000000" w:rsidP="00000000" w:rsidRDefault="00000000" w:rsidRPr="00000000" w14:paraId="00000025">
      <w:pPr>
        <w:numPr>
          <w:ilvl w:val="2"/>
          <w:numId w:val="2"/>
        </w:numPr>
        <w:pBdr>
          <w:top w:space="0" w:sz="0" w:val="nil"/>
          <w:left w:space="0" w:sz="0" w:val="nil"/>
          <w:bottom w:space="0" w:sz="0" w:val="nil"/>
          <w:right w:space="0" w:sz="0" w:val="nil"/>
          <w:between w:space="0" w:sz="0" w:val="nil"/>
        </w:pBdr>
        <w:spacing w:after="120" w:before="120" w:line="240" w:lineRule="auto"/>
        <w:ind w:left="216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total number of Service Levels for which the weighting is to be changed does not exceed the number applicable as at the Start Date; </w:t>
      </w:r>
    </w:p>
    <w:p w:rsidR="00000000" w:rsidDel="00000000" w:rsidP="00000000" w:rsidRDefault="00000000" w:rsidRPr="00000000" w14:paraId="00000026">
      <w:pPr>
        <w:numPr>
          <w:ilvl w:val="2"/>
          <w:numId w:val="2"/>
        </w:numPr>
        <w:pBdr>
          <w:top w:space="0" w:sz="0" w:val="nil"/>
          <w:left w:space="0" w:sz="0" w:val="nil"/>
          <w:bottom w:space="0" w:sz="0" w:val="nil"/>
          <w:right w:space="0" w:sz="0" w:val="nil"/>
          <w:between w:space="0" w:sz="0" w:val="nil"/>
        </w:pBdr>
        <w:spacing w:after="120" w:before="120" w:line="240" w:lineRule="auto"/>
        <w:ind w:left="216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principal purpose of the change is to reflect changes in the Buyer's business requirements and/or priorities or to reflect changing industry standards; and</w:t>
      </w:r>
    </w:p>
    <w:p w:rsidR="00000000" w:rsidDel="00000000" w:rsidP="00000000" w:rsidRDefault="00000000" w:rsidRPr="00000000" w14:paraId="00000027">
      <w:pPr>
        <w:numPr>
          <w:ilvl w:val="2"/>
          <w:numId w:val="2"/>
        </w:numPr>
        <w:pBdr>
          <w:top w:space="0" w:sz="0" w:val="nil"/>
          <w:left w:space="0" w:sz="0" w:val="nil"/>
          <w:bottom w:space="0" w:sz="0" w:val="nil"/>
          <w:right w:space="0" w:sz="0" w:val="nil"/>
          <w:between w:space="0" w:sz="0" w:val="nil"/>
        </w:pBdr>
        <w:spacing w:after="120" w:before="120" w:line="240" w:lineRule="auto"/>
        <w:ind w:left="216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there is no change to the Service Credit Cap.</w:t>
      </w:r>
    </w:p>
    <w:p w:rsidR="00000000" w:rsidDel="00000000" w:rsidP="00000000" w:rsidRDefault="00000000" w:rsidRPr="00000000" w14:paraId="00000028">
      <w:pPr>
        <w:numPr>
          <w:ilvl w:val="0"/>
          <w:numId w:val="2"/>
        </w:numPr>
        <w:pBdr>
          <w:top w:space="0" w:sz="0" w:val="nil"/>
          <w:left w:space="0" w:sz="0" w:val="nil"/>
          <w:bottom w:space="0" w:sz="0" w:val="nil"/>
          <w:right w:space="0" w:sz="0" w:val="nil"/>
          <w:between w:space="0" w:sz="0" w:val="nil"/>
        </w:pBdr>
        <w:tabs>
          <w:tab w:val="left" w:pos="142"/>
        </w:tabs>
        <w:spacing w:after="120" w:before="240" w:line="240" w:lineRule="auto"/>
        <w:ind w:left="720" w:hanging="720"/>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Critical Service Level Failure</w:t>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120" w:before="120" w:line="240" w:lineRule="auto"/>
        <w:ind w:left="936" w:hanging="57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On the occurrence of a Critical Service Level Failure:</w:t>
      </w:r>
    </w:p>
    <w:p w:rsidR="00000000" w:rsidDel="00000000" w:rsidP="00000000" w:rsidRDefault="00000000" w:rsidRPr="00000000" w14:paraId="0000002A">
      <w:pPr>
        <w:numPr>
          <w:ilvl w:val="1"/>
          <w:numId w:val="2"/>
        </w:numPr>
        <w:pBdr>
          <w:top w:space="0" w:sz="0" w:val="nil"/>
          <w:left w:space="0" w:sz="0" w:val="nil"/>
          <w:bottom w:space="0" w:sz="0" w:val="nil"/>
          <w:right w:space="0" w:sz="0" w:val="nil"/>
          <w:between w:space="0" w:sz="0" w:val="nil"/>
        </w:pBdr>
        <w:spacing w:after="120" w:before="120" w:line="240" w:lineRule="auto"/>
        <w:ind w:left="144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Service Credits that would otherwise have accrued during the relevant Service Period shall not accrue; and</w:t>
      </w:r>
    </w:p>
    <w:p w:rsidR="00000000" w:rsidDel="00000000" w:rsidP="00000000" w:rsidRDefault="00000000" w:rsidRPr="00000000" w14:paraId="0000002B">
      <w:pPr>
        <w:numPr>
          <w:ilvl w:val="1"/>
          <w:numId w:val="2"/>
        </w:numPr>
        <w:pBdr>
          <w:top w:space="0" w:sz="0" w:val="nil"/>
          <w:left w:space="0" w:sz="0" w:val="nil"/>
          <w:bottom w:space="0" w:sz="0" w:val="nil"/>
          <w:right w:space="0" w:sz="0" w:val="nil"/>
          <w:between w:space="0" w:sz="0" w:val="nil"/>
        </w:pBdr>
        <w:spacing w:after="120" w:before="120" w:line="240" w:lineRule="auto"/>
        <w:ind w:left="144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 shall (subject to the Service Credit Cap) be entitled to withhold and retain as compensation a sum equal to any Charges which would otherwise have been due to the Supplier in respect of that Service Period ("</w:t>
      </w:r>
      <w:r w:rsidDel="00000000" w:rsidR="00000000" w:rsidRPr="00000000">
        <w:rPr>
          <w:rFonts w:ascii="Arial" w:cs="Arial" w:eastAsia="Arial" w:hAnsi="Arial"/>
          <w:b w:val="1"/>
          <w:color w:val="000000"/>
          <w:sz w:val="24"/>
          <w:szCs w:val="24"/>
          <w:rtl w:val="0"/>
        </w:rPr>
        <w:t xml:space="preserve">Compensation for Critical Service Level Failure</w:t>
      </w:r>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2C">
      <w:pPr>
        <w:pBdr>
          <w:top w:space="0" w:sz="0" w:val="nil"/>
          <w:left w:space="0" w:sz="0" w:val="nil"/>
          <w:bottom w:space="0" w:sz="0" w:val="nil"/>
          <w:right w:space="0" w:sz="0" w:val="nil"/>
          <w:between w:space="0" w:sz="0" w:val="nil"/>
        </w:pBdr>
        <w:tabs>
          <w:tab w:val="left" w:pos="3402"/>
        </w:tabs>
        <w:spacing w:after="220" w:line="240" w:lineRule="auto"/>
        <w:ind w:left="72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provided that the operation of this paragraph 3 shall be without prejudice to the right of the Buyer to terminate this Contract and/or to claim damages from the Supplier for material Default.</w:t>
      </w:r>
    </w:p>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left" w:pos="142"/>
        </w:tabs>
        <w:spacing w:after="120" w:before="240" w:line="240" w:lineRule="auto"/>
        <w:ind w:left="426" w:hanging="360"/>
        <w:rPr>
          <w:rFonts w:ascii="Arial" w:cs="Arial" w:eastAsia="Arial" w:hAnsi="Arial"/>
          <w:b w:val="1"/>
          <w:smallCaps w:val="1"/>
          <w:color w:val="000000"/>
          <w:sz w:val="24"/>
          <w:szCs w:val="24"/>
        </w:rPr>
      </w:pPr>
      <w:r w:rsidDel="00000000" w:rsidR="00000000" w:rsidRPr="00000000">
        <w:rPr>
          <w:rtl w:val="0"/>
        </w:rPr>
      </w:r>
    </w:p>
    <w:p w:rsidR="00000000" w:rsidDel="00000000" w:rsidP="00000000" w:rsidRDefault="00000000" w:rsidRPr="00000000" w14:paraId="0000002E">
      <w:pPr>
        <w:keepNext w:val="1"/>
        <w:pBdr>
          <w:top w:space="0" w:sz="0" w:val="nil"/>
          <w:left w:space="0" w:sz="0" w:val="nil"/>
          <w:bottom w:space="0" w:sz="0" w:val="nil"/>
          <w:right w:space="0" w:sz="0" w:val="nil"/>
          <w:between w:space="0" w:sz="0" w:val="nil"/>
        </w:pBdr>
        <w:spacing w:after="240" w:line="240" w:lineRule="auto"/>
        <w:rPr>
          <w:rFonts w:ascii="Arial Bold" w:cs="Arial Bold" w:eastAsia="Arial Bold" w:hAnsi="Arial Bold"/>
          <w:b w:val="1"/>
          <w:color w:val="000000"/>
          <w:sz w:val="36"/>
          <w:szCs w:val="36"/>
        </w:rPr>
      </w:pPr>
      <w:r w:rsidDel="00000000" w:rsidR="00000000" w:rsidRPr="00000000">
        <w:br w:type="page"/>
      </w:r>
      <w:r w:rsidDel="00000000" w:rsidR="00000000" w:rsidRPr="00000000">
        <w:rPr>
          <w:rFonts w:ascii="Arial Bold" w:cs="Arial Bold" w:eastAsia="Arial Bold" w:hAnsi="Arial Bold"/>
          <w:b w:val="1"/>
          <w:color w:val="000000"/>
          <w:sz w:val="36"/>
          <w:szCs w:val="36"/>
          <w:rtl w:val="0"/>
        </w:rPr>
        <w:t xml:space="preserve">Part A: Service Levels and Service Credits </w:t>
      </w:r>
    </w:p>
    <w:p w:rsidR="00000000" w:rsidDel="00000000" w:rsidP="00000000" w:rsidRDefault="00000000" w:rsidRPr="00000000" w14:paraId="0000002F">
      <w:pPr>
        <w:numPr>
          <w:ilvl w:val="0"/>
          <w:numId w:val="4"/>
        </w:numPr>
        <w:pBdr>
          <w:top w:space="0" w:sz="0" w:val="nil"/>
          <w:left w:space="0" w:sz="0" w:val="nil"/>
          <w:bottom w:space="0" w:sz="0" w:val="nil"/>
          <w:right w:space="0" w:sz="0" w:val="nil"/>
          <w:between w:space="0" w:sz="0" w:val="nil"/>
        </w:pBdr>
        <w:tabs>
          <w:tab w:val="left" w:pos="142"/>
        </w:tabs>
        <w:spacing w:after="120" w:before="240" w:line="240" w:lineRule="auto"/>
        <w:ind w:left="720" w:hanging="720"/>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Service Levels</w:t>
      </w:r>
    </w:p>
    <w:p w:rsidR="00000000" w:rsidDel="00000000" w:rsidP="00000000" w:rsidRDefault="00000000" w:rsidRPr="00000000" w14:paraId="00000030">
      <w:pPr>
        <w:pBdr>
          <w:top w:space="0" w:sz="0" w:val="nil"/>
          <w:left w:space="0" w:sz="0" w:val="nil"/>
          <w:bottom w:space="0" w:sz="0" w:val="nil"/>
          <w:right w:space="0" w:sz="0" w:val="nil"/>
          <w:between w:space="0" w:sz="0" w:val="nil"/>
        </w:pBdr>
        <w:spacing w:after="120" w:before="120" w:line="240" w:lineRule="auto"/>
        <w:ind w:left="720" w:hanging="57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the level of performance of the Supplier:</w:t>
      </w:r>
    </w:p>
    <w:p w:rsidR="00000000" w:rsidDel="00000000" w:rsidP="00000000" w:rsidRDefault="00000000" w:rsidRPr="00000000" w14:paraId="00000031">
      <w:pPr>
        <w:numPr>
          <w:ilvl w:val="1"/>
          <w:numId w:val="4"/>
        </w:numPr>
        <w:pBdr>
          <w:top w:space="0" w:sz="0" w:val="nil"/>
          <w:left w:space="0" w:sz="0" w:val="nil"/>
          <w:bottom w:space="0" w:sz="0" w:val="nil"/>
          <w:right w:space="0" w:sz="0" w:val="nil"/>
          <w:between w:space="0" w:sz="0" w:val="nil"/>
        </w:pBdr>
        <w:spacing w:after="120" w:before="120" w:line="240" w:lineRule="auto"/>
        <w:ind w:left="144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is likely to or fails to meet any Service Level Performance Measure; or</w:t>
      </w:r>
    </w:p>
    <w:p w:rsidR="00000000" w:rsidDel="00000000" w:rsidP="00000000" w:rsidRDefault="00000000" w:rsidRPr="00000000" w14:paraId="00000032">
      <w:pPr>
        <w:numPr>
          <w:ilvl w:val="1"/>
          <w:numId w:val="4"/>
        </w:numPr>
        <w:pBdr>
          <w:top w:space="0" w:sz="0" w:val="nil"/>
          <w:left w:space="0" w:sz="0" w:val="nil"/>
          <w:bottom w:space="0" w:sz="0" w:val="nil"/>
          <w:right w:space="0" w:sz="0" w:val="nil"/>
          <w:between w:space="0" w:sz="0" w:val="nil"/>
        </w:pBdr>
        <w:spacing w:after="120" w:before="120" w:line="240" w:lineRule="auto"/>
        <w:ind w:left="144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is likely to cause or causes a Critical Service Failure to occur, </w:t>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120" w:before="120" w:line="240" w:lineRule="auto"/>
        <w:ind w:left="720" w:hanging="57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immediately notify the Buyer in writing and the Buyer, in its absolute discretion and without limiting any other of its rights, may:</w:t>
      </w:r>
    </w:p>
    <w:p w:rsidR="00000000" w:rsidDel="00000000" w:rsidP="00000000" w:rsidRDefault="00000000" w:rsidRPr="00000000" w14:paraId="00000034">
      <w:pPr>
        <w:numPr>
          <w:ilvl w:val="2"/>
          <w:numId w:val="1"/>
        </w:numPr>
        <w:pBdr>
          <w:top w:space="0" w:sz="0" w:val="nil"/>
          <w:left w:space="0" w:sz="0" w:val="nil"/>
          <w:bottom w:space="0" w:sz="0" w:val="nil"/>
          <w:right w:space="0" w:sz="0" w:val="nil"/>
          <w:between w:space="0" w:sz="0" w:val="nil"/>
        </w:pBdr>
        <w:spacing w:after="120" w:before="120" w:line="240" w:lineRule="auto"/>
        <w:ind w:left="216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require the Supplier to immediately take all remedial action that is reasonable to mitigate the impact on the Buyer and to rectify or prevent a Service Level Failure or Critical Service Level Failure from taking place or recurring; </w:t>
      </w:r>
    </w:p>
    <w:p w:rsidR="00000000" w:rsidDel="00000000" w:rsidP="00000000" w:rsidRDefault="00000000" w:rsidRPr="00000000" w14:paraId="00000035">
      <w:pPr>
        <w:numPr>
          <w:ilvl w:val="2"/>
          <w:numId w:val="1"/>
        </w:numPr>
        <w:pBdr>
          <w:top w:space="0" w:sz="0" w:val="nil"/>
          <w:left w:space="0" w:sz="0" w:val="nil"/>
          <w:bottom w:space="0" w:sz="0" w:val="nil"/>
          <w:right w:space="0" w:sz="0" w:val="nil"/>
          <w:between w:space="0" w:sz="0" w:val="nil"/>
        </w:pBdr>
        <w:spacing w:after="120" w:before="120" w:line="240" w:lineRule="auto"/>
        <w:ind w:left="216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instruct the Supplier to comply with the Rectification Plan Process; </w:t>
      </w:r>
    </w:p>
    <w:p w:rsidR="00000000" w:rsidDel="00000000" w:rsidP="00000000" w:rsidRDefault="00000000" w:rsidRPr="00000000" w14:paraId="00000036">
      <w:pPr>
        <w:numPr>
          <w:ilvl w:val="2"/>
          <w:numId w:val="1"/>
        </w:numPr>
        <w:pBdr>
          <w:top w:space="0" w:sz="0" w:val="nil"/>
          <w:left w:space="0" w:sz="0" w:val="nil"/>
          <w:bottom w:space="0" w:sz="0" w:val="nil"/>
          <w:right w:space="0" w:sz="0" w:val="nil"/>
          <w:between w:space="0" w:sz="0" w:val="nil"/>
        </w:pBdr>
        <w:spacing w:after="120" w:before="120" w:line="240" w:lineRule="auto"/>
        <w:ind w:left="216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a Service Level Failure has occurred, deduct the applicable Service Level Credits payable by the Supplier to the Buyer; and/or</w:t>
      </w:r>
    </w:p>
    <w:p w:rsidR="00000000" w:rsidDel="00000000" w:rsidP="00000000" w:rsidRDefault="00000000" w:rsidRPr="00000000" w14:paraId="00000037">
      <w:pPr>
        <w:numPr>
          <w:ilvl w:val="2"/>
          <w:numId w:val="1"/>
        </w:numPr>
        <w:pBdr>
          <w:top w:space="0" w:sz="0" w:val="nil"/>
          <w:left w:space="0" w:sz="0" w:val="nil"/>
          <w:bottom w:space="0" w:sz="0" w:val="nil"/>
          <w:right w:space="0" w:sz="0" w:val="nil"/>
          <w:between w:space="0" w:sz="0" w:val="nil"/>
        </w:pBdr>
        <w:spacing w:after="120" w:before="120" w:line="240" w:lineRule="auto"/>
        <w:ind w:left="216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a Critical Service Level Failure has occurred, exercise its right to Compensation for Critical Service Level Failure (including the right to terminate for material Default).</w:t>
      </w:r>
    </w:p>
    <w:p w:rsidR="00000000" w:rsidDel="00000000" w:rsidP="00000000" w:rsidRDefault="00000000" w:rsidRPr="00000000" w14:paraId="00000038">
      <w:pPr>
        <w:numPr>
          <w:ilvl w:val="0"/>
          <w:numId w:val="4"/>
        </w:numPr>
        <w:pBdr>
          <w:top w:space="0" w:sz="0" w:val="nil"/>
          <w:left w:space="0" w:sz="0" w:val="nil"/>
          <w:bottom w:space="0" w:sz="0" w:val="nil"/>
          <w:right w:space="0" w:sz="0" w:val="nil"/>
          <w:between w:space="0" w:sz="0" w:val="nil"/>
        </w:pBdr>
        <w:tabs>
          <w:tab w:val="left" w:pos="142"/>
        </w:tabs>
        <w:spacing w:after="120" w:before="240" w:line="240" w:lineRule="auto"/>
        <w:ind w:left="720" w:hanging="720"/>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Service Credits</w:t>
      </w:r>
    </w:p>
    <w:p w:rsidR="00000000" w:rsidDel="00000000" w:rsidP="00000000" w:rsidRDefault="00000000" w:rsidRPr="00000000" w14:paraId="00000039">
      <w:pPr>
        <w:numPr>
          <w:ilvl w:val="1"/>
          <w:numId w:val="4"/>
        </w:numPr>
        <w:pBdr>
          <w:top w:space="0" w:sz="0" w:val="nil"/>
          <w:left w:space="0" w:sz="0" w:val="nil"/>
          <w:bottom w:space="0" w:sz="0" w:val="nil"/>
          <w:right w:space="0" w:sz="0" w:val="nil"/>
          <w:between w:space="0" w:sz="0" w:val="nil"/>
        </w:pBdr>
        <w:spacing w:after="120" w:before="120" w:line="240" w:lineRule="auto"/>
        <w:ind w:left="144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 shall use the Performance Monitoring Reports supplied by the Supplier to verify the calculation and accuracy of the Service Credits, if any, applicable to each Service Period.</w:t>
      </w:r>
    </w:p>
    <w:p w:rsidR="00000000" w:rsidDel="00000000" w:rsidP="00000000" w:rsidRDefault="00000000" w:rsidRPr="00000000" w14:paraId="0000003A">
      <w:pPr>
        <w:numPr>
          <w:ilvl w:val="1"/>
          <w:numId w:val="4"/>
        </w:numPr>
        <w:pBdr>
          <w:top w:space="0" w:sz="0" w:val="nil"/>
          <w:left w:space="0" w:sz="0" w:val="nil"/>
          <w:bottom w:space="0" w:sz="0" w:val="nil"/>
          <w:right w:space="0" w:sz="0" w:val="nil"/>
          <w:between w:space="0" w:sz="0" w:val="nil"/>
        </w:pBdr>
        <w:spacing w:after="120" w:before="120" w:line="240" w:lineRule="auto"/>
        <w:ind w:left="144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Service Credits are a reduction of the amounts payable in respect of the Deliverables and do not include VAT. The Supplier shall set-off the value of any Service Credits against the appropriate invoice in accordance with calculation formula in the Annex to Part A of this Schedule. </w:t>
      </w:r>
    </w:p>
    <w:p w:rsidR="00000000" w:rsidDel="00000000" w:rsidP="00000000" w:rsidRDefault="00000000" w:rsidRPr="00000000" w14:paraId="0000003B">
      <w:pPr>
        <w:keepNext w:val="1"/>
        <w:pBdr>
          <w:top w:space="0" w:sz="0" w:val="nil"/>
          <w:left w:space="0" w:sz="0" w:val="nil"/>
          <w:bottom w:space="0" w:sz="0" w:val="nil"/>
          <w:right w:space="0" w:sz="0" w:val="nil"/>
          <w:between w:space="0" w:sz="0" w:val="nil"/>
        </w:pBdr>
        <w:spacing w:after="240" w:line="240" w:lineRule="auto"/>
        <w:rPr>
          <w:rFonts w:ascii="Arial Bold" w:cs="Arial Bold" w:eastAsia="Arial Bold" w:hAnsi="Arial Bold"/>
          <w:b w:val="1"/>
          <w:color w:val="000000"/>
          <w:sz w:val="24"/>
          <w:szCs w:val="24"/>
        </w:rPr>
      </w:pPr>
      <w:r w:rsidDel="00000000" w:rsidR="00000000" w:rsidRPr="00000000">
        <w:br w:type="page"/>
      </w:r>
      <w:r w:rsidDel="00000000" w:rsidR="00000000" w:rsidRPr="00000000">
        <w:rPr>
          <w:rFonts w:ascii="Arial Bold" w:cs="Arial Bold" w:eastAsia="Arial Bold" w:hAnsi="Arial Bold"/>
          <w:b w:val="1"/>
          <w:color w:val="000000"/>
          <w:sz w:val="36"/>
          <w:szCs w:val="36"/>
          <w:rtl w:val="0"/>
        </w:rPr>
        <w:t xml:space="preserve">Annex A to Part A: Services Levels and Service Credits Table</w:t>
      </w:r>
      <w:r w:rsidDel="00000000" w:rsidR="00000000" w:rsidRPr="00000000">
        <w:rPr>
          <w:rtl w:val="0"/>
        </w:rPr>
      </w:r>
    </w:p>
    <w:p w:rsidR="00000000" w:rsidDel="00000000" w:rsidP="00000000" w:rsidRDefault="00000000" w:rsidRPr="00000000" w14:paraId="0000003C">
      <w:pPr>
        <w:ind w:left="709"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Arial" w:cs="Arial" w:eastAsia="Arial" w:hAnsi="Arial"/>
          <w:b w:val="1"/>
          <w:sz w:val="24"/>
          <w:szCs w:val="24"/>
          <w:highlight w:val="yellow"/>
          <w:rtl w:val="0"/>
        </w:rPr>
        <w:t xml:space="preserve">Guidance Note: </w:t>
      </w:r>
      <w:r w:rsidDel="00000000" w:rsidR="00000000" w:rsidRPr="00000000">
        <w:rPr>
          <w:rFonts w:ascii="Arial" w:cs="Arial" w:eastAsia="Arial" w:hAnsi="Arial"/>
          <w:sz w:val="24"/>
          <w:szCs w:val="24"/>
          <w:rtl w:val="0"/>
        </w:rPr>
        <w:t xml:space="preserve">The following are included by way of example only. Procurement-specific Service Levels should be incorporated]</w:t>
      </w:r>
    </w:p>
    <w:tbl>
      <w:tblPr>
        <w:tblStyle w:val="Table3"/>
        <w:tblW w:w="8936.000000000002"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44"/>
        <w:gridCol w:w="1871"/>
        <w:gridCol w:w="1701"/>
        <w:gridCol w:w="1418"/>
        <w:gridCol w:w="2102"/>
        <w:tblGridChange w:id="0">
          <w:tblGrid>
            <w:gridCol w:w="1844"/>
            <w:gridCol w:w="1871"/>
            <w:gridCol w:w="1701"/>
            <w:gridCol w:w="1418"/>
            <w:gridCol w:w="2102"/>
          </w:tblGrid>
        </w:tblGridChange>
      </w:tblGrid>
      <w:tr>
        <w:trPr>
          <w:cantSplit w:val="0"/>
          <w:trHeight w:val="1213" w:hRule="atLeast"/>
          <w:tblHeader w:val="0"/>
        </w:trPr>
        <w:tc>
          <w:tcPr>
            <w:gridSpan w:val="4"/>
            <w:shd w:fill="d9d9d9" w:val="clear"/>
          </w:tcPr>
          <w:p w:rsidR="00000000" w:rsidDel="00000000" w:rsidP="00000000" w:rsidRDefault="00000000" w:rsidRPr="00000000" w14:paraId="0000003D">
            <w:pPr>
              <w:ind w:left="9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Service Levels</w:t>
            </w:r>
          </w:p>
        </w:tc>
        <w:tc>
          <w:tcPr>
            <w:vMerge w:val="restart"/>
            <w:shd w:fill="d9d9d9" w:val="clear"/>
            <w:vAlign w:val="center"/>
          </w:tcPr>
          <w:p w:rsidR="00000000" w:rsidDel="00000000" w:rsidP="00000000" w:rsidRDefault="00000000" w:rsidRPr="00000000" w14:paraId="00000041">
            <w:pPr>
              <w:ind w:left="9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Service Credit for each Service Period</w:t>
            </w:r>
          </w:p>
          <w:p w:rsidR="00000000" w:rsidDel="00000000" w:rsidP="00000000" w:rsidRDefault="00000000" w:rsidRPr="00000000" w14:paraId="00000042">
            <w:pPr>
              <w:ind w:left="95" w:firstLine="0"/>
              <w:rPr>
                <w:rFonts w:ascii="Arial" w:cs="Arial" w:eastAsia="Arial" w:hAnsi="Arial"/>
                <w:sz w:val="24"/>
                <w:szCs w:val="24"/>
              </w:rPr>
            </w:pPr>
            <w:r w:rsidDel="00000000" w:rsidR="00000000" w:rsidRPr="00000000">
              <w:rPr>
                <w:rtl w:val="0"/>
              </w:rPr>
            </w:r>
          </w:p>
        </w:tc>
      </w:tr>
      <w:tr>
        <w:trPr>
          <w:cantSplit w:val="0"/>
          <w:trHeight w:val="1213" w:hRule="atLeast"/>
          <w:tblHeader w:val="0"/>
        </w:trPr>
        <w:tc>
          <w:tcPr>
            <w:shd w:fill="d9d9d9" w:val="clear"/>
            <w:vAlign w:val="center"/>
          </w:tcPr>
          <w:p w:rsidR="00000000" w:rsidDel="00000000" w:rsidP="00000000" w:rsidRDefault="00000000" w:rsidRPr="00000000" w14:paraId="00000043">
            <w:pPr>
              <w:ind w:left="61"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Service Level Performance Criterion</w:t>
            </w:r>
          </w:p>
        </w:tc>
        <w:tc>
          <w:tcPr>
            <w:shd w:fill="d9d9d9" w:val="clear"/>
            <w:vAlign w:val="center"/>
          </w:tcPr>
          <w:p w:rsidR="00000000" w:rsidDel="00000000" w:rsidP="00000000" w:rsidRDefault="00000000" w:rsidRPr="00000000" w14:paraId="00000044">
            <w:pPr>
              <w:ind w:left="9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Key Indicator</w:t>
            </w:r>
          </w:p>
        </w:tc>
        <w:tc>
          <w:tcPr>
            <w:shd w:fill="d9d9d9" w:val="clear"/>
            <w:vAlign w:val="center"/>
          </w:tcPr>
          <w:p w:rsidR="00000000" w:rsidDel="00000000" w:rsidP="00000000" w:rsidRDefault="00000000" w:rsidRPr="00000000" w14:paraId="00000045">
            <w:pPr>
              <w:rPr>
                <w:rFonts w:ascii="Arial" w:cs="Arial" w:eastAsia="Arial" w:hAnsi="Arial"/>
                <w:sz w:val="24"/>
                <w:szCs w:val="24"/>
              </w:rPr>
            </w:pPr>
            <w:r w:rsidDel="00000000" w:rsidR="00000000" w:rsidRPr="00000000">
              <w:rPr>
                <w:rFonts w:ascii="Arial" w:cs="Arial" w:eastAsia="Arial" w:hAnsi="Arial"/>
                <w:sz w:val="24"/>
                <w:szCs w:val="24"/>
                <w:rtl w:val="0"/>
              </w:rPr>
              <w:t xml:space="preserve">Service Level Performance Measure</w:t>
            </w:r>
          </w:p>
        </w:tc>
        <w:tc>
          <w:tcPr>
            <w:shd w:fill="d9d9d9" w:val="clear"/>
          </w:tcPr>
          <w:p w:rsidR="00000000" w:rsidDel="00000000" w:rsidP="00000000" w:rsidRDefault="00000000" w:rsidRPr="00000000" w14:paraId="00000046">
            <w:pPr>
              <w:ind w:left="9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Service Level Threshold</w:t>
            </w:r>
          </w:p>
        </w:tc>
        <w:tc>
          <w:tcPr>
            <w:vMerge w:val="continue"/>
            <w:shd w:fill="d9d9d9" w:val="clear"/>
            <w:vAlign w:val="center"/>
          </w:tcPr>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4"/>
                <w:szCs w:val="24"/>
              </w:rPr>
            </w:pPr>
            <w:r w:rsidDel="00000000" w:rsidR="00000000" w:rsidRPr="00000000">
              <w:rPr>
                <w:rtl w:val="0"/>
              </w:rPr>
            </w:r>
          </w:p>
        </w:tc>
      </w:tr>
      <w:tr>
        <w:trPr>
          <w:cantSplit w:val="0"/>
          <w:trHeight w:val="1474" w:hRule="atLeast"/>
          <w:tblHeader w:val="0"/>
        </w:trPr>
        <w:tc>
          <w:tcPr/>
          <w:p w:rsidR="00000000" w:rsidDel="00000000" w:rsidP="00000000" w:rsidRDefault="00000000" w:rsidRPr="00000000" w14:paraId="00000048">
            <w:pPr>
              <w:spacing w:after="120" w:lineRule="auto"/>
              <w:ind w:left="61" w:firstLine="0"/>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Response Times</w:t>
            </w:r>
            <w:r w:rsidDel="00000000" w:rsidR="00000000" w:rsidRPr="00000000">
              <w:rPr>
                <w:rtl w:val="0"/>
              </w:rPr>
            </w:r>
          </w:p>
          <w:p w:rsidR="00000000" w:rsidDel="00000000" w:rsidP="00000000" w:rsidRDefault="00000000" w:rsidRPr="00000000" w14:paraId="00000049">
            <w:pPr>
              <w:spacing w:after="120" w:lineRule="auto"/>
              <w:ind w:left="61" w:firstLine="0"/>
              <w:rPr>
                <w:rFonts w:ascii="Arial" w:cs="Arial" w:eastAsia="Arial" w:hAnsi="Arial"/>
                <w:sz w:val="24"/>
                <w:szCs w:val="24"/>
              </w:rPr>
            </w:pPr>
            <w:r w:rsidDel="00000000" w:rsidR="00000000" w:rsidRPr="00000000">
              <w:rPr>
                <w:rtl w:val="0"/>
              </w:rPr>
            </w:r>
          </w:p>
        </w:tc>
        <w:tc>
          <w:tcPr/>
          <w:p w:rsidR="00000000" w:rsidDel="00000000" w:rsidP="00000000" w:rsidRDefault="00000000" w:rsidRPr="00000000" w14:paraId="0000004A">
            <w:pPr>
              <w:spacing w:after="120" w:lineRule="auto"/>
              <w:ind w:left="95" w:firstLine="0"/>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Cost and inconvenience</w:t>
            </w:r>
            <w:r w:rsidDel="00000000" w:rsidR="00000000" w:rsidRPr="00000000">
              <w:rPr>
                <w:rtl w:val="0"/>
              </w:rPr>
            </w:r>
          </w:p>
        </w:tc>
        <w:tc>
          <w:tcPr/>
          <w:p w:rsidR="00000000" w:rsidDel="00000000" w:rsidP="00000000" w:rsidRDefault="00000000" w:rsidRPr="00000000" w14:paraId="0000004B">
            <w:pPr>
              <w:spacing w:after="120" w:lineRule="auto"/>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at least 98% at all times</w:t>
            </w:r>
          </w:p>
          <w:p w:rsidR="00000000" w:rsidDel="00000000" w:rsidP="00000000" w:rsidRDefault="00000000" w:rsidRPr="00000000" w14:paraId="0000004C">
            <w:pPr>
              <w:spacing w:after="120" w:lineRule="auto"/>
              <w:rPr>
                <w:rFonts w:ascii="Arial" w:cs="Arial" w:eastAsia="Arial" w:hAnsi="Arial"/>
                <w:sz w:val="24"/>
                <w:szCs w:val="24"/>
              </w:rPr>
            </w:pPr>
            <w:r w:rsidDel="00000000" w:rsidR="00000000" w:rsidRPr="00000000">
              <w:rPr>
                <w:rtl w:val="0"/>
              </w:rPr>
            </w:r>
          </w:p>
        </w:tc>
        <w:tc>
          <w:tcPr/>
          <w:p w:rsidR="00000000" w:rsidDel="00000000" w:rsidP="00000000" w:rsidRDefault="00000000" w:rsidRPr="00000000" w14:paraId="0000004D">
            <w:pPr>
              <w:spacing w:after="120" w:lineRule="auto"/>
              <w:ind w:left="9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   ]</w:t>
            </w:r>
          </w:p>
        </w:tc>
        <w:tc>
          <w:tcPr/>
          <w:p w:rsidR="00000000" w:rsidDel="00000000" w:rsidP="00000000" w:rsidRDefault="00000000" w:rsidRPr="00000000" w14:paraId="0000004E">
            <w:pPr>
              <w:spacing w:after="120" w:lineRule="auto"/>
              <w:ind w:left="95" w:firstLine="0"/>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To be calculated as a percentage (%) reduction of the service revenue element of the previous quarter’s print output volume</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sz w:val="24"/>
                <w:szCs w:val="24"/>
                <w:highlight w:val="yellow"/>
                <w:rtl w:val="0"/>
              </w:rPr>
              <w:t xml:space="preserve">Service Credits shall be applied to the total quarterly service revenue value, inclusive of mono and colour volume charges, where applicable.</w:t>
            </w:r>
            <w:r w:rsidDel="00000000" w:rsidR="00000000" w:rsidRPr="00000000">
              <w:rPr>
                <w:rtl w:val="0"/>
              </w:rPr>
            </w:r>
          </w:p>
        </w:tc>
      </w:tr>
      <w:tr>
        <w:trPr>
          <w:cantSplit w:val="0"/>
          <w:trHeight w:val="1474" w:hRule="atLeast"/>
          <w:tblHeader w:val="0"/>
        </w:trPr>
        <w:tc>
          <w:tcPr/>
          <w:p w:rsidR="00000000" w:rsidDel="00000000" w:rsidP="00000000" w:rsidRDefault="00000000" w:rsidRPr="00000000" w14:paraId="0000004F">
            <w:pPr>
              <w:spacing w:after="120" w:lineRule="auto"/>
              <w:ind w:left="61" w:firstLine="0"/>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Response Times </w:t>
            </w:r>
            <w:r w:rsidDel="00000000" w:rsidR="00000000" w:rsidRPr="00000000">
              <w:rPr>
                <w:rtl w:val="0"/>
              </w:rPr>
            </w:r>
          </w:p>
        </w:tc>
        <w:tc>
          <w:tcPr/>
          <w:p w:rsidR="00000000" w:rsidDel="00000000" w:rsidP="00000000" w:rsidRDefault="00000000" w:rsidRPr="00000000" w14:paraId="00000050">
            <w:pPr>
              <w:spacing w:after="120" w:lineRule="auto"/>
              <w:ind w:left="95" w:firstLine="0"/>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Timelines</w:t>
            </w:r>
            <w:r w:rsidDel="00000000" w:rsidR="00000000" w:rsidRPr="00000000">
              <w:rPr>
                <w:rtl w:val="0"/>
              </w:rPr>
            </w:r>
          </w:p>
        </w:tc>
        <w:tc>
          <w:tcPr/>
          <w:p w:rsidR="00000000" w:rsidDel="00000000" w:rsidP="00000000" w:rsidRDefault="00000000" w:rsidRPr="00000000" w14:paraId="00000051">
            <w:pPr>
              <w:spacing w:after="120" w:lineRule="auto"/>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at least 98% at all times</w:t>
            </w:r>
          </w:p>
          <w:p w:rsidR="00000000" w:rsidDel="00000000" w:rsidP="00000000" w:rsidRDefault="00000000" w:rsidRPr="00000000" w14:paraId="00000052">
            <w:pPr>
              <w:spacing w:after="120" w:lineRule="auto"/>
              <w:rPr>
                <w:rFonts w:ascii="Arial" w:cs="Arial" w:eastAsia="Arial" w:hAnsi="Arial"/>
                <w:sz w:val="24"/>
                <w:szCs w:val="24"/>
              </w:rPr>
            </w:pPr>
            <w:r w:rsidDel="00000000" w:rsidR="00000000" w:rsidRPr="00000000">
              <w:rPr>
                <w:rtl w:val="0"/>
              </w:rPr>
            </w:r>
          </w:p>
        </w:tc>
        <w:tc>
          <w:tcPr/>
          <w:p w:rsidR="00000000" w:rsidDel="00000000" w:rsidP="00000000" w:rsidRDefault="00000000" w:rsidRPr="00000000" w14:paraId="00000053">
            <w:pPr>
              <w:spacing w:after="120" w:lineRule="auto"/>
              <w:ind w:left="95" w:firstLine="0"/>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 ]</w:t>
            </w:r>
            <w:r w:rsidDel="00000000" w:rsidR="00000000" w:rsidRPr="00000000">
              <w:rPr>
                <w:rtl w:val="0"/>
              </w:rPr>
            </w:r>
          </w:p>
        </w:tc>
        <w:tc>
          <w:tcPr/>
          <w:p w:rsidR="00000000" w:rsidDel="00000000" w:rsidP="00000000" w:rsidRDefault="00000000" w:rsidRPr="00000000" w14:paraId="00000054">
            <w:pPr>
              <w:spacing w:after="120" w:lineRule="auto"/>
              <w:ind w:left="95" w:firstLine="0"/>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3% where a five (5) hour average Response Time is exceeded and 5% where a six (6) hour average response time is exceeded</w:t>
            </w:r>
            <w:r w:rsidDel="00000000" w:rsidR="00000000" w:rsidRPr="00000000">
              <w:rPr>
                <w:rtl w:val="0"/>
              </w:rPr>
            </w:r>
          </w:p>
        </w:tc>
      </w:tr>
      <w:tr>
        <w:trPr>
          <w:cantSplit w:val="0"/>
          <w:trHeight w:val="1474" w:hRule="atLeast"/>
          <w:tblHeader w:val="0"/>
        </w:trPr>
        <w:tc>
          <w:tcPr/>
          <w:p w:rsidR="00000000" w:rsidDel="00000000" w:rsidP="00000000" w:rsidRDefault="00000000" w:rsidRPr="00000000" w14:paraId="00000055">
            <w:pPr>
              <w:spacing w:after="120" w:lineRule="auto"/>
              <w:ind w:left="61"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Accurate and timely billing of Buyer</w:t>
            </w:r>
          </w:p>
          <w:p w:rsidR="00000000" w:rsidDel="00000000" w:rsidP="00000000" w:rsidRDefault="00000000" w:rsidRPr="00000000" w14:paraId="00000056">
            <w:pPr>
              <w:spacing w:after="120" w:lineRule="auto"/>
              <w:rPr>
                <w:rFonts w:ascii="Arial" w:cs="Arial" w:eastAsia="Arial" w:hAnsi="Arial"/>
                <w:sz w:val="24"/>
                <w:szCs w:val="24"/>
              </w:rPr>
            </w:pPr>
            <w:r w:rsidDel="00000000" w:rsidR="00000000" w:rsidRPr="00000000">
              <w:rPr>
                <w:rtl w:val="0"/>
              </w:rPr>
            </w:r>
          </w:p>
        </w:tc>
        <w:tc>
          <w:tcPr/>
          <w:p w:rsidR="00000000" w:rsidDel="00000000" w:rsidP="00000000" w:rsidRDefault="00000000" w:rsidRPr="00000000" w14:paraId="00000057">
            <w:pPr>
              <w:spacing w:after="120" w:lineRule="auto"/>
              <w:ind w:left="9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Accuracy /Timelines</w:t>
            </w:r>
          </w:p>
          <w:p w:rsidR="00000000" w:rsidDel="00000000" w:rsidP="00000000" w:rsidRDefault="00000000" w:rsidRPr="00000000" w14:paraId="00000058">
            <w:pPr>
              <w:spacing w:after="120" w:lineRule="auto"/>
              <w:ind w:left="95" w:firstLine="0"/>
              <w:rPr>
                <w:rFonts w:ascii="Arial" w:cs="Arial" w:eastAsia="Arial" w:hAnsi="Arial"/>
                <w:sz w:val="24"/>
                <w:szCs w:val="24"/>
              </w:rPr>
            </w:pPr>
            <w:r w:rsidDel="00000000" w:rsidR="00000000" w:rsidRPr="00000000">
              <w:rPr>
                <w:rtl w:val="0"/>
              </w:rPr>
            </w:r>
          </w:p>
        </w:tc>
        <w:tc>
          <w:tcPr/>
          <w:p w:rsidR="00000000" w:rsidDel="00000000" w:rsidP="00000000" w:rsidRDefault="00000000" w:rsidRPr="00000000" w14:paraId="00000059">
            <w:pPr>
              <w:spacing w:after="12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at least 98% at all times</w:t>
            </w:r>
          </w:p>
          <w:p w:rsidR="00000000" w:rsidDel="00000000" w:rsidP="00000000" w:rsidRDefault="00000000" w:rsidRPr="00000000" w14:paraId="0000005A">
            <w:pPr>
              <w:spacing w:after="120" w:lineRule="auto"/>
              <w:rPr>
                <w:rFonts w:ascii="Arial" w:cs="Arial" w:eastAsia="Arial" w:hAnsi="Arial"/>
                <w:sz w:val="24"/>
                <w:szCs w:val="24"/>
              </w:rPr>
            </w:pPr>
            <w:r w:rsidDel="00000000" w:rsidR="00000000" w:rsidRPr="00000000">
              <w:rPr>
                <w:rtl w:val="0"/>
              </w:rPr>
            </w:r>
          </w:p>
        </w:tc>
        <w:tc>
          <w:tcPr/>
          <w:p w:rsidR="00000000" w:rsidDel="00000000" w:rsidP="00000000" w:rsidRDefault="00000000" w:rsidRPr="00000000" w14:paraId="0000005B">
            <w:pPr>
              <w:spacing w:after="120" w:lineRule="auto"/>
              <w:ind w:left="9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   ]</w:t>
            </w:r>
          </w:p>
        </w:tc>
        <w:tc>
          <w:tcPr/>
          <w:p w:rsidR="00000000" w:rsidDel="00000000" w:rsidP="00000000" w:rsidRDefault="00000000" w:rsidRPr="00000000" w14:paraId="0000005C">
            <w:pPr>
              <w:spacing w:after="120" w:lineRule="auto"/>
              <w:ind w:left="9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0.5% Service Credit gained for each percentage under the specified Service Level Performance Measure</w:t>
            </w:r>
          </w:p>
        </w:tc>
      </w:tr>
      <w:tr>
        <w:trPr>
          <w:cantSplit w:val="0"/>
          <w:trHeight w:val="1474" w:hRule="atLeast"/>
          <w:tblHeader w:val="0"/>
        </w:trPr>
        <w:tc>
          <w:tcPr/>
          <w:p w:rsidR="00000000" w:rsidDel="00000000" w:rsidP="00000000" w:rsidRDefault="00000000" w:rsidRPr="00000000" w14:paraId="0000005D">
            <w:pPr>
              <w:spacing w:after="120" w:lineRule="auto"/>
              <w:ind w:left="61"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Access to Buyer support</w:t>
            </w:r>
          </w:p>
          <w:p w:rsidR="00000000" w:rsidDel="00000000" w:rsidP="00000000" w:rsidRDefault="00000000" w:rsidRPr="00000000" w14:paraId="0000005E">
            <w:pPr>
              <w:spacing w:after="120" w:lineRule="auto"/>
              <w:rPr>
                <w:rFonts w:ascii="Arial" w:cs="Arial" w:eastAsia="Arial" w:hAnsi="Arial"/>
                <w:sz w:val="24"/>
                <w:szCs w:val="24"/>
              </w:rPr>
            </w:pPr>
            <w:r w:rsidDel="00000000" w:rsidR="00000000" w:rsidRPr="00000000">
              <w:rPr>
                <w:rtl w:val="0"/>
              </w:rPr>
            </w:r>
          </w:p>
        </w:tc>
        <w:tc>
          <w:tcPr/>
          <w:p w:rsidR="00000000" w:rsidDel="00000000" w:rsidP="00000000" w:rsidRDefault="00000000" w:rsidRPr="00000000" w14:paraId="0000005F">
            <w:pPr>
              <w:spacing w:after="120" w:lineRule="auto"/>
              <w:ind w:left="9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Availability</w:t>
            </w:r>
          </w:p>
          <w:p w:rsidR="00000000" w:rsidDel="00000000" w:rsidP="00000000" w:rsidRDefault="00000000" w:rsidRPr="00000000" w14:paraId="00000060">
            <w:pPr>
              <w:spacing w:after="120" w:lineRule="auto"/>
              <w:ind w:left="95"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1">
            <w:pPr>
              <w:spacing w:after="120" w:lineRule="auto"/>
              <w:ind w:left="95" w:firstLine="0"/>
              <w:rPr>
                <w:rFonts w:ascii="Arial" w:cs="Arial" w:eastAsia="Arial" w:hAnsi="Arial"/>
                <w:sz w:val="24"/>
                <w:szCs w:val="24"/>
              </w:rPr>
            </w:pPr>
            <w:r w:rsidDel="00000000" w:rsidR="00000000" w:rsidRPr="00000000">
              <w:rPr>
                <w:rtl w:val="0"/>
              </w:rPr>
            </w:r>
          </w:p>
        </w:tc>
        <w:tc>
          <w:tcPr/>
          <w:p w:rsidR="00000000" w:rsidDel="00000000" w:rsidP="00000000" w:rsidRDefault="00000000" w:rsidRPr="00000000" w14:paraId="00000062">
            <w:pPr>
              <w:spacing w:after="12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at least 98% at all times</w:t>
            </w:r>
          </w:p>
          <w:p w:rsidR="00000000" w:rsidDel="00000000" w:rsidP="00000000" w:rsidRDefault="00000000" w:rsidRPr="00000000" w14:paraId="00000063">
            <w:pPr>
              <w:spacing w:after="120" w:lineRule="auto"/>
              <w:rPr>
                <w:rFonts w:ascii="Arial" w:cs="Arial" w:eastAsia="Arial" w:hAnsi="Arial"/>
                <w:sz w:val="24"/>
                <w:szCs w:val="24"/>
              </w:rPr>
            </w:pPr>
            <w:r w:rsidDel="00000000" w:rsidR="00000000" w:rsidRPr="00000000">
              <w:rPr>
                <w:rtl w:val="0"/>
              </w:rPr>
            </w:r>
          </w:p>
        </w:tc>
        <w:tc>
          <w:tcPr/>
          <w:p w:rsidR="00000000" w:rsidDel="00000000" w:rsidP="00000000" w:rsidRDefault="00000000" w:rsidRPr="00000000" w14:paraId="00000064">
            <w:pPr>
              <w:spacing w:after="120" w:lineRule="auto"/>
              <w:ind w:left="9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   ]</w:t>
            </w:r>
          </w:p>
        </w:tc>
        <w:tc>
          <w:tcPr/>
          <w:p w:rsidR="00000000" w:rsidDel="00000000" w:rsidP="00000000" w:rsidRDefault="00000000" w:rsidRPr="00000000" w14:paraId="00000065">
            <w:pPr>
              <w:spacing w:after="120" w:lineRule="auto"/>
              <w:ind w:left="9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0.5% Service Credit gained for each percentage under the specified Service Level Performance Measure</w:t>
            </w:r>
          </w:p>
        </w:tc>
      </w:tr>
      <w:tr>
        <w:trPr>
          <w:cantSplit w:val="0"/>
          <w:trHeight w:val="1474" w:hRule="atLeast"/>
          <w:tblHeader w:val="0"/>
        </w:trPr>
        <w:tc>
          <w:tcPr/>
          <w:p w:rsidR="00000000" w:rsidDel="00000000" w:rsidP="00000000" w:rsidRDefault="00000000" w:rsidRPr="00000000" w14:paraId="00000066">
            <w:pPr>
              <w:spacing w:after="120" w:lineRule="auto"/>
              <w:ind w:left="61" w:firstLine="0"/>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Complaints Handling</w:t>
            </w:r>
          </w:p>
          <w:p w:rsidR="00000000" w:rsidDel="00000000" w:rsidP="00000000" w:rsidRDefault="00000000" w:rsidRPr="00000000" w14:paraId="00000067">
            <w:pPr>
              <w:spacing w:after="120" w:lineRule="auto"/>
              <w:ind w:left="61" w:firstLine="0"/>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068">
            <w:pPr>
              <w:spacing w:after="120" w:lineRule="auto"/>
              <w:ind w:left="61" w:firstLine="0"/>
              <w:rPr>
                <w:rFonts w:ascii="Arial" w:cs="Arial" w:eastAsia="Arial" w:hAnsi="Arial"/>
                <w:sz w:val="24"/>
                <w:szCs w:val="24"/>
              </w:rPr>
            </w:pPr>
            <w:r w:rsidDel="00000000" w:rsidR="00000000" w:rsidRPr="00000000">
              <w:rPr>
                <w:rtl w:val="0"/>
              </w:rPr>
            </w:r>
          </w:p>
        </w:tc>
        <w:tc>
          <w:tcPr/>
          <w:p w:rsidR="00000000" w:rsidDel="00000000" w:rsidP="00000000" w:rsidRDefault="00000000" w:rsidRPr="00000000" w14:paraId="00000069">
            <w:pPr>
              <w:spacing w:after="120" w:lineRule="auto"/>
              <w:ind w:left="95" w:firstLine="0"/>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Availability/Timelines</w:t>
            </w:r>
          </w:p>
          <w:p w:rsidR="00000000" w:rsidDel="00000000" w:rsidP="00000000" w:rsidRDefault="00000000" w:rsidRPr="00000000" w14:paraId="0000006A">
            <w:pPr>
              <w:spacing w:after="120" w:lineRule="auto"/>
              <w:ind w:left="95" w:firstLine="0"/>
              <w:rPr>
                <w:rFonts w:ascii="Arial" w:cs="Arial" w:eastAsia="Arial" w:hAnsi="Arial"/>
                <w:sz w:val="24"/>
                <w:szCs w:val="24"/>
              </w:rPr>
            </w:pPr>
            <w:r w:rsidDel="00000000" w:rsidR="00000000" w:rsidRPr="00000000">
              <w:rPr>
                <w:rtl w:val="0"/>
              </w:rPr>
            </w:r>
          </w:p>
        </w:tc>
        <w:tc>
          <w:tcPr/>
          <w:p w:rsidR="00000000" w:rsidDel="00000000" w:rsidP="00000000" w:rsidRDefault="00000000" w:rsidRPr="00000000" w14:paraId="0000006B">
            <w:pPr>
              <w:spacing w:after="120" w:lineRule="auto"/>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At least 98% at all times</w:t>
            </w:r>
          </w:p>
          <w:p w:rsidR="00000000" w:rsidDel="00000000" w:rsidP="00000000" w:rsidRDefault="00000000" w:rsidRPr="00000000" w14:paraId="0000006C">
            <w:pPr>
              <w:spacing w:after="120" w:lineRule="auto"/>
              <w:rPr>
                <w:rFonts w:ascii="Arial" w:cs="Arial" w:eastAsia="Arial" w:hAnsi="Arial"/>
                <w:sz w:val="24"/>
                <w:szCs w:val="24"/>
              </w:rPr>
            </w:pPr>
            <w:r w:rsidDel="00000000" w:rsidR="00000000" w:rsidRPr="00000000">
              <w:rPr>
                <w:rtl w:val="0"/>
              </w:rPr>
            </w:r>
          </w:p>
        </w:tc>
        <w:tc>
          <w:tcPr/>
          <w:p w:rsidR="00000000" w:rsidDel="00000000" w:rsidP="00000000" w:rsidRDefault="00000000" w:rsidRPr="00000000" w14:paraId="0000006D">
            <w:pPr>
              <w:spacing w:after="120" w:lineRule="auto"/>
              <w:ind w:left="95" w:firstLine="0"/>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   ]</w:t>
            </w:r>
            <w:r w:rsidDel="00000000" w:rsidR="00000000" w:rsidRPr="00000000">
              <w:rPr>
                <w:rtl w:val="0"/>
              </w:rPr>
            </w:r>
          </w:p>
        </w:tc>
        <w:tc>
          <w:tcPr/>
          <w:p w:rsidR="00000000" w:rsidDel="00000000" w:rsidP="00000000" w:rsidRDefault="00000000" w:rsidRPr="00000000" w14:paraId="0000006E">
            <w:pPr>
              <w:spacing w:after="120" w:lineRule="auto"/>
              <w:ind w:left="95" w:firstLine="0"/>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0.5% Service Credit gained for each percentage under the specified Service Level Performance Measure</w:t>
            </w:r>
            <w:r w:rsidDel="00000000" w:rsidR="00000000" w:rsidRPr="00000000">
              <w:rPr>
                <w:rtl w:val="0"/>
              </w:rPr>
            </w:r>
          </w:p>
        </w:tc>
      </w:tr>
      <w:tr>
        <w:trPr>
          <w:cantSplit w:val="0"/>
          <w:trHeight w:val="1474" w:hRule="atLeast"/>
          <w:tblHeader w:val="0"/>
        </w:trPr>
        <w:tc>
          <w:tcPr/>
          <w:p w:rsidR="00000000" w:rsidDel="00000000" w:rsidP="00000000" w:rsidRDefault="00000000" w:rsidRPr="00000000" w14:paraId="0000006F">
            <w:pPr>
              <w:spacing w:after="120" w:lineRule="auto"/>
              <w:ind w:left="61" w:firstLine="0"/>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provision of specific Goods and/or Services</w:t>
            </w:r>
          </w:p>
          <w:p w:rsidR="00000000" w:rsidDel="00000000" w:rsidP="00000000" w:rsidRDefault="00000000" w:rsidRPr="00000000" w14:paraId="00000070">
            <w:pPr>
              <w:spacing w:after="120" w:lineRule="auto"/>
              <w:ind w:left="61" w:firstLine="0"/>
              <w:rPr>
                <w:rFonts w:ascii="Arial" w:cs="Arial" w:eastAsia="Arial" w:hAnsi="Arial"/>
                <w:sz w:val="24"/>
                <w:szCs w:val="24"/>
              </w:rPr>
            </w:pPr>
            <w:r w:rsidDel="00000000" w:rsidR="00000000" w:rsidRPr="00000000">
              <w:rPr>
                <w:rtl w:val="0"/>
              </w:rPr>
            </w:r>
          </w:p>
        </w:tc>
        <w:tc>
          <w:tcPr/>
          <w:p w:rsidR="00000000" w:rsidDel="00000000" w:rsidP="00000000" w:rsidRDefault="00000000" w:rsidRPr="00000000" w14:paraId="00000071">
            <w:pPr>
              <w:spacing w:after="120" w:lineRule="auto"/>
              <w:ind w:left="95" w:firstLine="0"/>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Quality</w:t>
            </w:r>
          </w:p>
          <w:p w:rsidR="00000000" w:rsidDel="00000000" w:rsidP="00000000" w:rsidRDefault="00000000" w:rsidRPr="00000000" w14:paraId="00000072">
            <w:pPr>
              <w:spacing w:after="120" w:lineRule="auto"/>
              <w:ind w:left="95" w:firstLine="0"/>
              <w:rPr>
                <w:rFonts w:ascii="Arial" w:cs="Arial" w:eastAsia="Arial" w:hAnsi="Arial"/>
                <w:sz w:val="24"/>
                <w:szCs w:val="24"/>
                <w:highlight w:val="yellow"/>
              </w:rPr>
            </w:pPr>
            <w:r w:rsidDel="00000000" w:rsidR="00000000" w:rsidRPr="00000000">
              <w:rPr>
                <w:rtl w:val="0"/>
              </w:rPr>
            </w:r>
          </w:p>
          <w:p w:rsidR="00000000" w:rsidDel="00000000" w:rsidP="00000000" w:rsidRDefault="00000000" w:rsidRPr="00000000" w14:paraId="00000073">
            <w:pPr>
              <w:spacing w:after="120" w:lineRule="auto"/>
              <w:ind w:left="95" w:firstLine="0"/>
              <w:rPr>
                <w:rFonts w:ascii="Arial" w:cs="Arial" w:eastAsia="Arial" w:hAnsi="Arial"/>
                <w:sz w:val="24"/>
                <w:szCs w:val="24"/>
              </w:rPr>
            </w:pPr>
            <w:r w:rsidDel="00000000" w:rsidR="00000000" w:rsidRPr="00000000">
              <w:rPr>
                <w:rtl w:val="0"/>
              </w:rPr>
            </w:r>
          </w:p>
        </w:tc>
        <w:tc>
          <w:tcPr/>
          <w:p w:rsidR="00000000" w:rsidDel="00000000" w:rsidP="00000000" w:rsidRDefault="00000000" w:rsidRPr="00000000" w14:paraId="00000074">
            <w:pPr>
              <w:spacing w:after="120" w:lineRule="auto"/>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at least 98% at all times</w:t>
            </w:r>
          </w:p>
          <w:p w:rsidR="00000000" w:rsidDel="00000000" w:rsidP="00000000" w:rsidRDefault="00000000" w:rsidRPr="00000000" w14:paraId="00000075">
            <w:pPr>
              <w:spacing w:after="120" w:lineRule="auto"/>
              <w:rPr>
                <w:rFonts w:ascii="Arial" w:cs="Arial" w:eastAsia="Arial" w:hAnsi="Arial"/>
                <w:sz w:val="24"/>
                <w:szCs w:val="24"/>
              </w:rPr>
            </w:pPr>
            <w:r w:rsidDel="00000000" w:rsidR="00000000" w:rsidRPr="00000000">
              <w:rPr>
                <w:rtl w:val="0"/>
              </w:rPr>
            </w:r>
          </w:p>
        </w:tc>
        <w:tc>
          <w:tcPr/>
          <w:p w:rsidR="00000000" w:rsidDel="00000000" w:rsidP="00000000" w:rsidRDefault="00000000" w:rsidRPr="00000000" w14:paraId="00000076">
            <w:pPr>
              <w:spacing w:after="120" w:lineRule="auto"/>
              <w:ind w:left="95" w:firstLine="0"/>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   ]</w:t>
            </w:r>
            <w:r w:rsidDel="00000000" w:rsidR="00000000" w:rsidRPr="00000000">
              <w:rPr>
                <w:rtl w:val="0"/>
              </w:rPr>
            </w:r>
          </w:p>
        </w:tc>
        <w:tc>
          <w:tcPr/>
          <w:p w:rsidR="00000000" w:rsidDel="00000000" w:rsidP="00000000" w:rsidRDefault="00000000" w:rsidRPr="00000000" w14:paraId="00000077">
            <w:pPr>
              <w:spacing w:after="120" w:lineRule="auto"/>
              <w:ind w:left="95" w:firstLine="0"/>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2% Service Credit gained for each percentage under the specified Service Level Performance Measure</w:t>
            </w:r>
            <w:r w:rsidDel="00000000" w:rsidR="00000000" w:rsidRPr="00000000">
              <w:rPr>
                <w:rtl w:val="0"/>
              </w:rPr>
            </w:r>
          </w:p>
        </w:tc>
      </w:tr>
      <w:tr>
        <w:trPr>
          <w:cantSplit w:val="0"/>
          <w:trHeight w:val="1474" w:hRule="atLeast"/>
          <w:tblHeader w:val="0"/>
        </w:trPr>
        <w:tc>
          <w:tcPr/>
          <w:p w:rsidR="00000000" w:rsidDel="00000000" w:rsidP="00000000" w:rsidRDefault="00000000" w:rsidRPr="00000000" w14:paraId="00000078">
            <w:pPr>
              <w:spacing w:after="120" w:lineRule="auto"/>
              <w:ind w:left="61" w:firstLine="0"/>
              <w:rPr>
                <w:highlight w:val="yellow"/>
              </w:rPr>
            </w:pPr>
            <w:r w:rsidDel="00000000" w:rsidR="00000000" w:rsidRPr="00000000">
              <w:rPr>
                <w:highlight w:val="yellow"/>
                <w:rtl w:val="0"/>
              </w:rPr>
              <w:t xml:space="preserve">Timely provision  of the Goods and/or Services [** hours a day, ** days a week.]</w:t>
            </w:r>
          </w:p>
        </w:tc>
        <w:tc>
          <w:tcPr/>
          <w:p w:rsidR="00000000" w:rsidDel="00000000" w:rsidP="00000000" w:rsidRDefault="00000000" w:rsidRPr="00000000" w14:paraId="00000079">
            <w:pPr>
              <w:spacing w:after="120" w:lineRule="auto"/>
              <w:ind w:left="95" w:firstLine="0"/>
              <w:rPr>
                <w:highlight w:val="yellow"/>
              </w:rPr>
            </w:pPr>
            <w:r w:rsidDel="00000000" w:rsidR="00000000" w:rsidRPr="00000000">
              <w:rPr>
                <w:highlight w:val="yellow"/>
                <w:rtl w:val="0"/>
              </w:rPr>
              <w:t xml:space="preserve">Goods and/or Services Availability</w:t>
            </w:r>
          </w:p>
          <w:p w:rsidR="00000000" w:rsidDel="00000000" w:rsidP="00000000" w:rsidRDefault="00000000" w:rsidRPr="00000000" w14:paraId="0000007A">
            <w:pPr>
              <w:spacing w:after="120" w:lineRule="auto"/>
              <w:ind w:left="95" w:firstLine="0"/>
              <w:rPr>
                <w:highlight w:val="yellow"/>
              </w:rPr>
            </w:pPr>
            <w:r w:rsidDel="00000000" w:rsidR="00000000" w:rsidRPr="00000000">
              <w:rPr>
                <w:rtl w:val="0"/>
              </w:rPr>
            </w:r>
          </w:p>
        </w:tc>
        <w:tc>
          <w:tcPr/>
          <w:p w:rsidR="00000000" w:rsidDel="00000000" w:rsidP="00000000" w:rsidRDefault="00000000" w:rsidRPr="00000000" w14:paraId="0000007B">
            <w:pPr>
              <w:spacing w:after="120" w:lineRule="auto"/>
              <w:rPr>
                <w:highlight w:val="yellow"/>
              </w:rPr>
            </w:pPr>
            <w:r w:rsidDel="00000000" w:rsidR="00000000" w:rsidRPr="00000000">
              <w:rPr>
                <w:highlight w:val="yellow"/>
                <w:rtl w:val="0"/>
              </w:rPr>
              <w:t xml:space="preserve">at least 98% at all times</w:t>
            </w:r>
          </w:p>
          <w:p w:rsidR="00000000" w:rsidDel="00000000" w:rsidP="00000000" w:rsidRDefault="00000000" w:rsidRPr="00000000" w14:paraId="0000007C">
            <w:pPr>
              <w:spacing w:after="120" w:lineRule="auto"/>
              <w:rPr>
                <w:highlight w:val="yellow"/>
              </w:rPr>
            </w:pPr>
            <w:r w:rsidDel="00000000" w:rsidR="00000000" w:rsidRPr="00000000">
              <w:rPr>
                <w:rtl w:val="0"/>
              </w:rPr>
            </w:r>
          </w:p>
        </w:tc>
        <w:tc>
          <w:tcPr/>
          <w:p w:rsidR="00000000" w:rsidDel="00000000" w:rsidP="00000000" w:rsidRDefault="00000000" w:rsidRPr="00000000" w14:paraId="0000007D">
            <w:pPr>
              <w:spacing w:after="120" w:lineRule="auto"/>
              <w:ind w:left="95" w:firstLine="0"/>
              <w:rPr>
                <w:highlight w:val="yellow"/>
              </w:rPr>
            </w:pPr>
            <w:r w:rsidDel="00000000" w:rsidR="00000000" w:rsidRPr="00000000">
              <w:rPr>
                <w:highlight w:val="yellow"/>
                <w:rtl w:val="0"/>
              </w:rPr>
              <w:t xml:space="preserve">[   ]</w:t>
            </w:r>
          </w:p>
        </w:tc>
        <w:tc>
          <w:tcPr/>
          <w:p w:rsidR="00000000" w:rsidDel="00000000" w:rsidP="00000000" w:rsidRDefault="00000000" w:rsidRPr="00000000" w14:paraId="0000007E">
            <w:pPr>
              <w:spacing w:after="120" w:lineRule="auto"/>
              <w:ind w:left="95" w:firstLine="0"/>
              <w:rPr>
                <w:highlight w:val="yellow"/>
              </w:rPr>
            </w:pPr>
            <w:r w:rsidDel="00000000" w:rsidR="00000000" w:rsidRPr="00000000">
              <w:rPr>
                <w:highlight w:val="yellow"/>
                <w:rtl w:val="0"/>
              </w:rPr>
              <w:t xml:space="preserve">2% Service Credit gained for each percentage under the specified Service Level Performance Measure</w:t>
            </w:r>
            <w:r w:rsidDel="00000000" w:rsidR="00000000" w:rsidRPr="00000000">
              <w:rPr>
                <w:b w:val="1"/>
                <w:highlight w:val="yellow"/>
                <w:rtl w:val="0"/>
              </w:rPr>
              <w:t xml:space="preserve">]</w:t>
            </w:r>
            <w:r w:rsidDel="00000000" w:rsidR="00000000" w:rsidRPr="00000000">
              <w:rPr>
                <w:rtl w:val="0"/>
              </w:rPr>
            </w:r>
          </w:p>
        </w:tc>
      </w:tr>
    </w:tbl>
    <w:p w:rsidR="00000000" w:rsidDel="00000000" w:rsidP="00000000" w:rsidRDefault="00000000" w:rsidRPr="00000000" w14:paraId="0000007F">
      <w:pPr>
        <w:ind w:left="709" w:firstLine="0"/>
        <w:rPr>
          <w:rFonts w:ascii="Arial" w:cs="Arial" w:eastAsia="Arial" w:hAnsi="Arial"/>
          <w:sz w:val="24"/>
          <w:szCs w:val="24"/>
          <w:highlight w:val="green"/>
        </w:rPr>
      </w:pPr>
      <w:r w:rsidDel="00000000" w:rsidR="00000000" w:rsidRPr="00000000">
        <w:rPr>
          <w:rtl w:val="0"/>
        </w:rPr>
      </w:r>
    </w:p>
    <w:p w:rsidR="00000000" w:rsidDel="00000000" w:rsidP="00000000" w:rsidRDefault="00000000" w:rsidRPr="00000000" w14:paraId="00000080">
      <w:pPr>
        <w:ind w:left="709"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The Service Credits shall be calculated on the basis of the following formula:</w:t>
      </w:r>
    </w:p>
    <w:p w:rsidR="00000000" w:rsidDel="00000000" w:rsidP="00000000" w:rsidRDefault="00000000" w:rsidRPr="00000000" w14:paraId="00000081">
      <w:pPr>
        <w:ind w:left="709" w:firstLine="0"/>
        <w:rPr>
          <w:rFonts w:ascii="Arial" w:cs="Arial" w:eastAsia="Arial" w:hAnsi="Arial"/>
          <w:sz w:val="24"/>
          <w:szCs w:val="24"/>
          <w:highlight w:val="yellow"/>
        </w:rPr>
      </w:pPr>
      <w:r w:rsidDel="00000000" w:rsidR="00000000" w:rsidRPr="00000000">
        <w:rPr>
          <w:rFonts w:ascii="Arial" w:cs="Arial" w:eastAsia="Arial" w:hAnsi="Arial"/>
          <w:sz w:val="24"/>
          <w:szCs w:val="24"/>
          <w:highlight w:val="yellow"/>
          <w:rtl w:val="0"/>
        </w:rPr>
        <w:t xml:space="preserve">[Example:</w:t>
      </w:r>
    </w:p>
    <w:tbl>
      <w:tblPr>
        <w:tblStyle w:val="Table4"/>
        <w:tblW w:w="9026.0" w:type="dxa"/>
        <w:jc w:val="left"/>
        <w:tblInd w:w="0.0" w:type="dxa"/>
        <w:tblLayout w:type="fixed"/>
        <w:tblLook w:val="0000"/>
      </w:tblPr>
      <w:tblGrid>
        <w:gridCol w:w="4375"/>
        <w:gridCol w:w="685"/>
        <w:gridCol w:w="3966"/>
        <w:tblGridChange w:id="0">
          <w:tblGrid>
            <w:gridCol w:w="4375"/>
            <w:gridCol w:w="685"/>
            <w:gridCol w:w="3966"/>
          </w:tblGrid>
        </w:tblGridChange>
      </w:tblGrid>
      <w:tr>
        <w:trPr>
          <w:cantSplit w:val="0"/>
          <w:tblHeader w:val="0"/>
        </w:trPr>
        <w:tc>
          <w:tcPr/>
          <w:p w:rsidR="00000000" w:rsidDel="00000000" w:rsidP="00000000" w:rsidRDefault="00000000" w:rsidRPr="00000000" w14:paraId="00000082">
            <w:pPr>
              <w:ind w:left="567"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Formula: x% (Service Level Performance Measure) - x% (actual Service Level performance)  </w:t>
            </w:r>
          </w:p>
        </w:tc>
        <w:tc>
          <w:tcPr/>
          <w:p w:rsidR="00000000" w:rsidDel="00000000" w:rsidP="00000000" w:rsidRDefault="00000000" w:rsidRPr="00000000" w14:paraId="00000083">
            <w:pPr>
              <w:ind w:left="211"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tc>
        <w:tc>
          <w:tcPr/>
          <w:p w:rsidR="00000000" w:rsidDel="00000000" w:rsidP="00000000" w:rsidRDefault="00000000" w:rsidRPr="00000000" w14:paraId="00000084">
            <w:pPr>
              <w:ind w:left="14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x% of the Charges payable to the Buyer as Service Credits to be deducted from the next Invoice payable by the Buyer</w:t>
            </w:r>
          </w:p>
        </w:tc>
      </w:tr>
      <w:tr>
        <w:trPr>
          <w:cantSplit w:val="0"/>
          <w:tblHeader w:val="0"/>
        </w:trPr>
        <w:tc>
          <w:tcPr/>
          <w:p w:rsidR="00000000" w:rsidDel="00000000" w:rsidP="00000000" w:rsidRDefault="00000000" w:rsidRPr="00000000" w14:paraId="00000085">
            <w:pPr>
              <w:ind w:left="567"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Worked example: 98% (e.g. Service Level Performance Measure requirement for accurate and timely billing Service Level) - 75% (e.g. actual performance achieved against this Service Level in a Service Period) </w:t>
            </w:r>
          </w:p>
          <w:p w:rsidR="00000000" w:rsidDel="00000000" w:rsidP="00000000" w:rsidRDefault="00000000" w:rsidRPr="00000000" w14:paraId="00000086">
            <w:pPr>
              <w:ind w:left="567" w:firstLine="0"/>
              <w:rPr>
                <w:rFonts w:ascii="Arial" w:cs="Arial" w:eastAsia="Arial" w:hAnsi="Arial"/>
                <w:sz w:val="24"/>
                <w:szCs w:val="24"/>
              </w:rPr>
            </w:pPr>
            <w:r w:rsidDel="00000000" w:rsidR="00000000" w:rsidRPr="00000000">
              <w:rPr>
                <w:rtl w:val="0"/>
              </w:rPr>
            </w:r>
          </w:p>
        </w:tc>
        <w:tc>
          <w:tcPr/>
          <w:p w:rsidR="00000000" w:rsidDel="00000000" w:rsidP="00000000" w:rsidRDefault="00000000" w:rsidRPr="00000000" w14:paraId="00000087">
            <w:pPr>
              <w:ind w:left="211"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t>
            </w:r>
          </w:p>
        </w:tc>
        <w:tc>
          <w:tcPr/>
          <w:p w:rsidR="00000000" w:rsidDel="00000000" w:rsidP="00000000" w:rsidRDefault="00000000" w:rsidRPr="00000000" w14:paraId="00000088">
            <w:pPr>
              <w:ind w:left="145"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23% of the Charges payable to the Buyer as Service Credits to be deducted from the next Invoice payable by the Buyer]</w:t>
            </w:r>
          </w:p>
          <w:p w:rsidR="00000000" w:rsidDel="00000000" w:rsidP="00000000" w:rsidRDefault="00000000" w:rsidRPr="00000000" w14:paraId="00000089">
            <w:pPr>
              <w:ind w:left="145" w:firstLine="0"/>
              <w:rPr>
                <w:rFonts w:ascii="Arial" w:cs="Arial" w:eastAsia="Arial" w:hAnsi="Arial"/>
                <w:sz w:val="24"/>
                <w:szCs w:val="24"/>
              </w:rPr>
            </w:pPr>
            <w:r w:rsidDel="00000000" w:rsidR="00000000" w:rsidRPr="00000000">
              <w:rPr>
                <w:rtl w:val="0"/>
              </w:rPr>
            </w:r>
          </w:p>
        </w:tc>
      </w:tr>
    </w:tbl>
    <w:p w:rsidR="00000000" w:rsidDel="00000000" w:rsidP="00000000" w:rsidRDefault="00000000" w:rsidRPr="00000000" w14:paraId="0000008A">
      <w:pPr>
        <w:keepNext w:val="1"/>
        <w:pBdr>
          <w:top w:space="0" w:sz="0" w:val="nil"/>
          <w:left w:space="0" w:sz="0" w:val="nil"/>
          <w:bottom w:space="0" w:sz="0" w:val="nil"/>
          <w:right w:space="0" w:sz="0" w:val="nil"/>
          <w:between w:space="0" w:sz="0" w:val="nil"/>
        </w:pBdr>
        <w:spacing w:after="240" w:line="240" w:lineRule="auto"/>
        <w:rPr>
          <w:rFonts w:ascii="Arial Bold" w:cs="Arial Bold" w:eastAsia="Arial Bold" w:hAnsi="Arial Bold"/>
          <w:b w:val="1"/>
          <w:color w:val="000000"/>
          <w:sz w:val="36"/>
          <w:szCs w:val="36"/>
        </w:rPr>
      </w:pPr>
      <w:r w:rsidDel="00000000" w:rsidR="00000000" w:rsidRPr="00000000">
        <w:br w:type="page"/>
      </w:r>
      <w:r w:rsidDel="00000000" w:rsidR="00000000" w:rsidRPr="00000000">
        <w:rPr>
          <w:rFonts w:ascii="Arial Bold" w:cs="Arial Bold" w:eastAsia="Arial Bold" w:hAnsi="Arial Bold"/>
          <w:b w:val="1"/>
          <w:color w:val="000000"/>
          <w:sz w:val="36"/>
          <w:szCs w:val="36"/>
          <w:rtl w:val="0"/>
        </w:rPr>
        <w:t xml:space="preserve">Part B: Performance Monitoring </w:t>
      </w:r>
    </w:p>
    <w:p w:rsidR="00000000" w:rsidDel="00000000" w:rsidP="00000000" w:rsidRDefault="00000000" w:rsidRPr="00000000" w14:paraId="0000008B">
      <w:pPr>
        <w:numPr>
          <w:ilvl w:val="0"/>
          <w:numId w:val="4"/>
        </w:numPr>
        <w:pBdr>
          <w:top w:space="0" w:sz="0" w:val="nil"/>
          <w:left w:space="0" w:sz="0" w:val="nil"/>
          <w:bottom w:space="0" w:sz="0" w:val="nil"/>
          <w:right w:space="0" w:sz="0" w:val="nil"/>
          <w:between w:space="0" w:sz="0" w:val="nil"/>
        </w:pBdr>
        <w:tabs>
          <w:tab w:val="left" w:pos="142"/>
        </w:tabs>
        <w:spacing w:after="120" w:before="240" w:line="240" w:lineRule="auto"/>
        <w:ind w:left="720" w:hanging="720"/>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Performance Monitoring and Performance Review</w:t>
      </w:r>
    </w:p>
    <w:p w:rsidR="00000000" w:rsidDel="00000000" w:rsidP="00000000" w:rsidRDefault="00000000" w:rsidRPr="00000000" w14:paraId="0000008C">
      <w:pPr>
        <w:numPr>
          <w:ilvl w:val="1"/>
          <w:numId w:val="4"/>
        </w:numPr>
        <w:pBdr>
          <w:top w:space="0" w:sz="0" w:val="nil"/>
          <w:left w:space="0" w:sz="0" w:val="nil"/>
          <w:bottom w:space="0" w:sz="0" w:val="nil"/>
          <w:right w:space="0" w:sz="0" w:val="nil"/>
          <w:between w:space="0" w:sz="0" w:val="nil"/>
        </w:pBdr>
        <w:spacing w:after="120" w:before="120" w:line="240" w:lineRule="auto"/>
        <w:ind w:left="144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Within twenty (20) Working Days of the Start Date the Supplier shall provide the Buyer with details of how the process in respect of the monitoring and reporting of Service Levels will operate between the Parties and the Parties will endeavour to agree such process as soon as reasonably possible.</w:t>
      </w:r>
    </w:p>
    <w:p w:rsidR="00000000" w:rsidDel="00000000" w:rsidP="00000000" w:rsidRDefault="00000000" w:rsidRPr="00000000" w14:paraId="0000008D">
      <w:pPr>
        <w:keepNext w:val="1"/>
        <w:numPr>
          <w:ilvl w:val="1"/>
          <w:numId w:val="4"/>
        </w:numPr>
        <w:pBdr>
          <w:top w:space="0" w:sz="0" w:val="nil"/>
          <w:left w:space="0" w:sz="0" w:val="nil"/>
          <w:bottom w:space="0" w:sz="0" w:val="nil"/>
          <w:right w:space="0" w:sz="0" w:val="nil"/>
          <w:between w:space="0" w:sz="0" w:val="nil"/>
        </w:pBdr>
        <w:spacing w:after="120" w:before="120" w:line="240" w:lineRule="auto"/>
        <w:ind w:left="144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provide the Buyer with performance monitoring reports ("</w:t>
      </w:r>
      <w:r w:rsidDel="00000000" w:rsidR="00000000" w:rsidRPr="00000000">
        <w:rPr>
          <w:rFonts w:ascii="Arial" w:cs="Arial" w:eastAsia="Arial" w:hAnsi="Arial"/>
          <w:b w:val="1"/>
          <w:color w:val="000000"/>
          <w:sz w:val="24"/>
          <w:szCs w:val="24"/>
          <w:rtl w:val="0"/>
        </w:rPr>
        <w:t xml:space="preserve">Performance Monitoring Reports</w:t>
      </w:r>
      <w:r w:rsidDel="00000000" w:rsidR="00000000" w:rsidRPr="00000000">
        <w:rPr>
          <w:rFonts w:ascii="Arial" w:cs="Arial" w:eastAsia="Arial" w:hAnsi="Arial"/>
          <w:color w:val="000000"/>
          <w:sz w:val="24"/>
          <w:szCs w:val="24"/>
          <w:rtl w:val="0"/>
        </w:rPr>
        <w:t xml:space="preserve">") in accordance with the process and timescales agreed pursuant to paragraph 1.1 of Part B of this Schedule which shall contain, as a minimum, the following information in respect of the relevant Service Period just ended:</w:t>
      </w:r>
    </w:p>
    <w:p w:rsidR="00000000" w:rsidDel="00000000" w:rsidP="00000000" w:rsidRDefault="00000000" w:rsidRPr="00000000" w14:paraId="0000008E">
      <w:pPr>
        <w:numPr>
          <w:ilvl w:val="2"/>
          <w:numId w:val="4"/>
        </w:numPr>
        <w:pBdr>
          <w:top w:space="0" w:sz="0" w:val="nil"/>
          <w:left w:space="0" w:sz="0" w:val="nil"/>
          <w:bottom w:space="0" w:sz="0" w:val="nil"/>
          <w:right w:space="0" w:sz="0" w:val="nil"/>
          <w:between w:space="0" w:sz="0" w:val="nil"/>
        </w:pBdr>
        <w:spacing w:after="120" w:before="120" w:line="240" w:lineRule="auto"/>
        <w:ind w:left="216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 each Service Level, the actual performance achieved over the Service Level for the relevant Service Period;</w:t>
      </w:r>
    </w:p>
    <w:p w:rsidR="00000000" w:rsidDel="00000000" w:rsidP="00000000" w:rsidRDefault="00000000" w:rsidRPr="00000000" w14:paraId="0000008F">
      <w:pPr>
        <w:numPr>
          <w:ilvl w:val="2"/>
          <w:numId w:val="4"/>
        </w:numPr>
        <w:pBdr>
          <w:top w:space="0" w:sz="0" w:val="nil"/>
          <w:left w:space="0" w:sz="0" w:val="nil"/>
          <w:bottom w:space="0" w:sz="0" w:val="nil"/>
          <w:right w:space="0" w:sz="0" w:val="nil"/>
          <w:between w:space="0" w:sz="0" w:val="nil"/>
        </w:pBdr>
        <w:spacing w:after="120" w:before="120" w:line="240" w:lineRule="auto"/>
        <w:ind w:left="216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summary of all failures to achieve Service Levels that occurred during that Service Period;</w:t>
      </w:r>
    </w:p>
    <w:p w:rsidR="00000000" w:rsidDel="00000000" w:rsidP="00000000" w:rsidRDefault="00000000" w:rsidRPr="00000000" w14:paraId="00000090">
      <w:pPr>
        <w:numPr>
          <w:ilvl w:val="2"/>
          <w:numId w:val="4"/>
        </w:numPr>
        <w:pBdr>
          <w:top w:space="0" w:sz="0" w:val="nil"/>
          <w:left w:space="0" w:sz="0" w:val="nil"/>
          <w:bottom w:space="0" w:sz="0" w:val="nil"/>
          <w:right w:space="0" w:sz="0" w:val="nil"/>
          <w:between w:space="0" w:sz="0" w:val="nil"/>
        </w:pBdr>
        <w:spacing w:after="120" w:before="120" w:line="240" w:lineRule="auto"/>
        <w:ind w:left="216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details of any Critical Service Level Failures;</w:t>
      </w:r>
    </w:p>
    <w:p w:rsidR="00000000" w:rsidDel="00000000" w:rsidP="00000000" w:rsidRDefault="00000000" w:rsidRPr="00000000" w14:paraId="00000091">
      <w:pPr>
        <w:numPr>
          <w:ilvl w:val="2"/>
          <w:numId w:val="4"/>
        </w:numPr>
        <w:pBdr>
          <w:top w:space="0" w:sz="0" w:val="nil"/>
          <w:left w:space="0" w:sz="0" w:val="nil"/>
          <w:bottom w:space="0" w:sz="0" w:val="nil"/>
          <w:right w:space="0" w:sz="0" w:val="nil"/>
          <w:between w:space="0" w:sz="0" w:val="nil"/>
        </w:pBdr>
        <w:spacing w:after="120" w:before="120" w:line="240" w:lineRule="auto"/>
        <w:ind w:left="216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 any repeat failures, actions taken to resolve the underlying cause and prevent recurrence;</w:t>
      </w:r>
    </w:p>
    <w:p w:rsidR="00000000" w:rsidDel="00000000" w:rsidP="00000000" w:rsidRDefault="00000000" w:rsidRPr="00000000" w14:paraId="00000092">
      <w:pPr>
        <w:numPr>
          <w:ilvl w:val="2"/>
          <w:numId w:val="4"/>
        </w:numPr>
        <w:pBdr>
          <w:top w:space="0" w:sz="0" w:val="nil"/>
          <w:left w:space="0" w:sz="0" w:val="nil"/>
          <w:bottom w:space="0" w:sz="0" w:val="nil"/>
          <w:right w:space="0" w:sz="0" w:val="nil"/>
          <w:between w:space="0" w:sz="0" w:val="nil"/>
        </w:pBdr>
        <w:spacing w:after="120" w:before="120" w:line="240" w:lineRule="auto"/>
        <w:ind w:left="216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Service Credits to be applied in respect of the relevant period indicating the failures and Service Levels to which the Service Credits relate; and</w:t>
      </w:r>
    </w:p>
    <w:p w:rsidR="00000000" w:rsidDel="00000000" w:rsidP="00000000" w:rsidRDefault="00000000" w:rsidRPr="00000000" w14:paraId="00000093">
      <w:pPr>
        <w:numPr>
          <w:ilvl w:val="2"/>
          <w:numId w:val="4"/>
        </w:numPr>
        <w:pBdr>
          <w:top w:space="0" w:sz="0" w:val="nil"/>
          <w:left w:space="0" w:sz="0" w:val="nil"/>
          <w:bottom w:space="0" w:sz="0" w:val="nil"/>
          <w:right w:space="0" w:sz="0" w:val="nil"/>
          <w:between w:space="0" w:sz="0" w:val="nil"/>
        </w:pBdr>
        <w:spacing w:after="120" w:before="120" w:line="240" w:lineRule="auto"/>
        <w:ind w:left="216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such other details as the Buyer may reasonably require from time to time.</w:t>
      </w:r>
    </w:p>
    <w:p w:rsidR="00000000" w:rsidDel="00000000" w:rsidP="00000000" w:rsidRDefault="00000000" w:rsidRPr="00000000" w14:paraId="00000094">
      <w:pPr>
        <w:keepNext w:val="1"/>
        <w:numPr>
          <w:ilvl w:val="1"/>
          <w:numId w:val="4"/>
        </w:numPr>
        <w:pBdr>
          <w:top w:space="0" w:sz="0" w:val="nil"/>
          <w:left w:space="0" w:sz="0" w:val="nil"/>
          <w:bottom w:space="0" w:sz="0" w:val="nil"/>
          <w:right w:space="0" w:sz="0" w:val="nil"/>
          <w:between w:space="0" w:sz="0" w:val="nil"/>
        </w:pBdr>
        <w:spacing w:after="120" w:before="120" w:line="240" w:lineRule="auto"/>
        <w:ind w:left="144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Parties shall attend meetings to discuss Performance Monitoring Reports ("</w:t>
      </w:r>
      <w:r w:rsidDel="00000000" w:rsidR="00000000" w:rsidRPr="00000000">
        <w:rPr>
          <w:rFonts w:ascii="Arial" w:cs="Arial" w:eastAsia="Arial" w:hAnsi="Arial"/>
          <w:b w:val="1"/>
          <w:color w:val="000000"/>
          <w:sz w:val="24"/>
          <w:szCs w:val="24"/>
          <w:rtl w:val="0"/>
        </w:rPr>
        <w:t xml:space="preserve">Performance Review Meetings</w:t>
      </w:r>
      <w:r w:rsidDel="00000000" w:rsidR="00000000" w:rsidRPr="00000000">
        <w:rPr>
          <w:rFonts w:ascii="Arial" w:cs="Arial" w:eastAsia="Arial" w:hAnsi="Arial"/>
          <w:color w:val="000000"/>
          <w:sz w:val="24"/>
          <w:szCs w:val="24"/>
          <w:rtl w:val="0"/>
        </w:rPr>
        <w:t xml:space="preserve">") on a Monthly basis. The Performance Review Meetings will be the forum for the review by the Supplier and the Buyer of the Performance Monitoring Reports.  The Performance Review Meetings shall:</w:t>
      </w:r>
    </w:p>
    <w:p w:rsidR="00000000" w:rsidDel="00000000" w:rsidP="00000000" w:rsidRDefault="00000000" w:rsidRPr="00000000" w14:paraId="00000095">
      <w:pPr>
        <w:numPr>
          <w:ilvl w:val="2"/>
          <w:numId w:val="4"/>
        </w:numPr>
        <w:pBdr>
          <w:top w:space="0" w:sz="0" w:val="nil"/>
          <w:left w:space="0" w:sz="0" w:val="nil"/>
          <w:bottom w:space="0" w:sz="0" w:val="nil"/>
          <w:right w:space="0" w:sz="0" w:val="nil"/>
          <w:between w:space="0" w:sz="0" w:val="nil"/>
        </w:pBdr>
        <w:spacing w:after="120" w:before="120" w:line="240" w:lineRule="auto"/>
        <w:ind w:left="216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take place within one (1) week of the Performance Monitoring Reports being issued by the Supplier at such location and time (within normal business hours) as the Buyer shall reasonably require;</w:t>
      </w:r>
    </w:p>
    <w:p w:rsidR="00000000" w:rsidDel="00000000" w:rsidP="00000000" w:rsidRDefault="00000000" w:rsidRPr="00000000" w14:paraId="00000096">
      <w:pPr>
        <w:numPr>
          <w:ilvl w:val="2"/>
          <w:numId w:val="4"/>
        </w:numPr>
        <w:pBdr>
          <w:top w:space="0" w:sz="0" w:val="nil"/>
          <w:left w:space="0" w:sz="0" w:val="nil"/>
          <w:bottom w:space="0" w:sz="0" w:val="nil"/>
          <w:right w:space="0" w:sz="0" w:val="nil"/>
          <w:between w:space="0" w:sz="0" w:val="nil"/>
        </w:pBdr>
        <w:spacing w:after="120" w:before="120" w:line="240" w:lineRule="auto"/>
        <w:ind w:left="216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be attended by the Supplier's Representative and the Buyer’s Representative; and</w:t>
      </w:r>
    </w:p>
    <w:p w:rsidR="00000000" w:rsidDel="00000000" w:rsidP="00000000" w:rsidRDefault="00000000" w:rsidRPr="00000000" w14:paraId="00000097">
      <w:pPr>
        <w:numPr>
          <w:ilvl w:val="2"/>
          <w:numId w:val="4"/>
        </w:numPr>
        <w:pBdr>
          <w:top w:space="0" w:sz="0" w:val="nil"/>
          <w:left w:space="0" w:sz="0" w:val="nil"/>
          <w:bottom w:space="0" w:sz="0" w:val="nil"/>
          <w:right w:space="0" w:sz="0" w:val="nil"/>
          <w:between w:space="0" w:sz="0" w:val="nil"/>
        </w:pBdr>
        <w:spacing w:after="120" w:before="120" w:line="240" w:lineRule="auto"/>
        <w:ind w:left="216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be fully minuted by the Supplier and the minutes will be circulated by the Supplier to all attendees at the relevant meeting and also to the Buyer’s Representative and any other recipients agreed at the relevant meeting.  </w:t>
      </w:r>
    </w:p>
    <w:p w:rsidR="00000000" w:rsidDel="00000000" w:rsidP="00000000" w:rsidRDefault="00000000" w:rsidRPr="00000000" w14:paraId="00000098">
      <w:pPr>
        <w:numPr>
          <w:ilvl w:val="1"/>
          <w:numId w:val="4"/>
        </w:numPr>
        <w:pBdr>
          <w:top w:space="0" w:sz="0" w:val="nil"/>
          <w:left w:space="0" w:sz="0" w:val="nil"/>
          <w:bottom w:space="0" w:sz="0" w:val="nil"/>
          <w:right w:space="0" w:sz="0" w:val="nil"/>
          <w:between w:space="0" w:sz="0" w:val="nil"/>
        </w:pBdr>
        <w:spacing w:after="120" w:before="120" w:line="240" w:lineRule="auto"/>
        <w:ind w:left="144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minutes of the preceding Month's Performance Review Meeting will be agreed and signed by both the Supplier's Representative and the Buyer’s Representative at each meeting.</w:t>
      </w:r>
    </w:p>
    <w:p w:rsidR="00000000" w:rsidDel="00000000" w:rsidP="00000000" w:rsidRDefault="00000000" w:rsidRPr="00000000" w14:paraId="00000099">
      <w:pPr>
        <w:numPr>
          <w:ilvl w:val="1"/>
          <w:numId w:val="4"/>
        </w:numPr>
        <w:pBdr>
          <w:top w:space="0" w:sz="0" w:val="nil"/>
          <w:left w:space="0" w:sz="0" w:val="nil"/>
          <w:bottom w:space="0" w:sz="0" w:val="nil"/>
          <w:right w:space="0" w:sz="0" w:val="nil"/>
          <w:between w:space="0" w:sz="0" w:val="nil"/>
        </w:pBdr>
        <w:spacing w:after="120" w:before="120" w:line="240" w:lineRule="auto"/>
        <w:ind w:left="144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provide to the Buyer such documentation as the Buyer may reasonably require in order to verify the level of the performance by the Supplier and the calculations of the amount of Service Credits for any specified Service Period.</w:t>
      </w:r>
    </w:p>
    <w:p w:rsidR="00000000" w:rsidDel="00000000" w:rsidP="00000000" w:rsidRDefault="00000000" w:rsidRPr="00000000" w14:paraId="0000009A">
      <w:pPr>
        <w:pBdr>
          <w:top w:space="0" w:sz="0" w:val="nil"/>
          <w:left w:space="0" w:sz="0" w:val="nil"/>
          <w:bottom w:space="0" w:sz="0" w:val="nil"/>
          <w:right w:space="0" w:sz="0" w:val="nil"/>
          <w:between w:space="0" w:sz="0" w:val="nil"/>
        </w:pBdr>
        <w:spacing w:after="120" w:before="120" w:line="240" w:lineRule="auto"/>
        <w:ind w:left="1440" w:hanging="576"/>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9B">
      <w:pPr>
        <w:numPr>
          <w:ilvl w:val="0"/>
          <w:numId w:val="4"/>
        </w:numPr>
        <w:pBdr>
          <w:top w:space="0" w:sz="0" w:val="nil"/>
          <w:left w:space="0" w:sz="0" w:val="nil"/>
          <w:bottom w:space="0" w:sz="0" w:val="nil"/>
          <w:right w:space="0" w:sz="0" w:val="nil"/>
          <w:between w:space="0" w:sz="0" w:val="nil"/>
        </w:pBdr>
        <w:tabs>
          <w:tab w:val="left" w:pos="142"/>
        </w:tabs>
        <w:spacing w:after="120" w:before="240" w:line="240" w:lineRule="auto"/>
        <w:ind w:left="720" w:hanging="720"/>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Satisfaction Surveys</w:t>
      </w:r>
    </w:p>
    <w:p w:rsidR="00000000" w:rsidDel="00000000" w:rsidP="00000000" w:rsidRDefault="00000000" w:rsidRPr="00000000" w14:paraId="0000009C">
      <w:pPr>
        <w:numPr>
          <w:ilvl w:val="1"/>
          <w:numId w:val="4"/>
        </w:numPr>
        <w:pBdr>
          <w:top w:space="0" w:sz="0" w:val="nil"/>
          <w:left w:space="0" w:sz="0" w:val="nil"/>
          <w:bottom w:space="0" w:sz="0" w:val="nil"/>
          <w:right w:space="0" w:sz="0" w:val="nil"/>
          <w:between w:space="0" w:sz="0" w:val="nil"/>
        </w:pBdr>
        <w:spacing w:after="120" w:before="120" w:line="240" w:lineRule="auto"/>
        <w:ind w:left="1440" w:hanging="72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 may undertake satisfaction surveys in respect of the Supplier's provision of the Deliverables. The Buyer shall be entitled to notify the Supplier of any aspects of their performance of the provision of the Deliverables which the responses to the Satisfaction Surveys reasonably suggest are not in accordance with this Contract.</w:t>
      </w:r>
    </w:p>
    <w:p w:rsidR="00000000" w:rsidDel="00000000" w:rsidP="00000000" w:rsidRDefault="00000000" w:rsidRPr="00000000" w14:paraId="0000009D">
      <w:pPr>
        <w:pBdr>
          <w:top w:space="0" w:sz="0" w:val="nil"/>
          <w:left w:space="0" w:sz="0" w:val="nil"/>
          <w:bottom w:space="0" w:sz="0" w:val="nil"/>
          <w:right w:space="0" w:sz="0" w:val="nil"/>
          <w:between w:space="0" w:sz="0" w:val="nil"/>
        </w:pBdr>
        <w:spacing w:after="120" w:before="120" w:line="240" w:lineRule="auto"/>
        <w:ind w:left="936" w:hanging="576"/>
        <w:jc w:val="both"/>
        <w:rPr>
          <w:rFonts w:ascii="Arial" w:cs="Arial" w:eastAsia="Arial" w:hAnsi="Arial"/>
          <w:color w:val="000000"/>
          <w:sz w:val="24"/>
          <w:szCs w:val="24"/>
        </w:rPr>
      </w:pPr>
      <w:bookmarkStart w:colFirst="0" w:colLast="0" w:name="_heading=h.gjdgxs" w:id="0"/>
      <w:bookmarkEnd w:id="0"/>
      <w:r w:rsidDel="00000000" w:rsidR="00000000" w:rsidRPr="00000000">
        <w:rPr>
          <w:rtl w:val="0"/>
        </w:rPr>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Georgia"/>
  <w:font w:name="Arial"/>
  <w:font w:name="Arial Bold"/>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5">
    <w:pPr>
      <w:tabs>
        <w:tab w:val="center" w:pos="4513"/>
        <w:tab w:val="right" w:pos="9026"/>
      </w:tabs>
      <w:spacing w:after="0" w:line="240" w:lineRule="auto"/>
      <w:jc w:val="both"/>
      <w:rPr/>
    </w:pPr>
    <w:r w:rsidDel="00000000" w:rsidR="00000000" w:rsidRPr="00000000">
      <w:rPr>
        <w:rtl w:val="0"/>
      </w:rPr>
    </w:r>
  </w:p>
  <w:p w:rsidR="00000000" w:rsidDel="00000000" w:rsidP="00000000" w:rsidRDefault="00000000" w:rsidRPr="00000000" w14:paraId="000000A6">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Framework Ref: RM</w:t>
      <w:tab/>
      <w:t xml:space="preserve">                                           </w:t>
    </w:r>
  </w:p>
  <w:p w:rsidR="00000000" w:rsidDel="00000000" w:rsidP="00000000" w:rsidRDefault="00000000" w:rsidRPr="00000000" w14:paraId="000000A7">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v1.0</w:t>
      <w:tab/>
      <w:tab/>
      <w:tab/>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8">
    <w:pPr>
      <w:pBdr>
        <w:top w:space="0" w:sz="0" w:val="nil"/>
        <w:left w:space="0" w:sz="0" w:val="nil"/>
        <w:bottom w:space="0" w:sz="0" w:val="nil"/>
        <w:right w:space="0" w:sz="0" w:val="nil"/>
        <w:between w:space="0" w:sz="0" w:val="nil"/>
      </w:pBdr>
      <w:tabs>
        <w:tab w:val="center" w:pos="4513"/>
        <w:tab w:val="right" w:pos="9026"/>
      </w:tabs>
      <w:spacing w:after="0" w:line="240" w:lineRule="auto"/>
      <w:rPr>
        <w:color w:val="000000"/>
      </w:rPr>
    </w:pPr>
    <w:r w:rsidDel="00000000" w:rsidR="00000000" w:rsidRPr="00000000">
      <w:rPr>
        <w:rFonts w:ascii="Arial" w:cs="Arial" w:eastAsia="Arial" w:hAnsi="Arial"/>
        <w:color w:val="000000"/>
        <w:sz w:val="20"/>
        <w:szCs w:val="20"/>
        <w:rtl w:val="0"/>
      </w:rPr>
      <w:t xml:space="preserve">Model Version : v2.9</w:t>
      <w:tab/>
      <w:tab/>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9">
    <w:pPr>
      <w:tabs>
        <w:tab w:val="center" w:pos="4513"/>
        <w:tab w:val="right" w:pos="9026"/>
      </w:tabs>
      <w:spacing w:after="0" w:line="240" w:lineRule="auto"/>
      <w:jc w:val="both"/>
      <w:rPr/>
    </w:pPr>
    <w:r w:rsidDel="00000000" w:rsidR="00000000" w:rsidRPr="00000000">
      <w:rPr>
        <w:rtl w:val="0"/>
      </w:rPr>
    </w:r>
  </w:p>
  <w:p w:rsidR="00000000" w:rsidDel="00000000" w:rsidP="00000000" w:rsidRDefault="00000000" w:rsidRPr="00000000" w14:paraId="000000AA">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000000"/>
        <w:sz w:val="20"/>
        <w:szCs w:val="20"/>
      </w:rPr>
    </w:pPr>
    <w:bookmarkStart w:colFirst="0" w:colLast="0" w:name="_heading=h.30j0zll" w:id="1"/>
    <w:bookmarkEnd w:id="1"/>
    <w:r w:rsidDel="00000000" w:rsidR="00000000" w:rsidRPr="00000000">
      <w:rPr>
        <w:rFonts w:ascii="Arial" w:cs="Arial" w:eastAsia="Arial" w:hAnsi="Arial"/>
        <w:color w:val="000000"/>
        <w:sz w:val="20"/>
        <w:szCs w:val="20"/>
        <w:rtl w:val="0"/>
      </w:rPr>
      <w:t xml:space="preserve">Framework Ref: RM</w:t>
    </w:r>
    <w:r w:rsidDel="00000000" w:rsidR="00000000" w:rsidRPr="00000000">
      <w:rPr>
        <w:rFonts w:ascii="Arial" w:cs="Arial" w:eastAsia="Arial" w:hAnsi="Arial"/>
        <w:sz w:val="20"/>
        <w:szCs w:val="20"/>
        <w:rtl w:val="0"/>
      </w:rPr>
      <w:t xml:space="preserve">6174</w:t>
    </w:r>
    <w:r w:rsidDel="00000000" w:rsidR="00000000" w:rsidRPr="00000000">
      <w:rPr>
        <w:rtl w:val="0"/>
      </w:rPr>
    </w:r>
  </w:p>
  <w:p w:rsidR="00000000" w:rsidDel="00000000" w:rsidP="00000000" w:rsidRDefault="00000000" w:rsidRPr="00000000" w14:paraId="000000AB">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v1.0</w:t>
      <w:tab/>
      <w:tab/>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C">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Model Version: v3.2</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E">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b w:val="1"/>
        <w:color w:val="000000"/>
        <w:sz w:val="20"/>
        <w:szCs w:val="20"/>
        <w:rtl w:val="0"/>
      </w:rPr>
      <w:t xml:space="preserve">Call-Off Schedule 14 (Service Levels)</w:t>
    </w:r>
    <w:r w:rsidDel="00000000" w:rsidR="00000000" w:rsidRPr="00000000">
      <w:rPr>
        <w:rtl w:val="0"/>
      </w:rPr>
    </w:r>
  </w:p>
  <w:p w:rsidR="00000000" w:rsidDel="00000000" w:rsidP="00000000" w:rsidRDefault="00000000" w:rsidRPr="00000000" w14:paraId="0000009F">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Call-Off Ref:</w:t>
    </w:r>
  </w:p>
  <w:p w:rsidR="00000000" w:rsidDel="00000000" w:rsidP="00000000" w:rsidRDefault="00000000" w:rsidRPr="00000000" w14:paraId="000000A0">
    <w:pPr>
      <w:pBdr>
        <w:top w:space="0" w:sz="0" w:val="nil"/>
        <w:left w:space="0" w:sz="0" w:val="nil"/>
        <w:bottom w:space="0" w:sz="0" w:val="nil"/>
        <w:right w:space="0" w:sz="0" w:val="nil"/>
        <w:between w:space="0" w:sz="0" w:val="nil"/>
      </w:pBdr>
      <w:tabs>
        <w:tab w:val="center" w:pos="4513"/>
        <w:tab w:val="right" w:pos="9026"/>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Crown Copyright 20</w:t>
    </w:r>
    <w:r w:rsidDel="00000000" w:rsidR="00000000" w:rsidRPr="00000000">
      <w:rPr>
        <w:rFonts w:ascii="Arial" w:cs="Arial" w:eastAsia="Arial" w:hAnsi="Arial"/>
        <w:sz w:val="20"/>
        <w:szCs w:val="20"/>
        <w:rtl w:val="0"/>
      </w:rPr>
      <w:t xml:space="preserve">21</w:t>
    </w:r>
    <w:r w:rsidDel="00000000" w:rsidR="00000000" w:rsidRPr="00000000">
      <w:rPr>
        <w:rtl w:val="0"/>
      </w:rPr>
    </w:r>
  </w:p>
  <w:p w:rsidR="00000000" w:rsidDel="00000000" w:rsidP="00000000" w:rsidRDefault="00000000" w:rsidRPr="00000000" w14:paraId="000000A1">
    <w:pPr>
      <w:pBdr>
        <w:top w:space="0" w:sz="0" w:val="nil"/>
        <w:left w:space="0" w:sz="0" w:val="nil"/>
        <w:bottom w:space="0" w:sz="0" w:val="nil"/>
        <w:right w:space="0" w:sz="0" w:val="nil"/>
        <w:between w:space="0" w:sz="0" w:val="nil"/>
      </w:pBdr>
      <w:tabs>
        <w:tab w:val="center" w:pos="4513"/>
        <w:tab w:val="right" w:pos="9026"/>
      </w:tabs>
      <w:spacing w:after="0"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720"/>
      </w:pPr>
      <w:rPr>
        <w:rFonts w:ascii="Calibri" w:cs="Calibri" w:eastAsia="Calibri" w:hAnsi="Calibri"/>
        <w:b w:val="1"/>
        <w:i w:val="0"/>
        <w:smallCaps w:val="0"/>
        <w:strike w:val="0"/>
        <w:color w:val="000000"/>
        <w:sz w:val="22"/>
        <w:szCs w:val="22"/>
        <w:u w:val="none"/>
        <w:vertAlign w:val="baseline"/>
      </w:rPr>
    </w:lvl>
    <w:lvl w:ilvl="1">
      <w:start w:val="1"/>
      <w:numFmt w:val="lowerLetter"/>
      <w:lvlText w:val="%2)"/>
      <w:lvlJc w:val="left"/>
      <w:pPr>
        <w:ind w:left="1440" w:hanging="720"/>
      </w:pPr>
      <w:rPr>
        <w:b w:val="0"/>
        <w:i w:val="0"/>
        <w:smallCaps w:val="0"/>
        <w:strike w:val="0"/>
        <w:color w:val="000000"/>
        <w:sz w:val="22"/>
        <w:szCs w:val="22"/>
        <w:u w:val="none"/>
        <w:vertAlign w:val="baseline"/>
      </w:rPr>
    </w:lvl>
    <w:lvl w:ilvl="2">
      <w:start w:val="1"/>
      <w:numFmt w:val="decimal"/>
      <w:lvlText w:val="%1.2.%3"/>
      <w:lvlJc w:val="left"/>
      <w:pPr>
        <w:ind w:left="2160" w:hanging="720"/>
      </w:pPr>
      <w:rPr>
        <w:rFonts w:ascii="Arial" w:cs="Arial" w:eastAsia="Arial" w:hAnsi="Arial"/>
        <w:b w:val="0"/>
        <w:i w:val="0"/>
        <w:smallCaps w:val="0"/>
        <w:strike w:val="0"/>
        <w:color w:val="000000"/>
        <w:sz w:val="24"/>
        <w:szCs w:val="24"/>
        <w:u w:val="none"/>
        <w:vertAlign w:val="baseline"/>
      </w:rPr>
    </w:lvl>
    <w:lvl w:ilvl="3">
      <w:start w:val="1"/>
      <w:numFmt w:val="lowerLetter"/>
      <w:lvlText w:val="(%4)"/>
      <w:lvlJc w:val="left"/>
      <w:pPr>
        <w:ind w:left="2880"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3600" w:hanging="72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2">
    <w:lvl w:ilvl="0">
      <w:start w:val="1"/>
      <w:numFmt w:val="decimal"/>
      <w:lvlText w:val="%1."/>
      <w:lvlJc w:val="left"/>
      <w:pPr>
        <w:ind w:left="720" w:hanging="72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1440" w:hanging="720"/>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160" w:hanging="720"/>
      </w:pPr>
      <w:rPr>
        <w:rFonts w:ascii="Calibri" w:cs="Calibri" w:eastAsia="Calibri" w:hAnsi="Calibri"/>
        <w:b w:val="0"/>
        <w:i w:val="0"/>
        <w:smallCaps w:val="0"/>
        <w:strike w:val="0"/>
        <w:color w:val="000000"/>
        <w:sz w:val="22"/>
        <w:szCs w:val="22"/>
        <w:u w:val="none"/>
        <w:vertAlign w:val="baseline"/>
      </w:rPr>
    </w:lvl>
    <w:lvl w:ilvl="3">
      <w:start w:val="1"/>
      <w:numFmt w:val="lowerLetter"/>
      <w:lvlText w:val="(%4)"/>
      <w:lvlJc w:val="left"/>
      <w:pPr>
        <w:ind w:left="2880"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3600" w:hanging="72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3">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720" w:hanging="360"/>
      </w:pPr>
      <w:rPr>
        <w:rFonts w:ascii="Calibri" w:cs="Calibri" w:eastAsia="Calibri" w:hAnsi="Calibri"/>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2"/>
        <w:szCs w:val="22"/>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abstractNum w:abstractNumId="4">
    <w:lvl w:ilvl="0">
      <w:start w:val="1"/>
      <w:numFmt w:val="decimal"/>
      <w:lvlText w:val="%1."/>
      <w:lvlJc w:val="left"/>
      <w:pPr>
        <w:ind w:left="720" w:hanging="72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1440" w:hanging="720"/>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160" w:hanging="720"/>
      </w:pPr>
      <w:rPr>
        <w:rFonts w:ascii="Calibri" w:cs="Calibri" w:eastAsia="Calibri" w:hAnsi="Calibri"/>
        <w:b w:val="0"/>
        <w:i w:val="0"/>
        <w:smallCaps w:val="0"/>
        <w:strike w:val="0"/>
        <w:color w:val="000000"/>
        <w:sz w:val="22"/>
        <w:szCs w:val="22"/>
        <w:u w:val="none"/>
        <w:vertAlign w:val="baseline"/>
      </w:rPr>
    </w:lvl>
    <w:lvl w:ilvl="3">
      <w:start w:val="1"/>
      <w:numFmt w:val="lowerLetter"/>
      <w:lvlText w:val="(%4)"/>
      <w:lvlJc w:val="left"/>
      <w:pPr>
        <w:ind w:left="2880"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3600" w:hanging="72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480"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Pr>
      <w:rFonts w:cs="Times New Roman"/>
    </w:rPr>
  </w:style>
  <w:style w:type="paragraph" w:styleId="Heading1">
    <w:name w:val="heading 1"/>
    <w:basedOn w:val="Normal"/>
    <w:next w:val="Normal"/>
    <w:link w:val="Heading1Char"/>
    <w:uiPriority w:val="9"/>
    <w:qFormat w:val="1"/>
    <w:pPr>
      <w:keepNext w:val="1"/>
      <w:keepLines w:val="1"/>
      <w:spacing w:after="0" w:before="480"/>
      <w:outlineLvl w:val="0"/>
    </w:pPr>
    <w:rPr>
      <w:rFonts w:asciiTheme="majorHAnsi" w:cstheme="majorBidi" w:eastAsiaTheme="majorEastAsia" w:hAnsiTheme="majorHAnsi"/>
      <w:b w:val="1"/>
      <w:bCs w:val="1"/>
      <w:color w:val="365f91" w:themeColor="accent1" w:themeShade="0000BF"/>
      <w:sz w:val="28"/>
      <w:szCs w:val="28"/>
    </w:rPr>
  </w:style>
  <w:style w:type="paragraph" w:styleId="Heading2">
    <w:name w:val="heading 2"/>
    <w:basedOn w:val="Normal"/>
    <w:next w:val="Normal"/>
    <w:link w:val="Heading2Char"/>
    <w:uiPriority w:val="9"/>
    <w:unhideWhenUsed w:val="1"/>
    <w:qFormat w:val="1"/>
    <w:pPr>
      <w:keepNext w:val="1"/>
      <w:keepLines w:val="1"/>
      <w:spacing w:after="0" w:before="200"/>
      <w:outlineLvl w:val="1"/>
    </w:pPr>
    <w:rPr>
      <w:rFonts w:asciiTheme="majorHAnsi" w:cstheme="majorBidi" w:eastAsiaTheme="majorEastAsia" w:hAnsiTheme="majorHAnsi"/>
      <w:b w:val="1"/>
      <w:bCs w:val="1"/>
      <w:color w:val="4f81bd" w:themeColor="accent1"/>
      <w:sz w:val="26"/>
      <w:szCs w:val="26"/>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Header">
    <w:name w:val="header"/>
    <w:basedOn w:val="Normal"/>
    <w:link w:val="HeaderChar"/>
    <w:uiPriority w:val="99"/>
    <w:unhideWhenUsed w:val="1"/>
    <w:pPr>
      <w:tabs>
        <w:tab w:val="center" w:pos="4513"/>
        <w:tab w:val="right" w:pos="9026"/>
      </w:tabs>
      <w:spacing w:after="0" w:line="240" w:lineRule="auto"/>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line="240" w:lineRule="auto"/>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GPSL1CLAUSEHEADING" w:customStyle="1">
    <w:name w:val="GPS L1 CLAUSE HEADING"/>
    <w:basedOn w:val="Normal"/>
    <w:next w:val="Normal"/>
    <w:link w:val="GPSL1CLAUSEHEADINGChar"/>
    <w:qFormat w:val="1"/>
    <w:pPr>
      <w:numPr>
        <w:numId w:val="6"/>
      </w:numPr>
      <w:tabs>
        <w:tab w:val="left" w:pos="142"/>
      </w:tabs>
      <w:adjustRightInd w:val="0"/>
      <w:spacing w:after="120" w:before="240" w:line="240" w:lineRule="auto"/>
      <w:jc w:val="both"/>
      <w:outlineLvl w:val="1"/>
    </w:pPr>
    <w:rPr>
      <w:rFonts w:cs="Arial" w:eastAsia="STZhongsong"/>
      <w:b w:val="1"/>
      <w:caps w:val="1"/>
      <w:lang w:eastAsia="zh-CN"/>
    </w:rPr>
  </w:style>
  <w:style w:type="paragraph" w:styleId="GPSL3numberedclause" w:customStyle="1">
    <w:name w:val="GPS L3 numbered clause"/>
    <w:basedOn w:val="Normal"/>
    <w:link w:val="GPSL3numberedclauseChar"/>
    <w:qFormat w:val="1"/>
    <w:pPr>
      <w:numPr>
        <w:ilvl w:val="2"/>
        <w:numId w:val="6"/>
      </w:numPr>
      <w:adjustRightInd w:val="0"/>
      <w:spacing w:after="120" w:before="120" w:line="240" w:lineRule="auto"/>
      <w:jc w:val="both"/>
    </w:pPr>
    <w:rPr>
      <w:rFonts w:cs="Arial" w:eastAsia="Times New Roman"/>
      <w:lang w:eastAsia="zh-CN"/>
    </w:rPr>
  </w:style>
  <w:style w:type="paragraph" w:styleId="GPSL4numberedclause" w:customStyle="1">
    <w:name w:val="GPS L4 numbered clause"/>
    <w:basedOn w:val="GPSL3numberedclause"/>
    <w:link w:val="GPSL4numberedclauseChar"/>
    <w:qFormat w:val="1"/>
    <w:pPr>
      <w:numPr>
        <w:ilvl w:val="3"/>
      </w:numPr>
    </w:pPr>
  </w:style>
  <w:style w:type="paragraph" w:styleId="GPSL5numberedclause" w:customStyle="1">
    <w:name w:val="GPS L5 numbered clause"/>
    <w:basedOn w:val="GPSL4numberedclause"/>
    <w:link w:val="GPSL5numberedclauseChar"/>
    <w:qFormat w:val="1"/>
    <w:pPr>
      <w:numPr>
        <w:ilvl w:val="4"/>
      </w:numPr>
    </w:pPr>
  </w:style>
  <w:style w:type="paragraph" w:styleId="GPSL2NumberedBoldHeading" w:customStyle="1">
    <w:name w:val="GPS L2 Numbered Bold Heading"/>
    <w:basedOn w:val="Normal"/>
    <w:qFormat w:val="1"/>
    <w:pPr>
      <w:numPr>
        <w:ilvl w:val="1"/>
        <w:numId w:val="6"/>
      </w:numPr>
      <w:adjustRightInd w:val="0"/>
      <w:spacing w:after="120" w:before="120" w:line="240" w:lineRule="auto"/>
      <w:jc w:val="both"/>
    </w:pPr>
    <w:rPr>
      <w:rFonts w:cs="Arial" w:eastAsia="Times New Roman"/>
      <w:lang w:eastAsia="zh-CN"/>
    </w:rPr>
  </w:style>
  <w:style w:type="paragraph" w:styleId="GPSL6numbered" w:customStyle="1">
    <w:name w:val="GPS L6 numbered"/>
    <w:basedOn w:val="GPSL5numberedclause"/>
    <w:qFormat w:val="1"/>
    <w:pPr>
      <w:numPr>
        <w:ilvl w:val="5"/>
      </w:numPr>
      <w:tabs>
        <w:tab w:val="num" w:pos="360"/>
        <w:tab w:val="left" w:pos="3686"/>
      </w:tabs>
    </w:pPr>
  </w:style>
  <w:style w:type="character" w:styleId="GPSL3numberedclauseChar" w:customStyle="1">
    <w:name w:val="GPS L3 numbered clause Char"/>
    <w:link w:val="GPSL3numberedclause"/>
    <w:locked w:val="1"/>
    <w:rPr>
      <w:rFonts w:ascii="Calibri" w:cs="Arial" w:eastAsia="Times New Roman" w:hAnsi="Calibri"/>
      <w:lang w:eastAsia="zh-CN"/>
    </w:rPr>
  </w:style>
  <w:style w:type="paragraph" w:styleId="GPSL2numberedclause" w:customStyle="1">
    <w:name w:val="GPS L2 numbered clause"/>
    <w:basedOn w:val="Normal"/>
    <w:link w:val="GPSL2numberedclauseChar1"/>
    <w:qFormat w:val="1"/>
    <w:pPr>
      <w:tabs>
        <w:tab w:val="left" w:pos="1134"/>
      </w:tabs>
      <w:adjustRightInd w:val="0"/>
      <w:spacing w:after="120" w:before="120" w:line="240" w:lineRule="auto"/>
      <w:ind w:left="1134" w:hanging="567"/>
      <w:jc w:val="both"/>
    </w:pPr>
    <w:rPr>
      <w:rFonts w:cs="Arial" w:eastAsia="Times New Roman"/>
      <w:lang w:eastAsia="zh-CN"/>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GPSL4numberedclauseChar" w:customStyle="1">
    <w:name w:val="GPS L4 numbered clause Char"/>
    <w:link w:val="GPSL4numberedclause"/>
    <w:rPr>
      <w:rFonts w:ascii="Calibri" w:cs="Arial" w:eastAsia="Times New Roman" w:hAnsi="Calibri"/>
      <w:lang w:eastAsia="zh-CN"/>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rFonts w:ascii="Calibri" w:cs="Times New Roman" w:eastAsia="Calibri" w:hAnsi="Calibri"/>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Calibri" w:cs="Times New Roman" w:eastAsia="Calibri" w:hAnsi="Calibri"/>
      <w:b w:val="1"/>
      <w:bCs w:val="1"/>
      <w:sz w:val="20"/>
      <w:szCs w:val="20"/>
    </w:rPr>
  </w:style>
  <w:style w:type="paragraph" w:styleId="BalloonText">
    <w:name w:val="Balloon Text"/>
    <w:basedOn w:val="Normal"/>
    <w:link w:val="BalloonTextChar"/>
    <w:uiPriority w:val="99"/>
    <w:semiHidden w:val="1"/>
    <w:unhideWhenUsed w:val="1"/>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Calibri" w:hAnsi="Tahoma"/>
      <w:sz w:val="16"/>
      <w:szCs w:val="16"/>
    </w:rPr>
  </w:style>
  <w:style w:type="paragraph" w:styleId="GPSmacrorestart" w:customStyle="1">
    <w:name w:val="GPS macro restart"/>
    <w:basedOn w:val="Normal"/>
    <w:qFormat w:val="1"/>
    <w:pPr>
      <w:overflowPunct w:val="0"/>
      <w:autoSpaceDE w:val="0"/>
      <w:autoSpaceDN w:val="0"/>
      <w:adjustRightInd w:val="0"/>
      <w:spacing w:after="0" w:line="240" w:lineRule="auto"/>
      <w:jc w:val="both"/>
      <w:textAlignment w:val="baseline"/>
    </w:pPr>
    <w:rPr>
      <w:rFonts w:ascii="Arial" w:cs="Arial" w:eastAsia="Times New Roman" w:hAnsi="Arial"/>
      <w:color w:val="ffffff"/>
      <w:sz w:val="16"/>
      <w:szCs w:val="16"/>
    </w:rPr>
  </w:style>
  <w:style w:type="character" w:styleId="GPSL1CLAUSEHEADINGChar" w:customStyle="1">
    <w:name w:val="GPS L1 CLAUSE HEADING Char"/>
    <w:link w:val="GPSL1CLAUSEHEADING"/>
    <w:rPr>
      <w:rFonts w:ascii="Calibri" w:cs="Arial" w:eastAsia="STZhongsong" w:hAnsi="Calibri"/>
      <w:b w:val="1"/>
      <w:caps w:val="1"/>
      <w:lang w:eastAsia="zh-CN"/>
    </w:rPr>
  </w:style>
  <w:style w:type="paragraph" w:styleId="GPSSchTitleandNumber" w:customStyle="1">
    <w:name w:val="GPS Sch Title and Number"/>
    <w:basedOn w:val="Normal"/>
    <w:link w:val="GPSSchTitleandNumberChar"/>
    <w:qFormat w:val="1"/>
    <w:pPr>
      <w:keepNext w:val="1"/>
      <w:adjustRightInd w:val="0"/>
      <w:spacing w:after="240" w:line="240" w:lineRule="auto"/>
      <w:jc w:val="center"/>
      <w:outlineLvl w:val="0"/>
    </w:pPr>
    <w:rPr>
      <w:rFonts w:ascii="Arial Bold" w:eastAsia="STZhongsong" w:hAnsi="Arial Bold"/>
      <w:b w:val="1"/>
      <w:caps w:val="1"/>
      <w:lang w:eastAsia="zh-CN"/>
    </w:rPr>
  </w:style>
  <w:style w:type="character" w:styleId="GPSSchTitleandNumberChar" w:customStyle="1">
    <w:name w:val="GPS Sch Title and Number Char"/>
    <w:link w:val="GPSSchTitleandNumber"/>
    <w:rPr>
      <w:rFonts w:ascii="Arial Bold" w:cs="Times New Roman" w:eastAsia="STZhongsong" w:hAnsi="Arial Bold"/>
      <w:b w:val="1"/>
      <w:caps w:val="1"/>
      <w:lang w:eastAsia="zh-CN"/>
    </w:rPr>
  </w:style>
  <w:style w:type="paragraph" w:styleId="GPsDefinition" w:customStyle="1">
    <w:name w:val="GPs Definition"/>
    <w:basedOn w:val="Normal"/>
    <w:qFormat w:val="1"/>
    <w:pPr>
      <w:numPr>
        <w:numId w:val="7"/>
      </w:numPr>
      <w:tabs>
        <w:tab w:val="left" w:pos="-9"/>
      </w:tabs>
      <w:overflowPunct w:val="0"/>
      <w:autoSpaceDE w:val="0"/>
      <w:autoSpaceDN w:val="0"/>
      <w:adjustRightInd w:val="0"/>
      <w:spacing w:after="120" w:line="240" w:lineRule="auto"/>
      <w:jc w:val="both"/>
      <w:textAlignment w:val="baseline"/>
    </w:pPr>
    <w:rPr>
      <w:rFonts w:ascii="Arial" w:cs="Arial" w:eastAsia="Times New Roman" w:hAnsi="Arial"/>
    </w:rPr>
  </w:style>
  <w:style w:type="paragraph" w:styleId="GPSDefinitionL2" w:customStyle="1">
    <w:name w:val="GPS Definition L2"/>
    <w:basedOn w:val="GPsDefinition"/>
    <w:qFormat w:val="1"/>
    <w:pPr>
      <w:numPr>
        <w:ilvl w:val="1"/>
      </w:numPr>
      <w:tabs>
        <w:tab w:val="clear" w:pos="-9"/>
        <w:tab w:val="left" w:pos="144"/>
      </w:tabs>
    </w:pPr>
  </w:style>
  <w:style w:type="paragraph" w:styleId="GPSDefinitionL3" w:customStyle="1">
    <w:name w:val="GPS Definition L3"/>
    <w:basedOn w:val="GPSDefinitionL2"/>
    <w:qFormat w:val="1"/>
    <w:pPr>
      <w:numPr>
        <w:ilvl w:val="2"/>
      </w:numPr>
    </w:pPr>
  </w:style>
  <w:style w:type="paragraph" w:styleId="GPSDefinitionL4" w:customStyle="1">
    <w:name w:val="GPS Definition L4"/>
    <w:basedOn w:val="GPSDefinitionL3"/>
    <w:qFormat w:val="1"/>
    <w:pPr>
      <w:numPr>
        <w:ilvl w:val="3"/>
      </w:numPr>
    </w:pPr>
  </w:style>
  <w:style w:type="paragraph" w:styleId="GPSSchAnnexname" w:customStyle="1">
    <w:name w:val="GPS Sch Annex name"/>
    <w:basedOn w:val="GPSSchTitleandNumber"/>
    <w:link w:val="GPSSchAnnexnameChar"/>
    <w:qFormat w:val="1"/>
    <w:pPr>
      <w:outlineLvl w:val="1"/>
    </w:pPr>
    <w:rPr>
      <w:rFonts w:ascii="Calibri" w:hAnsi="Calibri"/>
      <w:sz w:val="20"/>
    </w:rPr>
  </w:style>
  <w:style w:type="paragraph" w:styleId="GPSL1SCHEDULEHeading" w:customStyle="1">
    <w:name w:val="GPS L1 SCHEDULE Heading"/>
    <w:basedOn w:val="GPSL1CLAUSEHEADING"/>
    <w:link w:val="GPSL1SCHEDULEHeadingChar"/>
    <w:qFormat w:val="1"/>
    <w:pPr>
      <w:numPr>
        <w:numId w:val="0"/>
      </w:numPr>
      <w:tabs>
        <w:tab w:val="clear" w:pos="142"/>
        <w:tab w:val="left" w:pos="0"/>
      </w:tabs>
      <w:ind w:left="360" w:hanging="360"/>
      <w:outlineLvl w:val="9"/>
    </w:pPr>
  </w:style>
  <w:style w:type="character" w:styleId="GPSSchAnnexnameChar" w:customStyle="1">
    <w:name w:val="GPS Sch Annex name Char"/>
    <w:link w:val="GPSSchAnnexname"/>
    <w:rPr>
      <w:rFonts w:ascii="Calibri" w:cs="Times New Roman" w:eastAsia="STZhongsong" w:hAnsi="Calibri"/>
      <w:b w:val="1"/>
      <w:caps w:val="1"/>
      <w:sz w:val="20"/>
      <w:lang w:eastAsia="zh-CN"/>
    </w:rPr>
  </w:style>
  <w:style w:type="paragraph" w:styleId="GPSSchPart" w:customStyle="1">
    <w:name w:val="GPS Sch Part"/>
    <w:basedOn w:val="GPSSchAnnexname"/>
    <w:link w:val="GPSSchPartChar"/>
    <w:qFormat w:val="1"/>
    <w:pPr>
      <w:outlineLvl w:val="9"/>
    </w:pPr>
  </w:style>
  <w:style w:type="character" w:styleId="GPSL1SCHEDULEHeadingChar" w:customStyle="1">
    <w:name w:val="GPS L1 SCHEDULE Heading Char"/>
    <w:link w:val="GPSL1SCHEDULEHeading"/>
    <w:rPr>
      <w:rFonts w:ascii="Calibri" w:cs="Arial" w:eastAsia="STZhongsong" w:hAnsi="Calibri"/>
      <w:b w:val="1"/>
      <w:caps w:val="1"/>
      <w:lang w:eastAsia="zh-CN"/>
    </w:rPr>
  </w:style>
  <w:style w:type="character" w:styleId="GPSSchPartChar" w:customStyle="1">
    <w:name w:val="GPS Sch Part Char"/>
    <w:link w:val="GPSSchPart"/>
    <w:rPr>
      <w:rFonts w:ascii="Calibri" w:cs="Times New Roman" w:eastAsia="STZhongsong" w:hAnsi="Calibri"/>
      <w:b w:val="1"/>
      <w:caps w:val="1"/>
      <w:sz w:val="20"/>
      <w:lang w:eastAsia="zh-CN"/>
    </w:rPr>
  </w:style>
  <w:style w:type="paragraph" w:styleId="BodyTextIndent">
    <w:name w:val="Body Text Indent"/>
    <w:basedOn w:val="Normal"/>
    <w:link w:val="BodyTextIndentChar"/>
    <w:pPr>
      <w:numPr>
        <w:numId w:val="10"/>
      </w:numPr>
      <w:adjustRightInd w:val="0"/>
      <w:spacing w:after="240" w:line="240" w:lineRule="auto"/>
      <w:jc w:val="both"/>
    </w:pPr>
    <w:rPr>
      <w:rFonts w:eastAsia="Times New Roman"/>
      <w:lang w:eastAsia="zh-CN"/>
    </w:rPr>
  </w:style>
  <w:style w:type="character" w:styleId="BodyTextIndentChar" w:customStyle="1">
    <w:name w:val="Body Text Indent Char"/>
    <w:basedOn w:val="DefaultParagraphFont"/>
    <w:link w:val="BodyTextIndent"/>
    <w:rPr>
      <w:rFonts w:ascii="Calibri" w:cs="Times New Roman" w:eastAsia="Times New Roman" w:hAnsi="Calibri"/>
      <w:lang w:eastAsia="zh-CN"/>
    </w:rPr>
  </w:style>
  <w:style w:type="character" w:styleId="GPSL5numberedclauseChar" w:customStyle="1">
    <w:name w:val="GPS L5 numbered clause Char"/>
    <w:link w:val="GPSL5numberedclause"/>
    <w:locked w:val="1"/>
    <w:rPr>
      <w:rFonts w:ascii="Calibri" w:cs="Arial" w:eastAsia="Times New Roman" w:hAnsi="Calibri"/>
      <w:lang w:eastAsia="zh-CN"/>
    </w:rPr>
  </w:style>
  <w:style w:type="paragraph" w:styleId="GPSL2Indent" w:customStyle="1">
    <w:name w:val="GPS L2 Indent"/>
    <w:basedOn w:val="Normal"/>
    <w:link w:val="GPSL2IndentChar"/>
    <w:qFormat w:val="1"/>
    <w:pPr>
      <w:tabs>
        <w:tab w:val="left" w:pos="3402"/>
      </w:tabs>
      <w:overflowPunct w:val="0"/>
      <w:autoSpaceDE w:val="0"/>
      <w:autoSpaceDN w:val="0"/>
      <w:adjustRightInd w:val="0"/>
      <w:spacing w:after="220" w:line="240" w:lineRule="auto"/>
      <w:ind w:left="1134"/>
      <w:jc w:val="both"/>
      <w:textAlignment w:val="baseline"/>
    </w:pPr>
    <w:rPr>
      <w:rFonts w:cs="Arial" w:eastAsia="Times New Roman"/>
      <w:szCs w:val="24"/>
    </w:rPr>
  </w:style>
  <w:style w:type="character" w:styleId="GPSL2IndentChar" w:customStyle="1">
    <w:name w:val="GPS L2 Indent Char"/>
    <w:link w:val="GPSL2Indent"/>
    <w:rPr>
      <w:rFonts w:ascii="Calibri" w:cs="Arial" w:eastAsia="Times New Roman" w:hAnsi="Calibri"/>
      <w:szCs w:val="24"/>
    </w:rPr>
  </w:style>
  <w:style w:type="paragraph" w:styleId="GPSDefinitionTerm" w:customStyle="1">
    <w:name w:val="GPS Definition Term"/>
    <w:basedOn w:val="Normal"/>
    <w:qFormat w:val="1"/>
    <w:pPr>
      <w:overflowPunct w:val="0"/>
      <w:autoSpaceDE w:val="0"/>
      <w:autoSpaceDN w:val="0"/>
      <w:adjustRightInd w:val="0"/>
      <w:spacing w:after="120" w:line="240" w:lineRule="auto"/>
      <w:ind w:left="-108"/>
      <w:textAlignment w:val="baseline"/>
    </w:pPr>
    <w:rPr>
      <w:rFonts w:ascii="Arial" w:cs="Arial" w:eastAsia="Times New Roman" w:hAnsi="Arial"/>
      <w:b w:val="1"/>
    </w:rPr>
  </w:style>
  <w:style w:type="table" w:styleId="TableGrid">
    <w:name w:val="Table Grid"/>
    <w:basedOn w:val="TableNormal"/>
    <w:uiPriority w:val="59"/>
    <w:pPr>
      <w:spacing w:after="0" w:line="240" w:lineRule="auto"/>
    </w:pPr>
    <w:rPr>
      <w:rFonts w:cs="Times New Roman"/>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FootnoteText">
    <w:name w:val="footnote text"/>
    <w:basedOn w:val="Normal"/>
    <w:link w:val="FootnoteTextChar"/>
    <w:uiPriority w:val="99"/>
    <w:semiHidden w:val="1"/>
    <w:unhideWhenUsed w:val="1"/>
    <w:pPr>
      <w:spacing w:after="0" w:line="240" w:lineRule="auto"/>
    </w:pPr>
    <w:rPr>
      <w:sz w:val="20"/>
      <w:szCs w:val="20"/>
    </w:rPr>
  </w:style>
  <w:style w:type="character" w:styleId="FootnoteTextChar" w:customStyle="1">
    <w:name w:val="Footnote Text Char"/>
    <w:basedOn w:val="DefaultParagraphFont"/>
    <w:link w:val="FootnoteText"/>
    <w:uiPriority w:val="99"/>
    <w:semiHidden w:val="1"/>
    <w:rPr>
      <w:rFonts w:ascii="Calibri" w:cs="Times New Roman" w:eastAsia="Calibri" w:hAnsi="Calibri"/>
      <w:sz w:val="20"/>
      <w:szCs w:val="20"/>
    </w:rPr>
  </w:style>
  <w:style w:type="character" w:styleId="FootnoteReference">
    <w:name w:val="footnote reference"/>
    <w:basedOn w:val="DefaultParagraphFont"/>
    <w:uiPriority w:val="99"/>
    <w:semiHidden w:val="1"/>
    <w:unhideWhenUsed w:val="1"/>
    <w:rPr>
      <w:vertAlign w:val="superscript"/>
    </w:rPr>
  </w:style>
  <w:style w:type="character" w:styleId="Heading1Char" w:customStyle="1">
    <w:name w:val="Heading 1 Char"/>
    <w:basedOn w:val="DefaultParagraphFont"/>
    <w:link w:val="Heading1"/>
    <w:uiPriority w:val="9"/>
    <w:rPr>
      <w:rFonts w:asciiTheme="majorHAnsi" w:cstheme="majorBidi" w:eastAsiaTheme="majorEastAsia" w:hAnsiTheme="majorHAnsi"/>
      <w:b w:val="1"/>
      <w:bCs w:val="1"/>
      <w:color w:val="365f91" w:themeColor="accent1" w:themeShade="0000BF"/>
      <w:sz w:val="28"/>
      <w:szCs w:val="28"/>
    </w:rPr>
  </w:style>
  <w:style w:type="character" w:styleId="Heading2Char" w:customStyle="1">
    <w:name w:val="Heading 2 Char"/>
    <w:basedOn w:val="DefaultParagraphFont"/>
    <w:link w:val="Heading2"/>
    <w:uiPriority w:val="9"/>
    <w:rPr>
      <w:rFonts w:asciiTheme="majorHAnsi" w:cstheme="majorBidi" w:eastAsiaTheme="majorEastAsia" w:hAnsiTheme="majorHAnsi"/>
      <w:b w:val="1"/>
      <w:bCs w:val="1"/>
      <w:color w:val="4f81bd" w:themeColor="accent1"/>
      <w:sz w:val="26"/>
      <w:szCs w:val="26"/>
    </w:rPr>
  </w:style>
  <w:style w:type="paragraph" w:styleId="DefinitionNumbering1" w:customStyle="1">
    <w:name w:val="Definition Numbering 1"/>
    <w:basedOn w:val="Normal"/>
    <w:pPr>
      <w:adjustRightInd w:val="0"/>
      <w:spacing w:after="240" w:line="240" w:lineRule="auto"/>
      <w:jc w:val="both"/>
      <w:outlineLvl w:val="0"/>
    </w:pPr>
    <w:rPr>
      <w:rFonts w:ascii="Times New Roman" w:eastAsia="STZhongsong" w:hAnsi="Times New Roman"/>
      <w:szCs w:val="20"/>
      <w:lang w:eastAsia="zh-CN"/>
    </w:rPr>
  </w:style>
  <w:style w:type="paragraph" w:styleId="Revision">
    <w:name w:val="Revision"/>
    <w:hidden w:val="1"/>
    <w:uiPriority w:val="99"/>
    <w:semiHidden w:val="1"/>
    <w:rsid w:val="00CB349E"/>
    <w:pPr>
      <w:spacing w:after="0" w:line="240" w:lineRule="auto"/>
    </w:pPr>
    <w:rPr>
      <w:rFonts w:cs="Times New Roman"/>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left w:w="115.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QZKzZOHwEUMmSpnbO8ESM7l7x8A==">AMUW2mW2Mj0sOFIhkkW1FbbTo0UCZg85kuIyJOjNbu0XwXK5VW1zr0GUU/lPR+z3S6Z5sIpUdqG+7kwRMvQGdvLVhtRnbzvswsV9ZiMlzwHO/q7Im9hgm7GNZdsn5hDBcVnvdAdax/k7</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2021-02-15T13:29:00Z</dcterms:created>
  <dc:creator>Peter Hanlon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D1V8</vt:lpwstr>
  </property>
</Properties>
</file>