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8" w:rsidRPr="00A60AB0" w:rsidRDefault="00F52BE8" w:rsidP="007F7DC5">
      <w:pPr>
        <w:rPr>
          <w:rFonts w:cs="Arial"/>
          <w:color w:val="2C2C2C"/>
          <w:sz w:val="22"/>
          <w:szCs w:val="22"/>
          <w:lang w:val="en"/>
        </w:rPr>
      </w:pPr>
    </w:p>
    <w:p w:rsidR="00F52BE8" w:rsidRPr="00A60AB0" w:rsidRDefault="00F52BE8" w:rsidP="00F52BE8">
      <w:pPr>
        <w:jc w:val="right"/>
        <w:rPr>
          <w:rFonts w:cs="Arial"/>
          <w:color w:val="2C2C2C"/>
          <w:sz w:val="22"/>
          <w:szCs w:val="22"/>
          <w:lang w:val="en"/>
        </w:rPr>
      </w:pPr>
      <w:r w:rsidRPr="00A60AB0">
        <w:rPr>
          <w:rFonts w:cs="Arial"/>
          <w:noProof/>
          <w:sz w:val="22"/>
          <w:szCs w:val="22"/>
          <w:lang w:eastAsia="en-GB"/>
        </w:rPr>
        <w:drawing>
          <wp:anchor distT="0" distB="0" distL="114300" distR="114300" simplePos="0" relativeHeight="251660288" behindDoc="1" locked="0" layoutInCell="1" allowOverlap="1" wp14:anchorId="03237E4F" wp14:editId="03B1592C">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8" w:rsidRPr="00A60AB0" w:rsidRDefault="00F52BE8" w:rsidP="00F52BE8">
      <w:pPr>
        <w:jc w:val="right"/>
        <w:rPr>
          <w:rFonts w:cs="Arial"/>
          <w:color w:val="2C2C2C"/>
          <w:sz w:val="22"/>
          <w:szCs w:val="22"/>
          <w:lang w:val="en"/>
        </w:rPr>
      </w:pPr>
    </w:p>
    <w:p w:rsidR="00F52BE8" w:rsidRPr="00A60AB0" w:rsidRDefault="00F52BE8" w:rsidP="00F52BE8">
      <w:pPr>
        <w:rPr>
          <w:rFonts w:cs="Arial"/>
          <w:color w:val="2C2C2C"/>
          <w:sz w:val="22"/>
          <w:szCs w:val="22"/>
          <w:lang w:val="en"/>
        </w:rPr>
      </w:pPr>
    </w:p>
    <w:p w:rsidR="00F52BE8" w:rsidRPr="00A60AB0" w:rsidRDefault="00F52BE8" w:rsidP="00F52BE8">
      <w:pPr>
        <w:jc w:val="center"/>
        <w:rPr>
          <w:rFonts w:cs="Arial"/>
          <w:b/>
          <w:color w:val="2C2C2C"/>
          <w:sz w:val="22"/>
          <w:szCs w:val="22"/>
          <w:lang w:val="en"/>
        </w:rPr>
      </w:pPr>
    </w:p>
    <w:p w:rsidR="00F52BE8" w:rsidRPr="00A60AB0" w:rsidRDefault="00F52BE8" w:rsidP="00F52BE8">
      <w:pPr>
        <w:jc w:val="center"/>
        <w:rPr>
          <w:rFonts w:cs="Arial"/>
          <w:b/>
          <w:sz w:val="28"/>
          <w:szCs w:val="28"/>
          <w:lang w:val="en"/>
        </w:rPr>
      </w:pPr>
    </w:p>
    <w:p w:rsidR="00F52BE8" w:rsidRPr="00A60AB0" w:rsidRDefault="00F52BE8" w:rsidP="00F52BE8">
      <w:pPr>
        <w:jc w:val="center"/>
        <w:rPr>
          <w:rFonts w:cs="Arial"/>
          <w:b/>
          <w:sz w:val="28"/>
          <w:szCs w:val="28"/>
          <w:lang w:val="en"/>
        </w:rPr>
      </w:pPr>
      <w:r w:rsidRPr="00A60AB0">
        <w:rPr>
          <w:rFonts w:cs="Arial"/>
          <w:b/>
          <w:sz w:val="28"/>
          <w:szCs w:val="28"/>
          <w:lang w:val="en"/>
        </w:rPr>
        <w:t xml:space="preserve">INVITATION TO TENDER  </w:t>
      </w:r>
    </w:p>
    <w:p w:rsidR="00F52BE8" w:rsidRPr="00A60AB0" w:rsidRDefault="00F52BE8" w:rsidP="00F52BE8">
      <w:pPr>
        <w:jc w:val="center"/>
        <w:rPr>
          <w:rFonts w:cs="Arial"/>
          <w:b/>
          <w:sz w:val="28"/>
          <w:szCs w:val="28"/>
          <w:lang w:val="en"/>
        </w:rPr>
      </w:pPr>
      <w:r w:rsidRPr="00A60AB0">
        <w:rPr>
          <w:rFonts w:cs="Arial"/>
          <w:b/>
          <w:sz w:val="28"/>
          <w:szCs w:val="28"/>
          <w:lang w:val="en"/>
        </w:rPr>
        <w:t>&amp;</w:t>
      </w:r>
    </w:p>
    <w:p w:rsidR="00F52BE8" w:rsidRPr="00A60AB0" w:rsidRDefault="00F52BE8" w:rsidP="00F52BE8">
      <w:pPr>
        <w:jc w:val="center"/>
        <w:rPr>
          <w:rFonts w:cs="Arial"/>
          <w:b/>
          <w:sz w:val="28"/>
          <w:szCs w:val="28"/>
          <w:u w:val="single"/>
        </w:rPr>
      </w:pPr>
      <w:r w:rsidRPr="00A60AB0">
        <w:rPr>
          <w:rFonts w:cs="Arial"/>
          <w:b/>
          <w:sz w:val="28"/>
          <w:szCs w:val="28"/>
          <w:lang w:val="en"/>
        </w:rPr>
        <w:t>STATEMENT OF REQUIREMENT</w:t>
      </w:r>
    </w:p>
    <w:p w:rsidR="00F52BE8" w:rsidRPr="00A60AB0" w:rsidRDefault="00F52BE8" w:rsidP="00F52BE8">
      <w:pPr>
        <w:jc w:val="center"/>
        <w:rPr>
          <w:rFonts w:cs="Arial"/>
          <w:b/>
          <w:sz w:val="28"/>
          <w:szCs w:val="28"/>
          <w:u w:val="single"/>
        </w:rPr>
      </w:pPr>
    </w:p>
    <w:p w:rsidR="00F52BE8" w:rsidRPr="00A60AB0" w:rsidRDefault="00F52BE8" w:rsidP="00F52BE8">
      <w:pPr>
        <w:jc w:val="center"/>
        <w:rPr>
          <w:rFonts w:cs="Arial"/>
          <w:b/>
          <w:sz w:val="28"/>
          <w:szCs w:val="28"/>
          <w:u w:val="single"/>
        </w:rPr>
      </w:pPr>
    </w:p>
    <w:p w:rsidR="00F52BE8" w:rsidRPr="00A60AB0" w:rsidRDefault="00F52BE8" w:rsidP="00F52BE8">
      <w:pPr>
        <w:jc w:val="center"/>
        <w:rPr>
          <w:rFonts w:cs="Arial"/>
          <w:b/>
          <w:sz w:val="28"/>
          <w:szCs w:val="28"/>
          <w:u w:val="single"/>
        </w:rPr>
      </w:pPr>
    </w:p>
    <w:p w:rsidR="00F52BE8" w:rsidRPr="00A60AB0" w:rsidRDefault="00532FB9" w:rsidP="00F52BE8">
      <w:pPr>
        <w:jc w:val="center"/>
        <w:rPr>
          <w:rFonts w:cs="Arial"/>
          <w:b/>
          <w:sz w:val="28"/>
          <w:szCs w:val="28"/>
          <w:u w:val="single"/>
        </w:rPr>
      </w:pPr>
      <w:r w:rsidRPr="00A60AB0">
        <w:rPr>
          <w:rFonts w:cs="Arial"/>
          <w:b/>
          <w:sz w:val="28"/>
          <w:szCs w:val="28"/>
          <w:u w:val="single"/>
        </w:rPr>
        <w:t xml:space="preserve">Review of </w:t>
      </w:r>
      <w:r w:rsidR="00B9092E" w:rsidRPr="00A60AB0">
        <w:rPr>
          <w:rFonts w:cs="Arial"/>
          <w:b/>
          <w:sz w:val="28"/>
          <w:szCs w:val="28"/>
          <w:u w:val="single"/>
        </w:rPr>
        <w:t>effectiveness of efficiency reporting in RP1 to inform approach developed for RP2</w:t>
      </w:r>
    </w:p>
    <w:p w:rsidR="00F52BE8" w:rsidRPr="00A60AB0" w:rsidRDefault="00F52BE8" w:rsidP="00F52BE8">
      <w:pPr>
        <w:jc w:val="center"/>
        <w:rPr>
          <w:rFonts w:cs="Arial"/>
          <w:b/>
          <w:sz w:val="28"/>
          <w:szCs w:val="28"/>
          <w:u w:val="single"/>
        </w:rPr>
      </w:pPr>
    </w:p>
    <w:p w:rsidR="00F52BE8" w:rsidRPr="00A60AB0" w:rsidRDefault="00F52BE8" w:rsidP="00F52BE8">
      <w:pPr>
        <w:jc w:val="center"/>
        <w:rPr>
          <w:rFonts w:cs="Arial"/>
          <w:b/>
          <w:sz w:val="28"/>
          <w:szCs w:val="28"/>
          <w:u w:val="single"/>
        </w:rPr>
      </w:pPr>
    </w:p>
    <w:p w:rsidR="00F52BE8" w:rsidRPr="00A60AB0" w:rsidRDefault="00F52BE8" w:rsidP="007F7DC5">
      <w:pPr>
        <w:jc w:val="center"/>
        <w:rPr>
          <w:rFonts w:cs="Arial"/>
          <w:b/>
          <w:sz w:val="28"/>
          <w:szCs w:val="28"/>
          <w:u w:val="single"/>
        </w:rPr>
      </w:pPr>
    </w:p>
    <w:p w:rsidR="00F52BE8" w:rsidRPr="00A60AB0" w:rsidRDefault="00F52BE8" w:rsidP="007F7DC5">
      <w:pPr>
        <w:spacing w:after="0" w:line="360" w:lineRule="auto"/>
        <w:jc w:val="center"/>
        <w:rPr>
          <w:rFonts w:cs="Arial"/>
          <w:b/>
          <w:sz w:val="28"/>
          <w:szCs w:val="28"/>
          <w:u w:val="single"/>
        </w:rPr>
      </w:pPr>
      <w:r w:rsidRPr="00A60AB0">
        <w:rPr>
          <w:rFonts w:cs="Arial"/>
          <w:b/>
          <w:sz w:val="28"/>
          <w:szCs w:val="28"/>
          <w:u w:val="single"/>
        </w:rPr>
        <w:t>CPV</w:t>
      </w:r>
      <w:r w:rsidR="00BC340F" w:rsidRPr="00A60AB0">
        <w:rPr>
          <w:rFonts w:cs="Arial"/>
          <w:b/>
          <w:sz w:val="28"/>
          <w:szCs w:val="28"/>
          <w:u w:val="single"/>
        </w:rPr>
        <w:t xml:space="preserve"> Code: 73200000</w:t>
      </w:r>
    </w:p>
    <w:p w:rsidR="00F52BE8" w:rsidRPr="00A60AB0" w:rsidRDefault="00F52BE8" w:rsidP="007F7DC5">
      <w:pPr>
        <w:spacing w:after="0" w:line="360" w:lineRule="auto"/>
        <w:jc w:val="center"/>
        <w:rPr>
          <w:rFonts w:cs="Arial"/>
          <w:b/>
          <w:sz w:val="28"/>
          <w:szCs w:val="28"/>
          <w:u w:val="single"/>
        </w:rPr>
      </w:pPr>
      <w:r w:rsidRPr="00A60AB0">
        <w:rPr>
          <w:rFonts w:cs="Arial"/>
          <w:b/>
          <w:sz w:val="28"/>
          <w:szCs w:val="28"/>
          <w:u w:val="single"/>
        </w:rPr>
        <w:t xml:space="preserve">Supplementary Code: </w:t>
      </w:r>
      <w:r w:rsidR="00BC340F" w:rsidRPr="00A60AB0">
        <w:rPr>
          <w:rFonts w:cs="Arial"/>
          <w:b/>
          <w:sz w:val="28"/>
          <w:szCs w:val="28"/>
          <w:u w:val="single"/>
        </w:rPr>
        <w:t>73210000 &amp; 73220000</w:t>
      </w:r>
    </w:p>
    <w:p w:rsidR="00F52BE8" w:rsidRPr="00A60AB0" w:rsidRDefault="00F52BE8" w:rsidP="007F7DC5">
      <w:pPr>
        <w:spacing w:after="0" w:line="360" w:lineRule="auto"/>
        <w:jc w:val="center"/>
        <w:rPr>
          <w:rFonts w:cs="Arial"/>
          <w:b/>
          <w:sz w:val="28"/>
          <w:szCs w:val="28"/>
          <w:u w:val="single"/>
        </w:rPr>
      </w:pPr>
      <w:r w:rsidRPr="00A60AB0">
        <w:rPr>
          <w:rFonts w:cs="Arial"/>
          <w:b/>
          <w:sz w:val="28"/>
          <w:szCs w:val="28"/>
          <w:u w:val="single"/>
        </w:rPr>
        <w:t xml:space="preserve">Tender Reference: </w:t>
      </w:r>
      <w:r w:rsidR="00BC340F" w:rsidRPr="00A60AB0">
        <w:rPr>
          <w:rFonts w:cs="Arial"/>
          <w:b/>
          <w:sz w:val="28"/>
          <w:szCs w:val="28"/>
          <w:u w:val="single"/>
        </w:rPr>
        <w:t>ORR/CT/19-31</w:t>
      </w:r>
    </w:p>
    <w:p w:rsidR="00F52BE8" w:rsidRPr="00A60AB0" w:rsidRDefault="00F52BE8" w:rsidP="00F52BE8">
      <w:pPr>
        <w:ind w:left="2160"/>
        <w:rPr>
          <w:rFonts w:cs="Arial"/>
          <w:b/>
          <w:sz w:val="22"/>
          <w:szCs w:val="22"/>
          <w:highlight w:val="cyan"/>
        </w:rPr>
      </w:pPr>
    </w:p>
    <w:p w:rsidR="00F52BE8" w:rsidRPr="00A60AB0" w:rsidRDefault="00F52BE8" w:rsidP="00F52BE8">
      <w:pPr>
        <w:rPr>
          <w:rFonts w:cs="Arial"/>
          <w:b/>
          <w:sz w:val="22"/>
          <w:szCs w:val="22"/>
        </w:rPr>
      </w:pPr>
    </w:p>
    <w:p w:rsidR="00F52BE8" w:rsidRPr="00A60AB0" w:rsidRDefault="00F52BE8" w:rsidP="00F52BE8">
      <w:pPr>
        <w:rPr>
          <w:rFonts w:cs="Arial"/>
          <w:b/>
          <w:sz w:val="22"/>
          <w:szCs w:val="22"/>
        </w:rPr>
      </w:pPr>
    </w:p>
    <w:p w:rsidR="00F52BE8" w:rsidRPr="00A60AB0" w:rsidRDefault="00F52BE8" w:rsidP="00F52BE8">
      <w:pPr>
        <w:rPr>
          <w:rFonts w:cs="Arial"/>
          <w:b/>
          <w:sz w:val="22"/>
          <w:szCs w:val="22"/>
        </w:rPr>
      </w:pPr>
    </w:p>
    <w:p w:rsidR="00F52BE8" w:rsidRPr="00A60AB0" w:rsidRDefault="00F52BE8" w:rsidP="00F52BE8">
      <w:pPr>
        <w:rPr>
          <w:rFonts w:cs="Arial"/>
          <w:sz w:val="22"/>
          <w:szCs w:val="22"/>
        </w:rPr>
      </w:pPr>
      <w:r w:rsidRPr="00A60AB0">
        <w:rPr>
          <w:rFonts w:cs="Arial"/>
          <w:b/>
          <w:sz w:val="22"/>
          <w:szCs w:val="22"/>
          <w:highlight w:val="cyan"/>
        </w:rPr>
        <w:br w:type="page"/>
      </w:r>
      <w:r w:rsidRPr="00A60AB0">
        <w:rPr>
          <w:rFonts w:cs="Arial"/>
          <w:b/>
          <w:bCs/>
          <w:color w:val="000000"/>
          <w:sz w:val="22"/>
          <w:szCs w:val="22"/>
        </w:rPr>
        <w:lastRenderedPageBreak/>
        <w:t>Purpose of document</w:t>
      </w:r>
    </w:p>
    <w:p w:rsidR="00F52BE8" w:rsidRPr="00A60AB0" w:rsidRDefault="00F52BE8" w:rsidP="00F52BE8">
      <w:pPr>
        <w:pStyle w:val="ListNumber"/>
        <w:numPr>
          <w:ilvl w:val="0"/>
          <w:numId w:val="0"/>
        </w:numPr>
        <w:tabs>
          <w:tab w:val="clear" w:pos="720"/>
        </w:tabs>
        <w:spacing w:before="0" w:after="0"/>
        <w:rPr>
          <w:rFonts w:cs="Arial"/>
          <w:b/>
          <w:sz w:val="22"/>
          <w:szCs w:val="22"/>
          <w:u w:val="single"/>
        </w:rPr>
      </w:pPr>
      <w:r w:rsidRPr="00A60AB0">
        <w:rPr>
          <w:rFonts w:cs="Arial"/>
          <w:color w:val="000000"/>
          <w:sz w:val="22"/>
          <w:szCs w:val="22"/>
        </w:rPr>
        <w:t xml:space="preserve">The purpose of this document is to invite proposals for </w:t>
      </w:r>
      <w:r w:rsidR="00EF3DC6" w:rsidRPr="00A60AB0">
        <w:rPr>
          <w:rFonts w:cs="Arial"/>
          <w:color w:val="000000"/>
          <w:sz w:val="22"/>
          <w:szCs w:val="22"/>
        </w:rPr>
        <w:t xml:space="preserve">a </w:t>
      </w:r>
      <w:r w:rsidR="00532FB9" w:rsidRPr="00A60AB0">
        <w:rPr>
          <w:rFonts w:cs="Arial"/>
          <w:b/>
          <w:sz w:val="22"/>
          <w:szCs w:val="22"/>
        </w:rPr>
        <w:t xml:space="preserve">Review of </w:t>
      </w:r>
      <w:r w:rsidR="00EF3DC6" w:rsidRPr="00A60AB0">
        <w:rPr>
          <w:rFonts w:cs="Arial"/>
          <w:b/>
          <w:sz w:val="22"/>
          <w:szCs w:val="22"/>
        </w:rPr>
        <w:t>effectiveness of efficiency reporting in RP1 to inform approach developed for RP2</w:t>
      </w:r>
      <w:r w:rsidRPr="00A60AB0">
        <w:rPr>
          <w:rFonts w:cs="Arial"/>
          <w:color w:val="000000"/>
          <w:sz w:val="22"/>
          <w:szCs w:val="22"/>
        </w:rPr>
        <w:t xml:space="preserve"> for the Office of Rail and Road (ORR).</w:t>
      </w:r>
    </w:p>
    <w:p w:rsidR="00F52BE8" w:rsidRPr="00A60AB0" w:rsidRDefault="00F52BE8" w:rsidP="00F52BE8">
      <w:pPr>
        <w:pStyle w:val="ListNumber"/>
        <w:numPr>
          <w:ilvl w:val="0"/>
          <w:numId w:val="0"/>
        </w:numPr>
        <w:rPr>
          <w:rFonts w:cs="Arial"/>
          <w:b/>
          <w:sz w:val="22"/>
          <w:szCs w:val="22"/>
          <w:u w:val="single"/>
        </w:rPr>
      </w:pPr>
      <w:r w:rsidRPr="00A60AB0">
        <w:rPr>
          <w:rFonts w:cs="Arial"/>
          <w:sz w:val="22"/>
          <w:szCs w:val="22"/>
        </w:rPr>
        <w:t>This document contains the following sections:</w:t>
      </w:r>
    </w:p>
    <w:p w:rsidR="00F52BE8" w:rsidRPr="00A60AB0" w:rsidRDefault="00F52BE8" w:rsidP="00F52BE8">
      <w:pPr>
        <w:pStyle w:val="ListNumber"/>
        <w:numPr>
          <w:ilvl w:val="0"/>
          <w:numId w:val="0"/>
        </w:numPr>
        <w:tabs>
          <w:tab w:val="clear" w:pos="720"/>
          <w:tab w:val="left" w:pos="360"/>
        </w:tabs>
        <w:rPr>
          <w:rFonts w:cs="Arial"/>
          <w:sz w:val="22"/>
          <w:szCs w:val="22"/>
        </w:rPr>
      </w:pPr>
      <w:r w:rsidRPr="00A60AB0">
        <w:rPr>
          <w:rFonts w:cs="Arial"/>
          <w:sz w:val="22"/>
          <w:szCs w:val="22"/>
        </w:rPr>
        <w:tab/>
        <w:t xml:space="preserve">1. </w:t>
      </w:r>
      <w:r w:rsidRPr="00A60AB0">
        <w:rPr>
          <w:rFonts w:cs="Arial"/>
          <w:sz w:val="22"/>
          <w:szCs w:val="22"/>
        </w:rPr>
        <w:tab/>
        <w:t>Introduction to the Office of Rail and Road</w:t>
      </w:r>
    </w:p>
    <w:p w:rsidR="00F52BE8" w:rsidRPr="00A60AB0" w:rsidRDefault="00F52BE8" w:rsidP="00F52BE8">
      <w:pPr>
        <w:pStyle w:val="ListNumber"/>
        <w:numPr>
          <w:ilvl w:val="0"/>
          <w:numId w:val="0"/>
        </w:numPr>
        <w:tabs>
          <w:tab w:val="clear" w:pos="720"/>
          <w:tab w:val="left" w:pos="360"/>
        </w:tabs>
        <w:rPr>
          <w:rFonts w:cs="Arial"/>
          <w:sz w:val="22"/>
          <w:szCs w:val="22"/>
        </w:rPr>
      </w:pPr>
      <w:r w:rsidRPr="00A60AB0">
        <w:rPr>
          <w:rFonts w:cs="Arial"/>
          <w:sz w:val="22"/>
          <w:szCs w:val="22"/>
        </w:rPr>
        <w:tab/>
        <w:t xml:space="preserve">2.  </w:t>
      </w:r>
      <w:r w:rsidRPr="00A60AB0">
        <w:rPr>
          <w:rFonts w:cs="Arial"/>
          <w:sz w:val="22"/>
          <w:szCs w:val="22"/>
        </w:rPr>
        <w:tab/>
        <w:t>Statement of Requirement</w:t>
      </w:r>
    </w:p>
    <w:p w:rsidR="00F52BE8" w:rsidRPr="00A60AB0" w:rsidRDefault="00F52BE8" w:rsidP="00F52BE8">
      <w:pPr>
        <w:pStyle w:val="ListNumber"/>
        <w:numPr>
          <w:ilvl w:val="0"/>
          <w:numId w:val="0"/>
        </w:numPr>
        <w:tabs>
          <w:tab w:val="clear" w:pos="720"/>
          <w:tab w:val="left" w:pos="360"/>
        </w:tabs>
        <w:rPr>
          <w:rFonts w:cs="Arial"/>
          <w:sz w:val="22"/>
          <w:szCs w:val="22"/>
        </w:rPr>
      </w:pPr>
      <w:r w:rsidRPr="00A60AB0">
        <w:rPr>
          <w:rFonts w:cs="Arial"/>
          <w:sz w:val="22"/>
          <w:szCs w:val="22"/>
        </w:rPr>
        <w:tab/>
        <w:t>3.</w:t>
      </w:r>
      <w:r w:rsidRPr="00A60AB0">
        <w:rPr>
          <w:rFonts w:cs="Arial"/>
          <w:sz w:val="22"/>
          <w:szCs w:val="22"/>
        </w:rPr>
        <w:tab/>
        <w:t>Tender Proposal &amp; Evaluation Criteria</w:t>
      </w:r>
    </w:p>
    <w:p w:rsidR="00F52BE8" w:rsidRPr="00A60AB0" w:rsidRDefault="00F52BE8" w:rsidP="00F52BE8">
      <w:pPr>
        <w:pStyle w:val="ListNumber"/>
        <w:numPr>
          <w:ilvl w:val="0"/>
          <w:numId w:val="0"/>
        </w:numPr>
        <w:tabs>
          <w:tab w:val="clear" w:pos="720"/>
          <w:tab w:val="left" w:pos="360"/>
        </w:tabs>
        <w:rPr>
          <w:rFonts w:cs="Arial"/>
          <w:sz w:val="22"/>
          <w:szCs w:val="22"/>
        </w:rPr>
      </w:pPr>
      <w:r w:rsidRPr="00A60AB0">
        <w:rPr>
          <w:rFonts w:cs="Arial"/>
          <w:sz w:val="22"/>
          <w:szCs w:val="22"/>
        </w:rPr>
        <w:tab/>
        <w:t>4.</w:t>
      </w:r>
      <w:r w:rsidRPr="00A60AB0">
        <w:rPr>
          <w:rFonts w:cs="Arial"/>
          <w:sz w:val="22"/>
          <w:szCs w:val="22"/>
        </w:rPr>
        <w:tab/>
        <w:t>Procurement Procedures</w:t>
      </w:r>
    </w:p>
    <w:p w:rsidR="00F52BE8" w:rsidRPr="00A60AB0" w:rsidRDefault="00F52BE8" w:rsidP="00F52BE8">
      <w:pPr>
        <w:pStyle w:val="ListNumber"/>
        <w:numPr>
          <w:ilvl w:val="0"/>
          <w:numId w:val="0"/>
        </w:numPr>
        <w:tabs>
          <w:tab w:val="clear" w:pos="720"/>
        </w:tabs>
        <w:spacing w:before="0" w:after="0"/>
        <w:rPr>
          <w:rFonts w:cs="Arial"/>
          <w:b/>
          <w:sz w:val="22"/>
          <w:szCs w:val="22"/>
          <w:u w:val="single"/>
        </w:rPr>
      </w:pPr>
    </w:p>
    <w:p w:rsidR="00F52BE8" w:rsidRPr="00A60AB0" w:rsidRDefault="00F52BE8" w:rsidP="00F52BE8">
      <w:pPr>
        <w:pStyle w:val="ListNumber"/>
        <w:numPr>
          <w:ilvl w:val="0"/>
          <w:numId w:val="0"/>
        </w:numPr>
        <w:tabs>
          <w:tab w:val="clear" w:pos="720"/>
        </w:tabs>
        <w:spacing w:before="0" w:after="0"/>
        <w:rPr>
          <w:rFonts w:cs="Arial"/>
          <w:sz w:val="22"/>
          <w:szCs w:val="22"/>
        </w:rPr>
      </w:pPr>
      <w:r w:rsidRPr="00A60AB0">
        <w:rPr>
          <w:rFonts w:cs="Arial"/>
          <w:b/>
          <w:sz w:val="22"/>
          <w:szCs w:val="22"/>
        </w:rPr>
        <w:br w:type="page"/>
      </w:r>
      <w:r w:rsidRPr="00A60AB0">
        <w:rPr>
          <w:rFonts w:cs="Arial"/>
          <w:b/>
          <w:sz w:val="22"/>
          <w:szCs w:val="22"/>
        </w:rPr>
        <w:lastRenderedPageBreak/>
        <w:t>1. Introduction to the Office of Rail and Road (ORR)</w:t>
      </w:r>
    </w:p>
    <w:p w:rsidR="00F52BE8" w:rsidRPr="00A60AB0" w:rsidRDefault="00F52BE8" w:rsidP="00F52BE8">
      <w:pPr>
        <w:pStyle w:val="ListNumber"/>
        <w:numPr>
          <w:ilvl w:val="0"/>
          <w:numId w:val="0"/>
        </w:numPr>
        <w:tabs>
          <w:tab w:val="clear" w:pos="720"/>
        </w:tabs>
        <w:spacing w:before="0" w:after="0"/>
        <w:ind w:hanging="360"/>
        <w:rPr>
          <w:rFonts w:cs="Arial"/>
          <w:sz w:val="22"/>
          <w:szCs w:val="22"/>
        </w:rPr>
      </w:pPr>
    </w:p>
    <w:p w:rsidR="00F52BE8" w:rsidRPr="00A60AB0" w:rsidRDefault="00F52BE8" w:rsidP="00F52BE8">
      <w:pPr>
        <w:pStyle w:val="ListNumber"/>
        <w:numPr>
          <w:ilvl w:val="0"/>
          <w:numId w:val="0"/>
        </w:numPr>
        <w:spacing w:before="0" w:after="0"/>
        <w:rPr>
          <w:rFonts w:cs="Arial"/>
          <w:sz w:val="22"/>
          <w:szCs w:val="22"/>
        </w:rPr>
      </w:pPr>
      <w:r w:rsidRPr="00A60AB0">
        <w:rPr>
          <w:rFonts w:cs="Arial"/>
          <w:sz w:val="22"/>
          <w:szCs w:val="22"/>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A60AB0">
        <w:rPr>
          <w:rFonts w:cs="Arial"/>
          <w:sz w:val="22"/>
          <w:szCs w:val="22"/>
        </w:rPr>
        <w:t>DfT</w:t>
      </w:r>
      <w:proofErr w:type="spellEnd"/>
      <w:r w:rsidRPr="00A60AB0">
        <w:rPr>
          <w:rFonts w:cs="Arial"/>
          <w:sz w:val="22"/>
          <w:szCs w:val="22"/>
        </w:rPr>
        <w:t xml:space="preserve">). </w:t>
      </w:r>
    </w:p>
    <w:p w:rsidR="00F52BE8" w:rsidRPr="00A60AB0" w:rsidRDefault="00F52BE8" w:rsidP="00F52BE8">
      <w:pPr>
        <w:pStyle w:val="ListNumber"/>
        <w:numPr>
          <w:ilvl w:val="0"/>
          <w:numId w:val="0"/>
        </w:numPr>
        <w:spacing w:before="0" w:after="0"/>
        <w:rPr>
          <w:rFonts w:cs="Arial"/>
          <w:sz w:val="22"/>
          <w:szCs w:val="22"/>
        </w:rPr>
      </w:pPr>
    </w:p>
    <w:p w:rsidR="00F52BE8" w:rsidRPr="00A60AB0" w:rsidRDefault="00F52BE8" w:rsidP="00F52BE8">
      <w:pPr>
        <w:pStyle w:val="ListNumber"/>
        <w:numPr>
          <w:ilvl w:val="0"/>
          <w:numId w:val="0"/>
        </w:numPr>
        <w:spacing w:before="0" w:after="0"/>
        <w:rPr>
          <w:rFonts w:cs="Arial"/>
          <w:sz w:val="22"/>
          <w:szCs w:val="22"/>
        </w:rPr>
      </w:pPr>
      <w:r w:rsidRPr="00A60AB0">
        <w:rPr>
          <w:rFonts w:cs="Arial"/>
          <w:sz w:val="22"/>
          <w:szCs w:val="22"/>
        </w:rPr>
        <w:t>ORR currently employs approximately 300 personnel and operates from 6 locations nationwide. The majority of personnel are located at ORR’s headquarters, One Kemble Street, London.</w:t>
      </w:r>
    </w:p>
    <w:p w:rsidR="00F52BE8" w:rsidRPr="00A60AB0" w:rsidRDefault="00F52BE8" w:rsidP="00F52BE8">
      <w:pPr>
        <w:pStyle w:val="ListNumber"/>
        <w:numPr>
          <w:ilvl w:val="0"/>
          <w:numId w:val="0"/>
        </w:numPr>
        <w:spacing w:before="0" w:after="0"/>
        <w:rPr>
          <w:rFonts w:cs="Arial"/>
          <w:sz w:val="22"/>
          <w:szCs w:val="22"/>
          <w:u w:val="single"/>
        </w:rPr>
      </w:pPr>
    </w:p>
    <w:p w:rsidR="00F52BE8" w:rsidRPr="00A60AB0" w:rsidRDefault="00F52BE8" w:rsidP="00F52BE8">
      <w:pPr>
        <w:pStyle w:val="ListNumber"/>
        <w:numPr>
          <w:ilvl w:val="0"/>
          <w:numId w:val="0"/>
        </w:numPr>
        <w:spacing w:before="0" w:after="0"/>
        <w:rPr>
          <w:rFonts w:cs="Arial"/>
          <w:sz w:val="22"/>
          <w:szCs w:val="22"/>
          <w:u w:val="single"/>
        </w:rPr>
      </w:pPr>
      <w:r w:rsidRPr="00A60AB0">
        <w:rPr>
          <w:rFonts w:cs="Arial"/>
          <w:sz w:val="22"/>
          <w:szCs w:val="22"/>
          <w:u w:val="single"/>
        </w:rPr>
        <w:t>Our strategic objectives</w:t>
      </w:r>
    </w:p>
    <w:p w:rsidR="00F52BE8" w:rsidRPr="00A60AB0" w:rsidRDefault="00F52BE8" w:rsidP="00F52BE8">
      <w:pPr>
        <w:tabs>
          <w:tab w:val="left" w:pos="720"/>
        </w:tabs>
        <w:spacing w:after="0"/>
        <w:rPr>
          <w:rFonts w:cs="Arial"/>
          <w:sz w:val="22"/>
          <w:szCs w:val="22"/>
          <w:u w:val="single"/>
        </w:rPr>
      </w:pPr>
    </w:p>
    <w:p w:rsidR="00F52BE8" w:rsidRPr="00A60AB0" w:rsidRDefault="00F52BE8" w:rsidP="00F52BE8">
      <w:pPr>
        <w:tabs>
          <w:tab w:val="left" w:pos="720"/>
        </w:tabs>
        <w:spacing w:after="0"/>
        <w:rPr>
          <w:rFonts w:cs="Arial"/>
          <w:sz w:val="22"/>
          <w:szCs w:val="22"/>
        </w:rPr>
      </w:pPr>
      <w:r w:rsidRPr="00A60AB0">
        <w:rPr>
          <w:rFonts w:cs="Arial"/>
          <w:b/>
          <w:bCs/>
          <w:sz w:val="22"/>
          <w:szCs w:val="22"/>
        </w:rPr>
        <w:t>1. Drive for a safer railway</w:t>
      </w:r>
      <w:proofErr w:type="gramStart"/>
      <w:r w:rsidRPr="00A60AB0">
        <w:rPr>
          <w:rFonts w:cs="Arial"/>
          <w:b/>
          <w:bCs/>
          <w:sz w:val="22"/>
          <w:szCs w:val="22"/>
        </w:rPr>
        <w:t>:</w:t>
      </w:r>
      <w:proofErr w:type="gramEnd"/>
      <w:r w:rsidRPr="00A60AB0">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rsidR="00F52BE8" w:rsidRPr="00A60AB0" w:rsidRDefault="00F52BE8" w:rsidP="00F52BE8">
      <w:pPr>
        <w:tabs>
          <w:tab w:val="left" w:pos="720"/>
        </w:tabs>
        <w:spacing w:after="0"/>
        <w:rPr>
          <w:rFonts w:cs="Arial"/>
          <w:sz w:val="22"/>
          <w:szCs w:val="22"/>
        </w:rPr>
      </w:pPr>
    </w:p>
    <w:p w:rsidR="00F52BE8" w:rsidRPr="00A60AB0" w:rsidRDefault="00F52BE8" w:rsidP="00F52BE8">
      <w:pPr>
        <w:tabs>
          <w:tab w:val="left" w:pos="720"/>
        </w:tabs>
        <w:spacing w:after="0"/>
        <w:rPr>
          <w:rFonts w:cs="Arial"/>
          <w:sz w:val="22"/>
          <w:szCs w:val="22"/>
        </w:rPr>
      </w:pPr>
      <w:r w:rsidRPr="00A60AB0">
        <w:rPr>
          <w:rFonts w:cs="Arial"/>
          <w:b/>
          <w:bCs/>
          <w:sz w:val="22"/>
          <w:szCs w:val="22"/>
        </w:rPr>
        <w:t>2. Support a better service for customers</w:t>
      </w:r>
      <w:proofErr w:type="gramStart"/>
      <w:r w:rsidRPr="00A60AB0">
        <w:rPr>
          <w:rFonts w:cs="Arial"/>
          <w:b/>
          <w:bCs/>
          <w:sz w:val="22"/>
          <w:szCs w:val="22"/>
        </w:rPr>
        <w:t>:</w:t>
      </w:r>
      <w:proofErr w:type="gramEnd"/>
      <w:r w:rsidRPr="00A60AB0">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rsidR="00F52BE8" w:rsidRPr="00A60AB0" w:rsidRDefault="00F52BE8" w:rsidP="00F52BE8">
      <w:pPr>
        <w:tabs>
          <w:tab w:val="left" w:pos="720"/>
        </w:tabs>
        <w:spacing w:after="0"/>
        <w:rPr>
          <w:rFonts w:cs="Arial"/>
          <w:sz w:val="22"/>
          <w:szCs w:val="22"/>
        </w:rPr>
      </w:pPr>
    </w:p>
    <w:p w:rsidR="00F52BE8" w:rsidRPr="00A60AB0" w:rsidRDefault="00F52BE8" w:rsidP="00F52BE8">
      <w:pPr>
        <w:tabs>
          <w:tab w:val="left" w:pos="720"/>
        </w:tabs>
        <w:spacing w:after="0"/>
        <w:rPr>
          <w:rFonts w:cs="Arial"/>
          <w:sz w:val="22"/>
          <w:szCs w:val="22"/>
        </w:rPr>
      </w:pPr>
      <w:r w:rsidRPr="00A60AB0">
        <w:rPr>
          <w:rFonts w:cs="Arial"/>
          <w:b/>
          <w:bCs/>
          <w:sz w:val="22"/>
          <w:szCs w:val="22"/>
        </w:rPr>
        <w:t>3. Secure value for money from the railway, for users and funders</w:t>
      </w:r>
      <w:proofErr w:type="gramStart"/>
      <w:r w:rsidRPr="00A60AB0">
        <w:rPr>
          <w:rFonts w:cs="Arial"/>
          <w:b/>
          <w:bCs/>
          <w:sz w:val="22"/>
          <w:szCs w:val="22"/>
        </w:rPr>
        <w:t>:</w:t>
      </w:r>
      <w:proofErr w:type="gramEnd"/>
      <w:r w:rsidRPr="00A60AB0">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rsidR="00F52BE8" w:rsidRPr="00A60AB0" w:rsidRDefault="00F52BE8" w:rsidP="00F52BE8">
      <w:pPr>
        <w:tabs>
          <w:tab w:val="left" w:pos="720"/>
        </w:tabs>
        <w:spacing w:after="0"/>
        <w:rPr>
          <w:rFonts w:cs="Arial"/>
          <w:sz w:val="22"/>
          <w:szCs w:val="22"/>
        </w:rPr>
      </w:pPr>
    </w:p>
    <w:p w:rsidR="00F52BE8" w:rsidRPr="00A60AB0" w:rsidRDefault="00F52BE8" w:rsidP="00F52BE8">
      <w:pPr>
        <w:tabs>
          <w:tab w:val="left" w:pos="720"/>
        </w:tabs>
        <w:spacing w:after="0"/>
        <w:rPr>
          <w:rFonts w:cs="Arial"/>
          <w:sz w:val="22"/>
          <w:szCs w:val="22"/>
        </w:rPr>
      </w:pPr>
      <w:r w:rsidRPr="00A60AB0">
        <w:rPr>
          <w:rFonts w:cs="Arial"/>
          <w:b/>
          <w:bCs/>
          <w:sz w:val="22"/>
          <w:szCs w:val="22"/>
        </w:rPr>
        <w:t>4. Secure improved performance and value for money from the strategic road network</w:t>
      </w:r>
      <w:proofErr w:type="gramStart"/>
      <w:r w:rsidRPr="00A60AB0">
        <w:rPr>
          <w:rFonts w:cs="Arial"/>
          <w:b/>
          <w:bCs/>
          <w:sz w:val="22"/>
          <w:szCs w:val="22"/>
        </w:rPr>
        <w:t>:</w:t>
      </w:r>
      <w:proofErr w:type="gramEnd"/>
      <w:r w:rsidRPr="00A60AB0">
        <w:rPr>
          <w:rFonts w:cs="Arial"/>
          <w:sz w:val="22"/>
          <w:szCs w:val="22"/>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rsidR="00F52BE8" w:rsidRPr="00A60AB0" w:rsidRDefault="00F52BE8" w:rsidP="00F52BE8">
      <w:pPr>
        <w:pStyle w:val="ListNumber"/>
        <w:numPr>
          <w:ilvl w:val="0"/>
          <w:numId w:val="0"/>
        </w:numPr>
        <w:spacing w:before="0" w:after="0"/>
        <w:rPr>
          <w:rFonts w:cs="Arial"/>
          <w:sz w:val="22"/>
          <w:szCs w:val="22"/>
          <w:lang w:val="en"/>
        </w:rPr>
      </w:pPr>
    </w:p>
    <w:p w:rsidR="00F52BE8" w:rsidRPr="00A60AB0" w:rsidRDefault="00F52BE8" w:rsidP="00F52BE8">
      <w:pPr>
        <w:pStyle w:val="ListNumber"/>
        <w:numPr>
          <w:ilvl w:val="0"/>
          <w:numId w:val="0"/>
        </w:numPr>
        <w:spacing w:before="0" w:after="0"/>
        <w:rPr>
          <w:rFonts w:cs="Arial"/>
          <w:sz w:val="22"/>
          <w:szCs w:val="22"/>
          <w:u w:val="single"/>
        </w:rPr>
      </w:pPr>
      <w:r w:rsidRPr="00A60AB0">
        <w:rPr>
          <w:rFonts w:cs="Arial"/>
          <w:sz w:val="22"/>
          <w:szCs w:val="22"/>
          <w:u w:val="single"/>
        </w:rPr>
        <w:t>Supplying ORR</w:t>
      </w:r>
    </w:p>
    <w:p w:rsidR="00F52BE8" w:rsidRPr="00A60AB0" w:rsidRDefault="00F52BE8" w:rsidP="00F52BE8">
      <w:pPr>
        <w:pStyle w:val="ListNumber"/>
        <w:numPr>
          <w:ilvl w:val="0"/>
          <w:numId w:val="0"/>
        </w:numPr>
        <w:rPr>
          <w:rFonts w:cs="Arial"/>
          <w:sz w:val="22"/>
          <w:szCs w:val="22"/>
          <w:lang w:val="en" w:eastAsia="en-GB"/>
        </w:rPr>
      </w:pPr>
      <w:r w:rsidRPr="00A60AB0">
        <w:rPr>
          <w:rFonts w:cs="Arial"/>
          <w:sz w:val="22"/>
          <w:szCs w:val="22"/>
          <w:lang w:val="en" w:eastAsia="en-GB"/>
        </w:rPr>
        <w:t>The ORR procurement unit is responsible for purchasing the goods and services necessary for ORR to achieve its role as the economic and health &amp; safety regulator of the rail industry.</w:t>
      </w:r>
    </w:p>
    <w:p w:rsidR="00F52BE8" w:rsidRPr="00A60AB0" w:rsidRDefault="00F52BE8" w:rsidP="00F52BE8">
      <w:pPr>
        <w:pStyle w:val="ListNumber"/>
        <w:numPr>
          <w:ilvl w:val="0"/>
          <w:numId w:val="0"/>
        </w:numPr>
        <w:rPr>
          <w:rFonts w:cs="Arial"/>
          <w:sz w:val="22"/>
          <w:szCs w:val="22"/>
          <w:lang w:val="en" w:eastAsia="en-GB"/>
        </w:rPr>
      </w:pPr>
      <w:r w:rsidRPr="00A60AB0">
        <w:rPr>
          <w:rFonts w:cs="Arial"/>
          <w:sz w:val="22"/>
          <w:szCs w:val="22"/>
          <w:lang w:val="en" w:eastAsia="en-GB"/>
        </w:rPr>
        <w:t>The ORR Procurement unit subscribes to the following values:</w:t>
      </w:r>
    </w:p>
    <w:p w:rsidR="00F52BE8" w:rsidRPr="00A60AB0" w:rsidRDefault="00F52BE8" w:rsidP="00F52BE8">
      <w:pPr>
        <w:pStyle w:val="ListNumber"/>
        <w:numPr>
          <w:ilvl w:val="0"/>
          <w:numId w:val="3"/>
        </w:numPr>
        <w:rPr>
          <w:rFonts w:cs="Arial"/>
          <w:sz w:val="22"/>
          <w:szCs w:val="22"/>
          <w:lang w:val="en" w:eastAsia="en-GB"/>
        </w:rPr>
      </w:pPr>
      <w:r w:rsidRPr="00A60AB0">
        <w:rPr>
          <w:rFonts w:cs="Arial"/>
          <w:sz w:val="22"/>
          <w:szCs w:val="22"/>
          <w:lang w:val="en" w:eastAsia="en-GB"/>
        </w:rPr>
        <w:t xml:space="preserve">to provide a modern, efficient, transparent and responsible procurement service; </w:t>
      </w:r>
    </w:p>
    <w:p w:rsidR="00F52BE8" w:rsidRPr="00A60AB0" w:rsidRDefault="00F52BE8" w:rsidP="00F52BE8">
      <w:pPr>
        <w:pStyle w:val="ListNumber"/>
        <w:numPr>
          <w:ilvl w:val="0"/>
          <w:numId w:val="3"/>
        </w:numPr>
        <w:rPr>
          <w:rFonts w:cs="Arial"/>
          <w:sz w:val="22"/>
          <w:szCs w:val="22"/>
          <w:lang w:val="en" w:eastAsia="en-GB"/>
        </w:rPr>
      </w:pPr>
      <w:r w:rsidRPr="00A60AB0">
        <w:rPr>
          <w:rFonts w:cs="Arial"/>
          <w:sz w:val="22"/>
          <w:szCs w:val="22"/>
          <w:lang w:val="en" w:eastAsia="en-GB"/>
        </w:rPr>
        <w:t xml:space="preserve">to achieve value for money by balancing quality and cost; </w:t>
      </w:r>
    </w:p>
    <w:p w:rsidR="00F52BE8" w:rsidRPr="00A60AB0" w:rsidRDefault="00F52BE8" w:rsidP="00F52BE8">
      <w:pPr>
        <w:pStyle w:val="ListNumber"/>
        <w:numPr>
          <w:ilvl w:val="0"/>
          <w:numId w:val="3"/>
        </w:numPr>
        <w:rPr>
          <w:rFonts w:cs="Arial"/>
          <w:sz w:val="22"/>
          <w:szCs w:val="22"/>
          <w:lang w:val="en" w:eastAsia="en-GB"/>
        </w:rPr>
      </w:pPr>
      <w:r w:rsidRPr="00A60AB0">
        <w:rPr>
          <w:rFonts w:cs="Arial"/>
          <w:sz w:val="22"/>
          <w:szCs w:val="22"/>
          <w:lang w:val="en" w:eastAsia="en-GB"/>
        </w:rPr>
        <w:t xml:space="preserve">to ensure contracts are managed effectively and outputs are delivered; </w:t>
      </w:r>
    </w:p>
    <w:p w:rsidR="00F52BE8" w:rsidRPr="00A60AB0" w:rsidRDefault="00F52BE8" w:rsidP="00F52BE8">
      <w:pPr>
        <w:pStyle w:val="ListNumber"/>
        <w:numPr>
          <w:ilvl w:val="0"/>
          <w:numId w:val="3"/>
        </w:numPr>
        <w:rPr>
          <w:rFonts w:cs="Arial"/>
          <w:sz w:val="22"/>
          <w:szCs w:val="22"/>
          <w:lang w:val="en" w:eastAsia="en-GB"/>
        </w:rPr>
      </w:pPr>
      <w:r w:rsidRPr="00A60AB0">
        <w:rPr>
          <w:rFonts w:cs="Arial"/>
          <w:sz w:val="22"/>
          <w:szCs w:val="22"/>
          <w:lang w:val="en" w:eastAsia="en-GB"/>
        </w:rPr>
        <w:t xml:space="preserve">to ensure that processes have regard for equality and diversity; and </w:t>
      </w:r>
    </w:p>
    <w:p w:rsidR="00F52BE8" w:rsidRPr="00A60AB0" w:rsidRDefault="00F52BE8" w:rsidP="00F52BE8">
      <w:pPr>
        <w:pStyle w:val="ListNumber"/>
        <w:numPr>
          <w:ilvl w:val="0"/>
          <w:numId w:val="3"/>
        </w:numPr>
        <w:rPr>
          <w:rFonts w:cs="Arial"/>
          <w:sz w:val="22"/>
          <w:szCs w:val="22"/>
          <w:lang w:val="en" w:eastAsia="en-GB"/>
        </w:rPr>
      </w:pPr>
      <w:proofErr w:type="gramStart"/>
      <w:r w:rsidRPr="00A60AB0">
        <w:rPr>
          <w:rFonts w:cs="Arial"/>
          <w:sz w:val="22"/>
          <w:szCs w:val="22"/>
          <w:lang w:val="en" w:eastAsia="en-GB"/>
        </w:rPr>
        <w:t>to</w:t>
      </w:r>
      <w:proofErr w:type="gramEnd"/>
      <w:r w:rsidRPr="00A60AB0">
        <w:rPr>
          <w:rFonts w:cs="Arial"/>
          <w:sz w:val="22"/>
          <w:szCs w:val="22"/>
          <w:lang w:val="en" w:eastAsia="en-GB"/>
        </w:rPr>
        <w:t xml:space="preserve"> ensure that procurement is undertaken with regard to Law and best practice.</w:t>
      </w:r>
    </w:p>
    <w:p w:rsidR="00F52BE8" w:rsidRPr="00A60AB0" w:rsidRDefault="00F52BE8" w:rsidP="00F52BE8">
      <w:pPr>
        <w:pStyle w:val="ListNumber"/>
        <w:numPr>
          <w:ilvl w:val="0"/>
          <w:numId w:val="0"/>
        </w:numPr>
        <w:spacing w:before="0" w:after="0"/>
        <w:rPr>
          <w:rFonts w:cs="Arial"/>
          <w:color w:val="0000FF"/>
          <w:sz w:val="22"/>
          <w:szCs w:val="22"/>
          <w:u w:val="single"/>
        </w:rPr>
      </w:pPr>
      <w:r w:rsidRPr="00A60AB0">
        <w:rPr>
          <w:rFonts w:cs="Arial"/>
          <w:sz w:val="22"/>
          <w:szCs w:val="22"/>
        </w:rPr>
        <w:t xml:space="preserve">For further information on ORR please visit our website: </w:t>
      </w:r>
      <w:hyperlink r:id="rId8" w:history="1">
        <w:r w:rsidRPr="00A60AB0">
          <w:rPr>
            <w:rStyle w:val="Hyperlink"/>
            <w:rFonts w:cs="Arial"/>
            <w:sz w:val="22"/>
            <w:szCs w:val="22"/>
          </w:rPr>
          <w:t>www.orr.gov.uk</w:t>
        </w:r>
      </w:hyperlink>
    </w:p>
    <w:p w:rsidR="00F52BE8" w:rsidRPr="00A60AB0" w:rsidRDefault="00F52BE8" w:rsidP="00F52BE8">
      <w:pPr>
        <w:pStyle w:val="ListNumber"/>
        <w:numPr>
          <w:ilvl w:val="0"/>
          <w:numId w:val="0"/>
        </w:numPr>
        <w:spacing w:before="0" w:after="0"/>
        <w:rPr>
          <w:rFonts w:cs="Arial"/>
          <w:sz w:val="22"/>
          <w:szCs w:val="22"/>
          <w:u w:val="single"/>
        </w:rPr>
      </w:pPr>
      <w:r w:rsidRPr="00A60AB0">
        <w:rPr>
          <w:rFonts w:cs="Arial"/>
          <w:sz w:val="22"/>
          <w:szCs w:val="22"/>
          <w:u w:val="single"/>
        </w:rPr>
        <w:br w:type="page"/>
      </w:r>
      <w:r w:rsidRPr="00A60AB0">
        <w:rPr>
          <w:rFonts w:cs="Arial"/>
          <w:sz w:val="22"/>
          <w:szCs w:val="22"/>
          <w:u w:val="single"/>
        </w:rPr>
        <w:lastRenderedPageBreak/>
        <w:t xml:space="preserve">Small and Medium Enterprises </w:t>
      </w:r>
    </w:p>
    <w:p w:rsidR="00F52BE8" w:rsidRPr="00A60AB0" w:rsidRDefault="00F52BE8" w:rsidP="00F52BE8">
      <w:pPr>
        <w:pStyle w:val="ListNumber"/>
        <w:numPr>
          <w:ilvl w:val="0"/>
          <w:numId w:val="0"/>
        </w:numPr>
        <w:spacing w:before="0" w:after="0"/>
        <w:rPr>
          <w:rFonts w:cs="Arial"/>
          <w:sz w:val="22"/>
          <w:szCs w:val="22"/>
        </w:rPr>
      </w:pPr>
    </w:p>
    <w:p w:rsidR="00F52BE8" w:rsidRPr="00A60AB0" w:rsidRDefault="00F52BE8" w:rsidP="00F52BE8">
      <w:pPr>
        <w:rPr>
          <w:rFonts w:cs="Arial"/>
          <w:sz w:val="22"/>
          <w:szCs w:val="22"/>
        </w:rPr>
      </w:pPr>
      <w:r w:rsidRPr="00A60AB0">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rsidR="00F52BE8" w:rsidRPr="00A60AB0" w:rsidRDefault="00F52BE8" w:rsidP="00F52BE8">
      <w:pPr>
        <w:rPr>
          <w:rFonts w:cs="Arial"/>
          <w:sz w:val="22"/>
          <w:szCs w:val="22"/>
        </w:rPr>
      </w:pPr>
      <w:r w:rsidRPr="00A60AB0">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A60AB0"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52BE8" w:rsidRPr="00A60AB0" w:rsidRDefault="00F52BE8" w:rsidP="00335497">
            <w:pPr>
              <w:jc w:val="center"/>
              <w:rPr>
                <w:rFonts w:cs="Arial"/>
                <w:b/>
                <w:bCs/>
                <w:sz w:val="22"/>
                <w:szCs w:val="22"/>
              </w:rPr>
            </w:pPr>
            <w:r w:rsidRPr="00A60AB0">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F52BE8" w:rsidRPr="00A60AB0" w:rsidRDefault="00F52BE8" w:rsidP="00335497">
            <w:pPr>
              <w:jc w:val="center"/>
              <w:rPr>
                <w:rFonts w:cs="Arial"/>
                <w:b/>
                <w:bCs/>
                <w:sz w:val="22"/>
                <w:szCs w:val="22"/>
              </w:rPr>
            </w:pPr>
            <w:r w:rsidRPr="00A60AB0">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rsidR="00F52BE8" w:rsidRPr="00A60AB0" w:rsidRDefault="00F52BE8" w:rsidP="00335497">
            <w:pPr>
              <w:jc w:val="center"/>
              <w:rPr>
                <w:rFonts w:cs="Arial"/>
                <w:b/>
                <w:bCs/>
                <w:sz w:val="22"/>
                <w:szCs w:val="22"/>
              </w:rPr>
            </w:pPr>
            <w:r w:rsidRPr="00A60AB0">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F52BE8" w:rsidRPr="00A60AB0" w:rsidRDefault="00F52BE8" w:rsidP="00335497">
            <w:pPr>
              <w:jc w:val="center"/>
              <w:rPr>
                <w:rFonts w:cs="Arial"/>
                <w:b/>
                <w:bCs/>
                <w:sz w:val="22"/>
                <w:szCs w:val="22"/>
              </w:rPr>
            </w:pPr>
            <w:r w:rsidRPr="00A60AB0">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F52BE8" w:rsidRPr="00A60AB0" w:rsidRDefault="00F52BE8" w:rsidP="00335497">
            <w:pPr>
              <w:jc w:val="center"/>
              <w:rPr>
                <w:rFonts w:cs="Arial"/>
                <w:b/>
                <w:bCs/>
                <w:sz w:val="22"/>
                <w:szCs w:val="22"/>
              </w:rPr>
            </w:pPr>
            <w:r w:rsidRPr="00A60AB0">
              <w:rPr>
                <w:rFonts w:cs="Arial"/>
                <w:b/>
                <w:bCs/>
                <w:sz w:val="22"/>
                <w:szCs w:val="22"/>
              </w:rPr>
              <w:t>Balance Sheet Total</w:t>
            </w:r>
          </w:p>
        </w:tc>
      </w:tr>
      <w:tr w:rsidR="00F52BE8" w:rsidRPr="00A60AB0"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€ 2 million</w:t>
            </w:r>
          </w:p>
        </w:tc>
      </w:tr>
      <w:tr w:rsidR="00F52BE8" w:rsidRPr="00A60AB0"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r>
      <w:tr w:rsidR="00F52BE8" w:rsidRPr="00A60AB0"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€ 10 million</w:t>
            </w:r>
          </w:p>
        </w:tc>
      </w:tr>
      <w:tr w:rsidR="00F52BE8" w:rsidRPr="00A60AB0"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r>
      <w:tr w:rsidR="00F52BE8" w:rsidRPr="00A60AB0"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 € 43 million</w:t>
            </w:r>
          </w:p>
        </w:tc>
      </w:tr>
      <w:tr w:rsidR="00F52BE8" w:rsidRPr="00A60AB0" w:rsidTr="00335497">
        <w:trPr>
          <w:trHeight w:val="516"/>
        </w:trPr>
        <w:tc>
          <w:tcPr>
            <w:tcW w:w="1730"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rsidR="00F52BE8" w:rsidRPr="00A60AB0"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F52BE8" w:rsidRPr="00A60AB0" w:rsidRDefault="00F52BE8" w:rsidP="00335497">
            <w:pPr>
              <w:rPr>
                <w:rFonts w:cs="Arial"/>
                <w:b/>
                <w:bCs/>
                <w:sz w:val="22"/>
                <w:szCs w:val="22"/>
              </w:rPr>
            </w:pPr>
          </w:p>
        </w:tc>
      </w:tr>
      <w:tr w:rsidR="00F52BE8" w:rsidRPr="00A60AB0"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F52BE8" w:rsidRPr="00A60AB0" w:rsidRDefault="00F52BE8" w:rsidP="00335497">
            <w:pPr>
              <w:jc w:val="center"/>
              <w:rPr>
                <w:rFonts w:cs="Arial"/>
                <w:b/>
                <w:bCs/>
                <w:sz w:val="22"/>
                <w:szCs w:val="22"/>
              </w:rPr>
            </w:pPr>
            <w:r w:rsidRPr="00A60AB0">
              <w:rPr>
                <w:rFonts w:cs="Arial"/>
                <w:b/>
                <w:bCs/>
                <w:sz w:val="22"/>
                <w:szCs w:val="22"/>
              </w:rPr>
              <w:t>&gt; € 43 million</w:t>
            </w:r>
          </w:p>
        </w:tc>
      </w:tr>
    </w:tbl>
    <w:p w:rsidR="00F52BE8" w:rsidRPr="00A60AB0" w:rsidRDefault="00F52BE8" w:rsidP="00F52BE8">
      <w:pPr>
        <w:rPr>
          <w:rFonts w:cs="Arial"/>
          <w:sz w:val="22"/>
          <w:szCs w:val="22"/>
        </w:rPr>
      </w:pPr>
    </w:p>
    <w:p w:rsidR="00F52BE8" w:rsidRPr="00A60AB0" w:rsidRDefault="00F52BE8" w:rsidP="00F52BE8">
      <w:pPr>
        <w:rPr>
          <w:rFonts w:cs="Arial"/>
          <w:b/>
          <w:sz w:val="22"/>
          <w:szCs w:val="22"/>
        </w:rPr>
      </w:pPr>
      <w:r w:rsidRPr="00A60AB0">
        <w:rPr>
          <w:rFonts w:cs="Arial"/>
          <w:sz w:val="22"/>
          <w:szCs w:val="22"/>
        </w:rPr>
        <w:t>Please ensure that you indicate how your organisation is categorised on the Form of Tender document which should be submitted along with your proposal.</w:t>
      </w:r>
      <w:r w:rsidRPr="00A60AB0">
        <w:rPr>
          <w:rFonts w:cs="Arial"/>
          <w:b/>
          <w:sz w:val="22"/>
          <w:szCs w:val="22"/>
          <w:u w:val="single"/>
        </w:rPr>
        <w:br w:type="page"/>
      </w:r>
      <w:r w:rsidRPr="00A60AB0">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A60AB0" w:rsidTr="00532FB9">
        <w:trPr>
          <w:trHeight w:val="454"/>
        </w:trPr>
        <w:tc>
          <w:tcPr>
            <w:tcW w:w="8302" w:type="dxa"/>
            <w:shd w:val="clear" w:color="auto" w:fill="99CCFF"/>
          </w:tcPr>
          <w:p w:rsidR="00F52BE8" w:rsidRPr="00A60AB0" w:rsidRDefault="00F52BE8" w:rsidP="00335497">
            <w:pPr>
              <w:rPr>
                <w:rFonts w:cs="Arial"/>
                <w:b/>
                <w:sz w:val="22"/>
                <w:szCs w:val="22"/>
              </w:rPr>
            </w:pPr>
            <w:r w:rsidRPr="00A60AB0">
              <w:rPr>
                <w:rFonts w:cs="Arial"/>
                <w:b/>
                <w:sz w:val="22"/>
                <w:szCs w:val="22"/>
              </w:rPr>
              <w:t>2.1 Background to the project</w:t>
            </w:r>
          </w:p>
        </w:tc>
      </w:tr>
      <w:tr w:rsidR="00F52BE8" w:rsidRPr="00A60AB0" w:rsidTr="00532FB9">
        <w:trPr>
          <w:trHeight w:val="760"/>
        </w:trPr>
        <w:tc>
          <w:tcPr>
            <w:tcW w:w="8302" w:type="dxa"/>
            <w:tcBorders>
              <w:bottom w:val="single" w:sz="4" w:space="0" w:color="auto"/>
            </w:tcBorders>
            <w:shd w:val="clear" w:color="auto" w:fill="auto"/>
          </w:tcPr>
          <w:p w:rsidR="00B9092E" w:rsidRPr="00A60AB0" w:rsidRDefault="00B9092E" w:rsidP="00B9092E">
            <w:pPr>
              <w:rPr>
                <w:rFonts w:cs="Arial"/>
                <w:sz w:val="22"/>
                <w:szCs w:val="22"/>
              </w:rPr>
            </w:pPr>
            <w:r w:rsidRPr="00A60AB0">
              <w:rPr>
                <w:rFonts w:cs="Arial"/>
                <w:sz w:val="22"/>
                <w:szCs w:val="22"/>
              </w:rPr>
              <w:t>The Office of Rail and Road (ORR) independently monitors Highways England’s management of the motorways and main A roads in England. We monitor how Highways England delivers performance, including efficiency, safety and sustainability, for the benefit of road users and the public. This includes investigating, publishing reports and giving advice to the Secretary of State (</w:t>
            </w:r>
            <w:proofErr w:type="spellStart"/>
            <w:r w:rsidRPr="00A60AB0">
              <w:rPr>
                <w:rFonts w:cs="Arial"/>
                <w:sz w:val="22"/>
                <w:szCs w:val="22"/>
              </w:rPr>
              <w:t>SoS</w:t>
            </w:r>
            <w:proofErr w:type="spellEnd"/>
            <w:r w:rsidRPr="00A60AB0">
              <w:rPr>
                <w:rFonts w:cs="Arial"/>
                <w:sz w:val="22"/>
                <w:szCs w:val="22"/>
              </w:rPr>
              <w:t xml:space="preserve">) on whether and at what cost it is meeting the objectives of the Road Investment Strategy (RIS) and providing advice to the </w:t>
            </w:r>
            <w:proofErr w:type="spellStart"/>
            <w:r w:rsidRPr="00A60AB0">
              <w:rPr>
                <w:rFonts w:cs="Arial"/>
                <w:sz w:val="22"/>
                <w:szCs w:val="22"/>
              </w:rPr>
              <w:t>SoS</w:t>
            </w:r>
            <w:proofErr w:type="spellEnd"/>
            <w:r w:rsidRPr="00A60AB0">
              <w:rPr>
                <w:rFonts w:cs="Arial"/>
                <w:sz w:val="22"/>
                <w:szCs w:val="22"/>
              </w:rPr>
              <w:t xml:space="preserve"> on the development of RIS2.</w:t>
            </w:r>
          </w:p>
          <w:p w:rsidR="00B9092E" w:rsidRPr="00A60AB0" w:rsidRDefault="00B9092E" w:rsidP="00B9092E">
            <w:pPr>
              <w:rPr>
                <w:rFonts w:cs="Arial"/>
                <w:sz w:val="22"/>
                <w:szCs w:val="22"/>
              </w:rPr>
            </w:pPr>
            <w:r w:rsidRPr="00A60AB0">
              <w:rPr>
                <w:rFonts w:cs="Arial"/>
                <w:sz w:val="22"/>
                <w:szCs w:val="22"/>
              </w:rPr>
              <w:t>As part of the ‘Achieving real efficiency’ outcome area within the RIS, Highways England has a KPI to deliver capital savings of at least £1.212bn. In 2015, Highways England set out how it would gather and report evidence of performance against the KPI in its Efficiency and Inflation Monitoring Manual (EIMM). This required the company to present bottom-up evidence by describing the activities it has completed to deliver efficiency, and top-down evidence in the form of change in unit costs and delivering the RIS outcomes for the (post-efficient) funding provided.</w:t>
            </w:r>
          </w:p>
          <w:p w:rsidR="00F52BE8" w:rsidRPr="00A60AB0" w:rsidRDefault="00B9092E" w:rsidP="00B9092E">
            <w:pPr>
              <w:rPr>
                <w:rFonts w:cs="Arial"/>
                <w:sz w:val="22"/>
                <w:szCs w:val="22"/>
              </w:rPr>
            </w:pPr>
            <w:r w:rsidRPr="00A60AB0">
              <w:rPr>
                <w:rFonts w:cs="Arial"/>
                <w:sz w:val="22"/>
                <w:szCs w:val="22"/>
              </w:rPr>
              <w:t xml:space="preserve">Work is underway to develop the Road Investment Strategy for England’s motorways and major ‘A’ roads for 2020-2025 (RIS2). ORR has an important role in advising on RIS2, including advising on the deliverability and affordability of the Draft RIS and Highways England’s response to it, the Draft Strategic Business Plan (Draft SBP). A KPI for efficiency is likely to form part of the performance specification in RIS2 requiring a framework for monitoring and reporting of efficiency in the second road period.  </w:t>
            </w:r>
          </w:p>
        </w:tc>
      </w:tr>
      <w:tr w:rsidR="00F52BE8" w:rsidRPr="00A60AB0" w:rsidTr="00532FB9">
        <w:trPr>
          <w:trHeight w:val="371"/>
        </w:trPr>
        <w:tc>
          <w:tcPr>
            <w:tcW w:w="8302" w:type="dxa"/>
            <w:shd w:val="clear" w:color="auto" w:fill="99CCFF"/>
          </w:tcPr>
          <w:p w:rsidR="00F52BE8" w:rsidRPr="00A60AB0" w:rsidRDefault="00F52BE8" w:rsidP="00335497">
            <w:pPr>
              <w:rPr>
                <w:rFonts w:cs="Arial"/>
                <w:b/>
                <w:sz w:val="22"/>
                <w:szCs w:val="22"/>
              </w:rPr>
            </w:pPr>
            <w:r w:rsidRPr="00A60AB0">
              <w:rPr>
                <w:rFonts w:cs="Arial"/>
                <w:b/>
                <w:sz w:val="22"/>
                <w:szCs w:val="22"/>
              </w:rPr>
              <w:t>2.2 Project Objectives &amp; Scope</w:t>
            </w:r>
          </w:p>
        </w:tc>
      </w:tr>
      <w:tr w:rsidR="00B9092E" w:rsidRPr="00A60AB0" w:rsidTr="00161435">
        <w:trPr>
          <w:trHeight w:val="757"/>
        </w:trPr>
        <w:tc>
          <w:tcPr>
            <w:tcW w:w="8302" w:type="dxa"/>
            <w:tcBorders>
              <w:top w:val="single" w:sz="4" w:space="0" w:color="auto"/>
              <w:left w:val="single" w:sz="4" w:space="0" w:color="auto"/>
              <w:bottom w:val="single" w:sz="4" w:space="0" w:color="auto"/>
              <w:right w:val="single" w:sz="4" w:space="0" w:color="auto"/>
            </w:tcBorders>
          </w:tcPr>
          <w:p w:rsidR="00B9092E" w:rsidRPr="00A60AB0" w:rsidRDefault="00B9092E" w:rsidP="00B9092E">
            <w:pPr>
              <w:spacing w:after="0" w:line="256" w:lineRule="auto"/>
              <w:rPr>
                <w:rFonts w:eastAsia="Calibri" w:cs="Arial"/>
                <w:b/>
                <w:sz w:val="22"/>
                <w:szCs w:val="22"/>
                <w:lang w:eastAsia="en-GB"/>
              </w:rPr>
            </w:pPr>
            <w:r w:rsidRPr="00A60AB0">
              <w:rPr>
                <w:rFonts w:eastAsia="Calibri" w:cs="Arial"/>
                <w:b/>
                <w:sz w:val="22"/>
                <w:szCs w:val="22"/>
                <w:lang w:eastAsia="en-GB"/>
              </w:rPr>
              <w:t>Objectives</w:t>
            </w:r>
          </w:p>
          <w:p w:rsidR="00B9092E" w:rsidRPr="00A60AB0" w:rsidRDefault="00B9092E" w:rsidP="00B9092E">
            <w:pPr>
              <w:spacing w:after="0" w:line="256" w:lineRule="auto"/>
              <w:rPr>
                <w:rFonts w:eastAsia="Calibri" w:cs="Arial"/>
                <w:sz w:val="22"/>
                <w:szCs w:val="22"/>
                <w:lang w:eastAsia="en-GB"/>
              </w:rPr>
            </w:pPr>
            <w:r w:rsidRPr="00A60AB0">
              <w:rPr>
                <w:rFonts w:cs="Arial"/>
                <w:color w:val="000000"/>
                <w:sz w:val="22"/>
                <w:szCs w:val="22"/>
                <w:lang w:eastAsia="en-GB"/>
              </w:rPr>
              <w:t>We are seeking consultancy support to review the effectiveness of the efficiency reporting and monitoring regime in RP1, what lessons could be learnt from other sectors, and consequently what approach would be appropriate for RP2</w:t>
            </w:r>
            <w:r w:rsidRPr="00A60AB0">
              <w:rPr>
                <w:rFonts w:eastAsia="Calibri" w:cs="Arial"/>
                <w:sz w:val="22"/>
                <w:szCs w:val="22"/>
                <w:lang w:eastAsia="en-GB"/>
              </w:rPr>
              <w:t>.</w:t>
            </w:r>
          </w:p>
          <w:p w:rsidR="00B9092E" w:rsidRPr="00A60AB0" w:rsidRDefault="00B9092E" w:rsidP="00B9092E">
            <w:pPr>
              <w:spacing w:after="0" w:line="256" w:lineRule="auto"/>
              <w:rPr>
                <w:rFonts w:eastAsia="Calibri" w:cs="Arial"/>
                <w:b/>
                <w:sz w:val="22"/>
                <w:szCs w:val="22"/>
                <w:lang w:eastAsia="en-GB"/>
              </w:rPr>
            </w:pPr>
          </w:p>
          <w:p w:rsidR="00B9092E" w:rsidRPr="00A60AB0" w:rsidRDefault="00B9092E" w:rsidP="00B9092E">
            <w:pPr>
              <w:spacing w:after="0" w:line="256" w:lineRule="auto"/>
              <w:rPr>
                <w:rFonts w:eastAsia="Calibri" w:cs="Arial"/>
                <w:b/>
                <w:sz w:val="22"/>
                <w:szCs w:val="22"/>
                <w:lang w:eastAsia="en-GB"/>
              </w:rPr>
            </w:pPr>
            <w:r w:rsidRPr="00A60AB0">
              <w:rPr>
                <w:rFonts w:eastAsia="Calibri" w:cs="Arial"/>
                <w:b/>
                <w:sz w:val="22"/>
                <w:szCs w:val="22"/>
                <w:lang w:eastAsia="en-GB"/>
              </w:rPr>
              <w:t>Scope</w:t>
            </w:r>
          </w:p>
          <w:p w:rsidR="00B9092E" w:rsidRPr="00A60AB0" w:rsidRDefault="00B9092E" w:rsidP="00B9092E">
            <w:pPr>
              <w:spacing w:after="0" w:line="256" w:lineRule="auto"/>
              <w:rPr>
                <w:rFonts w:eastAsia="Calibri" w:cs="Arial"/>
                <w:b/>
                <w:sz w:val="22"/>
                <w:szCs w:val="22"/>
                <w:lang w:eastAsia="en-GB"/>
              </w:rPr>
            </w:pPr>
          </w:p>
          <w:p w:rsidR="00B9092E" w:rsidRPr="00A60AB0" w:rsidRDefault="00B9092E" w:rsidP="00B9092E">
            <w:pPr>
              <w:spacing w:after="0"/>
              <w:rPr>
                <w:rFonts w:eastAsia="Calibri" w:cs="Arial"/>
                <w:sz w:val="22"/>
                <w:szCs w:val="22"/>
                <w:lang w:eastAsia="en-GB"/>
              </w:rPr>
            </w:pPr>
            <w:r w:rsidRPr="00A60AB0">
              <w:rPr>
                <w:rFonts w:eastAsia="Calibri" w:cs="Arial"/>
                <w:sz w:val="22"/>
                <w:szCs w:val="22"/>
                <w:lang w:eastAsia="en-GB"/>
              </w:rPr>
              <w:t>The key activities are as follows:</w:t>
            </w:r>
          </w:p>
          <w:p w:rsidR="00B9092E" w:rsidRPr="00A60AB0" w:rsidRDefault="00B9092E" w:rsidP="00B9092E">
            <w:pPr>
              <w:pStyle w:val="ListParagraph"/>
              <w:numPr>
                <w:ilvl w:val="0"/>
                <w:numId w:val="22"/>
              </w:numPr>
              <w:spacing w:after="0"/>
              <w:contextualSpacing/>
              <w:rPr>
                <w:rFonts w:eastAsia="Calibri" w:cs="Arial"/>
                <w:sz w:val="22"/>
                <w:szCs w:val="22"/>
                <w:lang w:eastAsia="en-GB"/>
              </w:rPr>
            </w:pPr>
            <w:r w:rsidRPr="00A60AB0">
              <w:rPr>
                <w:rFonts w:eastAsia="Calibri" w:cs="Arial"/>
                <w:sz w:val="22"/>
                <w:szCs w:val="22"/>
                <w:lang w:eastAsia="en-GB"/>
              </w:rPr>
              <w:t>Reviewing the RIS1 efficiency reporting and monitoring approach and the appropriateness of the current (and planned) unit cost information being reported. This will include looking at how Highways England’s current (renewals and smart motorway) and proposed (RIP and CIP) efficiency models take unit cost information and produce efficiency quanta</w:t>
            </w:r>
          </w:p>
          <w:p w:rsidR="00B9092E" w:rsidRPr="00A60AB0" w:rsidRDefault="00B9092E" w:rsidP="00B9092E">
            <w:pPr>
              <w:pStyle w:val="ListParagraph"/>
              <w:numPr>
                <w:ilvl w:val="0"/>
                <w:numId w:val="22"/>
              </w:numPr>
              <w:spacing w:after="0"/>
              <w:contextualSpacing/>
              <w:rPr>
                <w:rFonts w:eastAsia="Calibri" w:cs="Arial"/>
                <w:sz w:val="22"/>
                <w:szCs w:val="22"/>
                <w:lang w:eastAsia="en-GB"/>
              </w:rPr>
            </w:pPr>
            <w:r w:rsidRPr="00A60AB0">
              <w:rPr>
                <w:rFonts w:eastAsia="Calibri" w:cs="Arial"/>
                <w:sz w:val="22"/>
                <w:szCs w:val="22"/>
                <w:lang w:eastAsia="en-GB"/>
              </w:rPr>
              <w:t>Reviewing the emerging RIS2 efficiency proposals in the context of RIS1 and advising on:</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Whether the reporting model in RIS1 is appropriate for RIS2 and how could it be developed and expanded to provide greater information on efficiency trends in Highways England’s core activities</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Whether information is of sufficient quality to explain the impact of inflation on efficiency performance</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Any further proposals from Highways England on developing its efficiency reporting</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lastRenderedPageBreak/>
              <w:t>Whether other approaches may be more appropriate</w:t>
            </w:r>
          </w:p>
          <w:p w:rsidR="00B9092E" w:rsidRPr="00A60AB0" w:rsidRDefault="00B9092E" w:rsidP="00B9092E">
            <w:pPr>
              <w:pStyle w:val="ListParagraph"/>
              <w:numPr>
                <w:ilvl w:val="0"/>
                <w:numId w:val="22"/>
              </w:numPr>
              <w:spacing w:after="0"/>
              <w:contextualSpacing/>
              <w:rPr>
                <w:rFonts w:eastAsia="Calibri" w:cs="Arial"/>
                <w:sz w:val="22"/>
                <w:szCs w:val="22"/>
                <w:lang w:eastAsia="en-GB"/>
              </w:rPr>
            </w:pPr>
            <w:r w:rsidRPr="00A60AB0">
              <w:rPr>
                <w:rFonts w:eastAsia="Calibri" w:cs="Arial"/>
                <w:sz w:val="22"/>
                <w:szCs w:val="22"/>
                <w:lang w:eastAsia="en-GB"/>
              </w:rPr>
              <w:t>Reviewing and assessing the efficiency monitoring and reporting approaches used by other regulators in the UK and internationally across transport and other mature sectors to inform the approach for RIS2, including:</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Advising on how efficiency reporting has evolved in other sectors and what role it plays in the assessment of efficiency of these regulated companies</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How efficiency performance is reported to the regulator and to the public. Particular attention should be given to the applicability of approaches to Highways England given the company’s characteristics</w:t>
            </w:r>
          </w:p>
          <w:p w:rsidR="00B9092E" w:rsidRPr="00A60AB0" w:rsidRDefault="00B9092E" w:rsidP="00B9092E">
            <w:pPr>
              <w:pStyle w:val="ListParagraph"/>
              <w:numPr>
                <w:ilvl w:val="2"/>
                <w:numId w:val="22"/>
              </w:numPr>
              <w:spacing w:after="0"/>
              <w:contextualSpacing/>
              <w:rPr>
                <w:rFonts w:eastAsia="Calibri" w:cs="Arial"/>
                <w:sz w:val="22"/>
                <w:szCs w:val="22"/>
                <w:lang w:eastAsia="en-GB"/>
              </w:rPr>
            </w:pPr>
            <w:r w:rsidRPr="00A60AB0">
              <w:rPr>
                <w:rFonts w:eastAsia="Calibri" w:cs="Arial"/>
                <w:sz w:val="22"/>
                <w:szCs w:val="22"/>
                <w:lang w:eastAsia="en-GB"/>
              </w:rPr>
              <w:t>As part of this, the contractor should advise on whether efficiency reporting is integrated with other aspects of reporting such as inflation and risk</w:t>
            </w:r>
          </w:p>
          <w:p w:rsidR="00B9092E" w:rsidRPr="00A60AB0" w:rsidRDefault="00B9092E" w:rsidP="00B9092E">
            <w:pPr>
              <w:pStyle w:val="ListParagraph"/>
              <w:numPr>
                <w:ilvl w:val="0"/>
                <w:numId w:val="22"/>
              </w:numPr>
              <w:spacing w:after="0"/>
              <w:contextualSpacing/>
              <w:rPr>
                <w:rFonts w:eastAsia="Calibri" w:cs="Arial"/>
                <w:sz w:val="22"/>
                <w:szCs w:val="22"/>
                <w:lang w:eastAsia="en-GB"/>
              </w:rPr>
            </w:pPr>
            <w:r w:rsidRPr="00A60AB0">
              <w:rPr>
                <w:rFonts w:eastAsia="Calibri" w:cs="Arial"/>
                <w:sz w:val="22"/>
                <w:szCs w:val="22"/>
                <w:lang w:eastAsia="en-GB"/>
              </w:rPr>
              <w:t>Making recommendations for how the RIS2 efficiency monitoring and reporting framework could develop, and facilitating conversations between Highways England and ORR on how they could be delivered. As part of this work advice should also be provided on:</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How to integrate top-down and bottom-up information</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What the rules could be on what counts as efficiency</w:t>
            </w:r>
          </w:p>
          <w:p w:rsidR="00B9092E" w:rsidRPr="00A60AB0" w:rsidRDefault="00B9092E" w:rsidP="00B9092E">
            <w:pPr>
              <w:pStyle w:val="ListParagraph"/>
              <w:numPr>
                <w:ilvl w:val="1"/>
                <w:numId w:val="22"/>
              </w:numPr>
              <w:spacing w:after="0"/>
              <w:contextualSpacing/>
              <w:rPr>
                <w:rFonts w:eastAsia="Calibri" w:cs="Arial"/>
                <w:sz w:val="22"/>
                <w:szCs w:val="22"/>
                <w:lang w:eastAsia="en-GB"/>
              </w:rPr>
            </w:pPr>
            <w:r w:rsidRPr="00A60AB0">
              <w:rPr>
                <w:rFonts w:eastAsia="Calibri" w:cs="Arial"/>
                <w:sz w:val="22"/>
                <w:szCs w:val="22"/>
                <w:lang w:eastAsia="en-GB"/>
              </w:rPr>
              <w:t>Whether and how to integrate efficiency reporting with inflation and risk reporting</w:t>
            </w:r>
          </w:p>
          <w:p w:rsidR="00B9092E" w:rsidRPr="00A60AB0" w:rsidRDefault="00B9092E" w:rsidP="00B9092E">
            <w:pPr>
              <w:spacing w:after="0"/>
              <w:rPr>
                <w:rFonts w:eastAsia="Calibri" w:cs="Arial"/>
                <w:sz w:val="22"/>
                <w:szCs w:val="22"/>
                <w:lang w:eastAsia="en-GB"/>
              </w:rPr>
            </w:pPr>
          </w:p>
          <w:p w:rsidR="00B9092E" w:rsidRPr="00A60AB0" w:rsidRDefault="00B9092E" w:rsidP="00B9092E">
            <w:pPr>
              <w:spacing w:after="0"/>
              <w:rPr>
                <w:rFonts w:eastAsia="Calibri" w:cs="Arial"/>
                <w:sz w:val="22"/>
                <w:szCs w:val="22"/>
                <w:lang w:eastAsia="en-GB"/>
              </w:rPr>
            </w:pPr>
            <w:r w:rsidRPr="00A60AB0">
              <w:rPr>
                <w:rFonts w:eastAsia="Calibri" w:cs="Arial"/>
                <w:sz w:val="22"/>
                <w:szCs w:val="22"/>
                <w:lang w:eastAsia="en-GB"/>
              </w:rPr>
              <w:t>The contractor will be expected to facilitate discussion and consensus-building between Highways England and ORR to support its recommendations for efficiency monitoring and reporting for RIS2.</w:t>
            </w:r>
          </w:p>
          <w:p w:rsidR="00B9092E" w:rsidRPr="00A60AB0" w:rsidRDefault="00B9092E" w:rsidP="00B9092E">
            <w:pPr>
              <w:spacing w:after="0"/>
              <w:rPr>
                <w:rFonts w:eastAsia="Calibri" w:cs="Arial"/>
                <w:sz w:val="22"/>
                <w:szCs w:val="22"/>
                <w:lang w:eastAsia="en-GB"/>
              </w:rPr>
            </w:pPr>
          </w:p>
          <w:p w:rsidR="00B9092E" w:rsidRPr="00A60AB0" w:rsidRDefault="00B9092E" w:rsidP="00B9092E">
            <w:pPr>
              <w:spacing w:after="0"/>
              <w:rPr>
                <w:rFonts w:cs="Arial"/>
                <w:b/>
                <w:sz w:val="22"/>
                <w:szCs w:val="22"/>
                <w:lang w:eastAsia="en-GB"/>
              </w:rPr>
            </w:pPr>
            <w:r w:rsidRPr="00A60AB0">
              <w:rPr>
                <w:rFonts w:cs="Arial"/>
                <w:b/>
                <w:sz w:val="22"/>
                <w:szCs w:val="22"/>
                <w:lang w:eastAsia="en-GB"/>
              </w:rPr>
              <w:t xml:space="preserve">Methodology </w:t>
            </w: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 xml:space="preserve">The contractor should set out its proposed methodology to deliver the objectives and scope of work defined above. The methodology should include as a minimum: </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A proposal for the study to address the scope outlined above.</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 xml:space="preserve">A proposal for engaging Highways England, as relevant, to inform the review. </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A proposal for engaging the ORR team.</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A comprehensive project plan.</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Outline plan for presenting the outputs and deliverables.</w:t>
            </w:r>
          </w:p>
          <w:p w:rsidR="00B9092E" w:rsidRPr="00A60AB0" w:rsidRDefault="00B9092E" w:rsidP="00B9092E">
            <w:pPr>
              <w:spacing w:after="0" w:line="256" w:lineRule="auto"/>
              <w:ind w:left="720"/>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The contractor should work with ORR and Highways England to ensure that findings and recommendations are understood and agreed as appropriate. Any conclusions drawn should be backed up by material and balanced evidence.</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The contractor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 xml:space="preserve">Both ORR and Highways England expect that contractor to be competent, experienced and knowledgeable in economic assessment, efficiency analysis and assessment, regulatory precedent and broader advice in regulatory reviews.  </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lastRenderedPageBreak/>
              <w:t>We note that there are potentially suitable contractors for this work who may already be working for Highways England. This piece of work has Highways England’s support and as such we would welcome tenders from appropriately qualified contractors. Any potential conflict of interest should be declared as part of your response and we would expect assurances around how they would be mitigated.</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The contractor should note that confidentiality clauses will be required. The use/reference to this activity outside of the provision of the outputs will require approval in writing from Highways England, including any marketing material or references to approach.</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rPr>
                <w:rFonts w:eastAsia="Calibri" w:cs="Arial"/>
                <w:sz w:val="22"/>
                <w:szCs w:val="22"/>
                <w:lang w:eastAsia="en-GB"/>
              </w:rPr>
            </w:pPr>
            <w:r w:rsidRPr="00A60AB0">
              <w:rPr>
                <w:rFonts w:eastAsia="Calibri" w:cs="Arial"/>
                <w:sz w:val="22"/>
                <w:szCs w:val="22"/>
                <w:lang w:eastAsia="en-GB"/>
              </w:rPr>
              <w:t>Highways England will be involved in the evaluation of proposals against the stated criteria except for the proposed cost of the work, which will remain confidential and be evaluated solely by ORR. Highways England is also expected to attend interviews of potential contractors.</w:t>
            </w:r>
          </w:p>
          <w:p w:rsidR="00B9092E" w:rsidRPr="00A60AB0" w:rsidRDefault="00B9092E" w:rsidP="00B9092E">
            <w:pPr>
              <w:spacing w:after="0"/>
              <w:rPr>
                <w:rFonts w:cs="Arial"/>
                <w:sz w:val="22"/>
                <w:szCs w:val="22"/>
                <w:lang w:eastAsia="en-GB"/>
              </w:rPr>
            </w:pPr>
          </w:p>
          <w:p w:rsidR="00B9092E" w:rsidRPr="00A60AB0" w:rsidRDefault="00B9092E" w:rsidP="00B9092E">
            <w:pPr>
              <w:spacing w:after="0"/>
              <w:rPr>
                <w:rFonts w:cs="Arial"/>
                <w:b/>
                <w:sz w:val="22"/>
                <w:szCs w:val="22"/>
                <w:lang w:eastAsia="en-GB"/>
              </w:rPr>
            </w:pPr>
            <w:r w:rsidRPr="00A60AB0">
              <w:rPr>
                <w:rFonts w:cs="Arial"/>
                <w:b/>
                <w:sz w:val="22"/>
                <w:szCs w:val="22"/>
                <w:lang w:eastAsia="en-GB"/>
              </w:rPr>
              <w:t>Engagement / collaboration with Highways England</w:t>
            </w:r>
          </w:p>
          <w:p w:rsidR="00B9092E" w:rsidRPr="00A60AB0" w:rsidRDefault="00B9092E" w:rsidP="00B9092E">
            <w:pPr>
              <w:spacing w:after="0"/>
              <w:rPr>
                <w:rFonts w:cs="Arial"/>
                <w:b/>
                <w:color w:val="FF0000"/>
                <w:sz w:val="22"/>
                <w:szCs w:val="22"/>
                <w:highlight w:val="yellow"/>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The appointed contractor will have access to available information necessary to carry out the review and to deliver the objectives and scope identified above.</w:t>
            </w:r>
          </w:p>
          <w:p w:rsidR="00B9092E" w:rsidRPr="00A60AB0" w:rsidRDefault="00B9092E" w:rsidP="00B9092E">
            <w:pPr>
              <w:spacing w:after="0" w:line="256" w:lineRule="auto"/>
              <w:rPr>
                <w:rFonts w:eastAsia="Calibri" w:cs="Arial"/>
                <w:sz w:val="22"/>
                <w:szCs w:val="22"/>
                <w:lang w:eastAsia="en-GB"/>
              </w:rPr>
            </w:pPr>
          </w:p>
          <w:p w:rsidR="00B9092E" w:rsidRPr="00A60AB0" w:rsidRDefault="00B9092E" w:rsidP="00B9092E">
            <w:pPr>
              <w:spacing w:after="0" w:line="256" w:lineRule="auto"/>
              <w:rPr>
                <w:rFonts w:eastAsia="Calibri" w:cs="Arial"/>
                <w:sz w:val="22"/>
                <w:szCs w:val="22"/>
                <w:lang w:eastAsia="en-GB"/>
              </w:rPr>
            </w:pPr>
            <w:r w:rsidRPr="00A60AB0">
              <w:rPr>
                <w:rFonts w:eastAsia="Calibri" w:cs="Arial"/>
                <w:sz w:val="22"/>
                <w:szCs w:val="22"/>
                <w:lang w:eastAsia="en-GB"/>
              </w:rPr>
              <w:t>Highways England is supportive of this review and has defined its objectives for collaborative working as follows:</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The coordination of all work with Highways England will be through Highways England’s Strategy and Planning Division who are responsible for managing the relationship with ORR;</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At the start of the commission the contractor will be required to engage with Highways England to set out its proposed approach and project plan for conducting the review;</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Engagement with Highways England should be proportionate and sensitive of Highways England resource pressures;</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Meetings with Highways England must be agreed at least 2 weeks in advance, with a written agenda clearly setting out the purpose and objectives of the meeting; and</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Meetings with Highways England staff will be at Highways England’s offices unless previously agreed with the Strategy and Planning team.</w:t>
            </w:r>
          </w:p>
          <w:p w:rsidR="00B9092E" w:rsidRPr="00A60AB0" w:rsidRDefault="00B9092E" w:rsidP="00B9092E">
            <w:pPr>
              <w:spacing w:after="0"/>
              <w:rPr>
                <w:rFonts w:cs="Arial"/>
                <w:b/>
                <w:color w:val="FF0000"/>
                <w:sz w:val="22"/>
                <w:szCs w:val="22"/>
                <w:highlight w:val="yellow"/>
                <w:lang w:eastAsia="en-GB"/>
              </w:rPr>
            </w:pPr>
          </w:p>
        </w:tc>
      </w:tr>
      <w:tr w:rsidR="00532FB9" w:rsidRPr="00A60AB0" w:rsidTr="00532FB9">
        <w:trPr>
          <w:trHeight w:val="566"/>
        </w:trPr>
        <w:tc>
          <w:tcPr>
            <w:tcW w:w="8302" w:type="dxa"/>
            <w:shd w:val="clear" w:color="auto" w:fill="99CCFF"/>
          </w:tcPr>
          <w:p w:rsidR="00532FB9" w:rsidRPr="00A60AB0" w:rsidRDefault="00532FB9" w:rsidP="00532FB9">
            <w:pPr>
              <w:rPr>
                <w:rFonts w:cs="Arial"/>
                <w:b/>
                <w:sz w:val="22"/>
                <w:szCs w:val="22"/>
              </w:rPr>
            </w:pPr>
            <w:r w:rsidRPr="00A60AB0">
              <w:rPr>
                <w:rFonts w:cs="Arial"/>
                <w:b/>
                <w:sz w:val="22"/>
                <w:szCs w:val="22"/>
              </w:rPr>
              <w:lastRenderedPageBreak/>
              <w:t xml:space="preserve">2.3 Project Outputs,  Deliverables and Contract Management </w:t>
            </w:r>
          </w:p>
        </w:tc>
      </w:tr>
      <w:tr w:rsidR="00B9092E" w:rsidRPr="00A60AB0" w:rsidTr="00532FB9">
        <w:trPr>
          <w:trHeight w:val="757"/>
        </w:trPr>
        <w:tc>
          <w:tcPr>
            <w:tcW w:w="8302" w:type="dxa"/>
            <w:tcBorders>
              <w:bottom w:val="single" w:sz="4" w:space="0" w:color="auto"/>
            </w:tcBorders>
            <w:shd w:val="clear" w:color="auto" w:fill="auto"/>
          </w:tcPr>
          <w:p w:rsidR="00B9092E" w:rsidRPr="00A60AB0" w:rsidRDefault="00B9092E" w:rsidP="00B9092E">
            <w:pPr>
              <w:rPr>
                <w:rFonts w:cs="Arial"/>
                <w:sz w:val="22"/>
                <w:szCs w:val="22"/>
              </w:rPr>
            </w:pPr>
            <w:r w:rsidRPr="00A60AB0">
              <w:rPr>
                <w:rFonts w:cs="Arial"/>
                <w:sz w:val="22"/>
                <w:szCs w:val="22"/>
              </w:rPr>
              <w:t>The main deliverable will be a written report, in pdf and to a publishable standard, setting out your objective assessment and findings on the effectiveness of the efficiency reporting and monitoring regime in RP1 and consequently what approach would be appropriate for RP2. The report is due by the end of November 2019.</w:t>
            </w:r>
          </w:p>
          <w:p w:rsidR="00B9092E" w:rsidRPr="00A60AB0" w:rsidRDefault="00B9092E" w:rsidP="00B9092E">
            <w:pPr>
              <w:rPr>
                <w:rFonts w:cs="Arial"/>
                <w:sz w:val="22"/>
                <w:szCs w:val="22"/>
              </w:rPr>
            </w:pPr>
            <w:r w:rsidRPr="00A60AB0">
              <w:rPr>
                <w:rFonts w:cs="Arial"/>
                <w:sz w:val="22"/>
                <w:szCs w:val="22"/>
              </w:rPr>
              <w:t>The successful contractor may be required to present its findings to a group of stakeholders in January 2020.</w:t>
            </w:r>
          </w:p>
          <w:p w:rsidR="00B9092E" w:rsidRPr="00A60AB0" w:rsidRDefault="00B9092E" w:rsidP="00B9092E">
            <w:pPr>
              <w:rPr>
                <w:rFonts w:cs="Arial"/>
                <w:sz w:val="22"/>
                <w:szCs w:val="22"/>
              </w:rPr>
            </w:pPr>
            <w:r w:rsidRPr="00A60AB0">
              <w:rPr>
                <w:rFonts w:cs="Arial"/>
                <w:sz w:val="22"/>
                <w:szCs w:val="22"/>
              </w:rPr>
              <w:lastRenderedPageBreak/>
              <w:t>The project plan should be agreed at an inception meeting at the earliest mutually convenient time after contract award. The consultant is to deliver:</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progress reports against the project plan (by email) on at least a fortnightly basis;</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progress meetings (by teleconference or face-to-face) with the project manager on at least a monthly basis;</w:t>
            </w:r>
          </w:p>
          <w:p w:rsidR="00B9092E" w:rsidRPr="00A60AB0" w:rsidRDefault="00B9092E" w:rsidP="00B9092E">
            <w:pPr>
              <w:numPr>
                <w:ilvl w:val="0"/>
                <w:numId w:val="21"/>
              </w:numPr>
              <w:spacing w:after="0" w:line="256" w:lineRule="auto"/>
              <w:rPr>
                <w:rFonts w:eastAsia="Calibri" w:cs="Arial"/>
                <w:sz w:val="22"/>
                <w:szCs w:val="22"/>
                <w:lang w:eastAsia="en-GB"/>
              </w:rPr>
            </w:pPr>
            <w:r w:rsidRPr="00A60AB0">
              <w:rPr>
                <w:rFonts w:eastAsia="Calibri" w:cs="Arial"/>
                <w:sz w:val="22"/>
                <w:szCs w:val="22"/>
                <w:lang w:eastAsia="en-GB"/>
              </w:rPr>
              <w:t>an interim presentation of emerging findings; and</w:t>
            </w:r>
          </w:p>
          <w:p w:rsidR="00B9092E" w:rsidRPr="00A60AB0" w:rsidRDefault="00B9092E" w:rsidP="00B9092E">
            <w:pPr>
              <w:numPr>
                <w:ilvl w:val="0"/>
                <w:numId w:val="21"/>
              </w:numPr>
              <w:spacing w:after="0" w:line="256" w:lineRule="auto"/>
              <w:rPr>
                <w:rFonts w:eastAsia="Calibri" w:cs="Arial"/>
                <w:sz w:val="22"/>
                <w:szCs w:val="22"/>
                <w:lang w:eastAsia="en-GB"/>
              </w:rPr>
            </w:pPr>
            <w:proofErr w:type="gramStart"/>
            <w:r w:rsidRPr="00A60AB0">
              <w:rPr>
                <w:rFonts w:eastAsia="Calibri" w:cs="Arial"/>
                <w:sz w:val="22"/>
                <w:szCs w:val="22"/>
                <w:lang w:eastAsia="en-GB"/>
              </w:rPr>
              <w:t>a</w:t>
            </w:r>
            <w:proofErr w:type="gramEnd"/>
            <w:r w:rsidRPr="00A60AB0">
              <w:rPr>
                <w:rFonts w:eastAsia="Calibri" w:cs="Arial"/>
                <w:sz w:val="22"/>
                <w:szCs w:val="22"/>
                <w:lang w:eastAsia="en-GB"/>
              </w:rPr>
              <w:t xml:space="preserve"> draft report for comment which covers the areas listed above for the final report.</w:t>
            </w:r>
          </w:p>
          <w:p w:rsidR="00B9092E" w:rsidRPr="00A60AB0" w:rsidRDefault="00B9092E" w:rsidP="00B9092E">
            <w:pPr>
              <w:autoSpaceDE w:val="0"/>
              <w:autoSpaceDN w:val="0"/>
              <w:adjustRightInd w:val="0"/>
              <w:spacing w:after="0"/>
              <w:rPr>
                <w:rFonts w:cs="Arial"/>
                <w:b/>
                <w:sz w:val="22"/>
                <w:szCs w:val="22"/>
              </w:rPr>
            </w:pPr>
          </w:p>
        </w:tc>
      </w:tr>
      <w:tr w:rsidR="00532FB9" w:rsidRPr="00A60AB0" w:rsidTr="00532FB9">
        <w:trPr>
          <w:trHeight w:val="250"/>
        </w:trPr>
        <w:tc>
          <w:tcPr>
            <w:tcW w:w="8302" w:type="dxa"/>
            <w:shd w:val="clear" w:color="auto" w:fill="99CCFF"/>
          </w:tcPr>
          <w:p w:rsidR="00532FB9" w:rsidRPr="00A60AB0" w:rsidRDefault="00532FB9" w:rsidP="00532FB9">
            <w:pPr>
              <w:rPr>
                <w:rFonts w:cs="Arial"/>
                <w:b/>
                <w:sz w:val="22"/>
                <w:szCs w:val="22"/>
              </w:rPr>
            </w:pPr>
            <w:r w:rsidRPr="00A60AB0">
              <w:rPr>
                <w:rFonts w:cs="Arial"/>
                <w:b/>
                <w:sz w:val="22"/>
                <w:szCs w:val="22"/>
              </w:rPr>
              <w:lastRenderedPageBreak/>
              <w:t>2.4 Project Timescales</w:t>
            </w:r>
          </w:p>
        </w:tc>
      </w:tr>
      <w:tr w:rsidR="00532FB9" w:rsidRPr="00A60AB0" w:rsidTr="00532FB9">
        <w:trPr>
          <w:trHeight w:val="250"/>
        </w:trPr>
        <w:tc>
          <w:tcPr>
            <w:tcW w:w="8302" w:type="dxa"/>
            <w:tcBorders>
              <w:bottom w:val="single" w:sz="4" w:space="0" w:color="auto"/>
            </w:tcBorders>
            <w:shd w:val="clear" w:color="auto" w:fill="auto"/>
          </w:tcPr>
          <w:p w:rsidR="00B14E58" w:rsidRPr="00A60AB0" w:rsidRDefault="00B14E58" w:rsidP="00B14E58">
            <w:pPr>
              <w:autoSpaceDE w:val="0"/>
              <w:autoSpaceDN w:val="0"/>
              <w:adjustRightInd w:val="0"/>
              <w:rPr>
                <w:rFonts w:cs="Arial"/>
                <w:color w:val="000000"/>
                <w:sz w:val="22"/>
                <w:szCs w:val="22"/>
                <w:lang w:eastAsia="en-GB"/>
              </w:rPr>
            </w:pPr>
            <w:r w:rsidRPr="00A60AB0">
              <w:rPr>
                <w:rFonts w:cs="Arial"/>
                <w:color w:val="000000"/>
                <w:sz w:val="22"/>
                <w:szCs w:val="22"/>
                <w:lang w:eastAsia="en-GB"/>
              </w:rPr>
              <w:t>The provisional project timetable is as follows:</w:t>
            </w:r>
          </w:p>
          <w:p w:rsidR="00B14E58" w:rsidRPr="00A60AB0" w:rsidRDefault="00B14E58" w:rsidP="00B14E58">
            <w:pPr>
              <w:autoSpaceDE w:val="0"/>
              <w:autoSpaceDN w:val="0"/>
              <w:adjustRightInd w:val="0"/>
              <w:rPr>
                <w:rFonts w:cs="Arial"/>
                <w:color w:val="000000"/>
                <w:sz w:val="22"/>
                <w:szCs w:val="22"/>
                <w:lang w:eastAsia="en-GB"/>
              </w:rPr>
            </w:pPr>
            <w:r w:rsidRPr="00A60AB0">
              <w:rPr>
                <w:rFonts w:cs="Arial"/>
                <w:color w:val="000000"/>
                <w:sz w:val="22"/>
                <w:szCs w:val="22"/>
                <w:lang w:eastAsia="en-GB"/>
              </w:rPr>
              <w:t>•</w:t>
            </w:r>
            <w:r w:rsidRPr="00A60AB0">
              <w:rPr>
                <w:rFonts w:cs="Arial"/>
                <w:color w:val="000000"/>
                <w:sz w:val="22"/>
                <w:szCs w:val="22"/>
                <w:lang w:eastAsia="en-GB"/>
              </w:rPr>
              <w:tab/>
              <w:t xml:space="preserve">Start up meeting and commencement </w:t>
            </w:r>
            <w:r w:rsidR="00A60AB0">
              <w:rPr>
                <w:rFonts w:cs="Arial"/>
                <w:color w:val="000000"/>
                <w:sz w:val="22"/>
                <w:szCs w:val="22"/>
                <w:lang w:eastAsia="en-GB"/>
              </w:rPr>
              <w:t>0</w:t>
            </w:r>
            <w:r w:rsidRPr="00A60AB0">
              <w:rPr>
                <w:rFonts w:cs="Arial"/>
                <w:color w:val="000000"/>
                <w:sz w:val="22"/>
                <w:szCs w:val="22"/>
                <w:lang w:eastAsia="en-GB"/>
              </w:rPr>
              <w:t>2 October 2019.</w:t>
            </w:r>
          </w:p>
          <w:p w:rsidR="00B14E58" w:rsidRPr="00A60AB0" w:rsidRDefault="00B14E58" w:rsidP="00B14E58">
            <w:pPr>
              <w:autoSpaceDE w:val="0"/>
              <w:autoSpaceDN w:val="0"/>
              <w:adjustRightInd w:val="0"/>
              <w:rPr>
                <w:rFonts w:cs="Arial"/>
                <w:color w:val="000000"/>
                <w:sz w:val="22"/>
                <w:szCs w:val="22"/>
                <w:lang w:eastAsia="en-GB"/>
              </w:rPr>
            </w:pPr>
            <w:r w:rsidRPr="00A60AB0">
              <w:rPr>
                <w:rFonts w:cs="Arial"/>
                <w:color w:val="000000"/>
                <w:sz w:val="22"/>
                <w:szCs w:val="22"/>
                <w:lang w:eastAsia="en-GB"/>
              </w:rPr>
              <w:t>•</w:t>
            </w:r>
            <w:r w:rsidRPr="00A60AB0">
              <w:rPr>
                <w:rFonts w:cs="Arial"/>
                <w:color w:val="000000"/>
                <w:sz w:val="22"/>
                <w:szCs w:val="22"/>
                <w:lang w:eastAsia="en-GB"/>
              </w:rPr>
              <w:tab/>
              <w:t>Monthly updates on progress and any issues.</w:t>
            </w:r>
          </w:p>
          <w:p w:rsidR="00B14E58" w:rsidRPr="00A60AB0" w:rsidRDefault="00B14E58" w:rsidP="00B14E58">
            <w:pPr>
              <w:autoSpaceDE w:val="0"/>
              <w:autoSpaceDN w:val="0"/>
              <w:adjustRightInd w:val="0"/>
              <w:rPr>
                <w:rFonts w:cs="Arial"/>
                <w:color w:val="000000"/>
                <w:sz w:val="22"/>
                <w:szCs w:val="22"/>
                <w:lang w:eastAsia="en-GB"/>
              </w:rPr>
            </w:pPr>
            <w:r w:rsidRPr="00A60AB0">
              <w:rPr>
                <w:rFonts w:cs="Arial"/>
                <w:color w:val="000000"/>
                <w:sz w:val="22"/>
                <w:szCs w:val="22"/>
                <w:lang w:eastAsia="en-GB"/>
              </w:rPr>
              <w:t>•</w:t>
            </w:r>
            <w:r w:rsidRPr="00A60AB0">
              <w:rPr>
                <w:rFonts w:cs="Arial"/>
                <w:color w:val="000000"/>
                <w:sz w:val="22"/>
                <w:szCs w:val="22"/>
                <w:lang w:eastAsia="en-GB"/>
              </w:rPr>
              <w:tab/>
              <w:t>Presentation of interim findings in November 2019 (or as agreed).</w:t>
            </w:r>
          </w:p>
          <w:p w:rsidR="00B14E58" w:rsidRPr="00A60AB0" w:rsidRDefault="00B14E58" w:rsidP="00B14E58">
            <w:pPr>
              <w:autoSpaceDE w:val="0"/>
              <w:autoSpaceDN w:val="0"/>
              <w:adjustRightInd w:val="0"/>
              <w:rPr>
                <w:rFonts w:cs="Arial"/>
                <w:color w:val="000000"/>
                <w:sz w:val="22"/>
                <w:szCs w:val="22"/>
                <w:lang w:eastAsia="en-GB"/>
              </w:rPr>
            </w:pPr>
            <w:r w:rsidRPr="00A60AB0">
              <w:rPr>
                <w:rFonts w:cs="Arial"/>
                <w:color w:val="000000"/>
                <w:sz w:val="22"/>
                <w:szCs w:val="22"/>
                <w:lang w:eastAsia="en-GB"/>
              </w:rPr>
              <w:t>•</w:t>
            </w:r>
            <w:r w:rsidRPr="00A60AB0">
              <w:rPr>
                <w:rFonts w:cs="Arial"/>
                <w:color w:val="000000"/>
                <w:sz w:val="22"/>
                <w:szCs w:val="22"/>
                <w:lang w:eastAsia="en-GB"/>
              </w:rPr>
              <w:tab/>
              <w:t>Draft report by mid-December 2019.</w:t>
            </w:r>
          </w:p>
          <w:p w:rsidR="00532FB9" w:rsidRPr="00A60AB0" w:rsidRDefault="00B14E58" w:rsidP="00B14E58">
            <w:pPr>
              <w:rPr>
                <w:rFonts w:cs="Arial"/>
                <w:color w:val="000000"/>
                <w:sz w:val="22"/>
                <w:szCs w:val="22"/>
                <w:lang w:eastAsia="en-GB"/>
              </w:rPr>
            </w:pPr>
            <w:r w:rsidRPr="00A60AB0">
              <w:rPr>
                <w:rFonts w:cs="Arial"/>
                <w:color w:val="000000"/>
                <w:sz w:val="22"/>
                <w:szCs w:val="22"/>
                <w:lang w:eastAsia="en-GB"/>
              </w:rPr>
              <w:t>•</w:t>
            </w:r>
            <w:r w:rsidRPr="00A60AB0">
              <w:rPr>
                <w:rFonts w:cs="Arial"/>
                <w:color w:val="000000"/>
                <w:sz w:val="22"/>
                <w:szCs w:val="22"/>
                <w:lang w:eastAsia="en-GB"/>
              </w:rPr>
              <w:tab/>
              <w:t>Final report by mid-February 2020.</w:t>
            </w:r>
          </w:p>
        </w:tc>
      </w:tr>
      <w:tr w:rsidR="00532FB9" w:rsidRPr="00A60AB0" w:rsidTr="00532FB9">
        <w:trPr>
          <w:trHeight w:val="129"/>
        </w:trPr>
        <w:tc>
          <w:tcPr>
            <w:tcW w:w="8302" w:type="dxa"/>
            <w:shd w:val="clear" w:color="auto" w:fill="99CCFF"/>
          </w:tcPr>
          <w:p w:rsidR="00532FB9" w:rsidRPr="00A60AB0" w:rsidRDefault="00532FB9" w:rsidP="00532FB9">
            <w:pPr>
              <w:rPr>
                <w:rFonts w:cs="Arial"/>
                <w:b/>
                <w:sz w:val="22"/>
                <w:szCs w:val="22"/>
              </w:rPr>
            </w:pPr>
            <w:r w:rsidRPr="00A60AB0">
              <w:rPr>
                <w:rFonts w:cs="Arial"/>
                <w:b/>
                <w:sz w:val="22"/>
                <w:szCs w:val="22"/>
              </w:rPr>
              <w:t>2.5 Budget and Payment Schedule</w:t>
            </w:r>
          </w:p>
        </w:tc>
      </w:tr>
      <w:tr w:rsidR="00532FB9" w:rsidRPr="00A60AB0" w:rsidTr="00532FB9">
        <w:trPr>
          <w:trHeight w:val="127"/>
        </w:trPr>
        <w:tc>
          <w:tcPr>
            <w:tcW w:w="8302" w:type="dxa"/>
            <w:tcBorders>
              <w:bottom w:val="single" w:sz="4" w:space="0" w:color="auto"/>
            </w:tcBorders>
            <w:shd w:val="clear" w:color="auto" w:fill="auto"/>
          </w:tcPr>
          <w:p w:rsidR="00B9092E" w:rsidRPr="00A60AB0" w:rsidRDefault="00B9092E" w:rsidP="00B9092E">
            <w:pPr>
              <w:rPr>
                <w:rFonts w:cs="Arial"/>
                <w:color w:val="000000"/>
                <w:sz w:val="22"/>
                <w:szCs w:val="22"/>
              </w:rPr>
            </w:pPr>
            <w:r w:rsidRPr="00A60AB0">
              <w:rPr>
                <w:rFonts w:cs="Arial"/>
                <w:sz w:val="22"/>
                <w:szCs w:val="22"/>
              </w:rPr>
              <w:t>The maximum budg</w:t>
            </w:r>
            <w:r w:rsidR="00C138B0">
              <w:rPr>
                <w:rFonts w:cs="Arial"/>
                <w:sz w:val="22"/>
                <w:szCs w:val="22"/>
              </w:rPr>
              <w:t>et for this piece of work is £100</w:t>
            </w:r>
            <w:r w:rsidRPr="00A60AB0">
              <w:rPr>
                <w:rFonts w:cs="Arial"/>
                <w:sz w:val="22"/>
                <w:szCs w:val="22"/>
              </w:rPr>
              <w:t>,000 (</w:t>
            </w:r>
            <w:proofErr w:type="spellStart"/>
            <w:r w:rsidRPr="00A60AB0">
              <w:rPr>
                <w:rFonts w:cs="Arial"/>
                <w:sz w:val="22"/>
                <w:szCs w:val="22"/>
              </w:rPr>
              <w:t>inc.</w:t>
            </w:r>
            <w:proofErr w:type="spellEnd"/>
            <w:r w:rsidRPr="00A60AB0">
              <w:rPr>
                <w:rFonts w:cs="Arial"/>
                <w:sz w:val="22"/>
                <w:szCs w:val="22"/>
              </w:rPr>
              <w:t xml:space="preserve"> of expenses, exc. of VAT), </w:t>
            </w:r>
            <w:r w:rsidRPr="00A60AB0">
              <w:rPr>
                <w:rFonts w:cs="Arial"/>
                <w:color w:val="000000"/>
                <w:sz w:val="22"/>
                <w:szCs w:val="22"/>
              </w:rPr>
              <w:t>however ORR expects bids to be significantly below this threshold.</w:t>
            </w:r>
          </w:p>
          <w:p w:rsidR="00B9092E" w:rsidRPr="00A60AB0" w:rsidRDefault="00B9092E" w:rsidP="00B9092E">
            <w:pPr>
              <w:rPr>
                <w:rFonts w:cs="Arial"/>
                <w:color w:val="000000"/>
                <w:sz w:val="22"/>
                <w:szCs w:val="22"/>
              </w:rPr>
            </w:pPr>
            <w:r w:rsidRPr="00A60AB0">
              <w:rPr>
                <w:rFonts w:cs="Arial"/>
                <w:color w:val="000000"/>
                <w:sz w:val="22"/>
                <w:szCs w:val="22"/>
              </w:rPr>
              <w:t>ORR expects bidders to provide a fixed fee for the delivery of this requirement, bidders should set out their fee proposals in the format set out in Section 3.2 below.</w:t>
            </w:r>
          </w:p>
          <w:p w:rsidR="00532FB9" w:rsidRPr="00A60AB0" w:rsidRDefault="00B9092E" w:rsidP="00B9092E">
            <w:pPr>
              <w:rPr>
                <w:rFonts w:cs="Arial"/>
                <w:sz w:val="22"/>
                <w:szCs w:val="22"/>
              </w:rPr>
            </w:pPr>
            <w:r w:rsidRPr="00A60AB0">
              <w:rPr>
                <w:rFonts w:cs="Arial"/>
                <w:sz w:val="22"/>
                <w:szCs w:val="22"/>
              </w:rPr>
              <w:t>Payment of the total fee will be based on the delivery and acceptance by ORR of all required outputs and/or deliverables.</w:t>
            </w:r>
          </w:p>
        </w:tc>
      </w:tr>
      <w:tr w:rsidR="00532FB9" w:rsidRPr="00A60AB0" w:rsidTr="00532FB9">
        <w:trPr>
          <w:trHeight w:val="127"/>
        </w:trPr>
        <w:tc>
          <w:tcPr>
            <w:tcW w:w="8302" w:type="dxa"/>
            <w:shd w:val="clear" w:color="auto" w:fill="99CCFF"/>
          </w:tcPr>
          <w:p w:rsidR="00532FB9" w:rsidRPr="00A60AB0" w:rsidRDefault="00532FB9" w:rsidP="00532FB9">
            <w:pPr>
              <w:rPr>
                <w:rFonts w:cs="Arial"/>
                <w:b/>
                <w:sz w:val="22"/>
                <w:szCs w:val="22"/>
              </w:rPr>
            </w:pPr>
            <w:r w:rsidRPr="00A60AB0">
              <w:rPr>
                <w:rFonts w:cs="Arial"/>
                <w:b/>
                <w:sz w:val="22"/>
                <w:szCs w:val="22"/>
              </w:rPr>
              <w:t>2.6 Further project related information for bidders</w:t>
            </w:r>
          </w:p>
        </w:tc>
      </w:tr>
      <w:tr w:rsidR="00532FB9" w:rsidRPr="00A60AB0" w:rsidTr="00532FB9">
        <w:trPr>
          <w:trHeight w:val="127"/>
        </w:trPr>
        <w:tc>
          <w:tcPr>
            <w:tcW w:w="8302" w:type="dxa"/>
            <w:shd w:val="clear" w:color="auto" w:fill="auto"/>
          </w:tcPr>
          <w:p w:rsidR="00532FB9" w:rsidRPr="00A60AB0" w:rsidRDefault="00FB2010" w:rsidP="00532FB9">
            <w:pPr>
              <w:pStyle w:val="ListNumber"/>
              <w:numPr>
                <w:ilvl w:val="0"/>
                <w:numId w:val="0"/>
              </w:numPr>
              <w:spacing w:before="0" w:after="0"/>
              <w:rPr>
                <w:rFonts w:cs="Arial"/>
                <w:b/>
                <w:sz w:val="22"/>
                <w:szCs w:val="22"/>
              </w:rPr>
            </w:pPr>
            <w:r>
              <w:rPr>
                <w:rFonts w:cs="Arial"/>
                <w:b/>
                <w:sz w:val="22"/>
                <w:szCs w:val="22"/>
              </w:rPr>
              <w:t>I</w:t>
            </w:r>
            <w:r w:rsidR="00532FB9" w:rsidRPr="00A60AB0">
              <w:rPr>
                <w:rFonts w:cs="Arial"/>
                <w:b/>
                <w:sz w:val="22"/>
                <w:szCs w:val="22"/>
              </w:rPr>
              <w:t>ntellectual Property Rights</w:t>
            </w:r>
          </w:p>
          <w:p w:rsidR="00532FB9" w:rsidRPr="00A60AB0" w:rsidRDefault="00532FB9" w:rsidP="00532FB9">
            <w:pPr>
              <w:pStyle w:val="ListNumber"/>
              <w:numPr>
                <w:ilvl w:val="0"/>
                <w:numId w:val="0"/>
              </w:numPr>
              <w:tabs>
                <w:tab w:val="clear" w:pos="720"/>
              </w:tabs>
              <w:spacing w:before="0" w:after="0"/>
              <w:rPr>
                <w:rFonts w:cs="Arial"/>
                <w:color w:val="000000"/>
                <w:sz w:val="22"/>
                <w:szCs w:val="22"/>
              </w:rPr>
            </w:pPr>
          </w:p>
          <w:p w:rsidR="00532FB9" w:rsidRPr="00A60AB0" w:rsidRDefault="00532FB9" w:rsidP="00532FB9">
            <w:pPr>
              <w:pStyle w:val="ListNumber"/>
              <w:numPr>
                <w:ilvl w:val="0"/>
                <w:numId w:val="0"/>
              </w:numPr>
              <w:tabs>
                <w:tab w:val="clear" w:pos="720"/>
              </w:tabs>
              <w:spacing w:before="0" w:after="0"/>
              <w:rPr>
                <w:rFonts w:cs="Arial"/>
                <w:color w:val="000000"/>
                <w:sz w:val="22"/>
                <w:szCs w:val="22"/>
              </w:rPr>
            </w:pPr>
            <w:r w:rsidRPr="00A60AB0">
              <w:rPr>
                <w:rFonts w:cs="Arial"/>
                <w:color w:val="000000"/>
                <w:sz w:val="22"/>
                <w:szCs w:val="22"/>
              </w:rPr>
              <w:t xml:space="preserve">ORR will own the Intellectual Property Rights for all project related documentation and artefacts. </w:t>
            </w:r>
          </w:p>
          <w:p w:rsidR="00532FB9" w:rsidRPr="00A60AB0" w:rsidRDefault="00532FB9" w:rsidP="00532FB9">
            <w:pPr>
              <w:pStyle w:val="ListNumber"/>
              <w:numPr>
                <w:ilvl w:val="0"/>
                <w:numId w:val="0"/>
              </w:numPr>
              <w:tabs>
                <w:tab w:val="clear" w:pos="720"/>
              </w:tabs>
              <w:spacing w:before="0"/>
              <w:rPr>
                <w:rFonts w:cs="Arial"/>
                <w:b/>
                <w:sz w:val="22"/>
                <w:szCs w:val="22"/>
              </w:rPr>
            </w:pPr>
          </w:p>
          <w:p w:rsidR="00532FB9" w:rsidRPr="00A60AB0" w:rsidRDefault="00532FB9" w:rsidP="00532FB9">
            <w:pPr>
              <w:pStyle w:val="ListNumber"/>
              <w:numPr>
                <w:ilvl w:val="0"/>
                <w:numId w:val="0"/>
              </w:numPr>
              <w:tabs>
                <w:tab w:val="clear" w:pos="720"/>
              </w:tabs>
              <w:spacing w:before="0"/>
              <w:rPr>
                <w:rFonts w:cs="Arial"/>
                <w:b/>
                <w:sz w:val="22"/>
                <w:szCs w:val="22"/>
              </w:rPr>
            </w:pPr>
            <w:r w:rsidRPr="00A60AB0">
              <w:rPr>
                <w:rFonts w:cs="Arial"/>
                <w:b/>
                <w:sz w:val="22"/>
                <w:szCs w:val="22"/>
              </w:rPr>
              <w:t>Transparency requirements</w:t>
            </w:r>
          </w:p>
          <w:p w:rsidR="00532FB9" w:rsidRPr="00A60AB0" w:rsidRDefault="00532FB9" w:rsidP="00532FB9">
            <w:pPr>
              <w:pStyle w:val="ListNumber"/>
              <w:numPr>
                <w:ilvl w:val="0"/>
                <w:numId w:val="0"/>
              </w:numPr>
              <w:tabs>
                <w:tab w:val="clear" w:pos="720"/>
              </w:tabs>
              <w:spacing w:before="0"/>
              <w:rPr>
                <w:rFonts w:cs="Arial"/>
                <w:sz w:val="22"/>
                <w:szCs w:val="22"/>
              </w:rPr>
            </w:pPr>
            <w:r w:rsidRPr="00A60AB0">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rsidR="00532FB9" w:rsidRPr="00A60AB0" w:rsidRDefault="00532FB9" w:rsidP="00532FB9">
            <w:pPr>
              <w:pStyle w:val="ListNumber"/>
              <w:numPr>
                <w:ilvl w:val="0"/>
                <w:numId w:val="0"/>
              </w:numPr>
              <w:spacing w:before="0" w:after="0"/>
              <w:rPr>
                <w:rFonts w:cs="Arial"/>
                <w:b/>
                <w:sz w:val="22"/>
                <w:szCs w:val="22"/>
              </w:rPr>
            </w:pPr>
            <w:r w:rsidRPr="00A60AB0">
              <w:rPr>
                <w:rFonts w:cs="Arial"/>
                <w:b/>
                <w:sz w:val="22"/>
                <w:szCs w:val="22"/>
              </w:rPr>
              <w:t>Confidentiality</w:t>
            </w:r>
          </w:p>
          <w:p w:rsidR="00532FB9" w:rsidRPr="00A60AB0" w:rsidRDefault="00532FB9" w:rsidP="00532FB9">
            <w:pPr>
              <w:pStyle w:val="ListNumber"/>
              <w:numPr>
                <w:ilvl w:val="0"/>
                <w:numId w:val="0"/>
              </w:numPr>
              <w:spacing w:before="0" w:after="0"/>
              <w:rPr>
                <w:rFonts w:cs="Arial"/>
                <w:sz w:val="22"/>
                <w:szCs w:val="22"/>
              </w:rPr>
            </w:pPr>
          </w:p>
          <w:p w:rsidR="00532FB9" w:rsidRPr="00A60AB0" w:rsidRDefault="00532FB9" w:rsidP="00532FB9">
            <w:pPr>
              <w:pStyle w:val="ListNumber"/>
              <w:numPr>
                <w:ilvl w:val="0"/>
                <w:numId w:val="0"/>
              </w:numPr>
              <w:spacing w:before="0" w:after="0"/>
              <w:rPr>
                <w:rFonts w:cs="Arial"/>
                <w:sz w:val="22"/>
                <w:szCs w:val="22"/>
              </w:rPr>
            </w:pPr>
            <w:r w:rsidRPr="00A60AB0">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532FB9" w:rsidRPr="00A60AB0" w:rsidRDefault="00532FB9" w:rsidP="00532FB9">
            <w:pPr>
              <w:pStyle w:val="ListNumber"/>
              <w:numPr>
                <w:ilvl w:val="0"/>
                <w:numId w:val="0"/>
              </w:numPr>
              <w:spacing w:before="0" w:after="0"/>
              <w:rPr>
                <w:rFonts w:cs="Arial"/>
                <w:sz w:val="22"/>
                <w:szCs w:val="22"/>
              </w:rPr>
            </w:pPr>
          </w:p>
          <w:p w:rsidR="00532FB9" w:rsidRPr="00A60AB0" w:rsidRDefault="00532FB9" w:rsidP="00532FB9">
            <w:pPr>
              <w:pStyle w:val="ListNumber"/>
              <w:numPr>
                <w:ilvl w:val="0"/>
                <w:numId w:val="0"/>
              </w:numPr>
              <w:spacing w:before="0" w:after="0"/>
              <w:rPr>
                <w:rFonts w:cs="Arial"/>
                <w:b/>
                <w:sz w:val="22"/>
                <w:szCs w:val="22"/>
              </w:rPr>
            </w:pPr>
            <w:r w:rsidRPr="00A60AB0">
              <w:rPr>
                <w:rFonts w:cs="Arial"/>
                <w:b/>
                <w:sz w:val="22"/>
                <w:szCs w:val="22"/>
              </w:rPr>
              <w:t>Sub-Contractors</w:t>
            </w:r>
          </w:p>
          <w:p w:rsidR="00532FB9" w:rsidRPr="00A60AB0" w:rsidRDefault="00532FB9" w:rsidP="00532FB9">
            <w:pPr>
              <w:pStyle w:val="ListNumber"/>
              <w:numPr>
                <w:ilvl w:val="0"/>
                <w:numId w:val="0"/>
              </w:numPr>
              <w:spacing w:before="0" w:after="0"/>
              <w:rPr>
                <w:rFonts w:cs="Arial"/>
                <w:b/>
                <w:sz w:val="22"/>
                <w:szCs w:val="22"/>
              </w:rPr>
            </w:pPr>
          </w:p>
          <w:p w:rsidR="00532FB9" w:rsidRPr="00A60AB0" w:rsidRDefault="00532FB9" w:rsidP="00532FB9">
            <w:pPr>
              <w:pStyle w:val="ListNumber2"/>
              <w:numPr>
                <w:ilvl w:val="0"/>
                <w:numId w:val="0"/>
              </w:numPr>
              <w:rPr>
                <w:rFonts w:cs="Arial"/>
                <w:sz w:val="22"/>
                <w:szCs w:val="22"/>
              </w:rPr>
            </w:pPr>
            <w:r w:rsidRPr="00A60AB0">
              <w:rPr>
                <w:rFonts w:cs="Arial"/>
                <w:sz w:val="22"/>
                <w:szCs w:val="22"/>
              </w:rPr>
              <w:t xml:space="preserve">  Contractors may use sub-contractors subject to the following:</w:t>
            </w:r>
          </w:p>
          <w:p w:rsidR="00532FB9" w:rsidRPr="00A60AB0" w:rsidRDefault="00532FB9" w:rsidP="00532FB9">
            <w:pPr>
              <w:pStyle w:val="ListNumber2"/>
              <w:numPr>
                <w:ilvl w:val="0"/>
                <w:numId w:val="19"/>
              </w:numPr>
              <w:rPr>
                <w:rFonts w:cs="Arial"/>
                <w:sz w:val="22"/>
                <w:szCs w:val="22"/>
              </w:rPr>
            </w:pPr>
            <w:r w:rsidRPr="00A60AB0">
              <w:rPr>
                <w:rFonts w:cs="Arial"/>
                <w:sz w:val="22"/>
                <w:szCs w:val="22"/>
              </w:rPr>
              <w:t>That the Contractor assumes unconditional responsibility for the overall work and its quality;</w:t>
            </w:r>
          </w:p>
          <w:p w:rsidR="00532FB9" w:rsidRPr="00A60AB0" w:rsidRDefault="00532FB9" w:rsidP="00532FB9">
            <w:pPr>
              <w:pStyle w:val="ListNumber2"/>
              <w:numPr>
                <w:ilvl w:val="0"/>
                <w:numId w:val="19"/>
              </w:numPr>
              <w:rPr>
                <w:rFonts w:cs="Arial"/>
                <w:sz w:val="22"/>
                <w:szCs w:val="22"/>
              </w:rPr>
            </w:pPr>
            <w:r w:rsidRPr="00A60AB0">
              <w:rPr>
                <w:rFonts w:cs="Arial"/>
                <w:sz w:val="22"/>
                <w:szCs w:val="22"/>
              </w:rPr>
              <w:t xml:space="preserve">That individual sub-contractors are clearly identified, with fee rates and grades made explicit to the same level of detail as for the members of the lead consulting team. </w:t>
            </w:r>
          </w:p>
          <w:p w:rsidR="00532FB9" w:rsidRPr="00A60AB0" w:rsidRDefault="00532FB9" w:rsidP="00A60AB0">
            <w:pPr>
              <w:pStyle w:val="ListNumber2"/>
              <w:numPr>
                <w:ilvl w:val="0"/>
                <w:numId w:val="0"/>
              </w:numPr>
              <w:ind w:left="360"/>
              <w:rPr>
                <w:rFonts w:cs="Arial"/>
                <w:sz w:val="22"/>
                <w:szCs w:val="22"/>
              </w:rPr>
            </w:pPr>
            <w:r w:rsidRPr="00A60AB0">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rsidR="00F52BE8" w:rsidRPr="00A60AB0" w:rsidRDefault="00F52BE8" w:rsidP="00F52BE8">
      <w:pPr>
        <w:rPr>
          <w:rFonts w:cs="Arial"/>
          <w:b/>
          <w:sz w:val="22"/>
          <w:szCs w:val="22"/>
        </w:rPr>
      </w:pPr>
      <w:r w:rsidRPr="00A60AB0">
        <w:rPr>
          <w:rFonts w:cs="Arial"/>
          <w:b/>
          <w:sz w:val="22"/>
          <w:szCs w:val="22"/>
          <w:u w:val="single"/>
        </w:rPr>
        <w:lastRenderedPageBreak/>
        <w:br w:type="page"/>
      </w:r>
      <w:r w:rsidRPr="00A60AB0">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A60AB0" w:rsidTr="00335497">
        <w:tc>
          <w:tcPr>
            <w:tcW w:w="8528" w:type="dxa"/>
            <w:shd w:val="clear" w:color="auto" w:fill="99CCFF"/>
          </w:tcPr>
          <w:p w:rsidR="00F52BE8" w:rsidRPr="00A60AB0" w:rsidRDefault="00F52BE8" w:rsidP="00335497">
            <w:pPr>
              <w:rPr>
                <w:rFonts w:cs="Arial"/>
                <w:b/>
                <w:sz w:val="22"/>
                <w:szCs w:val="22"/>
              </w:rPr>
            </w:pPr>
            <w:r w:rsidRPr="00A60AB0">
              <w:rPr>
                <w:rFonts w:cs="Arial"/>
                <w:b/>
                <w:sz w:val="22"/>
                <w:szCs w:val="22"/>
              </w:rPr>
              <w:t>3.1 The Tender Response</w:t>
            </w:r>
          </w:p>
        </w:tc>
      </w:tr>
      <w:tr w:rsidR="00F52BE8" w:rsidRPr="00A60AB0" w:rsidTr="00335497">
        <w:trPr>
          <w:trHeight w:val="5730"/>
        </w:trPr>
        <w:tc>
          <w:tcPr>
            <w:tcW w:w="8528" w:type="dxa"/>
            <w:tcBorders>
              <w:bottom w:val="single" w:sz="4" w:space="0" w:color="auto"/>
            </w:tcBorders>
            <w:shd w:val="clear" w:color="auto" w:fill="auto"/>
          </w:tcPr>
          <w:p w:rsidR="00F52BE8" w:rsidRPr="00A60AB0" w:rsidRDefault="00F52BE8" w:rsidP="00335497">
            <w:pPr>
              <w:rPr>
                <w:rFonts w:cs="Arial"/>
                <w:sz w:val="22"/>
                <w:szCs w:val="22"/>
              </w:rPr>
            </w:pPr>
            <w:r w:rsidRPr="00A60AB0">
              <w:rPr>
                <w:rFonts w:cs="Arial"/>
                <w:sz w:val="22"/>
                <w:szCs w:val="22"/>
              </w:rPr>
              <w:t xml:space="preserve">The proposals for this project should include an outline of how bidders will meet the requirement outlined in section (ii) “Statement of Requirement”. The following information should be included:  </w:t>
            </w:r>
          </w:p>
          <w:p w:rsidR="00F52BE8" w:rsidRPr="00A60AB0" w:rsidRDefault="00F52BE8" w:rsidP="00335497">
            <w:pPr>
              <w:pStyle w:val="Default"/>
              <w:rPr>
                <w:sz w:val="22"/>
                <w:szCs w:val="22"/>
              </w:rPr>
            </w:pPr>
            <w:r w:rsidRPr="00A60AB0">
              <w:rPr>
                <w:b/>
                <w:bCs/>
                <w:sz w:val="22"/>
                <w:szCs w:val="22"/>
              </w:rPr>
              <w:t xml:space="preserve">a) Understanding of customer's requirements </w:t>
            </w:r>
          </w:p>
          <w:p w:rsidR="00F52BE8" w:rsidRPr="00A60AB0" w:rsidRDefault="00F52BE8" w:rsidP="00335497">
            <w:pPr>
              <w:autoSpaceDE w:val="0"/>
              <w:autoSpaceDN w:val="0"/>
              <w:adjustRightInd w:val="0"/>
              <w:spacing w:after="0"/>
              <w:rPr>
                <w:rFonts w:cs="Arial"/>
                <w:color w:val="000000"/>
                <w:sz w:val="22"/>
                <w:szCs w:val="22"/>
                <w:lang w:eastAsia="en-GB"/>
              </w:rPr>
            </w:pPr>
          </w:p>
          <w:p w:rsidR="00F52BE8" w:rsidRPr="00A60AB0" w:rsidRDefault="00A60AB0" w:rsidP="00F52BE8">
            <w:pPr>
              <w:numPr>
                <w:ilvl w:val="0"/>
                <w:numId w:val="17"/>
              </w:numPr>
              <w:autoSpaceDE w:val="0"/>
              <w:autoSpaceDN w:val="0"/>
              <w:adjustRightInd w:val="0"/>
              <w:spacing w:after="0"/>
              <w:rPr>
                <w:rFonts w:cs="Arial"/>
                <w:color w:val="000000"/>
                <w:sz w:val="22"/>
                <w:szCs w:val="22"/>
                <w:lang w:eastAsia="en-GB"/>
              </w:rPr>
            </w:pPr>
            <w:proofErr w:type="gramStart"/>
            <w:r>
              <w:rPr>
                <w:rFonts w:cs="Arial"/>
                <w:color w:val="000000"/>
                <w:sz w:val="22"/>
                <w:szCs w:val="22"/>
                <w:lang w:eastAsia="en-GB"/>
              </w:rPr>
              <w:t>d</w:t>
            </w:r>
            <w:r w:rsidR="00F52BE8" w:rsidRPr="00A60AB0">
              <w:rPr>
                <w:rFonts w:cs="Arial"/>
                <w:color w:val="000000"/>
                <w:sz w:val="22"/>
                <w:szCs w:val="22"/>
                <w:lang w:eastAsia="en-GB"/>
              </w:rPr>
              <w:t>emonstrate</w:t>
            </w:r>
            <w:proofErr w:type="gramEnd"/>
            <w:r w:rsidR="00F52BE8" w:rsidRPr="00A60AB0">
              <w:rPr>
                <w:rFonts w:cs="Arial"/>
                <w:color w:val="000000"/>
                <w:sz w:val="22"/>
                <w:szCs w:val="22"/>
                <w:lang w:eastAsia="en-GB"/>
              </w:rPr>
              <w:t xml:space="preserve"> an understanding of the requirement and overall aims of the project. </w:t>
            </w:r>
          </w:p>
          <w:p w:rsidR="00F52BE8" w:rsidRPr="00A60AB0" w:rsidRDefault="00F52BE8" w:rsidP="00335497">
            <w:pPr>
              <w:autoSpaceDE w:val="0"/>
              <w:autoSpaceDN w:val="0"/>
              <w:adjustRightInd w:val="0"/>
              <w:spacing w:after="0"/>
              <w:rPr>
                <w:rFonts w:cs="Arial"/>
                <w:color w:val="000000"/>
                <w:sz w:val="22"/>
                <w:szCs w:val="22"/>
                <w:lang w:eastAsia="en-GB"/>
              </w:rPr>
            </w:pPr>
          </w:p>
          <w:p w:rsidR="00F52BE8" w:rsidRPr="00A60AB0" w:rsidRDefault="00F52BE8" w:rsidP="00335497">
            <w:pPr>
              <w:rPr>
                <w:rFonts w:cs="Arial"/>
                <w:sz w:val="22"/>
                <w:szCs w:val="22"/>
              </w:rPr>
            </w:pPr>
            <w:r w:rsidRPr="00A60AB0">
              <w:rPr>
                <w:rFonts w:cs="Arial"/>
                <w:b/>
                <w:bCs/>
                <w:color w:val="000000"/>
                <w:sz w:val="22"/>
                <w:szCs w:val="22"/>
                <w:lang w:eastAsia="en-GB"/>
              </w:rPr>
              <w:t>b) Approach to customer's requirements</w:t>
            </w:r>
          </w:p>
          <w:p w:rsidR="00532FB9" w:rsidRPr="00A60AB0" w:rsidRDefault="00532FB9" w:rsidP="00532FB9">
            <w:pPr>
              <w:numPr>
                <w:ilvl w:val="0"/>
                <w:numId w:val="16"/>
              </w:numPr>
              <w:autoSpaceDE w:val="0"/>
              <w:autoSpaceDN w:val="0"/>
              <w:adjustRightInd w:val="0"/>
              <w:spacing w:after="0"/>
              <w:rPr>
                <w:rFonts w:cs="Arial"/>
                <w:color w:val="000000"/>
                <w:sz w:val="22"/>
                <w:szCs w:val="22"/>
                <w:lang w:eastAsia="en-GB"/>
              </w:rPr>
            </w:pPr>
            <w:r w:rsidRPr="00A60AB0">
              <w:rPr>
                <w:rFonts w:cs="Arial"/>
                <w:color w:val="000000"/>
                <w:sz w:val="22"/>
                <w:szCs w:val="22"/>
                <w:lang w:eastAsia="en-GB"/>
              </w:rPr>
              <w:t>provide an explanation of the proposed approach and a</w:t>
            </w:r>
            <w:r w:rsidRPr="00A60AB0">
              <w:rPr>
                <w:rFonts w:cs="Arial"/>
                <w:sz w:val="22"/>
                <w:szCs w:val="22"/>
              </w:rPr>
              <w:t>ny methodologies bidders will work to</w:t>
            </w:r>
          </w:p>
          <w:p w:rsidR="00532FB9" w:rsidRPr="00A60AB0" w:rsidRDefault="00532FB9" w:rsidP="00532FB9">
            <w:pPr>
              <w:autoSpaceDE w:val="0"/>
              <w:autoSpaceDN w:val="0"/>
              <w:adjustRightInd w:val="0"/>
              <w:spacing w:after="0"/>
              <w:rPr>
                <w:rFonts w:cs="Arial"/>
                <w:color w:val="000000"/>
                <w:sz w:val="22"/>
                <w:szCs w:val="22"/>
                <w:lang w:eastAsia="en-GB"/>
              </w:rPr>
            </w:pPr>
          </w:p>
          <w:p w:rsidR="00532FB9" w:rsidRPr="00A60AB0" w:rsidRDefault="00532FB9" w:rsidP="00532FB9">
            <w:pPr>
              <w:numPr>
                <w:ilvl w:val="0"/>
                <w:numId w:val="6"/>
              </w:numPr>
              <w:rPr>
                <w:rFonts w:cs="Arial"/>
                <w:sz w:val="22"/>
                <w:szCs w:val="22"/>
              </w:rPr>
            </w:pPr>
            <w:r w:rsidRPr="00A60AB0">
              <w:rPr>
                <w:rFonts w:cs="Arial"/>
                <w:sz w:val="22"/>
                <w:szCs w:val="22"/>
              </w:rPr>
              <w:t>a project plan to show how outputs and deliverables will be produced within the required timescales, detailing the resources that will be allocated</w:t>
            </w:r>
          </w:p>
          <w:p w:rsidR="00532FB9" w:rsidRPr="00A60AB0" w:rsidRDefault="00532FB9" w:rsidP="00532FB9">
            <w:pPr>
              <w:numPr>
                <w:ilvl w:val="0"/>
                <w:numId w:val="6"/>
              </w:numPr>
              <w:rPr>
                <w:rFonts w:cs="Arial"/>
                <w:sz w:val="22"/>
                <w:szCs w:val="22"/>
              </w:rPr>
            </w:pPr>
            <w:r w:rsidRPr="00A60AB0">
              <w:rPr>
                <w:rFonts w:cs="Arial"/>
                <w:color w:val="000000"/>
                <w:sz w:val="22"/>
                <w:szCs w:val="22"/>
                <w:lang w:eastAsia="en-GB"/>
              </w:rPr>
              <w:t>proposed reporting arrangements</w:t>
            </w:r>
          </w:p>
          <w:p w:rsidR="00532FB9" w:rsidRPr="00A60AB0" w:rsidRDefault="00532FB9" w:rsidP="00532FB9">
            <w:pPr>
              <w:numPr>
                <w:ilvl w:val="0"/>
                <w:numId w:val="6"/>
              </w:numPr>
              <w:rPr>
                <w:rFonts w:cs="Arial"/>
                <w:sz w:val="22"/>
                <w:szCs w:val="22"/>
              </w:rPr>
            </w:pPr>
            <w:r w:rsidRPr="00A60AB0">
              <w:rPr>
                <w:rFonts w:cs="Arial"/>
                <w:sz w:val="22"/>
                <w:szCs w:val="22"/>
              </w:rPr>
              <w:t>an understanding of the risks, and explain how they would be mitigated to ensure delivery</w:t>
            </w:r>
          </w:p>
          <w:p w:rsidR="00532FB9" w:rsidRPr="00A60AB0" w:rsidRDefault="00532FB9" w:rsidP="00532FB9">
            <w:pPr>
              <w:numPr>
                <w:ilvl w:val="0"/>
                <w:numId w:val="6"/>
              </w:numPr>
              <w:rPr>
                <w:rFonts w:cs="Arial"/>
                <w:sz w:val="22"/>
                <w:szCs w:val="22"/>
              </w:rPr>
            </w:pPr>
            <w:r w:rsidRPr="00A60AB0">
              <w:rPr>
                <w:rFonts w:cs="Arial"/>
                <w:color w:val="000000"/>
                <w:sz w:val="22"/>
                <w:szCs w:val="22"/>
                <w:lang w:eastAsia="en-GB"/>
              </w:rPr>
              <w:t xml:space="preserve">whether any conflicts or potential conflicts of interest exist, and if so, how they would be mitigated </w:t>
            </w:r>
          </w:p>
          <w:p w:rsidR="00532FB9" w:rsidRDefault="00532FB9" w:rsidP="00532FB9">
            <w:pPr>
              <w:pStyle w:val="ListNumber"/>
              <w:numPr>
                <w:ilvl w:val="0"/>
                <w:numId w:val="6"/>
              </w:numPr>
              <w:rPr>
                <w:rFonts w:cs="Arial"/>
                <w:sz w:val="22"/>
                <w:szCs w:val="22"/>
              </w:rPr>
            </w:pPr>
            <w:r w:rsidRPr="00A60AB0">
              <w:rPr>
                <w:rFonts w:cs="Arial"/>
                <w:sz w:val="22"/>
                <w:szCs w:val="22"/>
              </w:rPr>
              <w:t>what support bidders will require from ORR</w:t>
            </w:r>
          </w:p>
          <w:p w:rsidR="00A60AB0" w:rsidRPr="00A60AB0" w:rsidRDefault="00A60AB0" w:rsidP="00A60AB0">
            <w:pPr>
              <w:pStyle w:val="ListNumber"/>
              <w:numPr>
                <w:ilvl w:val="0"/>
                <w:numId w:val="0"/>
              </w:numPr>
              <w:rPr>
                <w:rFonts w:cs="Arial"/>
                <w:sz w:val="22"/>
                <w:szCs w:val="22"/>
              </w:rPr>
            </w:pPr>
          </w:p>
          <w:p w:rsidR="00F52BE8" w:rsidRPr="00A60AB0" w:rsidRDefault="00F52BE8" w:rsidP="00335497">
            <w:pPr>
              <w:pStyle w:val="ListNumber"/>
              <w:numPr>
                <w:ilvl w:val="0"/>
                <w:numId w:val="0"/>
              </w:numPr>
              <w:rPr>
                <w:rFonts w:cs="Arial"/>
                <w:b/>
                <w:bCs/>
                <w:sz w:val="22"/>
                <w:szCs w:val="22"/>
              </w:rPr>
            </w:pPr>
            <w:r w:rsidRPr="00A60AB0">
              <w:rPr>
                <w:rFonts w:cs="Arial"/>
                <w:b/>
                <w:sz w:val="22"/>
                <w:szCs w:val="22"/>
              </w:rPr>
              <w:t>c)</w:t>
            </w:r>
            <w:r w:rsidRPr="00A60AB0">
              <w:rPr>
                <w:rFonts w:cs="Arial"/>
                <w:sz w:val="22"/>
                <w:szCs w:val="22"/>
              </w:rPr>
              <w:t xml:space="preserve">  </w:t>
            </w:r>
            <w:r w:rsidRPr="00A60AB0">
              <w:rPr>
                <w:rFonts w:cs="Arial"/>
                <w:b/>
                <w:bCs/>
                <w:sz w:val="22"/>
                <w:szCs w:val="22"/>
              </w:rPr>
              <w:t>Proposed delivery team</w:t>
            </w:r>
          </w:p>
          <w:p w:rsidR="00532FB9" w:rsidRPr="00A60AB0" w:rsidRDefault="00A60AB0" w:rsidP="00532FB9">
            <w:pPr>
              <w:numPr>
                <w:ilvl w:val="0"/>
                <w:numId w:val="18"/>
              </w:numPr>
              <w:autoSpaceDE w:val="0"/>
              <w:autoSpaceDN w:val="0"/>
              <w:adjustRightInd w:val="0"/>
              <w:ind w:left="357" w:hanging="357"/>
              <w:rPr>
                <w:rFonts w:cs="Arial"/>
                <w:color w:val="000000"/>
                <w:sz w:val="22"/>
                <w:szCs w:val="22"/>
                <w:lang w:eastAsia="en-GB"/>
              </w:rPr>
            </w:pPr>
            <w:r>
              <w:rPr>
                <w:rFonts w:cs="Arial"/>
                <w:color w:val="000000"/>
                <w:sz w:val="22"/>
                <w:szCs w:val="22"/>
                <w:lang w:eastAsia="en-GB"/>
              </w:rPr>
              <w:t>n</w:t>
            </w:r>
            <w:r w:rsidR="00532FB9" w:rsidRPr="00A60AB0">
              <w:rPr>
                <w:rFonts w:cs="Arial"/>
                <w:color w:val="000000"/>
                <w:sz w:val="22"/>
                <w:szCs w:val="22"/>
                <w:lang w:eastAsia="en-GB"/>
              </w:rPr>
              <w:t xml:space="preserve">ame of proposed personnel including details of how their key skills, experience and qualifications align to the delivery of the project; and </w:t>
            </w:r>
          </w:p>
          <w:p w:rsidR="00532FB9" w:rsidRPr="00A60AB0" w:rsidRDefault="00532FB9" w:rsidP="00532FB9">
            <w:pPr>
              <w:numPr>
                <w:ilvl w:val="0"/>
                <w:numId w:val="18"/>
              </w:numPr>
              <w:autoSpaceDE w:val="0"/>
              <w:autoSpaceDN w:val="0"/>
              <w:adjustRightInd w:val="0"/>
              <w:ind w:left="357" w:hanging="357"/>
              <w:rPr>
                <w:rFonts w:cs="Arial"/>
                <w:color w:val="000000"/>
                <w:sz w:val="22"/>
                <w:szCs w:val="22"/>
                <w:lang w:eastAsia="en-GB"/>
              </w:rPr>
            </w:pPr>
            <w:proofErr w:type="gramStart"/>
            <w:r w:rsidRPr="00A60AB0">
              <w:rPr>
                <w:rFonts w:cs="Arial"/>
                <w:color w:val="000000"/>
                <w:sz w:val="22"/>
                <w:szCs w:val="22"/>
                <w:lang w:eastAsia="en-GB"/>
              </w:rPr>
              <w:t>project</w:t>
            </w:r>
            <w:proofErr w:type="gramEnd"/>
            <w:r w:rsidRPr="00A60AB0">
              <w:rPr>
                <w:rFonts w:cs="Arial"/>
                <w:color w:val="000000"/>
                <w:sz w:val="22"/>
                <w:szCs w:val="22"/>
                <w:lang w:eastAsia="en-GB"/>
              </w:rPr>
              <w:t xml:space="preserve"> roles and responsibilities.</w:t>
            </w:r>
          </w:p>
          <w:p w:rsidR="00F52BE8" w:rsidRPr="00A60AB0" w:rsidRDefault="00F52BE8" w:rsidP="00335497">
            <w:pPr>
              <w:rPr>
                <w:rFonts w:cs="Arial"/>
                <w:b/>
                <w:sz w:val="22"/>
                <w:szCs w:val="22"/>
              </w:rPr>
            </w:pPr>
            <w:r w:rsidRPr="00A60AB0">
              <w:rPr>
                <w:rFonts w:cs="Arial"/>
                <w:b/>
                <w:sz w:val="22"/>
                <w:szCs w:val="22"/>
              </w:rPr>
              <w:t>d) Pricing</w:t>
            </w:r>
          </w:p>
          <w:p w:rsidR="00F52BE8" w:rsidRPr="00A60AB0" w:rsidRDefault="00F52BE8" w:rsidP="00A60AB0">
            <w:pPr>
              <w:pStyle w:val="Default"/>
              <w:rPr>
                <w:sz w:val="22"/>
                <w:szCs w:val="22"/>
              </w:rPr>
            </w:pPr>
            <w:r w:rsidRPr="00A60AB0">
              <w:rPr>
                <w:sz w:val="22"/>
                <w:szCs w:val="22"/>
              </w:rPr>
              <w:t>A fixed fee for the project inclusive of all expense. This should include</w:t>
            </w:r>
            <w:r w:rsidR="00A60AB0">
              <w:rPr>
                <w:sz w:val="22"/>
                <w:szCs w:val="22"/>
              </w:rPr>
              <w:t xml:space="preserve"> </w:t>
            </w:r>
            <w:r w:rsidRPr="00A60AB0">
              <w:rPr>
                <w:sz w:val="22"/>
                <w:szCs w:val="22"/>
              </w:rPr>
              <w:t>a breakdown of the personnel who will be involved with the project, along with associated charge rates and anticipated time inputs that can be reconciled to the fixed fee.</w:t>
            </w:r>
          </w:p>
          <w:p w:rsidR="00F52BE8" w:rsidRPr="00A60AB0" w:rsidRDefault="00F52BE8" w:rsidP="00335497">
            <w:pPr>
              <w:autoSpaceDE w:val="0"/>
              <w:autoSpaceDN w:val="0"/>
              <w:adjustRightInd w:val="0"/>
              <w:spacing w:after="0"/>
              <w:rPr>
                <w:rFonts w:cs="Arial"/>
                <w:color w:val="000000"/>
                <w:sz w:val="22"/>
                <w:szCs w:val="22"/>
                <w:lang w:eastAsia="en-GB"/>
              </w:rPr>
            </w:pPr>
          </w:p>
        </w:tc>
      </w:tr>
      <w:tr w:rsidR="00F52BE8" w:rsidRPr="00A60AB0" w:rsidTr="00335497">
        <w:trPr>
          <w:trHeight w:val="353"/>
        </w:trPr>
        <w:tc>
          <w:tcPr>
            <w:tcW w:w="8528" w:type="dxa"/>
            <w:tcBorders>
              <w:bottom w:val="single" w:sz="4" w:space="0" w:color="auto"/>
            </w:tcBorders>
            <w:shd w:val="clear" w:color="auto" w:fill="99CCFF"/>
          </w:tcPr>
          <w:p w:rsidR="00F52BE8" w:rsidRPr="00A60AB0" w:rsidRDefault="00F52BE8" w:rsidP="00335497">
            <w:pPr>
              <w:rPr>
                <w:rFonts w:cs="Arial"/>
                <w:b/>
                <w:sz w:val="22"/>
                <w:szCs w:val="22"/>
              </w:rPr>
            </w:pPr>
            <w:r w:rsidRPr="00A60AB0">
              <w:rPr>
                <w:rFonts w:cs="Arial"/>
                <w:b/>
                <w:sz w:val="22"/>
                <w:szCs w:val="22"/>
              </w:rPr>
              <w:t>3.2 Evaluation Criteria</w:t>
            </w:r>
          </w:p>
        </w:tc>
      </w:tr>
      <w:tr w:rsidR="00F52BE8" w:rsidRPr="00A60AB0" w:rsidTr="00335497">
        <w:trPr>
          <w:trHeight w:val="352"/>
        </w:trPr>
        <w:tc>
          <w:tcPr>
            <w:tcW w:w="8528" w:type="dxa"/>
            <w:tcBorders>
              <w:bottom w:val="single" w:sz="4" w:space="0" w:color="auto"/>
            </w:tcBorders>
            <w:shd w:val="clear" w:color="auto" w:fill="auto"/>
          </w:tcPr>
          <w:p w:rsidR="00F52BE8" w:rsidRPr="00A60AB0"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A60AB0">
              <w:rPr>
                <w:rFonts w:ascii="Arial" w:hAnsi="Arial" w:cs="Arial"/>
                <w:sz w:val="22"/>
                <w:szCs w:val="22"/>
              </w:rPr>
              <w:t>Tenders will be assessed for compliance with procurement and contractual requirements which will include:</w:t>
            </w:r>
          </w:p>
          <w:p w:rsidR="00F52BE8" w:rsidRPr="00A60AB0"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A60AB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A60AB0">
              <w:rPr>
                <w:rFonts w:ascii="Arial" w:hAnsi="Arial" w:cs="Arial"/>
                <w:sz w:val="22"/>
                <w:szCs w:val="22"/>
              </w:rPr>
              <w:t>Completeness of the tender information</w:t>
            </w:r>
          </w:p>
          <w:p w:rsidR="00F52BE8" w:rsidRPr="00A60AB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A60AB0">
              <w:rPr>
                <w:rFonts w:ascii="Arial" w:hAnsi="Arial" w:cs="Arial"/>
                <w:sz w:val="22"/>
                <w:szCs w:val="22"/>
              </w:rPr>
              <w:t>Completed Declaration Form of Tender and Disclaimer</w:t>
            </w:r>
          </w:p>
          <w:p w:rsidR="00F52BE8" w:rsidRPr="00A60AB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A60AB0">
              <w:rPr>
                <w:rFonts w:ascii="Arial" w:hAnsi="Arial" w:cs="Arial"/>
                <w:sz w:val="22"/>
                <w:szCs w:val="22"/>
              </w:rPr>
              <w:lastRenderedPageBreak/>
              <w:t>Tender submitted in accordance with the conditions and instructions for tendering</w:t>
            </w:r>
          </w:p>
          <w:p w:rsidR="00F52BE8" w:rsidRPr="00A60AB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A60AB0">
              <w:rPr>
                <w:rFonts w:ascii="Arial" w:hAnsi="Arial" w:cs="Arial"/>
                <w:sz w:val="22"/>
                <w:szCs w:val="22"/>
              </w:rPr>
              <w:t>Tender submitted by the closing date and time</w:t>
            </w:r>
          </w:p>
          <w:p w:rsidR="00F52BE8" w:rsidRPr="00A60AB0"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A60AB0">
              <w:rPr>
                <w:rFonts w:ascii="Arial" w:hAnsi="Arial" w:cs="Arial"/>
                <w:sz w:val="22"/>
                <w:szCs w:val="22"/>
              </w:rPr>
              <w:t>Compliance with contractual arrangements.</w:t>
            </w:r>
          </w:p>
          <w:p w:rsidR="00F52BE8" w:rsidRPr="00A60AB0"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52BE8" w:rsidRPr="00A60AB0"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A60AB0">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F52BE8" w:rsidRPr="00A60AB0" w:rsidRDefault="00F52BE8" w:rsidP="00335497">
            <w:pPr>
              <w:pStyle w:val="ListNumber"/>
              <w:numPr>
                <w:ilvl w:val="0"/>
                <w:numId w:val="0"/>
              </w:numPr>
              <w:rPr>
                <w:rFonts w:cs="Arial"/>
                <w:sz w:val="22"/>
                <w:szCs w:val="22"/>
              </w:rPr>
            </w:pPr>
            <w:r w:rsidRPr="00A60AB0">
              <w:rPr>
                <w:rFonts w:cs="Arial"/>
                <w:sz w:val="22"/>
                <w:szCs w:val="22"/>
              </w:rPr>
              <w:t xml:space="preserve">The contract will be awarded to the Bidder(s) submitting the </w:t>
            </w:r>
            <w:r w:rsidRPr="00A60AB0">
              <w:rPr>
                <w:rFonts w:cs="Arial"/>
                <w:b/>
                <w:sz w:val="22"/>
                <w:szCs w:val="22"/>
                <w:u w:val="single"/>
              </w:rPr>
              <w:t>‘most economically advantageous tender’</w:t>
            </w:r>
            <w:r w:rsidRPr="00A60AB0">
              <w:rPr>
                <w:rFonts w:cs="Arial"/>
                <w:sz w:val="22"/>
                <w:szCs w:val="22"/>
              </w:rPr>
              <w:t xml:space="preserve">. Tenders will be evaluated according to weighted criteria as follows: </w:t>
            </w:r>
          </w:p>
          <w:p w:rsidR="00F52BE8" w:rsidRPr="00A60AB0" w:rsidRDefault="00532FB9" w:rsidP="00335497">
            <w:pPr>
              <w:pStyle w:val="ListNumber"/>
              <w:numPr>
                <w:ilvl w:val="0"/>
                <w:numId w:val="0"/>
              </w:numPr>
              <w:rPr>
                <w:rFonts w:cs="Arial"/>
                <w:sz w:val="22"/>
                <w:szCs w:val="22"/>
              </w:rPr>
            </w:pPr>
            <w:r w:rsidRPr="00A60AB0">
              <w:rPr>
                <w:rFonts w:cs="Arial"/>
                <w:b/>
                <w:sz w:val="22"/>
                <w:szCs w:val="22"/>
              </w:rPr>
              <w:t>Methodology (20</w:t>
            </w:r>
            <w:r w:rsidR="00F52BE8" w:rsidRPr="00A60AB0">
              <w:rPr>
                <w:rFonts w:cs="Arial"/>
                <w:b/>
                <w:sz w:val="22"/>
                <w:szCs w:val="22"/>
              </w:rPr>
              <w:t>%)</w:t>
            </w:r>
          </w:p>
          <w:p w:rsidR="00F52BE8" w:rsidRPr="00A60AB0" w:rsidRDefault="00F52BE8" w:rsidP="00335497">
            <w:pPr>
              <w:pStyle w:val="ListNumber"/>
              <w:numPr>
                <w:ilvl w:val="0"/>
                <w:numId w:val="0"/>
              </w:numPr>
              <w:rPr>
                <w:rFonts w:cs="Arial"/>
                <w:sz w:val="22"/>
                <w:szCs w:val="22"/>
              </w:rPr>
            </w:pPr>
            <w:r w:rsidRPr="00A60AB0">
              <w:rPr>
                <w:rFonts w:cs="Arial"/>
                <w:sz w:val="22"/>
                <w:szCs w:val="22"/>
              </w:rPr>
              <w:t>The proposal should set out the methodology by which the project requirement will be initiated, delivered and concluded.  In particular, it must:</w:t>
            </w:r>
          </w:p>
          <w:p w:rsidR="00532FB9" w:rsidRPr="00A60AB0" w:rsidRDefault="00532FB9" w:rsidP="00532FB9">
            <w:pPr>
              <w:pStyle w:val="ListNumber"/>
              <w:numPr>
                <w:ilvl w:val="0"/>
                <w:numId w:val="0"/>
              </w:numPr>
              <w:tabs>
                <w:tab w:val="clear" w:pos="720"/>
                <w:tab w:val="left" w:pos="426"/>
              </w:tabs>
              <w:rPr>
                <w:rFonts w:cs="Arial"/>
                <w:sz w:val="22"/>
                <w:szCs w:val="22"/>
              </w:rPr>
            </w:pPr>
            <w:r w:rsidRPr="00A60AB0">
              <w:rPr>
                <w:rFonts w:cs="Arial"/>
                <w:sz w:val="22"/>
                <w:szCs w:val="22"/>
              </w:rPr>
              <w:t>a) Explain the methodology and delivery mechanisms to ensure that the requirements of this specification are met in terms of quality;</w:t>
            </w:r>
          </w:p>
          <w:p w:rsidR="00532FB9" w:rsidRPr="00A60AB0" w:rsidRDefault="00532FB9" w:rsidP="00532FB9">
            <w:pPr>
              <w:pStyle w:val="ListNumber"/>
              <w:numPr>
                <w:ilvl w:val="0"/>
                <w:numId w:val="0"/>
              </w:numPr>
              <w:tabs>
                <w:tab w:val="clear" w:pos="720"/>
                <w:tab w:val="left" w:pos="426"/>
              </w:tabs>
              <w:rPr>
                <w:rFonts w:cs="Arial"/>
                <w:sz w:val="22"/>
                <w:szCs w:val="22"/>
              </w:rPr>
            </w:pPr>
            <w:r w:rsidRPr="00A60AB0">
              <w:rPr>
                <w:rFonts w:cs="Arial"/>
                <w:sz w:val="22"/>
                <w:szCs w:val="22"/>
              </w:rPr>
              <w:t>b) explain how your organisation will work in partnership with ORR’s project manager to ensure that the requirement is met;</w:t>
            </w:r>
          </w:p>
          <w:p w:rsidR="00532FB9" w:rsidRPr="00A60AB0" w:rsidRDefault="00532FB9" w:rsidP="00532FB9">
            <w:pPr>
              <w:pStyle w:val="ListNumber"/>
              <w:numPr>
                <w:ilvl w:val="0"/>
                <w:numId w:val="0"/>
              </w:numPr>
              <w:tabs>
                <w:tab w:val="clear" w:pos="720"/>
                <w:tab w:val="left" w:pos="426"/>
              </w:tabs>
              <w:rPr>
                <w:rFonts w:cs="Arial"/>
                <w:sz w:val="22"/>
                <w:szCs w:val="22"/>
              </w:rPr>
            </w:pPr>
            <w:r w:rsidRPr="00A60AB0">
              <w:rPr>
                <w:rFonts w:cs="Arial"/>
                <w:sz w:val="22"/>
                <w:szCs w:val="22"/>
              </w:rPr>
              <w:t>c) explain how your organisation will engage with external stakeholders; and</w:t>
            </w:r>
          </w:p>
          <w:p w:rsidR="00532FB9" w:rsidRPr="00A60AB0" w:rsidRDefault="00532FB9" w:rsidP="00532FB9">
            <w:pPr>
              <w:pStyle w:val="ListNumber"/>
              <w:numPr>
                <w:ilvl w:val="0"/>
                <w:numId w:val="0"/>
              </w:numPr>
              <w:rPr>
                <w:rFonts w:cs="Arial"/>
                <w:sz w:val="22"/>
                <w:szCs w:val="22"/>
              </w:rPr>
            </w:pPr>
            <w:r w:rsidRPr="00A60AB0">
              <w:rPr>
                <w:rFonts w:cs="Arial"/>
                <w:sz w:val="22"/>
                <w:szCs w:val="22"/>
              </w:rPr>
              <w:t xml:space="preserve">d) </w:t>
            </w:r>
            <w:proofErr w:type="gramStart"/>
            <w:r w:rsidRPr="00A60AB0">
              <w:rPr>
                <w:rFonts w:cs="Arial"/>
                <w:sz w:val="22"/>
                <w:szCs w:val="22"/>
              </w:rPr>
              <w:t>demonstrate</w:t>
            </w:r>
            <w:proofErr w:type="gramEnd"/>
            <w:r w:rsidRPr="00A60AB0">
              <w:rPr>
                <w:rFonts w:cs="Arial"/>
                <w:sz w:val="22"/>
                <w:szCs w:val="22"/>
              </w:rPr>
              <w:t xml:space="preserve"> an understanding of the risks, and project dependencies and explain how they would be mitigated to ensure project delivery.</w:t>
            </w:r>
          </w:p>
          <w:p w:rsidR="00F52BE8" w:rsidRPr="00A60AB0" w:rsidRDefault="00532FB9" w:rsidP="00335497">
            <w:pPr>
              <w:pStyle w:val="ListNumber"/>
              <w:numPr>
                <w:ilvl w:val="0"/>
                <w:numId w:val="0"/>
              </w:numPr>
              <w:rPr>
                <w:rFonts w:cs="Arial"/>
                <w:b/>
                <w:bCs/>
                <w:sz w:val="22"/>
                <w:szCs w:val="22"/>
                <w:lang w:eastAsia="en-GB"/>
              </w:rPr>
            </w:pPr>
            <w:r w:rsidRPr="00A60AB0">
              <w:rPr>
                <w:rFonts w:cs="Arial"/>
                <w:b/>
                <w:bCs/>
                <w:sz w:val="22"/>
                <w:szCs w:val="22"/>
                <w:lang w:eastAsia="en-GB"/>
              </w:rPr>
              <w:t>Delivery (20</w:t>
            </w:r>
            <w:r w:rsidR="00F52BE8" w:rsidRPr="00A60AB0">
              <w:rPr>
                <w:rFonts w:cs="Arial"/>
                <w:b/>
                <w:bCs/>
                <w:sz w:val="22"/>
                <w:szCs w:val="22"/>
                <w:lang w:eastAsia="en-GB"/>
              </w:rPr>
              <w:t>%)</w:t>
            </w:r>
          </w:p>
          <w:p w:rsidR="00F52BE8" w:rsidRPr="00A60AB0" w:rsidRDefault="00F52BE8" w:rsidP="00335497">
            <w:pPr>
              <w:pStyle w:val="ListNumber"/>
              <w:numPr>
                <w:ilvl w:val="0"/>
                <w:numId w:val="0"/>
              </w:numPr>
              <w:rPr>
                <w:rFonts w:cs="Arial"/>
                <w:sz w:val="22"/>
                <w:szCs w:val="22"/>
              </w:rPr>
            </w:pPr>
            <w:r w:rsidRPr="00A60AB0">
              <w:rPr>
                <w:rFonts w:cs="Arial"/>
                <w:sz w:val="22"/>
                <w:szCs w:val="22"/>
              </w:rPr>
              <w:t>The proposal should set out how and when the project requirement will be delivered.  In particular, it must:</w:t>
            </w:r>
          </w:p>
          <w:p w:rsidR="00532FB9" w:rsidRPr="00A60AB0" w:rsidRDefault="00532FB9" w:rsidP="00532FB9">
            <w:pPr>
              <w:pStyle w:val="ListNumber"/>
              <w:numPr>
                <w:ilvl w:val="0"/>
                <w:numId w:val="0"/>
              </w:numPr>
              <w:rPr>
                <w:rFonts w:cs="Arial"/>
                <w:sz w:val="22"/>
                <w:szCs w:val="22"/>
              </w:rPr>
            </w:pPr>
            <w:r w:rsidRPr="00A60AB0">
              <w:rPr>
                <w:rFonts w:cs="Arial"/>
                <w:sz w:val="22"/>
                <w:szCs w:val="22"/>
              </w:rPr>
              <w:t>a) Explain how this work will be delivered to timescale and how milestones will be met, detailing the resources that will be allocated to each stage; and</w:t>
            </w:r>
          </w:p>
          <w:p w:rsidR="00532FB9" w:rsidRPr="00A60AB0" w:rsidRDefault="00532FB9" w:rsidP="00532FB9">
            <w:pPr>
              <w:pStyle w:val="ListNumber"/>
              <w:numPr>
                <w:ilvl w:val="0"/>
                <w:numId w:val="0"/>
              </w:numPr>
              <w:rPr>
                <w:rFonts w:cs="Arial"/>
                <w:sz w:val="22"/>
                <w:szCs w:val="22"/>
              </w:rPr>
            </w:pPr>
            <w:r w:rsidRPr="00A60AB0">
              <w:rPr>
                <w:rFonts w:cs="Arial"/>
                <w:sz w:val="22"/>
                <w:szCs w:val="22"/>
              </w:rPr>
              <w:t xml:space="preserve">b) </w:t>
            </w:r>
            <w:proofErr w:type="gramStart"/>
            <w:r w:rsidRPr="00A60AB0">
              <w:rPr>
                <w:rFonts w:cs="Arial"/>
                <w:sz w:val="22"/>
                <w:szCs w:val="22"/>
              </w:rPr>
              <w:t>explain</w:t>
            </w:r>
            <w:proofErr w:type="gramEnd"/>
            <w:r w:rsidRPr="00A60AB0">
              <w:rPr>
                <w:rFonts w:cs="Arial"/>
                <w:sz w:val="22"/>
                <w:szCs w:val="22"/>
              </w:rPr>
              <w:t xml:space="preserve"> the resources that will be allocated to delivering the required outcomes/output, and what other resources can be called upon if required.</w:t>
            </w:r>
          </w:p>
          <w:p w:rsidR="00F52BE8" w:rsidRPr="00A60AB0" w:rsidRDefault="00532FB9" w:rsidP="00335497">
            <w:pPr>
              <w:pStyle w:val="ListNumber"/>
              <w:numPr>
                <w:ilvl w:val="0"/>
                <w:numId w:val="0"/>
              </w:numPr>
              <w:tabs>
                <w:tab w:val="clear" w:pos="720"/>
                <w:tab w:val="left" w:pos="426"/>
              </w:tabs>
              <w:rPr>
                <w:rFonts w:cs="Arial"/>
                <w:b/>
                <w:sz w:val="22"/>
                <w:szCs w:val="22"/>
              </w:rPr>
            </w:pPr>
            <w:r w:rsidRPr="00A60AB0">
              <w:rPr>
                <w:rFonts w:cs="Arial"/>
                <w:b/>
                <w:sz w:val="22"/>
                <w:szCs w:val="22"/>
              </w:rPr>
              <w:t>Relevant skills and knowledge (40</w:t>
            </w:r>
            <w:r w:rsidR="00F52BE8" w:rsidRPr="00A60AB0">
              <w:rPr>
                <w:rFonts w:cs="Arial"/>
                <w:b/>
                <w:sz w:val="22"/>
                <w:szCs w:val="22"/>
              </w:rPr>
              <w:t>%)</w:t>
            </w:r>
          </w:p>
          <w:p w:rsidR="00F52BE8" w:rsidRPr="00A60AB0" w:rsidRDefault="00F52BE8" w:rsidP="00335497">
            <w:pPr>
              <w:pStyle w:val="ListNumber"/>
              <w:numPr>
                <w:ilvl w:val="0"/>
                <w:numId w:val="0"/>
              </w:numPr>
              <w:rPr>
                <w:rFonts w:cs="Arial"/>
                <w:sz w:val="22"/>
                <w:szCs w:val="22"/>
              </w:rPr>
            </w:pPr>
            <w:r w:rsidRPr="00A60AB0">
              <w:rPr>
                <w:rFonts w:cs="Arial"/>
                <w:sz w:val="22"/>
                <w:szCs w:val="22"/>
              </w:rPr>
              <w:t>The proposal should set out any experience relevant to the project requirement.  In particular, it must:</w:t>
            </w:r>
          </w:p>
          <w:p w:rsidR="00532FB9" w:rsidRPr="00A60AB0" w:rsidRDefault="00532FB9" w:rsidP="00532FB9">
            <w:pPr>
              <w:pStyle w:val="ListNumber"/>
              <w:numPr>
                <w:ilvl w:val="0"/>
                <w:numId w:val="0"/>
              </w:numPr>
              <w:rPr>
                <w:rFonts w:cs="Arial"/>
                <w:sz w:val="22"/>
                <w:szCs w:val="22"/>
              </w:rPr>
            </w:pPr>
            <w:r w:rsidRPr="00A60AB0">
              <w:rPr>
                <w:rFonts w:cs="Arial"/>
                <w:sz w:val="22"/>
                <w:szCs w:val="22"/>
              </w:rPr>
              <w:t xml:space="preserve">a) Provide CVs of the consultants who will be delivering the project; </w:t>
            </w:r>
          </w:p>
          <w:p w:rsidR="00532FB9" w:rsidRPr="00A60AB0" w:rsidRDefault="00532FB9" w:rsidP="00532FB9">
            <w:pPr>
              <w:pStyle w:val="ListNumber"/>
              <w:numPr>
                <w:ilvl w:val="0"/>
                <w:numId w:val="0"/>
              </w:numPr>
              <w:tabs>
                <w:tab w:val="clear" w:pos="720"/>
                <w:tab w:val="left" w:pos="426"/>
              </w:tabs>
              <w:rPr>
                <w:rFonts w:cs="Arial"/>
                <w:color w:val="FF0000"/>
                <w:sz w:val="22"/>
                <w:szCs w:val="22"/>
              </w:rPr>
            </w:pPr>
            <w:r w:rsidRPr="00A60AB0">
              <w:rPr>
                <w:rFonts w:cs="Arial"/>
                <w:sz w:val="22"/>
                <w:szCs w:val="22"/>
              </w:rPr>
              <w:t xml:space="preserve">b) </w:t>
            </w:r>
            <w:proofErr w:type="gramStart"/>
            <w:r w:rsidRPr="00A60AB0">
              <w:rPr>
                <w:rFonts w:cs="Arial"/>
                <w:sz w:val="22"/>
                <w:szCs w:val="22"/>
              </w:rPr>
              <w:t>highlight</w:t>
            </w:r>
            <w:proofErr w:type="gramEnd"/>
            <w:r w:rsidRPr="00A60AB0">
              <w:rPr>
                <w:rFonts w:cs="Arial"/>
                <w:sz w:val="22"/>
                <w:szCs w:val="22"/>
              </w:rPr>
              <w:t xml:space="preserve"> relevant experience of the delivery team for this project, submitting examples of similar projects.</w:t>
            </w:r>
          </w:p>
          <w:p w:rsidR="00F52BE8" w:rsidRPr="00A60AB0" w:rsidRDefault="00532FB9" w:rsidP="00335497">
            <w:pPr>
              <w:pStyle w:val="ListNumber"/>
              <w:numPr>
                <w:ilvl w:val="0"/>
                <w:numId w:val="0"/>
              </w:numPr>
              <w:rPr>
                <w:rFonts w:cs="Arial"/>
                <w:sz w:val="22"/>
                <w:szCs w:val="22"/>
              </w:rPr>
            </w:pPr>
            <w:r w:rsidRPr="00A60AB0">
              <w:rPr>
                <w:rFonts w:cs="Arial"/>
                <w:b/>
                <w:sz w:val="22"/>
                <w:szCs w:val="22"/>
              </w:rPr>
              <w:t>Cost / Value for money (20%)</w:t>
            </w:r>
          </w:p>
          <w:p w:rsidR="00F52BE8" w:rsidRPr="00A60AB0" w:rsidRDefault="00F52BE8" w:rsidP="00335497">
            <w:pPr>
              <w:pStyle w:val="ListNumber"/>
              <w:numPr>
                <w:ilvl w:val="0"/>
                <w:numId w:val="0"/>
              </w:numPr>
              <w:rPr>
                <w:rFonts w:cs="Arial"/>
                <w:sz w:val="22"/>
                <w:szCs w:val="22"/>
              </w:rPr>
            </w:pPr>
            <w:r w:rsidRPr="00A60AB0">
              <w:rPr>
                <w:rFonts w:cs="Arial"/>
                <w:sz w:val="22"/>
                <w:szCs w:val="22"/>
              </w:rPr>
              <w:t xml:space="preserve">A </w:t>
            </w:r>
            <w:r w:rsidRPr="00A60AB0">
              <w:rPr>
                <w:rFonts w:cs="Arial"/>
                <w:b/>
                <w:sz w:val="22"/>
                <w:szCs w:val="22"/>
              </w:rPr>
              <w:t>fixed fee</w:t>
            </w:r>
            <w:r w:rsidRPr="00A60AB0">
              <w:rPr>
                <w:rFonts w:cs="Arial"/>
                <w:sz w:val="22"/>
                <w:szCs w:val="22"/>
              </w:rPr>
              <w:t xml:space="preserve"> for delivery of the project requirement (inclusive of all expenses), including a </w:t>
            </w:r>
            <w:r w:rsidRPr="00A60AB0">
              <w:rPr>
                <w:rFonts w:cs="Arial"/>
                <w:sz w:val="22"/>
                <w:szCs w:val="22"/>
                <w:u w:val="single"/>
              </w:rPr>
              <w:t>full price breakdown for each stage of the project</w:t>
            </w:r>
            <w:r w:rsidRPr="00A60AB0">
              <w:rPr>
                <w:rFonts w:cs="Arial"/>
                <w:sz w:val="22"/>
                <w:szCs w:val="22"/>
              </w:rPr>
              <w:t xml:space="preserve"> and details of the </w:t>
            </w:r>
            <w:r w:rsidRPr="00A60AB0">
              <w:rPr>
                <w:rFonts w:cs="Arial"/>
                <w:sz w:val="22"/>
                <w:szCs w:val="22"/>
                <w:u w:val="single"/>
              </w:rPr>
              <w:t>day rates</w:t>
            </w:r>
            <w:r w:rsidRPr="00A60AB0">
              <w:rPr>
                <w:rFonts w:cs="Arial"/>
                <w:sz w:val="22"/>
                <w:szCs w:val="22"/>
              </w:rPr>
              <w:t xml:space="preserve"> that will apply for the lifetime of this project.  </w:t>
            </w:r>
          </w:p>
          <w:p w:rsidR="00F52BE8" w:rsidRPr="00A60AB0"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A60AB0"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r w:rsidRPr="00A60AB0">
                    <w:rPr>
                      <w:rFonts w:cs="Arial"/>
                      <w:color w:val="000000"/>
                      <w:sz w:val="22"/>
                      <w:szCs w:val="22"/>
                    </w:rPr>
                    <w:t>Total cost (ex VAT)</w:t>
                  </w:r>
                </w:p>
              </w:tc>
            </w:tr>
            <w:tr w:rsidR="00F52BE8" w:rsidRPr="00A60AB0"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r>
            <w:tr w:rsidR="00F52BE8" w:rsidRPr="00A60AB0"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r>
            <w:tr w:rsidR="00F52BE8" w:rsidRPr="00A60AB0" w:rsidTr="00335497">
              <w:trPr>
                <w:cantSplit/>
              </w:trPr>
              <w:tc>
                <w:tcPr>
                  <w:tcW w:w="159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F52BE8" w:rsidRPr="00A60AB0" w:rsidRDefault="00F52BE8" w:rsidP="00335497">
                  <w:pPr>
                    <w:autoSpaceDE w:val="0"/>
                    <w:autoSpaceDN w:val="0"/>
                    <w:adjustRightInd w:val="0"/>
                    <w:rPr>
                      <w:rFonts w:cs="Arial"/>
                      <w:color w:val="000000"/>
                      <w:sz w:val="22"/>
                      <w:szCs w:val="22"/>
                    </w:rPr>
                  </w:pPr>
                </w:p>
              </w:tc>
            </w:tr>
          </w:tbl>
          <w:p w:rsidR="00F52BE8" w:rsidRPr="00A60AB0" w:rsidRDefault="00F52BE8" w:rsidP="00335497">
            <w:pPr>
              <w:rPr>
                <w:rFonts w:cs="Arial"/>
                <w:sz w:val="22"/>
                <w:szCs w:val="22"/>
              </w:rPr>
            </w:pPr>
          </w:p>
          <w:p w:rsidR="00F52BE8" w:rsidRPr="00A60AB0" w:rsidRDefault="00F52BE8" w:rsidP="00335497">
            <w:pPr>
              <w:rPr>
                <w:rFonts w:cs="Arial"/>
                <w:sz w:val="22"/>
                <w:szCs w:val="22"/>
              </w:rPr>
            </w:pPr>
            <w:r w:rsidRPr="00A60AB0">
              <w:rPr>
                <w:rFonts w:cs="Arial"/>
                <w:sz w:val="22"/>
                <w:szCs w:val="22"/>
              </w:rPr>
              <w:t>Please note that consultancy grades should align with the following definitions:</w:t>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6909"/>
            </w:tblGrid>
            <w:tr w:rsidR="00F52BE8" w:rsidRPr="00A60AB0" w:rsidTr="00A60AB0">
              <w:trPr>
                <w:trHeight w:val="298"/>
              </w:trPr>
              <w:tc>
                <w:tcPr>
                  <w:tcW w:w="1284" w:type="dxa"/>
                  <w:tcBorders>
                    <w:bottom w:val="single" w:sz="4" w:space="0" w:color="auto"/>
                  </w:tcBorders>
                  <w:shd w:val="clear" w:color="auto" w:fill="auto"/>
                  <w:vAlign w:val="center"/>
                </w:tcPr>
                <w:p w:rsidR="00F52BE8" w:rsidRPr="00A60AB0" w:rsidRDefault="00F52BE8" w:rsidP="00335497">
                  <w:pPr>
                    <w:jc w:val="center"/>
                    <w:rPr>
                      <w:rFonts w:cs="Arial"/>
                      <w:b/>
                      <w:sz w:val="22"/>
                      <w:szCs w:val="22"/>
                    </w:rPr>
                  </w:pPr>
                  <w:r w:rsidRPr="00A60AB0">
                    <w:rPr>
                      <w:rFonts w:cs="Arial"/>
                      <w:b/>
                      <w:sz w:val="22"/>
                      <w:szCs w:val="22"/>
                    </w:rPr>
                    <w:t>Grade</w:t>
                  </w:r>
                </w:p>
              </w:tc>
              <w:tc>
                <w:tcPr>
                  <w:tcW w:w="6896" w:type="dxa"/>
                  <w:shd w:val="clear" w:color="auto" w:fill="auto"/>
                  <w:vAlign w:val="bottom"/>
                </w:tcPr>
                <w:p w:rsidR="00F52BE8" w:rsidRPr="00A60AB0" w:rsidRDefault="00F52BE8" w:rsidP="00335497">
                  <w:pPr>
                    <w:jc w:val="center"/>
                    <w:rPr>
                      <w:rFonts w:cs="Arial"/>
                      <w:b/>
                      <w:sz w:val="22"/>
                      <w:szCs w:val="22"/>
                    </w:rPr>
                  </w:pPr>
                  <w:r w:rsidRPr="00A60AB0">
                    <w:rPr>
                      <w:rFonts w:cs="Arial"/>
                      <w:b/>
                      <w:sz w:val="22"/>
                      <w:szCs w:val="22"/>
                    </w:rPr>
                    <w:t>Requirement</w:t>
                  </w:r>
                </w:p>
              </w:tc>
            </w:tr>
            <w:tr w:rsidR="00F52BE8" w:rsidRPr="00A60AB0" w:rsidTr="00A60AB0">
              <w:trPr>
                <w:trHeight w:hRule="exact" w:val="909"/>
              </w:trPr>
              <w:tc>
                <w:tcPr>
                  <w:tcW w:w="1284" w:type="dxa"/>
                  <w:tcBorders>
                    <w:bottom w:val="single" w:sz="4" w:space="0" w:color="auto"/>
                  </w:tcBorders>
                  <w:shd w:val="clear" w:color="auto" w:fill="auto"/>
                </w:tcPr>
                <w:p w:rsidR="00F52BE8" w:rsidRPr="00A60AB0" w:rsidRDefault="00F52BE8" w:rsidP="00335497">
                  <w:pPr>
                    <w:rPr>
                      <w:rFonts w:cs="Arial"/>
                      <w:sz w:val="22"/>
                      <w:szCs w:val="22"/>
                    </w:rPr>
                  </w:pPr>
                  <w:r w:rsidRPr="00A60AB0">
                    <w:rPr>
                      <w:rFonts w:cs="Arial"/>
                      <w:sz w:val="22"/>
                      <w:szCs w:val="22"/>
                    </w:rPr>
                    <w:t>Junior consultant</w:t>
                  </w:r>
                </w:p>
              </w:tc>
              <w:tc>
                <w:tcPr>
                  <w:tcW w:w="0" w:type="auto"/>
                  <w:tcBorders>
                    <w:bottom w:val="single" w:sz="4" w:space="0" w:color="auto"/>
                  </w:tcBorders>
                  <w:shd w:val="clear" w:color="auto" w:fill="auto"/>
                </w:tcPr>
                <w:p w:rsidR="00F52BE8" w:rsidRPr="00A60AB0" w:rsidRDefault="00F52BE8" w:rsidP="00335497">
                  <w:pPr>
                    <w:rPr>
                      <w:rFonts w:cs="Arial"/>
                      <w:sz w:val="22"/>
                      <w:szCs w:val="22"/>
                    </w:rPr>
                  </w:pPr>
                  <w:r w:rsidRPr="00A60AB0">
                    <w:rPr>
                      <w:rFonts w:cs="Arial"/>
                      <w:sz w:val="22"/>
                      <w:szCs w:val="22"/>
                    </w:rPr>
                    <w:t>Demonstrable experience in a wide range of projects in their specialist field. Evidence of client facing experience and support services to wider consultancy projects.</w:t>
                  </w:r>
                </w:p>
              </w:tc>
            </w:tr>
            <w:tr w:rsidR="00F52BE8" w:rsidRPr="00A60AB0" w:rsidTr="00A60AB0">
              <w:trPr>
                <w:trHeight w:hRule="exact" w:val="1212"/>
              </w:trPr>
              <w:tc>
                <w:tcPr>
                  <w:tcW w:w="1284" w:type="dxa"/>
                  <w:shd w:val="clear" w:color="auto" w:fill="auto"/>
                </w:tcPr>
                <w:p w:rsidR="00F52BE8" w:rsidRPr="00A60AB0" w:rsidRDefault="00F52BE8" w:rsidP="00335497">
                  <w:pPr>
                    <w:rPr>
                      <w:rFonts w:cs="Arial"/>
                      <w:sz w:val="22"/>
                      <w:szCs w:val="22"/>
                    </w:rPr>
                  </w:pPr>
                  <w:r w:rsidRPr="00A60AB0">
                    <w:rPr>
                      <w:rFonts w:cs="Arial"/>
                      <w:sz w:val="22"/>
                      <w:szCs w:val="22"/>
                    </w:rPr>
                    <w:t>Consultant</w:t>
                  </w:r>
                </w:p>
              </w:tc>
              <w:tc>
                <w:tcPr>
                  <w:tcW w:w="0" w:type="auto"/>
                  <w:shd w:val="clear" w:color="auto" w:fill="auto"/>
                </w:tcPr>
                <w:p w:rsidR="00F52BE8" w:rsidRPr="00A60AB0" w:rsidRDefault="00F52BE8" w:rsidP="00335497">
                  <w:pPr>
                    <w:rPr>
                      <w:rFonts w:cs="Arial"/>
                      <w:sz w:val="22"/>
                      <w:szCs w:val="22"/>
                    </w:rPr>
                  </w:pPr>
                  <w:r w:rsidRPr="00A60AB0">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A60AB0" w:rsidTr="00A60AB0">
              <w:trPr>
                <w:trHeight w:hRule="exact" w:val="1288"/>
              </w:trPr>
              <w:tc>
                <w:tcPr>
                  <w:tcW w:w="1284" w:type="dxa"/>
                  <w:shd w:val="clear" w:color="auto" w:fill="auto"/>
                </w:tcPr>
                <w:p w:rsidR="00F52BE8" w:rsidRPr="00A60AB0" w:rsidRDefault="00F52BE8" w:rsidP="00335497">
                  <w:pPr>
                    <w:rPr>
                      <w:rFonts w:cs="Arial"/>
                      <w:sz w:val="22"/>
                      <w:szCs w:val="22"/>
                    </w:rPr>
                  </w:pPr>
                  <w:r w:rsidRPr="00A60AB0">
                    <w:rPr>
                      <w:rFonts w:cs="Arial"/>
                      <w:sz w:val="22"/>
                      <w:szCs w:val="22"/>
                    </w:rPr>
                    <w:t>Senior Consultant</w:t>
                  </w:r>
                </w:p>
              </w:tc>
              <w:tc>
                <w:tcPr>
                  <w:tcW w:w="0" w:type="auto"/>
                  <w:shd w:val="clear" w:color="auto" w:fill="auto"/>
                </w:tcPr>
                <w:p w:rsidR="00F52BE8" w:rsidRPr="00A60AB0" w:rsidRDefault="00F52BE8" w:rsidP="00335497">
                  <w:pPr>
                    <w:rPr>
                      <w:rFonts w:cs="Arial"/>
                      <w:sz w:val="22"/>
                      <w:szCs w:val="22"/>
                    </w:rPr>
                  </w:pPr>
                  <w:r w:rsidRPr="00A60AB0">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A60AB0" w:rsidTr="00A60AB0">
              <w:trPr>
                <w:trHeight w:hRule="exact" w:val="1516"/>
              </w:trPr>
              <w:tc>
                <w:tcPr>
                  <w:tcW w:w="1284" w:type="dxa"/>
                  <w:shd w:val="clear" w:color="auto" w:fill="auto"/>
                </w:tcPr>
                <w:p w:rsidR="00F52BE8" w:rsidRPr="00A60AB0" w:rsidRDefault="00F52BE8" w:rsidP="00335497">
                  <w:pPr>
                    <w:rPr>
                      <w:rFonts w:cs="Arial"/>
                      <w:sz w:val="22"/>
                      <w:szCs w:val="22"/>
                    </w:rPr>
                  </w:pPr>
                  <w:r w:rsidRPr="00A60AB0">
                    <w:rPr>
                      <w:rFonts w:cs="Arial"/>
                      <w:sz w:val="22"/>
                      <w:szCs w:val="22"/>
                    </w:rPr>
                    <w:t>Principal Consultant</w:t>
                  </w:r>
                </w:p>
              </w:tc>
              <w:tc>
                <w:tcPr>
                  <w:tcW w:w="0" w:type="auto"/>
                  <w:shd w:val="clear" w:color="auto" w:fill="auto"/>
                </w:tcPr>
                <w:p w:rsidR="00F52BE8" w:rsidRPr="00A60AB0" w:rsidRDefault="00F52BE8" w:rsidP="00335497">
                  <w:pPr>
                    <w:rPr>
                      <w:rFonts w:cs="Arial"/>
                      <w:sz w:val="22"/>
                      <w:szCs w:val="22"/>
                    </w:rPr>
                  </w:pPr>
                  <w:r w:rsidRPr="00A60AB0">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A60AB0" w:rsidTr="00A60AB0">
              <w:trPr>
                <w:trHeight w:hRule="exact" w:val="1516"/>
              </w:trPr>
              <w:tc>
                <w:tcPr>
                  <w:tcW w:w="1284" w:type="dxa"/>
                  <w:shd w:val="clear" w:color="auto" w:fill="auto"/>
                </w:tcPr>
                <w:p w:rsidR="00F52BE8" w:rsidRPr="00A60AB0" w:rsidRDefault="00F52BE8" w:rsidP="00335497">
                  <w:pPr>
                    <w:rPr>
                      <w:rFonts w:cs="Arial"/>
                      <w:sz w:val="22"/>
                      <w:szCs w:val="22"/>
                    </w:rPr>
                  </w:pPr>
                  <w:r w:rsidRPr="00A60AB0">
                    <w:rPr>
                      <w:rFonts w:cs="Arial"/>
                      <w:sz w:val="22"/>
                      <w:szCs w:val="22"/>
                    </w:rPr>
                    <w:t>Managing Consultant</w:t>
                  </w:r>
                </w:p>
              </w:tc>
              <w:tc>
                <w:tcPr>
                  <w:tcW w:w="0" w:type="auto"/>
                  <w:shd w:val="clear" w:color="auto" w:fill="auto"/>
                </w:tcPr>
                <w:p w:rsidR="00F52BE8" w:rsidRPr="00A60AB0" w:rsidRDefault="00F52BE8" w:rsidP="00335497">
                  <w:pPr>
                    <w:rPr>
                      <w:rFonts w:cs="Arial"/>
                      <w:sz w:val="22"/>
                      <w:szCs w:val="22"/>
                    </w:rPr>
                  </w:pPr>
                  <w:r w:rsidRPr="00A60AB0">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A60AB0" w:rsidTr="00A60AB0">
              <w:trPr>
                <w:trHeight w:hRule="exact" w:val="1632"/>
              </w:trPr>
              <w:tc>
                <w:tcPr>
                  <w:tcW w:w="1284" w:type="dxa"/>
                  <w:shd w:val="clear" w:color="auto" w:fill="auto"/>
                </w:tcPr>
                <w:p w:rsidR="00F52BE8" w:rsidRPr="00A60AB0" w:rsidRDefault="00F52BE8" w:rsidP="00335497">
                  <w:pPr>
                    <w:rPr>
                      <w:rFonts w:cs="Arial"/>
                      <w:sz w:val="22"/>
                      <w:szCs w:val="22"/>
                    </w:rPr>
                  </w:pPr>
                  <w:r w:rsidRPr="00A60AB0">
                    <w:rPr>
                      <w:rFonts w:cs="Arial"/>
                      <w:sz w:val="22"/>
                      <w:szCs w:val="22"/>
                    </w:rPr>
                    <w:t>Director / Partner</w:t>
                  </w:r>
                </w:p>
                <w:p w:rsidR="00F52BE8" w:rsidRPr="00A60AB0" w:rsidRDefault="00F52BE8" w:rsidP="00335497">
                  <w:pPr>
                    <w:rPr>
                      <w:rFonts w:cs="Arial"/>
                      <w:sz w:val="22"/>
                      <w:szCs w:val="22"/>
                    </w:rPr>
                  </w:pPr>
                </w:p>
              </w:tc>
              <w:tc>
                <w:tcPr>
                  <w:tcW w:w="0" w:type="auto"/>
                  <w:shd w:val="clear" w:color="auto" w:fill="auto"/>
                </w:tcPr>
                <w:p w:rsidR="00F52BE8" w:rsidRPr="00A60AB0" w:rsidRDefault="00F52BE8" w:rsidP="00335497">
                  <w:pPr>
                    <w:rPr>
                      <w:rFonts w:cs="Arial"/>
                      <w:sz w:val="22"/>
                      <w:szCs w:val="22"/>
                    </w:rPr>
                  </w:pPr>
                  <w:r w:rsidRPr="00A60AB0">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52BE8" w:rsidRPr="00A60AB0" w:rsidRDefault="00F52BE8" w:rsidP="00335497">
            <w:pPr>
              <w:rPr>
                <w:rFonts w:cs="Arial"/>
                <w:sz w:val="22"/>
                <w:szCs w:val="22"/>
              </w:rPr>
            </w:pPr>
          </w:p>
          <w:p w:rsidR="00F52BE8" w:rsidRPr="00A60AB0" w:rsidRDefault="00F52BE8" w:rsidP="00335497">
            <w:pPr>
              <w:rPr>
                <w:rFonts w:cs="Arial"/>
                <w:b/>
                <w:sz w:val="22"/>
                <w:szCs w:val="22"/>
                <w:u w:val="single"/>
              </w:rPr>
            </w:pPr>
            <w:r w:rsidRPr="00A60AB0">
              <w:rPr>
                <w:rFonts w:cs="Arial"/>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F52BE8" w:rsidRPr="00A60AB0"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Unanswered or totally inadequate response to the requirement. Complete failure to grasp/reflect the core issues</w:t>
                  </w:r>
                </w:p>
              </w:tc>
            </w:tr>
            <w:tr w:rsidR="00F52BE8" w:rsidRPr="00A60AB0"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Minimal or poor response to meeting the requirement. Limited understanding, misses some aspects</w:t>
                  </w:r>
                </w:p>
              </w:tc>
            </w:tr>
            <w:tr w:rsidR="00F52BE8" w:rsidRPr="00A60AB0"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Good understanding and interpretation of requirements, providing clear evidence of how the criterion has been met</w:t>
                  </w:r>
                </w:p>
              </w:tc>
            </w:tr>
            <w:tr w:rsidR="00F52BE8" w:rsidRPr="00A60AB0"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rsidR="00F52BE8" w:rsidRPr="00A60AB0" w:rsidRDefault="00F52BE8" w:rsidP="00335497">
                  <w:pPr>
                    <w:spacing w:after="0"/>
                    <w:jc w:val="center"/>
                    <w:rPr>
                      <w:rFonts w:cs="Arial"/>
                      <w:sz w:val="22"/>
                      <w:szCs w:val="22"/>
                      <w:lang w:eastAsia="en-GB"/>
                    </w:rPr>
                  </w:pPr>
                  <w:r w:rsidRPr="00A60AB0">
                    <w:rPr>
                      <w:rFonts w:cs="Arial"/>
                      <w:sz w:val="22"/>
                      <w:szCs w:val="22"/>
                      <w:lang w:eastAsia="en-GB"/>
                    </w:rPr>
                    <w:t>Excellent response fully addressing the requirement and providing significant additional evidence of how the criterion has been met and how value would be added</w:t>
                  </w:r>
                </w:p>
              </w:tc>
            </w:tr>
          </w:tbl>
          <w:p w:rsidR="00F52BE8" w:rsidRPr="00A60AB0" w:rsidRDefault="00F52BE8" w:rsidP="00335497">
            <w:pPr>
              <w:rPr>
                <w:rFonts w:cs="Arial"/>
                <w:sz w:val="22"/>
                <w:szCs w:val="22"/>
              </w:rPr>
            </w:pPr>
          </w:p>
          <w:p w:rsidR="00F52BE8" w:rsidRPr="00A60AB0" w:rsidRDefault="00F52BE8" w:rsidP="00335497">
            <w:pPr>
              <w:rPr>
                <w:rFonts w:cs="Arial"/>
                <w:sz w:val="22"/>
                <w:szCs w:val="22"/>
              </w:rPr>
            </w:pPr>
          </w:p>
        </w:tc>
        <w:bookmarkStart w:id="0" w:name="_GoBack"/>
        <w:bookmarkEnd w:id="0"/>
      </w:tr>
    </w:tbl>
    <w:p w:rsidR="00F52BE8" w:rsidRPr="00A60AB0" w:rsidRDefault="00F52BE8" w:rsidP="00F52BE8">
      <w:pPr>
        <w:rPr>
          <w:rFonts w:cs="Arial"/>
          <w:b/>
          <w:sz w:val="22"/>
          <w:szCs w:val="22"/>
          <w:u w:val="single"/>
        </w:rPr>
        <w:sectPr w:rsidR="00F52BE8" w:rsidRPr="00A60AB0" w:rsidSect="001C0DC6">
          <w:footerReference w:type="default" r:id="rId9"/>
          <w:pgSz w:w="11906" w:h="16838"/>
          <w:pgMar w:top="1440" w:right="1797" w:bottom="1618" w:left="1797" w:header="709" w:footer="709" w:gutter="0"/>
          <w:cols w:space="708"/>
          <w:docGrid w:linePitch="360"/>
        </w:sectPr>
      </w:pPr>
    </w:p>
    <w:p w:rsidR="00F52BE8" w:rsidRPr="00A60AB0" w:rsidRDefault="00F52BE8" w:rsidP="00F52BE8">
      <w:pPr>
        <w:pStyle w:val="ListNumber2"/>
        <w:numPr>
          <w:ilvl w:val="0"/>
          <w:numId w:val="0"/>
        </w:numPr>
        <w:rPr>
          <w:rFonts w:cs="Arial"/>
          <w:b/>
          <w:sz w:val="22"/>
          <w:szCs w:val="22"/>
        </w:rPr>
      </w:pPr>
      <w:r w:rsidRPr="00A60AB0">
        <w:rPr>
          <w:rFonts w:cs="Arial"/>
          <w:b/>
          <w:sz w:val="22"/>
          <w:szCs w:val="22"/>
        </w:rPr>
        <w:lastRenderedPageBreak/>
        <w:t xml:space="preserve">4. Procurement procedures </w:t>
      </w:r>
    </w:p>
    <w:p w:rsidR="00F52BE8" w:rsidRPr="00A60AB0" w:rsidRDefault="00F52BE8" w:rsidP="00F52BE8">
      <w:pPr>
        <w:pStyle w:val="ListNumber2"/>
        <w:numPr>
          <w:ilvl w:val="0"/>
          <w:numId w:val="0"/>
        </w:numPr>
        <w:ind w:left="720" w:hanging="720"/>
        <w:rPr>
          <w:rFonts w:cs="Arial"/>
          <w:sz w:val="22"/>
          <w:szCs w:val="22"/>
          <w:u w:val="single"/>
        </w:rPr>
      </w:pPr>
      <w:r w:rsidRPr="00A60AB0">
        <w:rPr>
          <w:rFonts w:cs="Arial"/>
          <w:sz w:val="22"/>
          <w:szCs w:val="22"/>
          <w:u w:val="single"/>
        </w:rPr>
        <w:t>Tendering Timetable</w:t>
      </w:r>
    </w:p>
    <w:p w:rsidR="00F52BE8" w:rsidRPr="00A60AB0" w:rsidRDefault="00F52BE8" w:rsidP="00F52BE8">
      <w:pPr>
        <w:pStyle w:val="ListNumber2"/>
        <w:numPr>
          <w:ilvl w:val="0"/>
          <w:numId w:val="0"/>
        </w:numPr>
        <w:ind w:left="720" w:hanging="720"/>
        <w:rPr>
          <w:rFonts w:cs="Arial"/>
          <w:sz w:val="22"/>
          <w:szCs w:val="22"/>
        </w:rPr>
      </w:pPr>
      <w:r w:rsidRPr="00A60AB0">
        <w:rPr>
          <w:rFonts w:cs="Arial"/>
          <w:sz w:val="22"/>
          <w:szCs w:val="22"/>
        </w:rPr>
        <w:t>The timescales for the procurement process are as follows:</w:t>
      </w:r>
    </w:p>
    <w:tbl>
      <w:tblPr>
        <w:tblW w:w="0" w:type="auto"/>
        <w:tblCellMar>
          <w:left w:w="0" w:type="dxa"/>
          <w:right w:w="0" w:type="dxa"/>
        </w:tblCellMar>
        <w:tblLook w:val="04A0" w:firstRow="1" w:lastRow="0" w:firstColumn="1" w:lastColumn="0" w:noHBand="0" w:noVBand="1"/>
      </w:tblPr>
      <w:tblGrid>
        <w:gridCol w:w="4789"/>
        <w:gridCol w:w="3503"/>
      </w:tblGrid>
      <w:tr w:rsidR="00B14E58" w:rsidRPr="00A60AB0" w:rsidTr="00B14E58">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b/>
                <w:bCs/>
                <w:sz w:val="22"/>
                <w:szCs w:val="22"/>
                <w:lang w:eastAsia="en-GB"/>
              </w:rPr>
            </w:pPr>
            <w:r w:rsidRPr="00A60AB0">
              <w:rPr>
                <w:rFonts w:eastAsia="Calibri" w:cs="Arial"/>
                <w:b/>
                <w:bCs/>
                <w:sz w:val="22"/>
                <w:szCs w:val="22"/>
                <w:lang w:eastAsia="en-GB"/>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b/>
                <w:bCs/>
                <w:sz w:val="22"/>
                <w:szCs w:val="22"/>
                <w:lang w:eastAsia="en-GB"/>
              </w:rPr>
            </w:pPr>
            <w:r w:rsidRPr="00A60AB0">
              <w:rPr>
                <w:rFonts w:eastAsia="Calibri" w:cs="Arial"/>
                <w:b/>
                <w:bCs/>
                <w:sz w:val="22"/>
                <w:szCs w:val="22"/>
                <w:lang w:eastAsia="en-GB"/>
              </w:rPr>
              <w:t>Timescale</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30 Aug 2019</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A60AB0" w:rsidP="00B14E58">
            <w:pPr>
              <w:spacing w:after="0" w:line="252" w:lineRule="auto"/>
              <w:rPr>
                <w:rFonts w:eastAsia="Calibri" w:cs="Arial"/>
                <w:sz w:val="22"/>
                <w:szCs w:val="22"/>
                <w:lang w:eastAsia="en-GB"/>
              </w:rPr>
            </w:pPr>
            <w:r>
              <w:rPr>
                <w:rFonts w:eastAsia="Calibri" w:cs="Arial"/>
                <w:sz w:val="22"/>
                <w:szCs w:val="22"/>
                <w:lang w:eastAsia="en-GB"/>
              </w:rPr>
              <w:t>0</w:t>
            </w:r>
            <w:r w:rsidR="00B14E58" w:rsidRPr="00A60AB0">
              <w:rPr>
                <w:rFonts w:eastAsia="Calibri" w:cs="Arial"/>
                <w:sz w:val="22"/>
                <w:szCs w:val="22"/>
                <w:lang w:eastAsia="en-GB"/>
              </w:rPr>
              <w:t>9 Sept 2019 10:00</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13 Sept 2019 10:00</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17 Sept 2019</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Interviews and presentations*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23-24 Sept 2019</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25 Sept 2019</w:t>
            </w:r>
          </w:p>
        </w:tc>
      </w:tr>
      <w:tr w:rsidR="00B14E58" w:rsidRPr="00A60AB0" w:rsidTr="00B14E58">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4E58" w:rsidRPr="00A60AB0" w:rsidRDefault="00B14E58" w:rsidP="00B14E58">
            <w:pPr>
              <w:spacing w:after="0" w:line="252" w:lineRule="auto"/>
              <w:rPr>
                <w:rFonts w:eastAsia="Calibri" w:cs="Arial"/>
                <w:sz w:val="22"/>
                <w:szCs w:val="22"/>
                <w:lang w:eastAsia="en-GB"/>
              </w:rPr>
            </w:pPr>
            <w:r w:rsidRPr="00A60AB0">
              <w:rPr>
                <w:rFonts w:eastAsia="Calibri" w:cs="Arial"/>
                <w:sz w:val="22"/>
                <w:szCs w:val="22"/>
                <w:lang w:eastAsia="en-GB"/>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14E58" w:rsidRPr="00A60AB0" w:rsidRDefault="00A60AB0" w:rsidP="00B14E58">
            <w:pPr>
              <w:spacing w:after="0" w:line="252" w:lineRule="auto"/>
              <w:rPr>
                <w:rFonts w:eastAsia="Calibri" w:cs="Arial"/>
                <w:sz w:val="22"/>
                <w:szCs w:val="22"/>
                <w:lang w:eastAsia="en-GB"/>
              </w:rPr>
            </w:pPr>
            <w:r>
              <w:rPr>
                <w:rFonts w:eastAsia="Calibri" w:cs="Arial"/>
                <w:sz w:val="22"/>
                <w:szCs w:val="22"/>
                <w:lang w:eastAsia="en-GB"/>
              </w:rPr>
              <w:t>0</w:t>
            </w:r>
            <w:r w:rsidR="00B14E58" w:rsidRPr="00A60AB0">
              <w:rPr>
                <w:rFonts w:eastAsia="Calibri" w:cs="Arial"/>
                <w:sz w:val="22"/>
                <w:szCs w:val="22"/>
                <w:lang w:eastAsia="en-GB"/>
              </w:rPr>
              <w:t>2 Oct 2019</w:t>
            </w:r>
          </w:p>
        </w:tc>
      </w:tr>
    </w:tbl>
    <w:p w:rsidR="00F52BE8" w:rsidRPr="00A60AB0" w:rsidRDefault="00F52BE8" w:rsidP="00F52BE8">
      <w:pPr>
        <w:pStyle w:val="ListNumber"/>
        <w:numPr>
          <w:ilvl w:val="0"/>
          <w:numId w:val="0"/>
        </w:numPr>
        <w:spacing w:before="0" w:after="0"/>
        <w:rPr>
          <w:rFonts w:cs="Arial"/>
          <w:sz w:val="22"/>
          <w:szCs w:val="22"/>
        </w:rPr>
      </w:pPr>
      <w:r w:rsidRPr="00A60AB0">
        <w:rPr>
          <w:rFonts w:cs="Arial"/>
          <w:sz w:val="22"/>
          <w:szCs w:val="22"/>
        </w:rPr>
        <w:t xml:space="preserve">*Please ensure that the Project Manager and other key consultants who will be delivering this work are available to give presentations on the interview date </w:t>
      </w:r>
    </w:p>
    <w:p w:rsidR="00F52BE8" w:rsidRDefault="00F52BE8" w:rsidP="00F52BE8">
      <w:pPr>
        <w:jc w:val="both"/>
        <w:rPr>
          <w:rFonts w:cs="Arial"/>
          <w:sz w:val="22"/>
          <w:szCs w:val="22"/>
          <w:u w:val="single"/>
        </w:rPr>
      </w:pPr>
    </w:p>
    <w:p w:rsidR="00AE4A5A" w:rsidRPr="00E61B48" w:rsidRDefault="00AE4A5A" w:rsidP="00AE4A5A">
      <w:pPr>
        <w:spacing w:after="0"/>
        <w:jc w:val="both"/>
        <w:rPr>
          <w:rFonts w:cs="Arial"/>
          <w:sz w:val="22"/>
          <w:szCs w:val="22"/>
          <w:u w:val="single"/>
        </w:rPr>
      </w:pPr>
      <w:r w:rsidRPr="00E61B48">
        <w:rPr>
          <w:rFonts w:cs="Arial"/>
          <w:sz w:val="22"/>
          <w:szCs w:val="22"/>
          <w:u w:val="single"/>
        </w:rPr>
        <w:t>Tendering Instructions and Guidance</w:t>
      </w:r>
    </w:p>
    <w:p w:rsidR="00AE4A5A" w:rsidRPr="00E61B48" w:rsidRDefault="00AE4A5A" w:rsidP="00AE4A5A">
      <w:pPr>
        <w:spacing w:after="0"/>
        <w:jc w:val="both"/>
        <w:rPr>
          <w:rFonts w:cs="Arial"/>
          <w:sz w:val="22"/>
          <w:szCs w:val="22"/>
          <w:u w:val="single"/>
        </w:rPr>
      </w:pPr>
    </w:p>
    <w:p w:rsidR="00AE4A5A" w:rsidRPr="00E61B48" w:rsidRDefault="00AE4A5A" w:rsidP="00AE4A5A">
      <w:pPr>
        <w:spacing w:after="0"/>
        <w:jc w:val="both"/>
        <w:rPr>
          <w:rFonts w:cs="Arial"/>
          <w:b/>
          <w:sz w:val="22"/>
          <w:szCs w:val="22"/>
        </w:rPr>
      </w:pPr>
      <w:r w:rsidRPr="00E61B48">
        <w:rPr>
          <w:rFonts w:cs="Arial"/>
          <w:b/>
          <w:sz w:val="22"/>
          <w:szCs w:val="22"/>
        </w:rPr>
        <w:t>Amendments to ITT document</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AE4A5A" w:rsidRPr="00E61B48" w:rsidRDefault="00AE4A5A" w:rsidP="00AE4A5A">
      <w:pPr>
        <w:tabs>
          <w:tab w:val="left" w:pos="720"/>
        </w:tabs>
        <w:spacing w:after="0"/>
        <w:rPr>
          <w:rFonts w:cs="Arial"/>
          <w:b/>
          <w:sz w:val="22"/>
          <w:szCs w:val="22"/>
        </w:rPr>
      </w:pPr>
    </w:p>
    <w:p w:rsidR="00AE4A5A" w:rsidRPr="00E61B48" w:rsidRDefault="00AE4A5A" w:rsidP="00AE4A5A">
      <w:pPr>
        <w:keepNext/>
        <w:spacing w:after="0"/>
        <w:jc w:val="both"/>
        <w:rPr>
          <w:rFonts w:cs="Arial"/>
          <w:b/>
          <w:sz w:val="22"/>
          <w:szCs w:val="22"/>
        </w:rPr>
      </w:pPr>
      <w:r w:rsidRPr="00E61B48">
        <w:rPr>
          <w:rFonts w:cs="Arial"/>
          <w:b/>
          <w:sz w:val="22"/>
          <w:szCs w:val="22"/>
        </w:rPr>
        <w:t>Clarifications &amp; Queries</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Please note that, for audit purposes, any query in connection with the tender should be submitted </w:t>
      </w:r>
      <w:r w:rsidRPr="00E61B48">
        <w:rPr>
          <w:rFonts w:cs="Arial"/>
          <w:bCs/>
          <w:sz w:val="22"/>
          <w:szCs w:val="22"/>
        </w:rPr>
        <w:t xml:space="preserve">via the ORR </w:t>
      </w:r>
      <w:proofErr w:type="spellStart"/>
      <w:r w:rsidRPr="00E61B48">
        <w:rPr>
          <w:rFonts w:cs="Arial"/>
          <w:bCs/>
          <w:sz w:val="22"/>
          <w:szCs w:val="22"/>
        </w:rPr>
        <w:t>eTendering</w:t>
      </w:r>
      <w:proofErr w:type="spellEnd"/>
      <w:r w:rsidRPr="00E61B48">
        <w:rPr>
          <w:rFonts w:cs="Arial"/>
          <w:bCs/>
          <w:sz w:val="22"/>
          <w:szCs w:val="22"/>
        </w:rPr>
        <w:t xml:space="preserve"> portal.</w:t>
      </w:r>
      <w:r w:rsidRPr="00E61B48">
        <w:rPr>
          <w:rFonts w:cs="Arial"/>
          <w:b/>
          <w:bCs/>
          <w:sz w:val="22"/>
          <w:szCs w:val="22"/>
        </w:rPr>
        <w:t xml:space="preserve"> </w:t>
      </w:r>
      <w:r w:rsidRPr="00E61B48">
        <w:rPr>
          <w:rFonts w:cs="Arial"/>
          <w:sz w:val="22"/>
          <w:szCs w:val="22"/>
        </w:rPr>
        <w:t xml:space="preserve">The response, as well as the nature of the query, will be notified to all suppliers without disclosing the name of the Supplier who initiated the query. </w:t>
      </w:r>
    </w:p>
    <w:p w:rsidR="00AE4A5A" w:rsidRPr="00E61B48" w:rsidRDefault="00AE4A5A" w:rsidP="00AE4A5A">
      <w:pPr>
        <w:tabs>
          <w:tab w:val="left" w:pos="720"/>
        </w:tabs>
        <w:spacing w:after="0"/>
        <w:rPr>
          <w:rFonts w:cs="Arial"/>
          <w:sz w:val="22"/>
          <w:szCs w:val="22"/>
        </w:rPr>
      </w:pPr>
    </w:p>
    <w:p w:rsidR="00AE4A5A" w:rsidRPr="00E61B48" w:rsidRDefault="00AE4A5A" w:rsidP="00AE4A5A">
      <w:pPr>
        <w:spacing w:after="0"/>
        <w:jc w:val="both"/>
        <w:rPr>
          <w:rFonts w:cs="Arial"/>
          <w:b/>
          <w:sz w:val="22"/>
          <w:szCs w:val="22"/>
        </w:rPr>
      </w:pPr>
      <w:r w:rsidRPr="00E61B48">
        <w:rPr>
          <w:rFonts w:cs="Arial"/>
          <w:b/>
          <w:sz w:val="22"/>
          <w:szCs w:val="22"/>
        </w:rPr>
        <w:t>Submission Process</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Tenders must be uploaded to the ORR </w:t>
      </w:r>
      <w:proofErr w:type="spellStart"/>
      <w:r w:rsidRPr="00E61B48">
        <w:rPr>
          <w:rFonts w:cs="Arial"/>
          <w:sz w:val="22"/>
          <w:szCs w:val="22"/>
        </w:rPr>
        <w:t>eTendering</w:t>
      </w:r>
      <w:proofErr w:type="spellEnd"/>
      <w:r w:rsidRPr="00E61B48">
        <w:rPr>
          <w:rFonts w:cs="Arial"/>
          <w:sz w:val="22"/>
          <w:szCs w:val="22"/>
        </w:rPr>
        <w:t xml:space="preserve"> portal</w:t>
      </w:r>
      <w:r w:rsidRPr="00E61B48">
        <w:rPr>
          <w:rFonts w:cs="Arial"/>
          <w:b/>
          <w:sz w:val="22"/>
          <w:szCs w:val="22"/>
        </w:rPr>
        <w:t xml:space="preserve"> no later</w:t>
      </w:r>
      <w:r w:rsidRPr="00E61B48">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Please submit the Form of Tender and Disclaimer certificate along with your proposal. If you are already registered on our </w:t>
      </w:r>
      <w:proofErr w:type="spellStart"/>
      <w:r w:rsidRPr="00E61B48">
        <w:rPr>
          <w:rFonts w:cs="Arial"/>
          <w:sz w:val="22"/>
          <w:szCs w:val="22"/>
        </w:rPr>
        <w:t>eTendering</w:t>
      </w:r>
      <w:proofErr w:type="spellEnd"/>
      <w:r w:rsidRPr="00E61B48">
        <w:rPr>
          <w:rFonts w:cs="Arial"/>
          <w:sz w:val="22"/>
          <w:szCs w:val="22"/>
        </w:rPr>
        <w:t xml:space="preserve"> portal but have forgotten your login details, please contact the portal administrator.</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An evaluation team will evaluate all tenders correctly submitted against the stated evaluation criteria. </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By issuing this Invitation to Tender ORR does not undertake to accept the lowest tender, or part or all of any tender. No part of the tender submitted will be returned to the supplier </w:t>
      </w:r>
    </w:p>
    <w:p w:rsidR="00AE4A5A" w:rsidRPr="00E61B48" w:rsidRDefault="00AE4A5A" w:rsidP="00AE4A5A">
      <w:pPr>
        <w:spacing w:after="0"/>
        <w:jc w:val="both"/>
        <w:rPr>
          <w:rFonts w:cs="Arial"/>
          <w:b/>
          <w:sz w:val="22"/>
          <w:szCs w:val="22"/>
        </w:rPr>
      </w:pPr>
    </w:p>
    <w:p w:rsidR="00AE4A5A" w:rsidRPr="00E61B48" w:rsidRDefault="00AE4A5A" w:rsidP="00AE4A5A">
      <w:pPr>
        <w:spacing w:after="0"/>
        <w:jc w:val="both"/>
        <w:rPr>
          <w:rFonts w:cs="Arial"/>
          <w:sz w:val="22"/>
          <w:szCs w:val="22"/>
        </w:rPr>
      </w:pPr>
      <w:r w:rsidRPr="00E61B48">
        <w:rPr>
          <w:rFonts w:cs="Arial"/>
          <w:b/>
          <w:sz w:val="22"/>
          <w:szCs w:val="22"/>
        </w:rPr>
        <w:t>Cost &amp; Pricing Information</w:t>
      </w:r>
    </w:p>
    <w:p w:rsidR="00AE4A5A" w:rsidRPr="00E61B48" w:rsidRDefault="00AE4A5A" w:rsidP="00AE4A5A">
      <w:pPr>
        <w:tabs>
          <w:tab w:val="left" w:pos="720"/>
        </w:tabs>
        <w:spacing w:after="0"/>
        <w:rPr>
          <w:rFonts w:cs="Arial"/>
          <w:sz w:val="22"/>
          <w:szCs w:val="22"/>
        </w:rPr>
      </w:pPr>
      <w:r w:rsidRPr="00E61B48">
        <w:rPr>
          <w:rFonts w:cs="Arial"/>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AE4A5A" w:rsidRPr="00E61B48" w:rsidRDefault="00AE4A5A" w:rsidP="00AE4A5A">
      <w:pPr>
        <w:tabs>
          <w:tab w:val="left" w:pos="720"/>
        </w:tabs>
        <w:spacing w:after="0"/>
        <w:rPr>
          <w:rFonts w:cs="Arial"/>
          <w:sz w:val="22"/>
          <w:szCs w:val="22"/>
        </w:rPr>
      </w:pPr>
      <w:r w:rsidRPr="00E61B48">
        <w:rPr>
          <w:rFonts w:cs="Arial"/>
          <w:sz w:val="22"/>
          <w:szCs w:val="22"/>
        </w:rPr>
        <w:t>Tender prices must be in Sterling.</w:t>
      </w:r>
    </w:p>
    <w:p w:rsidR="00AE4A5A" w:rsidRPr="00E61B48" w:rsidRDefault="00AE4A5A" w:rsidP="00AE4A5A">
      <w:pPr>
        <w:tabs>
          <w:tab w:val="left" w:pos="720"/>
        </w:tabs>
        <w:spacing w:after="0"/>
        <w:rPr>
          <w:rFonts w:cs="Arial"/>
          <w:sz w:val="22"/>
          <w:szCs w:val="22"/>
        </w:rPr>
      </w:pPr>
      <w:r w:rsidRPr="00E61B48">
        <w:rPr>
          <w:rFonts w:cs="Arial"/>
          <w:sz w:val="22"/>
          <w:szCs w:val="22"/>
        </w:rPr>
        <w:t>Once the contract has been awarded, any additional costs incurred which are not reflected in the tender submission will not be accepted for payment.</w:t>
      </w:r>
    </w:p>
    <w:p w:rsidR="00AE4A5A" w:rsidRPr="00E61B48" w:rsidRDefault="00AE4A5A" w:rsidP="00AE4A5A">
      <w:pPr>
        <w:tabs>
          <w:tab w:val="left" w:pos="720"/>
        </w:tabs>
        <w:spacing w:after="0"/>
        <w:rPr>
          <w:rFonts w:cs="Arial"/>
          <w:b/>
          <w:sz w:val="22"/>
          <w:szCs w:val="22"/>
        </w:rPr>
      </w:pPr>
    </w:p>
    <w:p w:rsidR="00AE4A5A" w:rsidRPr="00E61B48" w:rsidRDefault="00AE4A5A" w:rsidP="00AE4A5A">
      <w:pPr>
        <w:tabs>
          <w:tab w:val="left" w:pos="720"/>
        </w:tabs>
        <w:spacing w:after="0"/>
        <w:rPr>
          <w:rFonts w:cs="Arial"/>
          <w:b/>
          <w:sz w:val="22"/>
          <w:szCs w:val="22"/>
        </w:rPr>
      </w:pPr>
      <w:r w:rsidRPr="00E61B48">
        <w:rPr>
          <w:rFonts w:cs="Arial"/>
          <w:b/>
          <w:sz w:val="22"/>
          <w:szCs w:val="22"/>
        </w:rPr>
        <w:t>References</w:t>
      </w:r>
    </w:p>
    <w:p w:rsidR="00AE4A5A" w:rsidRPr="00E61B48" w:rsidRDefault="00AE4A5A" w:rsidP="00AE4A5A">
      <w:pPr>
        <w:tabs>
          <w:tab w:val="left" w:pos="720"/>
        </w:tabs>
        <w:spacing w:after="0"/>
        <w:rPr>
          <w:rFonts w:cs="Arial"/>
          <w:sz w:val="22"/>
          <w:szCs w:val="22"/>
        </w:rPr>
      </w:pPr>
      <w:r w:rsidRPr="00E61B48">
        <w:rPr>
          <w:rFonts w:cs="Arial"/>
          <w:sz w:val="22"/>
          <w:szCs w:val="22"/>
        </w:rPr>
        <w:t>References provided as part of the tender may be approached during the tender stage</w:t>
      </w:r>
    </w:p>
    <w:p w:rsidR="00AE4A5A" w:rsidRPr="00E61B48" w:rsidRDefault="00AE4A5A" w:rsidP="00AE4A5A">
      <w:pPr>
        <w:tabs>
          <w:tab w:val="left" w:pos="720"/>
        </w:tabs>
        <w:spacing w:after="0"/>
        <w:rPr>
          <w:rFonts w:cs="Arial"/>
          <w:sz w:val="22"/>
          <w:szCs w:val="22"/>
        </w:rPr>
      </w:pPr>
    </w:p>
    <w:p w:rsidR="00AE4A5A" w:rsidRPr="00E61B48" w:rsidRDefault="00AE4A5A" w:rsidP="00AE4A5A">
      <w:pPr>
        <w:tabs>
          <w:tab w:val="left" w:pos="720"/>
        </w:tabs>
        <w:spacing w:after="0"/>
        <w:rPr>
          <w:rFonts w:cs="Arial"/>
          <w:b/>
          <w:sz w:val="22"/>
          <w:szCs w:val="22"/>
        </w:rPr>
      </w:pPr>
      <w:r w:rsidRPr="00E61B48">
        <w:rPr>
          <w:rFonts w:cs="Arial"/>
          <w:b/>
          <w:sz w:val="22"/>
          <w:szCs w:val="22"/>
        </w:rPr>
        <w:t>Contractual Information</w:t>
      </w:r>
    </w:p>
    <w:p w:rsidR="00AE4A5A" w:rsidRPr="00E61B48" w:rsidRDefault="00AE4A5A" w:rsidP="00AE4A5A">
      <w:p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Following the evaluation of submitted tenders, in accordance with the evaluation criteria stated in this document, a contractor may be selected to perform the services and subsequently issued with an order.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The ORR does not expect to negotiate individual terms and expects to contract on the basis of those terms alone. If you do not agree to the Conditions of Contract then your tender may be deselected on that basis alone and not considered further.</w:t>
      </w:r>
    </w:p>
    <w:p w:rsidR="00AE4A5A" w:rsidRPr="00E61B48" w:rsidRDefault="00AE4A5A" w:rsidP="00AE4A5A">
      <w:pPr>
        <w:tabs>
          <w:tab w:val="left" w:pos="720"/>
        </w:tabs>
        <w:spacing w:after="0"/>
        <w:rPr>
          <w:rFonts w:cs="Arial"/>
          <w:sz w:val="22"/>
          <w:szCs w:val="22"/>
        </w:rPr>
      </w:pPr>
      <w:r w:rsidRPr="00E61B48">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rsidR="00AE4A5A" w:rsidRPr="00E61B48" w:rsidRDefault="00AE4A5A" w:rsidP="00AE4A5A">
      <w:pPr>
        <w:tabs>
          <w:tab w:val="left" w:pos="720"/>
        </w:tabs>
        <w:spacing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AE4A5A" w:rsidRPr="00E61B48" w:rsidTr="00B72F24">
        <w:tc>
          <w:tcPr>
            <w:tcW w:w="2132" w:type="dxa"/>
            <w:shd w:val="clear" w:color="auto" w:fill="auto"/>
          </w:tcPr>
          <w:p w:rsidR="00AE4A5A" w:rsidRPr="00E61B48" w:rsidRDefault="00AE4A5A" w:rsidP="00B72F24">
            <w:pPr>
              <w:tabs>
                <w:tab w:val="left" w:pos="720"/>
              </w:tabs>
              <w:spacing w:after="0"/>
              <w:rPr>
                <w:rFonts w:cs="Arial"/>
                <w:b/>
                <w:i/>
                <w:sz w:val="22"/>
                <w:szCs w:val="22"/>
              </w:rPr>
            </w:pPr>
            <w:r w:rsidRPr="00E61B48">
              <w:rPr>
                <w:rFonts w:cs="Arial"/>
                <w:b/>
                <w:i/>
                <w:sz w:val="22"/>
                <w:szCs w:val="22"/>
              </w:rPr>
              <w:t>Clause Number</w:t>
            </w:r>
          </w:p>
        </w:tc>
        <w:tc>
          <w:tcPr>
            <w:tcW w:w="2132" w:type="dxa"/>
            <w:shd w:val="clear" w:color="auto" w:fill="auto"/>
          </w:tcPr>
          <w:p w:rsidR="00AE4A5A" w:rsidRPr="00E61B48" w:rsidRDefault="00AE4A5A" w:rsidP="00B72F24">
            <w:pPr>
              <w:tabs>
                <w:tab w:val="left" w:pos="720"/>
              </w:tabs>
              <w:spacing w:after="0"/>
              <w:rPr>
                <w:rFonts w:cs="Arial"/>
                <w:b/>
                <w:i/>
                <w:sz w:val="22"/>
                <w:szCs w:val="22"/>
              </w:rPr>
            </w:pPr>
            <w:r w:rsidRPr="00E61B48">
              <w:rPr>
                <w:rFonts w:cs="Arial"/>
                <w:b/>
                <w:i/>
                <w:sz w:val="22"/>
                <w:szCs w:val="22"/>
              </w:rPr>
              <w:t>Existing  Wording</w:t>
            </w:r>
          </w:p>
        </w:tc>
        <w:tc>
          <w:tcPr>
            <w:tcW w:w="2132" w:type="dxa"/>
            <w:shd w:val="clear" w:color="auto" w:fill="auto"/>
          </w:tcPr>
          <w:p w:rsidR="00AE4A5A" w:rsidRPr="00E61B48" w:rsidRDefault="00AE4A5A" w:rsidP="00B72F24">
            <w:pPr>
              <w:tabs>
                <w:tab w:val="left" w:pos="720"/>
              </w:tabs>
              <w:spacing w:after="0"/>
              <w:rPr>
                <w:rFonts w:cs="Arial"/>
                <w:b/>
                <w:i/>
                <w:sz w:val="22"/>
                <w:szCs w:val="22"/>
              </w:rPr>
            </w:pPr>
            <w:r w:rsidRPr="00E61B48">
              <w:rPr>
                <w:rFonts w:cs="Arial"/>
                <w:b/>
                <w:i/>
                <w:sz w:val="22"/>
                <w:szCs w:val="22"/>
              </w:rPr>
              <w:t>Proposed Wording</w:t>
            </w:r>
          </w:p>
        </w:tc>
        <w:tc>
          <w:tcPr>
            <w:tcW w:w="2132" w:type="dxa"/>
            <w:shd w:val="clear" w:color="auto" w:fill="auto"/>
          </w:tcPr>
          <w:p w:rsidR="00AE4A5A" w:rsidRPr="00E61B48" w:rsidRDefault="00AE4A5A" w:rsidP="00B72F24">
            <w:pPr>
              <w:tabs>
                <w:tab w:val="left" w:pos="720"/>
              </w:tabs>
              <w:spacing w:after="0"/>
              <w:rPr>
                <w:rFonts w:cs="Arial"/>
                <w:b/>
                <w:i/>
                <w:sz w:val="22"/>
                <w:szCs w:val="22"/>
              </w:rPr>
            </w:pPr>
            <w:r w:rsidRPr="00E61B48">
              <w:rPr>
                <w:rFonts w:cs="Arial"/>
                <w:b/>
                <w:i/>
                <w:sz w:val="22"/>
                <w:szCs w:val="22"/>
              </w:rPr>
              <w:t>Rational for amendment</w:t>
            </w:r>
          </w:p>
        </w:tc>
      </w:tr>
      <w:tr w:rsidR="00AE4A5A" w:rsidRPr="00E61B48" w:rsidTr="00B72F24">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r>
      <w:tr w:rsidR="00AE4A5A" w:rsidRPr="00E61B48" w:rsidTr="00B72F24">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c>
          <w:tcPr>
            <w:tcW w:w="2132" w:type="dxa"/>
            <w:shd w:val="clear" w:color="auto" w:fill="auto"/>
          </w:tcPr>
          <w:p w:rsidR="00AE4A5A" w:rsidRPr="00E61B48" w:rsidRDefault="00AE4A5A" w:rsidP="00B72F24">
            <w:pPr>
              <w:tabs>
                <w:tab w:val="left" w:pos="720"/>
              </w:tabs>
              <w:spacing w:after="0"/>
              <w:rPr>
                <w:rFonts w:cs="Arial"/>
                <w:sz w:val="22"/>
                <w:szCs w:val="22"/>
              </w:rPr>
            </w:pPr>
          </w:p>
        </w:tc>
      </w:tr>
    </w:tbl>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Any services arising from this ITT will be carried out pursuant to the contract which comprises of: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numPr>
          <w:ilvl w:val="0"/>
          <w:numId w:val="14"/>
        </w:num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ORR Terms &amp; Conditions;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numPr>
          <w:ilvl w:val="0"/>
          <w:numId w:val="14"/>
        </w:num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Service Schedules;</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numPr>
          <w:ilvl w:val="0"/>
          <w:numId w:val="14"/>
        </w:numPr>
        <w:autoSpaceDE w:val="0"/>
        <w:autoSpaceDN w:val="0"/>
        <w:adjustRightInd w:val="0"/>
        <w:spacing w:after="0"/>
        <w:rPr>
          <w:rFonts w:cs="Arial"/>
          <w:color w:val="000000"/>
          <w:sz w:val="22"/>
          <w:szCs w:val="22"/>
          <w:lang w:eastAsia="en-GB"/>
        </w:rPr>
      </w:pPr>
      <w:r w:rsidRPr="00E61B48">
        <w:rPr>
          <w:rFonts w:cs="Arial"/>
          <w:color w:val="000000"/>
          <w:sz w:val="22"/>
          <w:szCs w:val="22"/>
          <w:lang w:eastAsia="en-GB"/>
        </w:rPr>
        <w:t xml:space="preserve">this Invite to Tender &amp; Statement of Requirement document; and </w:t>
      </w:r>
    </w:p>
    <w:p w:rsidR="00AE4A5A" w:rsidRPr="00E61B48" w:rsidRDefault="00AE4A5A" w:rsidP="00AE4A5A">
      <w:pPr>
        <w:autoSpaceDE w:val="0"/>
        <w:autoSpaceDN w:val="0"/>
        <w:adjustRightInd w:val="0"/>
        <w:spacing w:after="0"/>
        <w:rPr>
          <w:rFonts w:cs="Arial"/>
          <w:color w:val="000000"/>
          <w:sz w:val="22"/>
          <w:szCs w:val="22"/>
          <w:lang w:eastAsia="en-GB"/>
        </w:rPr>
      </w:pPr>
    </w:p>
    <w:p w:rsidR="00AE4A5A" w:rsidRPr="00E61B48" w:rsidRDefault="00AE4A5A" w:rsidP="00AE4A5A">
      <w:pPr>
        <w:numPr>
          <w:ilvl w:val="0"/>
          <w:numId w:val="14"/>
        </w:numPr>
        <w:autoSpaceDE w:val="0"/>
        <w:autoSpaceDN w:val="0"/>
        <w:adjustRightInd w:val="0"/>
        <w:spacing w:after="0"/>
        <w:rPr>
          <w:rFonts w:cs="Arial"/>
          <w:color w:val="000000"/>
          <w:sz w:val="22"/>
          <w:szCs w:val="22"/>
          <w:lang w:eastAsia="en-GB"/>
        </w:rPr>
      </w:pPr>
      <w:proofErr w:type="gramStart"/>
      <w:r w:rsidRPr="00E61B48">
        <w:rPr>
          <w:rFonts w:cs="Arial"/>
          <w:color w:val="000000"/>
          <w:sz w:val="22"/>
          <w:szCs w:val="22"/>
          <w:lang w:eastAsia="en-GB"/>
        </w:rPr>
        <w:t>the</w:t>
      </w:r>
      <w:proofErr w:type="gramEnd"/>
      <w:r w:rsidRPr="00E61B48">
        <w:rPr>
          <w:rFonts w:cs="Arial"/>
          <w:color w:val="000000"/>
          <w:sz w:val="22"/>
          <w:szCs w:val="22"/>
          <w:lang w:eastAsia="en-GB"/>
        </w:rPr>
        <w:t xml:space="preserve"> chosen supplier’s successful tender.</w:t>
      </w:r>
    </w:p>
    <w:p w:rsidR="00AE4A5A" w:rsidRPr="00E61B48" w:rsidRDefault="00AE4A5A" w:rsidP="00AE4A5A">
      <w:pPr>
        <w:tabs>
          <w:tab w:val="left" w:pos="720"/>
        </w:tabs>
        <w:spacing w:after="0"/>
        <w:rPr>
          <w:rFonts w:cs="Arial"/>
          <w:sz w:val="22"/>
          <w:szCs w:val="22"/>
        </w:rPr>
      </w:pPr>
    </w:p>
    <w:p w:rsidR="00AE4A5A" w:rsidRPr="00E61B48" w:rsidRDefault="00AE4A5A" w:rsidP="00AE4A5A">
      <w:pPr>
        <w:keepNext/>
        <w:tabs>
          <w:tab w:val="left" w:pos="720"/>
          <w:tab w:val="left" w:pos="1440"/>
        </w:tabs>
        <w:spacing w:after="0"/>
        <w:outlineLvl w:val="1"/>
        <w:rPr>
          <w:rFonts w:cs="Arial"/>
          <w:b/>
          <w:bCs/>
          <w:iCs/>
          <w:sz w:val="22"/>
          <w:szCs w:val="22"/>
        </w:rPr>
      </w:pPr>
      <w:r w:rsidRPr="00E61B48">
        <w:rPr>
          <w:rFonts w:cs="Arial"/>
          <w:b/>
          <w:bCs/>
          <w:iCs/>
          <w:sz w:val="22"/>
          <w:szCs w:val="22"/>
        </w:rPr>
        <w:t>ORR’s Transparency Obligations and the Freedom of Information Act 2000 (the Act)</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t>
      </w:r>
      <w:r w:rsidRPr="00E61B48">
        <w:rPr>
          <w:rFonts w:cs="Arial"/>
          <w:sz w:val="22"/>
          <w:szCs w:val="22"/>
        </w:rPr>
        <w:lastRenderedPageBreak/>
        <w:t xml:space="preserve">will work with the chosen supplier to establish if any information within the contract should be withheld and the reasons for withholding it from publication. </w:t>
      </w:r>
    </w:p>
    <w:p w:rsidR="00AE4A5A" w:rsidRPr="00E61B48" w:rsidRDefault="00AE4A5A" w:rsidP="00AE4A5A">
      <w:pPr>
        <w:tabs>
          <w:tab w:val="left" w:pos="720"/>
        </w:tabs>
        <w:spacing w:after="0"/>
        <w:rPr>
          <w:rFonts w:cs="Arial"/>
          <w:sz w:val="22"/>
          <w:szCs w:val="22"/>
        </w:rPr>
      </w:pPr>
      <w:r w:rsidRPr="00E61B48">
        <w:rPr>
          <w:rFonts w:cs="Arial"/>
          <w:sz w:val="22"/>
          <w:szCs w:val="22"/>
        </w:rPr>
        <w:t>Typically the following information will be published:</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 xml:space="preserve">contract price and any </w:t>
      </w:r>
      <w:proofErr w:type="spellStart"/>
      <w:r w:rsidRPr="00E61B48">
        <w:rPr>
          <w:rFonts w:cs="Arial"/>
          <w:sz w:val="22"/>
          <w:szCs w:val="22"/>
        </w:rPr>
        <w:t>incentivisation</w:t>
      </w:r>
      <w:proofErr w:type="spellEnd"/>
      <w:r w:rsidRPr="00E61B48">
        <w:rPr>
          <w:rFonts w:cs="Arial"/>
          <w:sz w:val="22"/>
          <w:szCs w:val="22"/>
        </w:rPr>
        <w:t xml:space="preserve"> mechanisms</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performance metrics and management of them</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plans for management of underperformance and its financial impact</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governance arrangements including through supply chains where significant contract value rests with subcontractors</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resource plans</w:t>
      </w:r>
    </w:p>
    <w:p w:rsidR="00AE4A5A" w:rsidRPr="00E61B48" w:rsidRDefault="00AE4A5A" w:rsidP="00AE4A5A">
      <w:pPr>
        <w:numPr>
          <w:ilvl w:val="0"/>
          <w:numId w:val="20"/>
        </w:numPr>
        <w:tabs>
          <w:tab w:val="left" w:pos="720"/>
        </w:tabs>
        <w:spacing w:after="0"/>
        <w:rPr>
          <w:rFonts w:cs="Arial"/>
          <w:sz w:val="22"/>
          <w:szCs w:val="22"/>
        </w:rPr>
      </w:pPr>
      <w:r w:rsidRPr="00E61B48">
        <w:rPr>
          <w:rFonts w:cs="Arial"/>
          <w:sz w:val="22"/>
          <w:szCs w:val="22"/>
        </w:rPr>
        <w:t>service improvement plans</w:t>
      </w:r>
    </w:p>
    <w:p w:rsidR="00AE4A5A" w:rsidRPr="00E61B48" w:rsidRDefault="00AE4A5A" w:rsidP="00AE4A5A">
      <w:pPr>
        <w:tabs>
          <w:tab w:val="left" w:pos="720"/>
        </w:tabs>
        <w:spacing w:after="0"/>
        <w:rPr>
          <w:rFonts w:cs="Arial"/>
          <w:sz w:val="22"/>
          <w:szCs w:val="22"/>
        </w:rPr>
      </w:pPr>
      <w:r w:rsidRPr="00E61B48">
        <w:rPr>
          <w:rFonts w:cs="Arial"/>
          <w:sz w:val="22"/>
          <w:szCs w:val="22"/>
        </w:rPr>
        <w:t xml:space="preserve">Where appropriate to do so information will be updated as required during the life of the contract so it remains current; </w:t>
      </w:r>
    </w:p>
    <w:p w:rsidR="00AE4A5A" w:rsidRPr="00E61B48" w:rsidRDefault="00AE4A5A" w:rsidP="00AE4A5A">
      <w:pPr>
        <w:tabs>
          <w:tab w:val="left" w:pos="720"/>
        </w:tabs>
        <w:spacing w:after="0"/>
        <w:rPr>
          <w:rFonts w:cs="Arial"/>
          <w:sz w:val="22"/>
          <w:szCs w:val="22"/>
        </w:rPr>
      </w:pPr>
    </w:p>
    <w:p w:rsidR="00AE4A5A" w:rsidRPr="00E61B48" w:rsidRDefault="00AE4A5A" w:rsidP="00AE4A5A">
      <w:pPr>
        <w:tabs>
          <w:tab w:val="left" w:pos="720"/>
        </w:tabs>
        <w:spacing w:after="0"/>
        <w:rPr>
          <w:rFonts w:cs="Arial"/>
          <w:sz w:val="22"/>
          <w:szCs w:val="22"/>
        </w:rPr>
      </w:pPr>
      <w:r w:rsidRPr="00E61B48">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AE4A5A" w:rsidRPr="00E61B48" w:rsidRDefault="00AE4A5A" w:rsidP="00AE4A5A">
      <w:pPr>
        <w:keepNext/>
        <w:keepLines/>
        <w:tabs>
          <w:tab w:val="left" w:pos="720"/>
        </w:tabs>
        <w:spacing w:after="0"/>
        <w:rPr>
          <w:rFonts w:cs="Arial"/>
          <w:sz w:val="22"/>
          <w:szCs w:val="22"/>
          <w:lang w:eastAsia="zh-CN"/>
        </w:rPr>
      </w:pPr>
      <w:r w:rsidRPr="00E61B48">
        <w:rPr>
          <w:rFonts w:cs="Arial"/>
          <w:sz w:val="22"/>
          <w:szCs w:val="22"/>
          <w:lang w:eastAsia="zh-CN"/>
        </w:rPr>
        <w:t>Please use the following matrix: to list such information:</w:t>
      </w:r>
    </w:p>
    <w:p w:rsidR="00AE4A5A" w:rsidRPr="00E61B48" w:rsidRDefault="00AE4A5A" w:rsidP="00AE4A5A">
      <w:pPr>
        <w:keepNext/>
        <w:keepLines/>
        <w:tabs>
          <w:tab w:val="left" w:pos="720"/>
        </w:tabs>
        <w:spacing w:after="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AE4A5A" w:rsidRPr="00E61B48" w:rsidTr="00B72F24">
        <w:tc>
          <w:tcPr>
            <w:tcW w:w="1368" w:type="dxa"/>
            <w:shd w:val="clear" w:color="auto" w:fill="auto"/>
          </w:tcPr>
          <w:p w:rsidR="00AE4A5A" w:rsidRPr="00E61B48" w:rsidRDefault="00AE4A5A" w:rsidP="00B72F24">
            <w:pPr>
              <w:tabs>
                <w:tab w:val="left" w:pos="720"/>
              </w:tabs>
              <w:spacing w:after="0"/>
              <w:rPr>
                <w:rFonts w:cs="Arial"/>
                <w:sz w:val="22"/>
                <w:szCs w:val="22"/>
              </w:rPr>
            </w:pPr>
            <w:r w:rsidRPr="00E61B48">
              <w:rPr>
                <w:rFonts w:cs="Arial"/>
                <w:sz w:val="22"/>
                <w:szCs w:val="22"/>
              </w:rPr>
              <w:t>Para. No.</w:t>
            </w:r>
          </w:p>
        </w:tc>
        <w:tc>
          <w:tcPr>
            <w:tcW w:w="3600" w:type="dxa"/>
            <w:shd w:val="clear" w:color="auto" w:fill="auto"/>
          </w:tcPr>
          <w:p w:rsidR="00AE4A5A" w:rsidRPr="00E61B48" w:rsidRDefault="00AE4A5A" w:rsidP="00B72F24">
            <w:pPr>
              <w:tabs>
                <w:tab w:val="left" w:pos="720"/>
              </w:tabs>
              <w:spacing w:after="0"/>
              <w:rPr>
                <w:rFonts w:cs="Arial"/>
                <w:sz w:val="22"/>
                <w:szCs w:val="22"/>
              </w:rPr>
            </w:pPr>
            <w:r w:rsidRPr="00E61B48">
              <w:rPr>
                <w:rFonts w:cs="Arial"/>
                <w:sz w:val="22"/>
                <w:szCs w:val="22"/>
              </w:rPr>
              <w:t>Description</w:t>
            </w:r>
          </w:p>
        </w:tc>
        <w:tc>
          <w:tcPr>
            <w:tcW w:w="3560" w:type="dxa"/>
            <w:shd w:val="clear" w:color="auto" w:fill="auto"/>
          </w:tcPr>
          <w:p w:rsidR="00AE4A5A" w:rsidRPr="00E61B48" w:rsidRDefault="00AE4A5A" w:rsidP="00B72F24">
            <w:pPr>
              <w:tabs>
                <w:tab w:val="left" w:pos="720"/>
              </w:tabs>
              <w:spacing w:after="0"/>
              <w:rPr>
                <w:rFonts w:cs="Arial"/>
                <w:sz w:val="22"/>
                <w:szCs w:val="22"/>
              </w:rPr>
            </w:pPr>
            <w:r w:rsidRPr="00E61B48">
              <w:rPr>
                <w:rFonts w:cs="Arial"/>
                <w:sz w:val="22"/>
                <w:szCs w:val="22"/>
              </w:rPr>
              <w:t>Applicable exemption under FOIA 2000</w:t>
            </w:r>
          </w:p>
        </w:tc>
      </w:tr>
      <w:tr w:rsidR="00AE4A5A" w:rsidRPr="00E61B48" w:rsidTr="00B72F24">
        <w:tc>
          <w:tcPr>
            <w:tcW w:w="1368" w:type="dxa"/>
            <w:shd w:val="clear" w:color="auto" w:fill="auto"/>
          </w:tcPr>
          <w:p w:rsidR="00AE4A5A" w:rsidRPr="00E61B48" w:rsidRDefault="00AE4A5A" w:rsidP="00B72F24">
            <w:pPr>
              <w:tabs>
                <w:tab w:val="left" w:pos="720"/>
              </w:tabs>
              <w:spacing w:after="0"/>
              <w:rPr>
                <w:rFonts w:cs="Arial"/>
                <w:sz w:val="22"/>
                <w:szCs w:val="22"/>
              </w:rPr>
            </w:pPr>
          </w:p>
        </w:tc>
        <w:tc>
          <w:tcPr>
            <w:tcW w:w="3600" w:type="dxa"/>
            <w:shd w:val="clear" w:color="auto" w:fill="auto"/>
          </w:tcPr>
          <w:p w:rsidR="00AE4A5A" w:rsidRPr="00E61B48" w:rsidRDefault="00AE4A5A" w:rsidP="00B72F24">
            <w:pPr>
              <w:tabs>
                <w:tab w:val="left" w:pos="720"/>
              </w:tabs>
              <w:spacing w:after="0"/>
              <w:rPr>
                <w:rFonts w:cs="Arial"/>
                <w:sz w:val="22"/>
                <w:szCs w:val="22"/>
              </w:rPr>
            </w:pPr>
          </w:p>
        </w:tc>
        <w:tc>
          <w:tcPr>
            <w:tcW w:w="3560" w:type="dxa"/>
            <w:shd w:val="clear" w:color="auto" w:fill="auto"/>
          </w:tcPr>
          <w:p w:rsidR="00AE4A5A" w:rsidRPr="00E61B48" w:rsidRDefault="00AE4A5A" w:rsidP="00B72F24">
            <w:pPr>
              <w:tabs>
                <w:tab w:val="left" w:pos="720"/>
              </w:tabs>
              <w:spacing w:after="0"/>
              <w:rPr>
                <w:rFonts w:cs="Arial"/>
                <w:sz w:val="22"/>
                <w:szCs w:val="22"/>
              </w:rPr>
            </w:pPr>
          </w:p>
        </w:tc>
      </w:tr>
      <w:tr w:rsidR="00AE4A5A" w:rsidRPr="00E61B48" w:rsidTr="00B72F24">
        <w:tc>
          <w:tcPr>
            <w:tcW w:w="1368" w:type="dxa"/>
            <w:shd w:val="clear" w:color="auto" w:fill="auto"/>
          </w:tcPr>
          <w:p w:rsidR="00AE4A5A" w:rsidRPr="00E61B48" w:rsidRDefault="00AE4A5A" w:rsidP="00B72F24">
            <w:pPr>
              <w:tabs>
                <w:tab w:val="left" w:pos="720"/>
              </w:tabs>
              <w:spacing w:after="0"/>
              <w:rPr>
                <w:rFonts w:cs="Arial"/>
                <w:sz w:val="22"/>
                <w:szCs w:val="22"/>
              </w:rPr>
            </w:pPr>
          </w:p>
        </w:tc>
        <w:tc>
          <w:tcPr>
            <w:tcW w:w="3600" w:type="dxa"/>
            <w:shd w:val="clear" w:color="auto" w:fill="auto"/>
          </w:tcPr>
          <w:p w:rsidR="00AE4A5A" w:rsidRPr="00E61B48" w:rsidRDefault="00AE4A5A" w:rsidP="00B72F24">
            <w:pPr>
              <w:tabs>
                <w:tab w:val="left" w:pos="720"/>
              </w:tabs>
              <w:spacing w:after="0"/>
              <w:rPr>
                <w:rFonts w:cs="Arial"/>
                <w:sz w:val="22"/>
                <w:szCs w:val="22"/>
              </w:rPr>
            </w:pPr>
          </w:p>
        </w:tc>
        <w:tc>
          <w:tcPr>
            <w:tcW w:w="3560" w:type="dxa"/>
            <w:shd w:val="clear" w:color="auto" w:fill="auto"/>
          </w:tcPr>
          <w:p w:rsidR="00AE4A5A" w:rsidRPr="00E61B48" w:rsidRDefault="00AE4A5A" w:rsidP="00B72F24">
            <w:pPr>
              <w:tabs>
                <w:tab w:val="left" w:pos="720"/>
              </w:tabs>
              <w:spacing w:after="0"/>
              <w:rPr>
                <w:rFonts w:cs="Arial"/>
                <w:sz w:val="22"/>
                <w:szCs w:val="22"/>
              </w:rPr>
            </w:pPr>
          </w:p>
        </w:tc>
      </w:tr>
      <w:tr w:rsidR="00AE4A5A" w:rsidRPr="00E61B48" w:rsidTr="00B72F24">
        <w:tc>
          <w:tcPr>
            <w:tcW w:w="1368" w:type="dxa"/>
            <w:shd w:val="clear" w:color="auto" w:fill="auto"/>
          </w:tcPr>
          <w:p w:rsidR="00AE4A5A" w:rsidRPr="00E61B48" w:rsidRDefault="00AE4A5A" w:rsidP="00B72F24">
            <w:pPr>
              <w:tabs>
                <w:tab w:val="left" w:pos="720"/>
              </w:tabs>
              <w:spacing w:after="0"/>
              <w:rPr>
                <w:rFonts w:cs="Arial"/>
                <w:sz w:val="22"/>
                <w:szCs w:val="22"/>
              </w:rPr>
            </w:pPr>
          </w:p>
        </w:tc>
        <w:tc>
          <w:tcPr>
            <w:tcW w:w="3600" w:type="dxa"/>
            <w:shd w:val="clear" w:color="auto" w:fill="auto"/>
          </w:tcPr>
          <w:p w:rsidR="00AE4A5A" w:rsidRPr="00E61B48" w:rsidRDefault="00AE4A5A" w:rsidP="00B72F24">
            <w:pPr>
              <w:tabs>
                <w:tab w:val="left" w:pos="720"/>
              </w:tabs>
              <w:spacing w:after="0"/>
              <w:rPr>
                <w:rFonts w:cs="Arial"/>
                <w:sz w:val="22"/>
                <w:szCs w:val="22"/>
              </w:rPr>
            </w:pPr>
          </w:p>
        </w:tc>
        <w:tc>
          <w:tcPr>
            <w:tcW w:w="3560" w:type="dxa"/>
            <w:shd w:val="clear" w:color="auto" w:fill="auto"/>
          </w:tcPr>
          <w:p w:rsidR="00AE4A5A" w:rsidRPr="00E61B48" w:rsidRDefault="00AE4A5A" w:rsidP="00B72F24">
            <w:pPr>
              <w:tabs>
                <w:tab w:val="left" w:pos="720"/>
              </w:tabs>
              <w:spacing w:after="0"/>
              <w:rPr>
                <w:rFonts w:cs="Arial"/>
                <w:sz w:val="22"/>
                <w:szCs w:val="22"/>
              </w:rPr>
            </w:pPr>
          </w:p>
        </w:tc>
      </w:tr>
    </w:tbl>
    <w:p w:rsidR="00AE4A5A" w:rsidRPr="00E61B48" w:rsidRDefault="00AE4A5A" w:rsidP="00AE4A5A">
      <w:pPr>
        <w:tabs>
          <w:tab w:val="left" w:pos="720"/>
        </w:tabs>
        <w:spacing w:after="0"/>
        <w:rPr>
          <w:rFonts w:cs="Arial"/>
          <w:sz w:val="22"/>
          <w:szCs w:val="22"/>
        </w:rPr>
      </w:pPr>
    </w:p>
    <w:p w:rsidR="00AE4A5A" w:rsidRPr="00E61B48" w:rsidRDefault="00AE4A5A" w:rsidP="00AE4A5A">
      <w:pPr>
        <w:tabs>
          <w:tab w:val="left" w:pos="720"/>
        </w:tabs>
        <w:spacing w:after="0"/>
        <w:rPr>
          <w:rFonts w:cs="Arial"/>
          <w:sz w:val="22"/>
          <w:szCs w:val="22"/>
        </w:rPr>
      </w:pPr>
    </w:p>
    <w:p w:rsidR="00AE4A5A" w:rsidRPr="00E61B48" w:rsidRDefault="00AE4A5A" w:rsidP="00AE4A5A">
      <w:pPr>
        <w:spacing w:after="0"/>
        <w:rPr>
          <w:rFonts w:cs="Arial"/>
          <w:sz w:val="22"/>
          <w:szCs w:val="22"/>
        </w:rPr>
      </w:pPr>
    </w:p>
    <w:p w:rsidR="00AE4A5A" w:rsidRPr="00C847D1" w:rsidRDefault="00AE4A5A" w:rsidP="00AE4A5A">
      <w:pPr>
        <w:pStyle w:val="ListNumber"/>
        <w:numPr>
          <w:ilvl w:val="0"/>
          <w:numId w:val="0"/>
        </w:numPr>
        <w:spacing w:before="0" w:after="0"/>
        <w:rPr>
          <w:rFonts w:cs="Arial"/>
          <w:sz w:val="22"/>
          <w:szCs w:val="22"/>
        </w:rPr>
      </w:pPr>
    </w:p>
    <w:p w:rsidR="00AE4A5A" w:rsidRPr="00C847D1" w:rsidRDefault="00AE4A5A" w:rsidP="00AE4A5A">
      <w:pPr>
        <w:pStyle w:val="ListNumber"/>
        <w:numPr>
          <w:ilvl w:val="0"/>
          <w:numId w:val="0"/>
        </w:numPr>
        <w:spacing w:before="0" w:after="0"/>
        <w:rPr>
          <w:rFonts w:cs="Arial"/>
          <w:b/>
          <w:sz w:val="22"/>
          <w:szCs w:val="22"/>
        </w:rPr>
      </w:pPr>
    </w:p>
    <w:p w:rsidR="00AE4A5A" w:rsidRPr="00C847D1" w:rsidRDefault="00AE4A5A" w:rsidP="00AE4A5A">
      <w:pPr>
        <w:pStyle w:val="ListNumber"/>
        <w:numPr>
          <w:ilvl w:val="0"/>
          <w:numId w:val="0"/>
        </w:numPr>
        <w:spacing w:before="0" w:after="0"/>
        <w:rPr>
          <w:rFonts w:cs="Arial"/>
          <w:b/>
          <w:sz w:val="22"/>
          <w:szCs w:val="22"/>
        </w:rPr>
      </w:pPr>
    </w:p>
    <w:p w:rsidR="00AE4A5A" w:rsidRPr="00A60AB0" w:rsidRDefault="00AE4A5A" w:rsidP="00F52BE8">
      <w:pPr>
        <w:jc w:val="both"/>
        <w:rPr>
          <w:rFonts w:cs="Arial"/>
          <w:sz w:val="22"/>
          <w:szCs w:val="22"/>
          <w:u w:val="single"/>
        </w:rPr>
      </w:pPr>
    </w:p>
    <w:sectPr w:rsidR="00AE4A5A" w:rsidRPr="00A60AB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DF" w:rsidRDefault="003C2EDF">
      <w:pPr>
        <w:spacing w:after="0"/>
      </w:pPr>
      <w:r>
        <w:separator/>
      </w:r>
    </w:p>
  </w:endnote>
  <w:endnote w:type="continuationSeparator" w:id="0">
    <w:p w:rsidR="003C2EDF" w:rsidRDefault="003C2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F52BE8" w:rsidP="007F7DC5">
    <w:pPr>
      <w:pStyle w:val="Footer"/>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DF" w:rsidRDefault="003C2EDF">
      <w:pPr>
        <w:spacing w:after="0"/>
      </w:pPr>
      <w:r>
        <w:separator/>
      </w:r>
    </w:p>
  </w:footnote>
  <w:footnote w:type="continuationSeparator" w:id="0">
    <w:p w:rsidR="003C2EDF" w:rsidRDefault="003C2E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0172D"/>
    <w:multiLevelType w:val="hybridMultilevel"/>
    <w:tmpl w:val="9B0A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91724"/>
    <w:multiLevelType w:val="hybridMultilevel"/>
    <w:tmpl w:val="EA8CB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5"/>
  </w:num>
  <w:num w:numId="4">
    <w:abstractNumId w:val="17"/>
  </w:num>
  <w:num w:numId="5">
    <w:abstractNumId w:val="9"/>
  </w:num>
  <w:num w:numId="6">
    <w:abstractNumId w:val="0"/>
  </w:num>
  <w:num w:numId="7">
    <w:abstractNumId w:val="13"/>
  </w:num>
  <w:num w:numId="8">
    <w:abstractNumId w:val="3"/>
  </w:num>
  <w:num w:numId="9">
    <w:abstractNumId w:val="6"/>
  </w:num>
  <w:num w:numId="10">
    <w:abstractNumId w:val="12"/>
  </w:num>
  <w:num w:numId="11">
    <w:abstractNumId w:val="20"/>
  </w:num>
  <w:num w:numId="12">
    <w:abstractNumId w:val="4"/>
  </w:num>
  <w:num w:numId="13">
    <w:abstractNumId w:val="2"/>
  </w:num>
  <w:num w:numId="14">
    <w:abstractNumId w:val="11"/>
  </w:num>
  <w:num w:numId="15">
    <w:abstractNumId w:val="21"/>
  </w:num>
  <w:num w:numId="16">
    <w:abstractNumId w:val="1"/>
  </w:num>
  <w:num w:numId="17">
    <w:abstractNumId w:val="19"/>
  </w:num>
  <w:num w:numId="18">
    <w:abstractNumId w:val="8"/>
  </w:num>
  <w:num w:numId="19">
    <w:abstractNumId w:val="7"/>
  </w:num>
  <w:num w:numId="20">
    <w:abstractNumId w:val="15"/>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1967F6"/>
    <w:rsid w:val="001A5D12"/>
    <w:rsid w:val="00296648"/>
    <w:rsid w:val="003C2EDF"/>
    <w:rsid w:val="004B2638"/>
    <w:rsid w:val="00532FB9"/>
    <w:rsid w:val="00603B1C"/>
    <w:rsid w:val="00686223"/>
    <w:rsid w:val="006A324A"/>
    <w:rsid w:val="007F7DC5"/>
    <w:rsid w:val="00A60AB0"/>
    <w:rsid w:val="00AD3C8B"/>
    <w:rsid w:val="00AE4A5A"/>
    <w:rsid w:val="00B14E58"/>
    <w:rsid w:val="00B9092E"/>
    <w:rsid w:val="00BC340F"/>
    <w:rsid w:val="00C138B0"/>
    <w:rsid w:val="00D532F0"/>
    <w:rsid w:val="00EF3DC6"/>
    <w:rsid w:val="00F52BE8"/>
    <w:rsid w:val="00F6218E"/>
    <w:rsid w:val="00FB2010"/>
    <w:rsid w:val="00FC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D4E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532F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0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14</cp:revision>
  <dcterms:created xsi:type="dcterms:W3CDTF">2019-08-14T14:36:00Z</dcterms:created>
  <dcterms:modified xsi:type="dcterms:W3CDTF">2019-08-29T10:42:00Z</dcterms:modified>
</cp:coreProperties>
</file>