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0BDD2684" w:rsidR="00E0401F" w:rsidRPr="00B631EC" w:rsidRDefault="00282A71" w:rsidP="00E0401F">
      <w:pPr>
        <w:pStyle w:val="Title"/>
        <w:rPr>
          <w:sz w:val="52"/>
          <w:szCs w:val="48"/>
        </w:rPr>
      </w:pPr>
      <w:r>
        <w:rPr>
          <w:sz w:val="52"/>
          <w:szCs w:val="48"/>
        </w:rPr>
        <w:t>4.3</w:t>
      </w:r>
      <w:r w:rsidR="00601921">
        <w:rPr>
          <w:sz w:val="52"/>
          <w:szCs w:val="48"/>
        </w:rPr>
        <w:t>.11.2 Filter Drains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2060B99F">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EAC86"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29EACA7D" w14:textId="47F16BD1" w:rsidR="005140CB" w:rsidRPr="00CD32DD" w:rsidRDefault="00103E54" w:rsidP="0042778E">
      <w:pPr>
        <w:pStyle w:val="Subtitle"/>
        <w:numPr>
          <w:ilvl w:val="0"/>
          <w:numId w:val="5"/>
        </w:numPr>
        <w:rPr>
          <w:vertAlign w:val="superscript"/>
        </w:rPr>
      </w:pPr>
      <w:r w:rsidRPr="00103E54">
        <w:t xml:space="preserve">Weed spray along Filter Drain and Combined carrier and Filter </w:t>
      </w:r>
      <w:r w:rsidR="00D004D4" w:rsidRPr="00103E54">
        <w:t>drain.</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42778E">
            <w:pPr>
              <w:pStyle w:val="ListParagraph"/>
              <w:numPr>
                <w:ilvl w:val="0"/>
                <w:numId w:val="5"/>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 xml:space="preserve">In delivering a drainage and service ducts cyclic or repair maintenance activity, report problems or potential problems of the asset type and of </w:t>
            </w:r>
            <w:proofErr w:type="gramStart"/>
            <w:r w:rsidRPr="007F0BD9">
              <w:rPr>
                <w:rFonts w:ascii="Arial" w:hAnsi="Arial" w:cs="Arial"/>
                <w:lang w:val="en-GB"/>
              </w:rPr>
              <w:t>other</w:t>
            </w:r>
            <w:proofErr w:type="gramEnd"/>
            <w:r w:rsidRPr="007F0BD9">
              <w:rPr>
                <w:rFonts w:ascii="Arial" w:hAnsi="Arial" w:cs="Arial"/>
                <w:lang w:val="en-GB"/>
              </w:rPr>
              <w:t xml:space="preserve"> asset</w:t>
            </w:r>
          </w:p>
          <w:p w14:paraId="6D6E8686" w14:textId="77777777"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394C8688" w14:textId="1E921041" w:rsidR="006A36C9" w:rsidRPr="00FA7491" w:rsidRDefault="00B631EC" w:rsidP="00FA7491">
      <w:pPr>
        <w:pStyle w:val="Heading1"/>
        <w:rPr>
          <w:color w:val="auto"/>
        </w:rPr>
      </w:pPr>
      <w:r w:rsidRPr="00F730C2">
        <w:rPr>
          <w:color w:val="auto"/>
        </w:rPr>
        <w:t>maintenance requirements</w:t>
      </w:r>
    </w:p>
    <w:p w14:paraId="1A00CF70" w14:textId="77777777" w:rsidR="00AF4CCD" w:rsidRPr="00AF4CCD" w:rsidRDefault="00AF4CCD" w:rsidP="00AF4CCD">
      <w:pPr>
        <w:pStyle w:val="NoSpacing"/>
        <w:rPr>
          <w:rFonts w:ascii="Arial" w:hAnsi="Arial" w:cs="Arial"/>
          <w:lang w:val="en-GB"/>
        </w:rPr>
      </w:pPr>
    </w:p>
    <w:p w14:paraId="2E2C079A" w14:textId="77777777" w:rsidR="009B0906" w:rsidRDefault="009B0906" w:rsidP="009B0906">
      <w:pPr>
        <w:pStyle w:val="ListParagraph"/>
        <w:numPr>
          <w:ilvl w:val="0"/>
          <w:numId w:val="7"/>
        </w:numPr>
        <w:rPr>
          <w:rFonts w:ascii="Arial" w:hAnsi="Arial" w:cs="Arial"/>
          <w:color w:val="000000"/>
          <w:lang w:val="en-GB"/>
        </w:rPr>
      </w:pPr>
      <w:r w:rsidRPr="009B0906">
        <w:rPr>
          <w:rFonts w:ascii="Arial" w:hAnsi="Arial" w:cs="Arial"/>
          <w:color w:val="000000"/>
          <w:lang w:val="en-GB"/>
        </w:rPr>
        <w:t>The location within the filter material of any obstruction that cannot be removed shall be recorded and the Service Manager informed.</w:t>
      </w:r>
    </w:p>
    <w:p w14:paraId="42AFBCAC" w14:textId="77777777" w:rsidR="009B0906" w:rsidRPr="009B0906" w:rsidRDefault="009B0906" w:rsidP="009B0906">
      <w:pPr>
        <w:pStyle w:val="ListParagraph"/>
        <w:rPr>
          <w:rFonts w:ascii="Arial" w:hAnsi="Arial" w:cs="Arial"/>
          <w:color w:val="000000"/>
          <w:lang w:val="en-GB"/>
        </w:rPr>
      </w:pPr>
    </w:p>
    <w:p w14:paraId="13A7A6CF" w14:textId="0877D51B" w:rsidR="009B0906" w:rsidRDefault="009B0906" w:rsidP="009B0906">
      <w:pPr>
        <w:pStyle w:val="ListParagraph"/>
        <w:numPr>
          <w:ilvl w:val="0"/>
          <w:numId w:val="7"/>
        </w:numPr>
        <w:rPr>
          <w:rFonts w:ascii="Arial" w:hAnsi="Arial" w:cs="Arial"/>
          <w:color w:val="000000"/>
          <w:lang w:val="en-GB"/>
        </w:rPr>
      </w:pPr>
      <w:r w:rsidRPr="009B0906">
        <w:rPr>
          <w:rFonts w:ascii="Arial" w:hAnsi="Arial" w:cs="Arial"/>
          <w:color w:val="000000"/>
          <w:lang w:val="en-GB"/>
        </w:rPr>
        <w:t xml:space="preserve">The filter media of filter drains shall be </w:t>
      </w:r>
      <w:proofErr w:type="gramStart"/>
      <w:r w:rsidRPr="009B0906">
        <w:rPr>
          <w:rFonts w:ascii="Arial" w:hAnsi="Arial" w:cs="Arial"/>
          <w:color w:val="000000"/>
          <w:lang w:val="en-GB"/>
        </w:rPr>
        <w:t>loosened</w:t>
      </w:r>
      <w:proofErr w:type="gramEnd"/>
      <w:r w:rsidRPr="009B0906">
        <w:rPr>
          <w:rFonts w:ascii="Arial" w:hAnsi="Arial" w:cs="Arial"/>
          <w:color w:val="000000"/>
          <w:lang w:val="en-GB"/>
        </w:rPr>
        <w:t xml:space="preserve"> and all weed growth removed in accordance with Clause 3002(2).</w:t>
      </w:r>
    </w:p>
    <w:p w14:paraId="5A2D4B04" w14:textId="77777777" w:rsidR="009B0906" w:rsidRPr="009B0906" w:rsidRDefault="009B0906" w:rsidP="009B0906">
      <w:pPr>
        <w:pStyle w:val="ListParagraph"/>
        <w:rPr>
          <w:rFonts w:ascii="Arial" w:hAnsi="Arial" w:cs="Arial"/>
          <w:color w:val="000000"/>
          <w:lang w:val="en-GB"/>
        </w:rPr>
      </w:pPr>
    </w:p>
    <w:p w14:paraId="3340DB64" w14:textId="77777777" w:rsidR="009B0906" w:rsidRPr="009B0906" w:rsidRDefault="009B0906" w:rsidP="009B0906">
      <w:pPr>
        <w:pStyle w:val="ListParagraph"/>
        <w:rPr>
          <w:rFonts w:ascii="Arial" w:hAnsi="Arial" w:cs="Arial"/>
          <w:color w:val="000000"/>
          <w:lang w:val="en-GB"/>
        </w:rPr>
      </w:pPr>
    </w:p>
    <w:p w14:paraId="444B4969" w14:textId="308491B4" w:rsidR="009B0906" w:rsidRDefault="009B0906" w:rsidP="009B0906">
      <w:pPr>
        <w:pStyle w:val="ListParagraph"/>
        <w:numPr>
          <w:ilvl w:val="0"/>
          <w:numId w:val="7"/>
        </w:numPr>
        <w:rPr>
          <w:rFonts w:ascii="Arial" w:hAnsi="Arial" w:cs="Arial"/>
          <w:color w:val="000000"/>
          <w:lang w:val="en-GB"/>
        </w:rPr>
      </w:pPr>
      <w:r w:rsidRPr="009B0906">
        <w:rPr>
          <w:rFonts w:ascii="Arial" w:hAnsi="Arial" w:cs="Arial"/>
          <w:color w:val="000000"/>
          <w:lang w:val="en-GB"/>
        </w:rPr>
        <w:t xml:space="preserve">The filter material shall be loosened to a minimum depth of 200mm over the full width of the drain </w:t>
      </w:r>
      <w:proofErr w:type="gramStart"/>
      <w:r w:rsidRPr="009B0906">
        <w:rPr>
          <w:rFonts w:ascii="Arial" w:hAnsi="Arial" w:cs="Arial"/>
          <w:color w:val="000000"/>
          <w:lang w:val="en-GB"/>
        </w:rPr>
        <w:t>so as to</w:t>
      </w:r>
      <w:proofErr w:type="gramEnd"/>
      <w:r w:rsidRPr="009B0906">
        <w:rPr>
          <w:rFonts w:ascii="Arial" w:hAnsi="Arial" w:cs="Arial"/>
          <w:color w:val="000000"/>
          <w:lang w:val="en-GB"/>
        </w:rPr>
        <w:t xml:space="preserve"> minimise retention of water within this depth.</w:t>
      </w:r>
    </w:p>
    <w:p w14:paraId="775FA7DA" w14:textId="77777777" w:rsidR="009B0906" w:rsidRPr="009B0906" w:rsidRDefault="009B0906" w:rsidP="009B0906">
      <w:pPr>
        <w:pStyle w:val="ListParagraph"/>
        <w:rPr>
          <w:rFonts w:ascii="Arial" w:hAnsi="Arial" w:cs="Arial"/>
          <w:color w:val="000000"/>
          <w:lang w:val="en-GB"/>
        </w:rPr>
      </w:pPr>
    </w:p>
    <w:p w14:paraId="047A1F3A" w14:textId="77777777" w:rsidR="009B0906" w:rsidRPr="009B0906" w:rsidRDefault="009B0906" w:rsidP="009B0906">
      <w:pPr>
        <w:pStyle w:val="ListParagraph"/>
        <w:numPr>
          <w:ilvl w:val="0"/>
          <w:numId w:val="7"/>
        </w:numPr>
        <w:rPr>
          <w:rFonts w:ascii="Arial" w:hAnsi="Arial" w:cs="Arial"/>
          <w:color w:val="000000"/>
          <w:lang w:val="en-GB"/>
        </w:rPr>
      </w:pPr>
      <w:r w:rsidRPr="009B0906">
        <w:rPr>
          <w:rFonts w:ascii="Arial" w:hAnsi="Arial" w:cs="Arial"/>
          <w:color w:val="000000"/>
          <w:lang w:val="en-GB"/>
        </w:rPr>
        <w:t xml:space="preserve">Any build-up of detritus between the edge of the carriageway and the filter </w:t>
      </w:r>
      <w:proofErr w:type="gramStart"/>
      <w:r w:rsidRPr="009B0906">
        <w:rPr>
          <w:rFonts w:ascii="Arial" w:hAnsi="Arial" w:cs="Arial"/>
          <w:color w:val="000000"/>
          <w:lang w:val="en-GB"/>
        </w:rPr>
        <w:t>drain</w:t>
      </w:r>
      <w:proofErr w:type="gramEnd"/>
      <w:r w:rsidRPr="009B0906">
        <w:rPr>
          <w:rFonts w:ascii="Arial" w:hAnsi="Arial" w:cs="Arial"/>
          <w:color w:val="000000"/>
          <w:lang w:val="en-GB"/>
        </w:rPr>
        <w:t xml:space="preserve"> which impedes the free flow of water from the carriageway to the filter drain, shall be removed at the same time and disposed, off site at the frequency stated in GM701-ADAMR.</w:t>
      </w:r>
      <w:r w:rsidRPr="009B0906">
        <w:rPr>
          <w:rFonts w:ascii="Arial" w:hAnsi="Arial" w:cs="Arial"/>
          <w:color w:val="000000"/>
          <w:lang w:val="en-GB"/>
        </w:rPr>
        <w:t xml:space="preserve"> </w:t>
      </w:r>
    </w:p>
    <w:p w14:paraId="406020A8" w14:textId="1D529711" w:rsidR="000D08E0" w:rsidRDefault="000D08E0" w:rsidP="009B0906">
      <w:pPr>
        <w:rPr>
          <w:rFonts w:ascii="Arial" w:hAnsi="Arial" w:cs="Arial"/>
        </w:rPr>
      </w:pPr>
      <w:r w:rsidRPr="002A26B3">
        <w:rPr>
          <w:rFonts w:ascii="Arial" w:hAnsi="Arial" w:cs="Arial"/>
        </w:rPr>
        <w:t>(M&amp;RC-SPEC PG2</w:t>
      </w:r>
      <w:r w:rsidR="00926E39">
        <w:rPr>
          <w:rFonts w:ascii="Arial" w:hAnsi="Arial" w:cs="Arial"/>
        </w:rPr>
        <w:t>2</w:t>
      </w:r>
      <w:r w:rsidRPr="002A26B3">
        <w:rPr>
          <w:rFonts w:ascii="Arial" w:hAnsi="Arial" w:cs="Arial"/>
        </w:rPr>
        <w:t>)</w:t>
      </w:r>
    </w:p>
    <w:p w14:paraId="0CB4EFF7" w14:textId="1AA5B8F7" w:rsidR="006A36C9" w:rsidRDefault="00715884" w:rsidP="0042778E">
      <w:pPr>
        <w:pStyle w:val="ListParagraph"/>
        <w:numPr>
          <w:ilvl w:val="0"/>
          <w:numId w:val="5"/>
        </w:numPr>
        <w:autoSpaceDE w:val="0"/>
        <w:autoSpaceDN w:val="0"/>
        <w:adjustRightInd w:val="0"/>
        <w:spacing w:after="0" w:line="240" w:lineRule="auto"/>
        <w:rPr>
          <w:rFonts w:ascii="Arial" w:hAnsi="Arial" w:cs="Arial"/>
          <w:lang w:val="en-GB"/>
        </w:rPr>
      </w:pPr>
      <w:r>
        <w:rPr>
          <w:rFonts w:ascii="Arial" w:hAnsi="Arial" w:cs="Arial"/>
          <w:lang w:val="en-GB"/>
        </w:rPr>
        <w:t>Edge scrapes and cut back and remove all build up from edge of carriageway through to filter material that could impair operation to be completed every 5 years (Apr-Jun).</w:t>
      </w:r>
    </w:p>
    <w:p w14:paraId="089623A7" w14:textId="07308087" w:rsidR="009D2F9A" w:rsidRPr="001C1316" w:rsidRDefault="009D2F9A" w:rsidP="0042778E">
      <w:pPr>
        <w:pStyle w:val="ListParagraph"/>
        <w:numPr>
          <w:ilvl w:val="0"/>
          <w:numId w:val="5"/>
        </w:numPr>
        <w:autoSpaceDE w:val="0"/>
        <w:autoSpaceDN w:val="0"/>
        <w:adjustRightInd w:val="0"/>
        <w:spacing w:after="0" w:line="240" w:lineRule="auto"/>
        <w:rPr>
          <w:rFonts w:ascii="Arial" w:hAnsi="Arial" w:cs="Arial"/>
          <w:lang w:val="en-GB"/>
        </w:rPr>
      </w:pPr>
      <w:r>
        <w:rPr>
          <w:rFonts w:ascii="Arial" w:hAnsi="Arial" w:cs="Arial"/>
          <w:lang w:val="en-GB"/>
        </w:rPr>
        <w:t xml:space="preserve">Weed spray to be completed every 2 </w:t>
      </w:r>
      <w:proofErr w:type="gramStart"/>
      <w:r>
        <w:rPr>
          <w:rFonts w:ascii="Arial" w:hAnsi="Arial" w:cs="Arial"/>
          <w:lang w:val="en-GB"/>
        </w:rPr>
        <w:t>years</w:t>
      </w:r>
      <w:proofErr w:type="gramEnd"/>
    </w:p>
    <w:p w14:paraId="57033F62" w14:textId="552C53D6" w:rsidR="00CC0342" w:rsidRDefault="007F0BD9" w:rsidP="00CC0342">
      <w:pPr>
        <w:pStyle w:val="ListParagraph"/>
        <w:rPr>
          <w:rFonts w:ascii="Arial" w:hAnsi="Arial" w:cs="Arial"/>
        </w:rPr>
      </w:pPr>
      <w:r w:rsidRPr="007F0BD9">
        <w:rPr>
          <w:rFonts w:ascii="Arial" w:hAnsi="Arial" w:cs="Arial"/>
        </w:rPr>
        <w:t>(GM 701 – PG7</w:t>
      </w:r>
      <w:r>
        <w:rPr>
          <w:rFonts w:ascii="Arial" w:hAnsi="Arial" w:cs="Arial"/>
        </w:rPr>
        <w:t>3</w:t>
      </w:r>
      <w:r w:rsidRPr="007F0BD9">
        <w:rPr>
          <w:rFonts w:ascii="Arial" w:hAnsi="Arial" w:cs="Arial"/>
        </w:rPr>
        <w:t>)</w:t>
      </w:r>
    </w:p>
    <w:p w14:paraId="3EA2EA77" w14:textId="77777777" w:rsidR="003C6AF7" w:rsidRDefault="003C6AF7" w:rsidP="00CC0342">
      <w:pPr>
        <w:pStyle w:val="ListParagraph"/>
        <w:rPr>
          <w:rFonts w:ascii="Arial" w:hAnsi="Arial" w:cs="Arial"/>
        </w:rPr>
      </w:pPr>
    </w:p>
    <w:p w14:paraId="12808724" w14:textId="77777777" w:rsidR="009B60F9" w:rsidRPr="00644CE1" w:rsidRDefault="009B60F9"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lastRenderedPageBreak/>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42778E">
      <w:pPr>
        <w:pStyle w:val="ListParagraph"/>
        <w:numPr>
          <w:ilvl w:val="0"/>
          <w:numId w:val="2"/>
        </w:numPr>
        <w:rPr>
          <w:rFonts w:ascii="Arial" w:hAnsi="Arial" w:cs="Arial"/>
        </w:rPr>
      </w:pPr>
      <w:r w:rsidRPr="00CD32DD">
        <w:rPr>
          <w:rFonts w:ascii="Arial" w:hAnsi="Arial" w:cs="Arial"/>
        </w:rPr>
        <w:t xml:space="preserve">The units of measurement shall be: </w:t>
      </w:r>
    </w:p>
    <w:p w14:paraId="141F6966" w14:textId="77777777" w:rsidR="00D7152D" w:rsidRPr="00D7152D" w:rsidRDefault="00D7152D" w:rsidP="00D7152D">
      <w:pPr>
        <w:autoSpaceDE w:val="0"/>
        <w:autoSpaceDN w:val="0"/>
        <w:adjustRightInd w:val="0"/>
        <w:spacing w:after="0" w:line="240" w:lineRule="auto"/>
        <w:rPr>
          <w:rFonts w:ascii="Arial" w:hAnsi="Arial" w:cs="Arial"/>
          <w:sz w:val="24"/>
          <w:szCs w:val="24"/>
          <w:lang w:val="en-GB"/>
        </w:rPr>
      </w:pPr>
    </w:p>
    <w:p w14:paraId="4B8899C9" w14:textId="1BFC52CE" w:rsidR="00305F0C" w:rsidRPr="00D7152D" w:rsidRDefault="00E33EE1" w:rsidP="00D7152D">
      <w:pPr>
        <w:autoSpaceDE w:val="0"/>
        <w:autoSpaceDN w:val="0"/>
        <w:adjustRightInd w:val="0"/>
        <w:spacing w:after="0" w:line="240" w:lineRule="auto"/>
        <w:rPr>
          <w:rFonts w:ascii="Arial" w:hAnsi="Arial" w:cs="Arial"/>
          <w:color w:val="000000"/>
          <w:lang w:val="en-GB"/>
        </w:rPr>
      </w:pPr>
      <w:r w:rsidRPr="00E33EE1">
        <w:rPr>
          <w:rFonts w:ascii="Arial" w:hAnsi="Arial" w:cs="Arial"/>
          <w:color w:val="000000"/>
          <w:lang w:val="en-GB"/>
        </w:rPr>
        <w:t>(xiii) Weed spray along filter drain and combined carrier and filter drain……linear metre</w:t>
      </w:r>
    </w:p>
    <w:p w14:paraId="06301C57" w14:textId="0E551E35" w:rsidR="00143BFB" w:rsidRPr="00143BFB" w:rsidRDefault="00143BFB" w:rsidP="00143BFB">
      <w:pPr>
        <w:pStyle w:val="Default"/>
        <w:rPr>
          <w:rFonts w:eastAsiaTheme="minorEastAsia"/>
          <w:sz w:val="22"/>
          <w:szCs w:val="22"/>
          <w:lang w:eastAsia="ja-JP"/>
          <w14:ligatures w14:val="none"/>
        </w:rPr>
      </w:pPr>
    </w:p>
    <w:p w14:paraId="05624494" w14:textId="77777777" w:rsidR="00C846FE" w:rsidRPr="00C846FE" w:rsidRDefault="00C846FE" w:rsidP="0042778E">
      <w:pPr>
        <w:pStyle w:val="ListParagraph"/>
        <w:numPr>
          <w:ilvl w:val="0"/>
          <w:numId w:val="2"/>
        </w:numPr>
        <w:autoSpaceDE w:val="0"/>
        <w:autoSpaceDN w:val="0"/>
        <w:adjustRightInd w:val="0"/>
        <w:spacing w:after="0" w:line="240" w:lineRule="auto"/>
        <w:rPr>
          <w:rFonts w:ascii="Arial" w:hAnsi="Arial" w:cs="Arial"/>
          <w:color w:val="000000"/>
          <w:lang w:val="en-GB"/>
        </w:rPr>
      </w:pPr>
      <w:r w:rsidRPr="00C846FE">
        <w:rPr>
          <w:rFonts w:ascii="Arial" w:hAnsi="Arial" w:cs="Arial"/>
          <w:color w:val="000000"/>
          <w:lang w:val="en-GB"/>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7EBBFA89" w14:textId="77777777" w:rsidR="00143BFB" w:rsidRPr="00143BFB" w:rsidRDefault="00143BFB" w:rsidP="00143BFB">
      <w:pPr>
        <w:pStyle w:val="Default"/>
        <w:rPr>
          <w:rFonts w:eastAsiaTheme="minorEastAsia"/>
          <w:sz w:val="22"/>
          <w:szCs w:val="22"/>
          <w:lang w:eastAsia="ja-JP"/>
          <w14:ligatures w14:val="none"/>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42778E">
      <w:pPr>
        <w:pStyle w:val="Heading1"/>
        <w:numPr>
          <w:ilvl w:val="0"/>
          <w:numId w:val="3"/>
        </w:numPr>
        <w:rPr>
          <w:color w:val="auto"/>
        </w:rPr>
      </w:pPr>
      <w:r w:rsidRPr="00AD70BB">
        <w:rPr>
          <w:color w:val="auto"/>
        </w:rPr>
        <w:t>additional information</w:t>
      </w:r>
    </w:p>
    <w:p w14:paraId="24B90FE1" w14:textId="77777777" w:rsidR="003D4BEC" w:rsidRPr="003D4BEC" w:rsidRDefault="003D4BEC" w:rsidP="003D4BEC">
      <w:pPr>
        <w:pStyle w:val="ListParagraph"/>
        <w:numPr>
          <w:ilvl w:val="0"/>
          <w:numId w:val="2"/>
        </w:numPr>
        <w:autoSpaceDE w:val="0"/>
        <w:autoSpaceDN w:val="0"/>
        <w:adjustRightInd w:val="0"/>
        <w:spacing w:after="0" w:line="240" w:lineRule="auto"/>
        <w:rPr>
          <w:rFonts w:ascii="Arial" w:hAnsi="Arial" w:cs="Arial"/>
          <w:color w:val="000000"/>
          <w:lang w:val="en-GB"/>
        </w:rPr>
      </w:pPr>
      <w:r w:rsidRPr="003D4BEC">
        <w:rPr>
          <w:rFonts w:ascii="Arial" w:hAnsi="Arial" w:cs="Arial"/>
          <w:color w:val="000000"/>
          <w:lang w:val="en-GB"/>
        </w:rPr>
        <w:t xml:space="preserve">The measurement of edge scrape, clear vegetation/weed cut back to remove build up from edge of carriage way through to filter material in Filter Drain and Combined carrier and Filter drain that could impair operation and weed spray to prevent build-up of vegetation that could impair filter drain operation shall be the lengths stated in the Service Manager’s instruction of changes to the planned number of Interventions. </w:t>
      </w:r>
    </w:p>
    <w:p w14:paraId="69B426DF" w14:textId="77777777" w:rsidR="00926803" w:rsidRDefault="00926803" w:rsidP="00926803">
      <w:pPr>
        <w:autoSpaceDE w:val="0"/>
        <w:autoSpaceDN w:val="0"/>
        <w:adjustRightInd w:val="0"/>
        <w:spacing w:after="0" w:line="240" w:lineRule="auto"/>
        <w:ind w:left="360"/>
        <w:rPr>
          <w:rFonts w:ascii="Arial" w:hAnsi="Arial" w:cs="Arial"/>
          <w:color w:val="000000"/>
          <w:lang w:val="en-GB"/>
        </w:rPr>
      </w:pPr>
    </w:p>
    <w:p w14:paraId="0C432E95" w14:textId="1B4FBBBA" w:rsidR="009A7B17" w:rsidRPr="009A7B17" w:rsidRDefault="00550421" w:rsidP="009A7B17">
      <w:pPr>
        <w:autoSpaceDE w:val="0"/>
        <w:autoSpaceDN w:val="0"/>
        <w:adjustRightInd w:val="0"/>
        <w:spacing w:after="0" w:line="240" w:lineRule="auto"/>
        <w:rPr>
          <w:rFonts w:ascii="Arial" w:hAnsi="Arial" w:cs="Arial"/>
          <w:color w:val="000000"/>
          <w:sz w:val="24"/>
          <w:szCs w:val="24"/>
          <w:lang w:val="en-GB"/>
        </w:rPr>
      </w:pPr>
      <w:r w:rsidRPr="00550421">
        <w:rPr>
          <w:rFonts w:ascii="Arial" w:hAnsi="Arial" w:cs="Arial"/>
          <w:b/>
          <w:bCs/>
          <w:sz w:val="23"/>
          <w:szCs w:val="23"/>
        </w:rPr>
        <w:t>3071AR Weed Control</w:t>
      </w:r>
    </w:p>
    <w:p w14:paraId="085EB49E"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1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control all injurious weed species which shall be defined for this Appendix as being those listed in sub-Clause 3002.1 with the addition of Oil Seed Rape and Rosebay Willowherb within the Affected Property and throughout all Annual Periods in accordance with GM701-ADAMR, to restrict their growth and prevent their spread. </w:t>
      </w:r>
    </w:p>
    <w:p w14:paraId="3443C480"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2 In locations where effective weed control shall be possible and practicable by other means allowed within this Contract there shall be a presumption against the use of chemical herbicides. </w:t>
      </w:r>
    </w:p>
    <w:p w14:paraId="26D637B2"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3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apply contact, translocated or residual herbicide for total weed control at all locations instructed by </w:t>
      </w:r>
      <w:r w:rsidRPr="009A7B17">
        <w:rPr>
          <w:rFonts w:ascii="Arial" w:hAnsi="Arial" w:cs="Arial"/>
          <w:i/>
          <w:iCs/>
          <w:color w:val="000000"/>
          <w:lang w:val="en-GB"/>
        </w:rPr>
        <w:t>Service Manager</w:t>
      </w:r>
      <w:r w:rsidRPr="009A7B17">
        <w:rPr>
          <w:rFonts w:ascii="Arial" w:hAnsi="Arial" w:cs="Arial"/>
          <w:color w:val="000000"/>
          <w:lang w:val="en-GB"/>
        </w:rPr>
        <w:t xml:space="preserve">. </w:t>
      </w:r>
    </w:p>
    <w:p w14:paraId="03236F4D"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4 All Structures, paved areas, kerbs, hard-standings, filter drains and gravel areas (including but not limited to gravelled central reservations). </w:t>
      </w:r>
    </w:p>
    <w:p w14:paraId="017182F7"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5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apply herbicides in accordance with GM701-ADAMR to eliminate weed growth in these areas throughout the duration of this Contract. </w:t>
      </w:r>
    </w:p>
    <w:p w14:paraId="7AB9F4BA"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6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use a translocated herbicide approved by the Environmental Agency in or near water for the total control of vegetation in all </w:t>
      </w:r>
      <w:proofErr w:type="gramStart"/>
      <w:r w:rsidRPr="009A7B17">
        <w:rPr>
          <w:rFonts w:ascii="Arial" w:hAnsi="Arial" w:cs="Arial"/>
          <w:color w:val="000000"/>
          <w:lang w:val="en-GB"/>
        </w:rPr>
        <w:t>filter</w:t>
      </w:r>
      <w:proofErr w:type="gramEnd"/>
      <w:r w:rsidRPr="009A7B17">
        <w:rPr>
          <w:rFonts w:ascii="Arial" w:hAnsi="Arial" w:cs="Arial"/>
          <w:color w:val="000000"/>
          <w:lang w:val="en-GB"/>
        </w:rPr>
        <w:t xml:space="preserve"> drains and any other areas adjacent to water and requiring weed control. </w:t>
      </w:r>
    </w:p>
    <w:p w14:paraId="4AEE80D8"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7 The application shall be as directed by GM701-</w:t>
      </w:r>
      <w:proofErr w:type="gramStart"/>
      <w:r w:rsidRPr="009A7B17">
        <w:rPr>
          <w:rFonts w:ascii="Arial" w:hAnsi="Arial" w:cs="Arial"/>
          <w:color w:val="000000"/>
          <w:lang w:val="en-GB"/>
        </w:rPr>
        <w:t>ADAMR ,</w:t>
      </w:r>
      <w:proofErr w:type="gramEnd"/>
      <w:r w:rsidRPr="009A7B17">
        <w:rPr>
          <w:rFonts w:ascii="Arial" w:hAnsi="Arial" w:cs="Arial"/>
          <w:color w:val="000000"/>
          <w:lang w:val="en-GB"/>
        </w:rPr>
        <w:t xml:space="preserve"> with the aim of eliminating weed growth throughout the duration of this Contract. </w:t>
      </w:r>
    </w:p>
    <w:p w14:paraId="3AD1C040"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lastRenderedPageBreak/>
        <w:t xml:space="preserve">8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apply herbicide for the selective control of all weeds listed in paragraph 1 above in all non-hardened verges and central reserves, planted areas and other grassed areas throughout the Affected Property including but not limited to embankments and cuttings. </w:t>
      </w:r>
    </w:p>
    <w:p w14:paraId="1BC932AA"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9 Where any of the weeds listed in paragraph 1 of this Appendix are controlled using herbicide, the application shall be by spot treatment in accordance with the manufacturer’s written instructions unless otherwise consented to in writing by the </w:t>
      </w:r>
      <w:r w:rsidRPr="009A7B17">
        <w:rPr>
          <w:rFonts w:ascii="Arial" w:hAnsi="Arial" w:cs="Arial"/>
          <w:i/>
          <w:iCs/>
          <w:color w:val="000000"/>
          <w:lang w:val="en-GB"/>
        </w:rPr>
        <w:t>Service Manager</w:t>
      </w:r>
      <w:r w:rsidRPr="009A7B17">
        <w:rPr>
          <w:rFonts w:ascii="Arial" w:hAnsi="Arial" w:cs="Arial"/>
          <w:color w:val="000000"/>
          <w:lang w:val="en-GB"/>
        </w:rPr>
        <w:t xml:space="preserve">. </w:t>
      </w:r>
    </w:p>
    <w:p w14:paraId="10A96E51"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10 Spot treatment shall typically be via controlled droplet application of a type appropriate to the manufacturers requirements for the herbicide being used the species being treated and the location of the treatment. </w:t>
      </w:r>
    </w:p>
    <w:p w14:paraId="4EF9C2A3"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11 The </w:t>
      </w:r>
      <w:r w:rsidRPr="009A7B17">
        <w:rPr>
          <w:rFonts w:ascii="Arial" w:hAnsi="Arial" w:cs="Arial"/>
          <w:i/>
          <w:iCs/>
          <w:color w:val="000000"/>
          <w:lang w:val="en-GB"/>
        </w:rPr>
        <w:t xml:space="preserve">Contractor </w:t>
      </w:r>
      <w:r w:rsidRPr="009A7B17">
        <w:rPr>
          <w:rFonts w:ascii="Arial" w:hAnsi="Arial" w:cs="Arial"/>
          <w:color w:val="000000"/>
          <w:lang w:val="en-GB"/>
        </w:rPr>
        <w:t xml:space="preserve">shall hand weed as necessary and at sufficient frequency to eliminate weed growth throughout the duration of this Contract in the following </w:t>
      </w:r>
      <w:proofErr w:type="gramStart"/>
      <w:r w:rsidRPr="009A7B17">
        <w:rPr>
          <w:rFonts w:ascii="Arial" w:hAnsi="Arial" w:cs="Arial"/>
          <w:color w:val="000000"/>
          <w:lang w:val="en-GB"/>
        </w:rPr>
        <w:t>locations</w:t>
      </w:r>
      <w:proofErr w:type="gramEnd"/>
      <w:r w:rsidRPr="009A7B17">
        <w:rPr>
          <w:rFonts w:ascii="Arial" w:hAnsi="Arial" w:cs="Arial"/>
          <w:color w:val="000000"/>
          <w:lang w:val="en-GB"/>
        </w:rPr>
        <w:t xml:space="preserve"> </w:t>
      </w:r>
    </w:p>
    <w:p w14:paraId="5EACBD4E"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proofErr w:type="spellStart"/>
      <w:r w:rsidRPr="009A7B17">
        <w:rPr>
          <w:rFonts w:ascii="Arial" w:hAnsi="Arial" w:cs="Arial"/>
          <w:color w:val="000000"/>
          <w:lang w:val="en-GB"/>
        </w:rPr>
        <w:t>i</w:t>
      </w:r>
      <w:proofErr w:type="spellEnd"/>
      <w:r w:rsidRPr="009A7B17">
        <w:rPr>
          <w:rFonts w:ascii="Arial" w:hAnsi="Arial" w:cs="Arial"/>
          <w:color w:val="000000"/>
          <w:lang w:val="en-GB"/>
        </w:rPr>
        <w:t xml:space="preserve">. Ornamental shrub beds where the application of herbicide may cause damage. </w:t>
      </w:r>
    </w:p>
    <w:p w14:paraId="23E74E3A"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ii. Hedgerow planting where herbicide application may cause damage. </w:t>
      </w:r>
    </w:p>
    <w:p w14:paraId="7BB0C854"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iii. Around planting stations in existing woodland within the Affected Property. </w:t>
      </w:r>
    </w:p>
    <w:p w14:paraId="480246BC"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iv. Within plant protectors and tree/shrub shelters. </w:t>
      </w:r>
    </w:p>
    <w:p w14:paraId="1A607CD5" w14:textId="77777777" w:rsidR="009A7B17" w:rsidRPr="009A7B17" w:rsidRDefault="009A7B17" w:rsidP="009A7B17">
      <w:pPr>
        <w:autoSpaceDE w:val="0"/>
        <w:autoSpaceDN w:val="0"/>
        <w:adjustRightInd w:val="0"/>
        <w:spacing w:after="137" w:line="240" w:lineRule="auto"/>
        <w:rPr>
          <w:rFonts w:ascii="Arial" w:hAnsi="Arial" w:cs="Arial"/>
          <w:color w:val="000000"/>
          <w:lang w:val="en-GB"/>
        </w:rPr>
      </w:pPr>
      <w:r w:rsidRPr="009A7B17">
        <w:rPr>
          <w:rFonts w:ascii="Arial" w:hAnsi="Arial" w:cs="Arial"/>
          <w:color w:val="000000"/>
          <w:lang w:val="en-GB"/>
        </w:rPr>
        <w:t xml:space="preserve">v. Within wildflower areas or areas of nature conservation value </w:t>
      </w:r>
    </w:p>
    <w:p w14:paraId="02A1A564" w14:textId="77777777" w:rsidR="009A7B17" w:rsidRPr="009A7B17" w:rsidRDefault="009A7B17" w:rsidP="009A7B17">
      <w:pPr>
        <w:autoSpaceDE w:val="0"/>
        <w:autoSpaceDN w:val="0"/>
        <w:adjustRightInd w:val="0"/>
        <w:spacing w:after="0" w:line="240" w:lineRule="auto"/>
        <w:rPr>
          <w:rFonts w:ascii="Arial" w:hAnsi="Arial" w:cs="Arial"/>
          <w:color w:val="000000"/>
          <w:lang w:val="en-GB"/>
        </w:rPr>
      </w:pPr>
      <w:r w:rsidRPr="009A7B17">
        <w:rPr>
          <w:rFonts w:ascii="Arial" w:hAnsi="Arial" w:cs="Arial"/>
          <w:color w:val="000000"/>
          <w:lang w:val="en-GB"/>
        </w:rPr>
        <w:t xml:space="preserve">vi. Where necessary throughout or associated with the Affected Property for the control of Ragwort and Oil Seed Rape and </w:t>
      </w:r>
    </w:p>
    <w:p w14:paraId="08600D93" w14:textId="77777777" w:rsidR="00550421" w:rsidRPr="00550421" w:rsidRDefault="00550421" w:rsidP="00550421">
      <w:pPr>
        <w:numPr>
          <w:ilvl w:val="0"/>
          <w:numId w:val="8"/>
        </w:numPr>
        <w:autoSpaceDE w:val="0"/>
        <w:autoSpaceDN w:val="0"/>
        <w:adjustRightInd w:val="0"/>
        <w:spacing w:after="136" w:line="240" w:lineRule="auto"/>
        <w:rPr>
          <w:rFonts w:ascii="Arial" w:hAnsi="Arial" w:cs="Arial"/>
          <w:color w:val="000000"/>
          <w:lang w:val="en-GB"/>
        </w:rPr>
      </w:pPr>
      <w:r w:rsidRPr="00550421">
        <w:rPr>
          <w:rFonts w:ascii="Arial" w:hAnsi="Arial" w:cs="Arial"/>
          <w:color w:val="000000"/>
          <w:lang w:val="en-GB"/>
        </w:rPr>
        <w:t xml:space="preserve">vii. In areas densely populated with desirable broadleaved species or areas of wildflowers where the application of herbicide may cause damage. </w:t>
      </w:r>
    </w:p>
    <w:p w14:paraId="67F576CC" w14:textId="77777777" w:rsidR="00550421" w:rsidRPr="00550421" w:rsidRDefault="00550421" w:rsidP="00550421">
      <w:pPr>
        <w:numPr>
          <w:ilvl w:val="0"/>
          <w:numId w:val="8"/>
        </w:numPr>
        <w:autoSpaceDE w:val="0"/>
        <w:autoSpaceDN w:val="0"/>
        <w:adjustRightInd w:val="0"/>
        <w:spacing w:after="136" w:line="240" w:lineRule="auto"/>
        <w:rPr>
          <w:rFonts w:ascii="Arial" w:hAnsi="Arial" w:cs="Arial"/>
          <w:color w:val="000000"/>
          <w:lang w:val="en-GB"/>
        </w:rPr>
      </w:pPr>
      <w:r w:rsidRPr="00550421">
        <w:rPr>
          <w:rFonts w:ascii="Arial" w:hAnsi="Arial" w:cs="Arial"/>
          <w:color w:val="000000"/>
          <w:lang w:val="en-GB"/>
        </w:rPr>
        <w:t xml:space="preserve">12 The </w:t>
      </w:r>
      <w:r w:rsidRPr="00550421">
        <w:rPr>
          <w:rFonts w:ascii="Arial" w:hAnsi="Arial" w:cs="Arial"/>
          <w:i/>
          <w:iCs/>
          <w:color w:val="000000"/>
          <w:lang w:val="en-GB"/>
        </w:rPr>
        <w:t xml:space="preserve">Contractor </w:t>
      </w:r>
      <w:r w:rsidRPr="00550421">
        <w:rPr>
          <w:rFonts w:ascii="Arial" w:hAnsi="Arial" w:cs="Arial"/>
          <w:color w:val="000000"/>
          <w:lang w:val="en-GB"/>
        </w:rPr>
        <w:t xml:space="preserve">shall cut weeds listed in paragraph 1 of this Appendix throughout or associated with the Affected Property that have become unsightly, or a nuisance, or to prevent such </w:t>
      </w:r>
      <w:proofErr w:type="gramStart"/>
      <w:r w:rsidRPr="00550421">
        <w:rPr>
          <w:rFonts w:ascii="Arial" w:hAnsi="Arial" w:cs="Arial"/>
          <w:color w:val="000000"/>
          <w:lang w:val="en-GB"/>
        </w:rPr>
        <w:t>weeds</w:t>
      </w:r>
      <w:proofErr w:type="gramEnd"/>
      <w:r w:rsidRPr="00550421">
        <w:rPr>
          <w:rFonts w:ascii="Arial" w:hAnsi="Arial" w:cs="Arial"/>
          <w:color w:val="000000"/>
          <w:lang w:val="en-GB"/>
        </w:rPr>
        <w:t xml:space="preserve"> </w:t>
      </w:r>
    </w:p>
    <w:p w14:paraId="4EDB6B5E" w14:textId="77777777" w:rsidR="00550421" w:rsidRPr="00550421" w:rsidRDefault="00550421" w:rsidP="00550421">
      <w:pPr>
        <w:numPr>
          <w:ilvl w:val="0"/>
          <w:numId w:val="8"/>
        </w:numPr>
        <w:autoSpaceDE w:val="0"/>
        <w:autoSpaceDN w:val="0"/>
        <w:adjustRightInd w:val="0"/>
        <w:spacing w:after="136" w:line="240" w:lineRule="auto"/>
        <w:rPr>
          <w:rFonts w:ascii="Arial" w:hAnsi="Arial" w:cs="Arial"/>
          <w:color w:val="000000"/>
          <w:lang w:val="en-GB"/>
        </w:rPr>
      </w:pPr>
      <w:r w:rsidRPr="00550421">
        <w:rPr>
          <w:rFonts w:ascii="Arial" w:hAnsi="Arial" w:cs="Arial"/>
          <w:color w:val="000000"/>
          <w:lang w:val="en-GB"/>
        </w:rPr>
        <w:t xml:space="preserve">13 Any arisings from weed control operations shall be removed from Affected Property and disposed of to a licensed disposal facility. </w:t>
      </w:r>
    </w:p>
    <w:p w14:paraId="52B2C745" w14:textId="77777777" w:rsidR="00550421" w:rsidRPr="00550421" w:rsidRDefault="00550421" w:rsidP="00550421">
      <w:pPr>
        <w:numPr>
          <w:ilvl w:val="0"/>
          <w:numId w:val="8"/>
        </w:numPr>
        <w:autoSpaceDE w:val="0"/>
        <w:autoSpaceDN w:val="0"/>
        <w:adjustRightInd w:val="0"/>
        <w:spacing w:after="136" w:line="240" w:lineRule="auto"/>
        <w:rPr>
          <w:rFonts w:ascii="Arial" w:hAnsi="Arial" w:cs="Arial"/>
          <w:color w:val="000000"/>
          <w:lang w:val="en-GB"/>
        </w:rPr>
      </w:pPr>
      <w:r w:rsidRPr="00550421">
        <w:rPr>
          <w:rFonts w:ascii="Arial" w:hAnsi="Arial" w:cs="Arial"/>
          <w:color w:val="000000"/>
          <w:lang w:val="en-GB"/>
        </w:rPr>
        <w:t xml:space="preserve">14 Where weed control operations result in the production of controlled waste products typically from Ragwort and Japanese Knotweed the arisings shall be placed in waterproof bags sealed and removed from the Affected Property to a licensed disposal facility. </w:t>
      </w:r>
    </w:p>
    <w:p w14:paraId="2F937EE7" w14:textId="77777777" w:rsidR="00550421" w:rsidRPr="00550421" w:rsidRDefault="00550421" w:rsidP="00550421">
      <w:pPr>
        <w:numPr>
          <w:ilvl w:val="0"/>
          <w:numId w:val="8"/>
        </w:numPr>
        <w:autoSpaceDE w:val="0"/>
        <w:autoSpaceDN w:val="0"/>
        <w:adjustRightInd w:val="0"/>
        <w:spacing w:after="0" w:line="240" w:lineRule="auto"/>
        <w:rPr>
          <w:rFonts w:ascii="Arial" w:hAnsi="Arial" w:cs="Arial"/>
          <w:color w:val="000000"/>
          <w:lang w:val="en-GB"/>
        </w:rPr>
      </w:pPr>
      <w:r w:rsidRPr="00550421">
        <w:rPr>
          <w:rFonts w:ascii="Arial" w:hAnsi="Arial" w:cs="Arial"/>
          <w:color w:val="000000"/>
          <w:lang w:val="en-GB"/>
        </w:rPr>
        <w:t xml:space="preserve">15 The </w:t>
      </w:r>
      <w:r w:rsidRPr="00550421">
        <w:rPr>
          <w:rFonts w:ascii="Arial" w:hAnsi="Arial" w:cs="Arial"/>
          <w:i/>
          <w:iCs/>
          <w:color w:val="000000"/>
          <w:lang w:val="en-GB"/>
        </w:rPr>
        <w:t xml:space="preserve">Contractor </w:t>
      </w:r>
      <w:r w:rsidRPr="00550421">
        <w:rPr>
          <w:rFonts w:ascii="Arial" w:hAnsi="Arial" w:cs="Arial"/>
          <w:color w:val="000000"/>
          <w:lang w:val="en-GB"/>
        </w:rPr>
        <w:t xml:space="preserve">shall be responsible for removing any dead or dying weeds at the appropriate time following herbicide application. </w:t>
      </w:r>
    </w:p>
    <w:p w14:paraId="34CA21E2" w14:textId="77777777" w:rsidR="00926803" w:rsidRDefault="00926803" w:rsidP="00550421">
      <w:pPr>
        <w:autoSpaceDE w:val="0"/>
        <w:autoSpaceDN w:val="0"/>
        <w:adjustRightInd w:val="0"/>
        <w:spacing w:after="0" w:line="240" w:lineRule="auto"/>
        <w:rPr>
          <w:rFonts w:ascii="Arial" w:hAnsi="Arial" w:cs="Arial"/>
          <w:color w:val="000000"/>
          <w:lang w:val="en-GB"/>
        </w:rPr>
      </w:pPr>
    </w:p>
    <w:sectPr w:rsidR="00926803"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41EA" w14:textId="77777777" w:rsidR="004B014F" w:rsidRDefault="004B014F">
      <w:pPr>
        <w:spacing w:after="0" w:line="240" w:lineRule="auto"/>
      </w:pPr>
      <w:r>
        <w:separator/>
      </w:r>
    </w:p>
  </w:endnote>
  <w:endnote w:type="continuationSeparator" w:id="0">
    <w:p w14:paraId="2A2C1D1C" w14:textId="77777777" w:rsidR="004B014F" w:rsidRDefault="004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5F45" w14:textId="77777777" w:rsidR="004B014F" w:rsidRDefault="004B014F">
      <w:pPr>
        <w:spacing w:after="0" w:line="240" w:lineRule="auto"/>
      </w:pPr>
      <w:r>
        <w:separator/>
      </w:r>
    </w:p>
  </w:footnote>
  <w:footnote w:type="continuationSeparator" w:id="0">
    <w:p w14:paraId="34A6AC8E" w14:textId="77777777" w:rsidR="004B014F" w:rsidRDefault="004B0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438"/>
    <w:multiLevelType w:val="hybridMultilevel"/>
    <w:tmpl w:val="15D29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A05C6"/>
    <w:multiLevelType w:val="hybridMultilevel"/>
    <w:tmpl w:val="A4721852"/>
    <w:lvl w:ilvl="0" w:tplc="08090001">
      <w:start w:val="1"/>
      <w:numFmt w:val="bullet"/>
      <w:lvlText w:val=""/>
      <w:lvlJc w:val="left"/>
      <w:pPr>
        <w:ind w:left="720" w:hanging="360"/>
      </w:pPr>
      <w:rPr>
        <w:rFonts w:ascii="Symbol" w:hAnsi="Symbol" w:hint="default"/>
      </w:rPr>
    </w:lvl>
    <w:lvl w:ilvl="1" w:tplc="455EBB0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5151"/>
    <w:multiLevelType w:val="hybridMultilevel"/>
    <w:tmpl w:val="CEAE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FED23B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num w:numId="1" w16cid:durableId="330572392">
    <w:abstractNumId w:val="6"/>
  </w:num>
  <w:num w:numId="2" w16cid:durableId="1985574979">
    <w:abstractNumId w:val="0"/>
  </w:num>
  <w:num w:numId="3" w16cid:durableId="1985085707">
    <w:abstractNumId w:val="4"/>
  </w:num>
  <w:num w:numId="4" w16cid:durableId="125978739">
    <w:abstractNumId w:val="4"/>
  </w:num>
  <w:num w:numId="5" w16cid:durableId="213273261">
    <w:abstractNumId w:val="3"/>
  </w:num>
  <w:num w:numId="6" w16cid:durableId="1002126813">
    <w:abstractNumId w:val="1"/>
  </w:num>
  <w:num w:numId="7" w16cid:durableId="1637562261">
    <w:abstractNumId w:val="2"/>
  </w:num>
  <w:num w:numId="8" w16cid:durableId="100193005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101993"/>
    <w:rsid w:val="00102F9F"/>
    <w:rsid w:val="00103E54"/>
    <w:rsid w:val="00117948"/>
    <w:rsid w:val="00121131"/>
    <w:rsid w:val="001238BC"/>
    <w:rsid w:val="001273C1"/>
    <w:rsid w:val="00143BFB"/>
    <w:rsid w:val="001825FE"/>
    <w:rsid w:val="001B2E7B"/>
    <w:rsid w:val="001C1316"/>
    <w:rsid w:val="001E2472"/>
    <w:rsid w:val="00201AD7"/>
    <w:rsid w:val="002045ED"/>
    <w:rsid w:val="002129B0"/>
    <w:rsid w:val="00235CB3"/>
    <w:rsid w:val="00260D2C"/>
    <w:rsid w:val="00276C31"/>
    <w:rsid w:val="00282A71"/>
    <w:rsid w:val="0028543A"/>
    <w:rsid w:val="00285B2C"/>
    <w:rsid w:val="00295C0C"/>
    <w:rsid w:val="002A04F7"/>
    <w:rsid w:val="002A0862"/>
    <w:rsid w:val="002A26B3"/>
    <w:rsid w:val="002C6185"/>
    <w:rsid w:val="002D1F16"/>
    <w:rsid w:val="002E52EE"/>
    <w:rsid w:val="002F2358"/>
    <w:rsid w:val="00305F0C"/>
    <w:rsid w:val="0032031C"/>
    <w:rsid w:val="003262F3"/>
    <w:rsid w:val="00346FDE"/>
    <w:rsid w:val="00347E1C"/>
    <w:rsid w:val="00374D59"/>
    <w:rsid w:val="00377B74"/>
    <w:rsid w:val="00386778"/>
    <w:rsid w:val="003A1BD8"/>
    <w:rsid w:val="003C0DAF"/>
    <w:rsid w:val="003C6AF7"/>
    <w:rsid w:val="003D2215"/>
    <w:rsid w:val="003D4BEC"/>
    <w:rsid w:val="003E0898"/>
    <w:rsid w:val="00402C50"/>
    <w:rsid w:val="00403116"/>
    <w:rsid w:val="004079F8"/>
    <w:rsid w:val="00410067"/>
    <w:rsid w:val="004159DD"/>
    <w:rsid w:val="0042778E"/>
    <w:rsid w:val="004351FE"/>
    <w:rsid w:val="00454B3C"/>
    <w:rsid w:val="0046523A"/>
    <w:rsid w:val="004661BE"/>
    <w:rsid w:val="00497F79"/>
    <w:rsid w:val="004A4B64"/>
    <w:rsid w:val="004B014F"/>
    <w:rsid w:val="004B5850"/>
    <w:rsid w:val="004B6087"/>
    <w:rsid w:val="004D3634"/>
    <w:rsid w:val="004E5035"/>
    <w:rsid w:val="004F5C8E"/>
    <w:rsid w:val="005140CB"/>
    <w:rsid w:val="00517215"/>
    <w:rsid w:val="00545041"/>
    <w:rsid w:val="00550421"/>
    <w:rsid w:val="00561521"/>
    <w:rsid w:val="00590B0E"/>
    <w:rsid w:val="005A22FF"/>
    <w:rsid w:val="005A520F"/>
    <w:rsid w:val="005C306A"/>
    <w:rsid w:val="005D1F41"/>
    <w:rsid w:val="005E039D"/>
    <w:rsid w:val="00601921"/>
    <w:rsid w:val="00631BCE"/>
    <w:rsid w:val="00644CE1"/>
    <w:rsid w:val="006453D3"/>
    <w:rsid w:val="0068698F"/>
    <w:rsid w:val="006A36C9"/>
    <w:rsid w:val="006C5ECB"/>
    <w:rsid w:val="006D3A77"/>
    <w:rsid w:val="00715884"/>
    <w:rsid w:val="0071603F"/>
    <w:rsid w:val="007160CB"/>
    <w:rsid w:val="00733868"/>
    <w:rsid w:val="00741991"/>
    <w:rsid w:val="00754148"/>
    <w:rsid w:val="0076017A"/>
    <w:rsid w:val="0076101B"/>
    <w:rsid w:val="00771B6E"/>
    <w:rsid w:val="007731CD"/>
    <w:rsid w:val="00794B67"/>
    <w:rsid w:val="0079670F"/>
    <w:rsid w:val="007A6C69"/>
    <w:rsid w:val="007C13B2"/>
    <w:rsid w:val="007C7858"/>
    <w:rsid w:val="007D5841"/>
    <w:rsid w:val="007F0BD9"/>
    <w:rsid w:val="007F25A3"/>
    <w:rsid w:val="0080549D"/>
    <w:rsid w:val="00805667"/>
    <w:rsid w:val="008125B2"/>
    <w:rsid w:val="008136E9"/>
    <w:rsid w:val="0081450C"/>
    <w:rsid w:val="0085761F"/>
    <w:rsid w:val="0088175F"/>
    <w:rsid w:val="008961F2"/>
    <w:rsid w:val="0089777F"/>
    <w:rsid w:val="008A4129"/>
    <w:rsid w:val="008C2860"/>
    <w:rsid w:val="008F0570"/>
    <w:rsid w:val="008F0E66"/>
    <w:rsid w:val="008F4E62"/>
    <w:rsid w:val="00905C64"/>
    <w:rsid w:val="00920712"/>
    <w:rsid w:val="00925557"/>
    <w:rsid w:val="00926803"/>
    <w:rsid w:val="00926E39"/>
    <w:rsid w:val="00931827"/>
    <w:rsid w:val="0095165A"/>
    <w:rsid w:val="00961CD5"/>
    <w:rsid w:val="009712F5"/>
    <w:rsid w:val="00987BCC"/>
    <w:rsid w:val="009A3E0F"/>
    <w:rsid w:val="009A7B17"/>
    <w:rsid w:val="009B0906"/>
    <w:rsid w:val="009B5D53"/>
    <w:rsid w:val="009B60F9"/>
    <w:rsid w:val="009B77E5"/>
    <w:rsid w:val="009D2F9A"/>
    <w:rsid w:val="009D403F"/>
    <w:rsid w:val="009E07E5"/>
    <w:rsid w:val="00A010ED"/>
    <w:rsid w:val="00A4616C"/>
    <w:rsid w:val="00A54BD5"/>
    <w:rsid w:val="00A618AB"/>
    <w:rsid w:val="00A97CC8"/>
    <w:rsid w:val="00AA4E06"/>
    <w:rsid w:val="00AA528E"/>
    <w:rsid w:val="00AB131D"/>
    <w:rsid w:val="00AF452C"/>
    <w:rsid w:val="00AF4932"/>
    <w:rsid w:val="00AF4CCD"/>
    <w:rsid w:val="00B0209E"/>
    <w:rsid w:val="00B13AE2"/>
    <w:rsid w:val="00B3405F"/>
    <w:rsid w:val="00B458DF"/>
    <w:rsid w:val="00B51083"/>
    <w:rsid w:val="00B631EC"/>
    <w:rsid w:val="00BA1593"/>
    <w:rsid w:val="00BC617C"/>
    <w:rsid w:val="00BD07BE"/>
    <w:rsid w:val="00BD40FE"/>
    <w:rsid w:val="00BE3206"/>
    <w:rsid w:val="00BE3CD6"/>
    <w:rsid w:val="00BE687B"/>
    <w:rsid w:val="00BF5562"/>
    <w:rsid w:val="00BF78FF"/>
    <w:rsid w:val="00C023DE"/>
    <w:rsid w:val="00C16778"/>
    <w:rsid w:val="00C27980"/>
    <w:rsid w:val="00C5084E"/>
    <w:rsid w:val="00C553D6"/>
    <w:rsid w:val="00C7764C"/>
    <w:rsid w:val="00C846FE"/>
    <w:rsid w:val="00C87668"/>
    <w:rsid w:val="00CC0342"/>
    <w:rsid w:val="00CC4E29"/>
    <w:rsid w:val="00CC612B"/>
    <w:rsid w:val="00CD32DD"/>
    <w:rsid w:val="00CD7016"/>
    <w:rsid w:val="00D004D4"/>
    <w:rsid w:val="00D15F61"/>
    <w:rsid w:val="00D16EFA"/>
    <w:rsid w:val="00D31D4F"/>
    <w:rsid w:val="00D65CCD"/>
    <w:rsid w:val="00D7152D"/>
    <w:rsid w:val="00DA7021"/>
    <w:rsid w:val="00DB52AE"/>
    <w:rsid w:val="00DD3056"/>
    <w:rsid w:val="00DD5A3D"/>
    <w:rsid w:val="00E0401F"/>
    <w:rsid w:val="00E213A7"/>
    <w:rsid w:val="00E33EE1"/>
    <w:rsid w:val="00E42105"/>
    <w:rsid w:val="00E6375D"/>
    <w:rsid w:val="00EA06FB"/>
    <w:rsid w:val="00EA6F01"/>
    <w:rsid w:val="00EB1E62"/>
    <w:rsid w:val="00EB46EF"/>
    <w:rsid w:val="00F13EEB"/>
    <w:rsid w:val="00F23ED1"/>
    <w:rsid w:val="00F42EAE"/>
    <w:rsid w:val="00F46710"/>
    <w:rsid w:val="00F535B0"/>
    <w:rsid w:val="00F730C2"/>
    <w:rsid w:val="00F742FC"/>
    <w:rsid w:val="00F7501B"/>
    <w:rsid w:val="00F9769D"/>
    <w:rsid w:val="00F97ACA"/>
    <w:rsid w:val="00FA7059"/>
    <w:rsid w:val="00FA7491"/>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4"/>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4"/>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1"/>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1331637351">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2024-03-19T10:59:00Z</dcterms:created>
  <dcterms:modified xsi:type="dcterms:W3CDTF">2024-03-19T11:16:00Z</dcterms:modified>
  <cp:contentStatus/>
</cp:coreProperties>
</file>