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Order Schedule 14 (Service Levels)</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tabs>
          <w:tab w:val="left" w:pos="142"/>
        </w:tabs>
        <w:spacing w:after="120" w:before="240" w:line="240" w:lineRule="auto"/>
        <w:ind w:left="720" w:hanging="720"/>
        <w:rPr/>
      </w:pPr>
      <w:r w:rsidDel="00000000" w:rsidR="00000000" w:rsidRPr="00000000">
        <w:rPr>
          <w:rFonts w:ascii="Arial Bold" w:cs="Arial Bold" w:eastAsia="Arial Bold" w:hAnsi="Arial Bold"/>
          <w:b w:val="1"/>
          <w:color w:val="000000"/>
          <w:sz w:val="24"/>
          <w:szCs w:val="24"/>
          <w:rtl w:val="0"/>
        </w:rPr>
        <w:t xml:space="preserve">Definitions</w:t>
      </w:r>
    </w:p>
    <w:p w:rsidR="00000000" w:rsidDel="00000000" w:rsidP="00000000" w:rsidRDefault="00000000" w:rsidRPr="00000000" w14:paraId="00000004">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363.0" w:type="dxa"/>
        <w:jc w:val="left"/>
        <w:tblInd w:w="8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953"/>
        <w:tblGridChange w:id="0">
          <w:tblGrid>
            <w:gridCol w:w="2410"/>
            <w:gridCol w:w="5953"/>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“Critical Service Level Failure”</w:t>
            </w:r>
          </w:p>
        </w:tc>
        <w:tc>
          <w:tcPr>
            <w:shd w:fill="auto" w:val="clear"/>
          </w:tcPr>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tabs>
                <w:tab w:val="left" w:pos="-9"/>
                <w:tab w:val="left" w:pos="-179"/>
              </w:tabs>
              <w:spacing w:after="120" w:line="240" w:lineRule="auto"/>
              <w:ind w:left="170" w:hanging="170"/>
              <w:rPr>
                <w:color w:val="000000"/>
              </w:rPr>
            </w:pPr>
            <w:r w:rsidDel="00000000" w:rsidR="00000000" w:rsidRPr="00000000">
              <w:rPr>
                <w:rtl w:val="0"/>
              </w:rPr>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tabs>
                <w:tab w:val="left" w:pos="-9"/>
                <w:tab w:val="left" w:pos="-17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Credits"</w:t>
            </w:r>
          </w:p>
        </w:tc>
        <w:tc>
          <w:tcPr>
            <w:shd w:fill="auto" w:val="clear"/>
          </w:tcPr>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tabs>
                <w:tab w:val="left" w:pos="-9"/>
                <w:tab w:val="left" w:pos="-17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any service credits specified in the Annex to Part A of this Schedule being payable by the Supplier to the Buyer in respect of any failure by the Supplier to meet one or more Service Levels;</w:t>
            </w:r>
          </w:p>
        </w:tc>
      </w:tr>
      <w:tr>
        <w:trPr>
          <w:cantSplit w:val="0"/>
          <w:trHeight w:val="359" w:hRule="atLeast"/>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Credit Cap"</w:t>
            </w:r>
          </w:p>
        </w:tc>
        <w:tc>
          <w:tcPr>
            <w:shd w:fill="auto" w:val="clear"/>
          </w:tcPr>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tabs>
                <w:tab w:val="left" w:pos="-9"/>
                <w:tab w:val="left" w:pos="-17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 Failure"</w:t>
            </w:r>
          </w:p>
        </w:tc>
        <w:tc>
          <w:tcPr>
            <w:shd w:fill="auto" w:val="clear"/>
          </w:tcPr>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tabs>
                <w:tab w:val="left" w:pos="-9"/>
                <w:tab w:val="left" w:pos="-17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means a failure to meet the Service Level Performance Measure in respect of a Service Level;</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 Performance Measure"</w:t>
            </w:r>
          </w:p>
        </w:tc>
        <w:tc>
          <w:tcPr>
            <w:shd w:fill="auto" w:val="clear"/>
          </w:tcPr>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tabs>
                <w:tab w:val="left" w:pos="-9"/>
                <w:tab w:val="left" w:pos="-17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shall be as set out against the relevant Service Level in the Annex to Part A of this Schedule; and</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 Threshold"</w:t>
            </w:r>
          </w:p>
        </w:tc>
        <w:tc>
          <w:tcPr>
            <w:shd w:fill="auto" w:val="clear"/>
          </w:tcPr>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tabs>
                <w:tab w:val="left" w:pos="-9"/>
                <w:tab w:val="left" w:pos="-17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shall be as set out against the relevant Service Level in the Annex to Part A of this Schedule.</w:t>
            </w:r>
          </w:p>
        </w:tc>
      </w:tr>
    </w:tbl>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tabs>
          <w:tab w:val="left" w:pos="142"/>
        </w:tabs>
        <w:spacing w:after="120" w:before="240" w:line="240" w:lineRule="auto"/>
        <w:ind w:left="720" w:hanging="720"/>
        <w:rPr/>
      </w:pPr>
      <w:r w:rsidDel="00000000" w:rsidR="00000000" w:rsidRPr="00000000">
        <w:rPr>
          <w:rFonts w:ascii="Arial Bold" w:cs="Arial Bold" w:eastAsia="Arial Bold" w:hAnsi="Arial Bold"/>
          <w:b w:val="1"/>
          <w:color w:val="000000"/>
          <w:sz w:val="24"/>
          <w:szCs w:val="24"/>
          <w:rtl w:val="0"/>
        </w:rPr>
        <w:t xml:space="preserve">What happens if you don’t meet the Service Levels</w:t>
      </w:r>
      <w:r w:rsidDel="00000000" w:rsidR="00000000" w:rsidRPr="00000000">
        <w:rPr>
          <w:rtl w:val="0"/>
        </w:rPr>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Supplier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Del="00000000" w:rsidR="00000000" w:rsidRPr="00000000">
        <w:rPr>
          <w:rtl w:val="0"/>
        </w:rPr>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Supplier shall send Performance Monitoring Reports to the Buyer detailing the level of service which was achieved in accordance with the provisions of Part B (Performance Monitoring) of this Schedule.</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30j0zll" w:id="1"/>
      <w:bookmarkEnd w:id="1"/>
      <w:r w:rsidDel="00000000" w:rsidR="00000000" w:rsidRPr="00000000">
        <w:rPr>
          <w:rFonts w:ascii="Arial" w:cs="Arial" w:eastAsia="Arial" w:hAnsi="Arial"/>
          <w:color w:val="000000"/>
          <w:sz w:val="24"/>
          <w:szCs w:val="24"/>
          <w:rtl w:val="0"/>
        </w:rPr>
        <w:t xml:space="preserve">A Service Credit shall be the Buyer’s exclusive financial remedy for a Service Level Failure except where:</w:t>
      </w:r>
      <w:r w:rsidDel="00000000" w:rsidR="00000000" w:rsidRPr="00000000">
        <w:rPr>
          <w:rtl w:val="0"/>
        </w:rPr>
      </w:r>
    </w:p>
    <w:p w:rsidR="00000000" w:rsidDel="00000000" w:rsidP="00000000" w:rsidRDefault="00000000" w:rsidRPr="00000000" w14:paraId="00000018">
      <w:pPr>
        <w:numPr>
          <w:ilvl w:val="2"/>
          <w:numId w:val="3"/>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the Supplier has over the previous (twelve) 12 Month period exceeded the Service Credit Cap; and/or</w:t>
      </w:r>
    </w:p>
    <w:p w:rsidR="00000000" w:rsidDel="00000000" w:rsidP="00000000" w:rsidRDefault="00000000" w:rsidRPr="00000000" w14:paraId="00000019">
      <w:pPr>
        <w:numPr>
          <w:ilvl w:val="2"/>
          <w:numId w:val="3"/>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the Service Level Failure:</w:t>
      </w:r>
    </w:p>
    <w:p w:rsidR="00000000" w:rsidDel="00000000" w:rsidP="00000000" w:rsidRDefault="00000000" w:rsidRPr="00000000" w14:paraId="0000001A">
      <w:pPr>
        <w:numPr>
          <w:ilvl w:val="3"/>
          <w:numId w:val="3"/>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exceeds the relevant Service Level Threshold;</w:t>
      </w:r>
    </w:p>
    <w:p w:rsidR="00000000" w:rsidDel="00000000" w:rsidP="00000000" w:rsidRDefault="00000000" w:rsidRPr="00000000" w14:paraId="0000001B">
      <w:pPr>
        <w:numPr>
          <w:ilvl w:val="3"/>
          <w:numId w:val="3"/>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has arisen due to a Prohibited Act or wilful Default by the Supplier; </w:t>
      </w:r>
    </w:p>
    <w:p w:rsidR="00000000" w:rsidDel="00000000" w:rsidP="00000000" w:rsidRDefault="00000000" w:rsidRPr="00000000" w14:paraId="0000001C">
      <w:pPr>
        <w:numPr>
          <w:ilvl w:val="3"/>
          <w:numId w:val="3"/>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results in the corruption or loss of any Government Data; and/or</w:t>
      </w:r>
    </w:p>
    <w:p w:rsidR="00000000" w:rsidDel="00000000" w:rsidP="00000000" w:rsidRDefault="00000000" w:rsidRPr="00000000" w14:paraId="0000001D">
      <w:pPr>
        <w:numPr>
          <w:ilvl w:val="3"/>
          <w:numId w:val="3"/>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results in the Buyer being required to make a compensation payment to one or more third parties; and/or</w:t>
      </w:r>
    </w:p>
    <w:p w:rsidR="00000000" w:rsidDel="00000000" w:rsidP="00000000" w:rsidRDefault="00000000" w:rsidRPr="00000000" w14:paraId="0000001E">
      <w:pPr>
        <w:numPr>
          <w:ilvl w:val="2"/>
          <w:numId w:val="3"/>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the Buyer is otherwise entitled to or does terminate this Contract pursuant to Clause 10.4 (CCS and Buyer Termination Rights).</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000000" w:rsidDel="00000000" w:rsidP="00000000" w:rsidRDefault="00000000" w:rsidRPr="00000000" w14:paraId="00000020">
      <w:pPr>
        <w:numPr>
          <w:ilvl w:val="2"/>
          <w:numId w:val="3"/>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the total number of Service Levels for which the weighting is to be changed does not exceed the number applicable as at the Start Date; </w:t>
      </w:r>
    </w:p>
    <w:p w:rsidR="00000000" w:rsidDel="00000000" w:rsidP="00000000" w:rsidRDefault="00000000" w:rsidRPr="00000000" w14:paraId="00000021">
      <w:pPr>
        <w:numPr>
          <w:ilvl w:val="2"/>
          <w:numId w:val="3"/>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022">
      <w:pPr>
        <w:numPr>
          <w:ilvl w:val="2"/>
          <w:numId w:val="3"/>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there is no change to the Service Credit Cap.</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tabs>
          <w:tab w:val="left" w:pos="142"/>
        </w:tabs>
        <w:spacing w:after="120" w:before="240" w:line="240" w:lineRule="auto"/>
        <w:ind w:left="720" w:hanging="720"/>
        <w:rPr/>
      </w:pPr>
      <w:r w:rsidDel="00000000" w:rsidR="00000000" w:rsidRPr="00000000">
        <w:rPr>
          <w:rFonts w:ascii="Arial Bold" w:cs="Arial Bold" w:eastAsia="Arial Bold" w:hAnsi="Arial Bold"/>
          <w:b w:val="1"/>
          <w:color w:val="000000"/>
          <w:sz w:val="24"/>
          <w:szCs w:val="24"/>
          <w:rtl w:val="0"/>
        </w:rPr>
        <w:t xml:space="preserve">Critical Service Level Failure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occurrence of a Critical Service Level Failure:</w:t>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any Service Credits that would otherwise have accrued during the relevant Service Period shall not accrue; and</w:t>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Buyer shall (subject to the Service Credit Cap) be entitled to withhold and retain as compensation a sum equal to any Charges which would otherwise have been due to the Supplier in respect of that Service Period ("</w:t>
      </w:r>
      <w:r w:rsidDel="00000000" w:rsidR="00000000" w:rsidRPr="00000000">
        <w:rPr>
          <w:rFonts w:ascii="Arial" w:cs="Arial" w:eastAsia="Arial" w:hAnsi="Arial"/>
          <w:b w:val="1"/>
          <w:color w:val="000000"/>
          <w:sz w:val="24"/>
          <w:szCs w:val="24"/>
          <w:rtl w:val="0"/>
        </w:rPr>
        <w:t xml:space="preserve">Compensation for Critical Service Level Failure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3402"/>
        </w:tabs>
        <w:spacing w:after="2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provided that the operation of this paragraph 3 shall be without prejudice to the right of the Buyer to terminate this Contract and/or to claim damages from the Supplier for material Default.</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142"/>
        </w:tabs>
        <w:spacing w:after="120" w:before="240" w:line="240" w:lineRule="auto"/>
        <w:ind w:left="426" w:hanging="360"/>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after="240" w:line="240" w:lineRule="auto"/>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A: Service Levels and Service Credits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rPr/>
      </w:pPr>
      <w:r w:rsidDel="00000000" w:rsidR="00000000" w:rsidRPr="00000000">
        <w:rPr>
          <w:rFonts w:ascii="Arial Bold" w:cs="Arial Bold" w:eastAsia="Arial Bold" w:hAnsi="Arial Bold"/>
          <w:b w:val="1"/>
          <w:color w:val="000000"/>
          <w:sz w:val="24"/>
          <w:szCs w:val="24"/>
          <w:rtl w:val="0"/>
        </w:rPr>
        <w:t xml:space="preserve">Service Levels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ind w:left="720"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level of performance of the Supplier:</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is likely to or fails to meet any Service Level Performance Measure; or</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is likely to cause or causes a Critical Service Failure to occur,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720"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require the Supplier to immediately take all remedial action that is reasonable to mitigate the impact on the Buyer and to rectify or prevent a Service Level Failure or Critical Service Level Failure from taking place or recurring; </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instruct the Supplier to comply with the Rectification Plan Process; </w:t>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if a Service Level Failure has occurred, deduct the applicable Service Level Credits payable by the Supplier to the Buyer; and/or</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if a Critical Service Level Failure has occurred, exercise its right to Compensation for Critical Service Level Failure (including the right to terminate for material Default).</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rPr/>
      </w:pPr>
      <w:r w:rsidDel="00000000" w:rsidR="00000000" w:rsidRPr="00000000">
        <w:rPr>
          <w:rFonts w:ascii="Arial Bold" w:cs="Arial Bold" w:eastAsia="Arial Bold" w:hAnsi="Arial Bold"/>
          <w:b w:val="1"/>
          <w:color w:val="000000"/>
          <w:sz w:val="24"/>
          <w:szCs w:val="24"/>
          <w:rtl w:val="0"/>
        </w:rPr>
        <w:t xml:space="preserve">Service Credits</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spacing w:after="240" w:line="240" w:lineRule="auto"/>
        <w:rPr>
          <w:rFonts w:ascii="Arial Bold" w:cs="Arial Bold" w:eastAsia="Arial Bold" w:hAnsi="Arial Bold"/>
          <w:b w:val="1"/>
          <w:color w:val="000000"/>
          <w:sz w:val="24"/>
          <w:szCs w:val="24"/>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Annex A to Part A: Services Levels and Service Credits Table</w:t>
      </w:r>
      <w:r w:rsidDel="00000000" w:rsidR="00000000" w:rsidRPr="00000000">
        <w:rPr>
          <w:rtl w:val="0"/>
        </w:rPr>
      </w:r>
    </w:p>
    <w:p w:rsidR="00000000" w:rsidDel="00000000" w:rsidP="00000000" w:rsidRDefault="00000000" w:rsidRPr="00000000" w14:paraId="00000037">
      <w:pPr>
        <w:ind w:left="709" w:firstLine="0"/>
        <w:rPr>
          <w:rFonts w:ascii="Arial" w:cs="Arial" w:eastAsia="Arial" w:hAnsi="Arial"/>
          <w:sz w:val="24"/>
          <w:szCs w:val="24"/>
        </w:rPr>
      </w:pPr>
      <w:r w:rsidDel="00000000" w:rsidR="00000000" w:rsidRPr="00000000">
        <w:rPr>
          <w:rtl w:val="0"/>
        </w:rPr>
      </w:r>
    </w:p>
    <w:tbl>
      <w:tblPr>
        <w:tblStyle w:val="Table2"/>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571"/>
        <w:gridCol w:w="1701"/>
        <w:gridCol w:w="1418"/>
        <w:gridCol w:w="2102"/>
        <w:tblGridChange w:id="0">
          <w:tblGrid>
            <w:gridCol w:w="1713"/>
            <w:gridCol w:w="1571"/>
            <w:gridCol w:w="1701"/>
            <w:gridCol w:w="1418"/>
            <w:gridCol w:w="2102"/>
          </w:tblGrid>
        </w:tblGridChange>
      </w:tblGrid>
      <w:tr>
        <w:trPr>
          <w:cantSplit w:val="0"/>
          <w:trHeight w:val="1213" w:hRule="atLeast"/>
          <w:tblHeader w:val="0"/>
        </w:trPr>
        <w:tc>
          <w:tcPr>
            <w:gridSpan w:val="4"/>
            <w:shd w:fill="d9d9d9" w:val="clear"/>
          </w:tcPr>
          <w:p w:rsidR="00000000" w:rsidDel="00000000" w:rsidP="00000000" w:rsidRDefault="00000000" w:rsidRPr="00000000" w14:paraId="00000038">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Levels</w:t>
            </w:r>
          </w:p>
        </w:tc>
        <w:tc>
          <w:tcPr>
            <w:vMerge w:val="restart"/>
            <w:shd w:fill="d9d9d9" w:val="clear"/>
            <w:vAlign w:val="center"/>
          </w:tcPr>
          <w:p w:rsidR="00000000" w:rsidDel="00000000" w:rsidP="00000000" w:rsidRDefault="00000000" w:rsidRPr="00000000" w14:paraId="0000003C">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 for each Service Period</w:t>
            </w:r>
          </w:p>
          <w:p w:rsidR="00000000" w:rsidDel="00000000" w:rsidP="00000000" w:rsidRDefault="00000000" w:rsidRPr="00000000" w14:paraId="0000003D">
            <w:pPr>
              <w:ind w:left="95" w:firstLine="0"/>
              <w:rPr>
                <w:rFonts w:ascii="Arial" w:cs="Arial" w:eastAsia="Arial" w:hAnsi="Arial"/>
                <w:sz w:val="24"/>
                <w:szCs w:val="24"/>
              </w:rPr>
            </w:pPr>
            <w:r w:rsidDel="00000000" w:rsidR="00000000" w:rsidRPr="00000000">
              <w:rPr>
                <w:rtl w:val="0"/>
              </w:rPr>
            </w:r>
          </w:p>
        </w:tc>
      </w:tr>
      <w:tr>
        <w:trPr>
          <w:cantSplit w:val="0"/>
          <w:trHeight w:val="1213" w:hRule="atLeast"/>
          <w:tblHeader w:val="0"/>
        </w:trPr>
        <w:tc>
          <w:tcPr>
            <w:shd w:fill="d9d9d9" w:val="clear"/>
            <w:vAlign w:val="center"/>
          </w:tcPr>
          <w:p w:rsidR="00000000" w:rsidDel="00000000" w:rsidP="00000000" w:rsidRDefault="00000000" w:rsidRPr="00000000" w14:paraId="0000003E">
            <w:pPr>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Criterion</w:t>
            </w:r>
          </w:p>
        </w:tc>
        <w:tc>
          <w:tcPr>
            <w:shd w:fill="d9d9d9" w:val="clear"/>
            <w:vAlign w:val="center"/>
          </w:tcPr>
          <w:p w:rsidR="00000000" w:rsidDel="00000000" w:rsidP="00000000" w:rsidRDefault="00000000" w:rsidRPr="00000000" w14:paraId="0000003F">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Indicator</w:t>
            </w:r>
          </w:p>
        </w:tc>
        <w:tc>
          <w:tcPr>
            <w:shd w:fill="d9d9d9" w:val="clear"/>
            <w:vAlign w:val="cente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Measure</w:t>
            </w:r>
          </w:p>
        </w:tc>
        <w:tc>
          <w:tcPr>
            <w:shd w:fill="d9d9d9" w:val="clear"/>
          </w:tcPr>
          <w:p w:rsidR="00000000" w:rsidDel="00000000" w:rsidP="00000000" w:rsidRDefault="00000000" w:rsidRPr="00000000" w14:paraId="00000041">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Threshold</w:t>
            </w:r>
          </w:p>
        </w:tc>
        <w:tc>
          <w:tcPr>
            <w:vMerge w:val="continue"/>
            <w:shd w:fill="d9d9d9"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43">
            <w:pPr>
              <w:jc w:val="both"/>
              <w:rPr>
                <w:rFonts w:ascii="Arial" w:cs="Arial" w:eastAsia="Arial" w:hAnsi="Arial"/>
                <w:b w:val="0"/>
                <w:color w:val="000000"/>
                <w:sz w:val="22"/>
                <w:szCs w:val="22"/>
              </w:rPr>
            </w:pPr>
            <w:r w:rsidDel="00000000" w:rsidR="00000000" w:rsidRPr="00000000">
              <w:rPr>
                <w:rFonts w:ascii="Arial" w:cs="Arial" w:eastAsia="Arial" w:hAnsi="Arial"/>
                <w:sz w:val="22"/>
                <w:szCs w:val="22"/>
                <w:rtl w:val="0"/>
              </w:rPr>
              <w:t xml:space="preserve">Key production milestones to be achieved in the timeframes agreed in Statement of Requirements</w:t>
            </w:r>
            <w:r w:rsidDel="00000000" w:rsidR="00000000" w:rsidRPr="00000000">
              <w:rPr>
                <w:rtl w:val="0"/>
              </w:rPr>
            </w:r>
          </w:p>
        </w:tc>
        <w:tc>
          <w:tcPr/>
          <w:p w:rsidR="00000000" w:rsidDel="00000000" w:rsidP="00000000" w:rsidRDefault="00000000" w:rsidRPr="00000000" w14:paraId="00000044">
            <w:pPr>
              <w:pStyle w:val="Heading2"/>
              <w:keepNext w:val="0"/>
              <w:keepLines w:val="0"/>
              <w:spacing w:after="240" w:before="0" w:lineRule="auto"/>
              <w:ind w:left="181.4173228346457" w:firstLine="0"/>
              <w:rPr>
                <w:rFonts w:ascii="Arial" w:cs="Arial" w:eastAsia="Arial" w:hAnsi="Arial"/>
                <w:b w:val="0"/>
                <w:color w:val="000000"/>
                <w:sz w:val="22"/>
                <w:szCs w:val="22"/>
              </w:rPr>
            </w:pPr>
            <w:bookmarkStart w:colFirst="0" w:colLast="0" w:name="_g10yi943kr3x" w:id="2"/>
            <w:bookmarkEnd w:id="2"/>
            <w:r w:rsidDel="00000000" w:rsidR="00000000" w:rsidRPr="00000000">
              <w:rPr>
                <w:rFonts w:ascii="Arial" w:cs="Arial" w:eastAsia="Arial" w:hAnsi="Arial"/>
                <w:b w:val="0"/>
                <w:color w:val="000000"/>
                <w:sz w:val="22"/>
                <w:szCs w:val="22"/>
                <w:rtl w:val="0"/>
              </w:rPr>
              <w:t xml:space="preserve">Accuracy / timelines</w:t>
            </w:r>
          </w:p>
        </w:tc>
        <w:tc>
          <w:tcPr/>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100%</w:t>
            </w:r>
          </w:p>
        </w:tc>
        <w:tc>
          <w:tcPr/>
          <w:p w:rsidR="00000000" w:rsidDel="00000000" w:rsidP="00000000" w:rsidRDefault="00000000" w:rsidRPr="00000000" w14:paraId="00000046">
            <w:pPr>
              <w:pStyle w:val="Heading2"/>
              <w:keepNext w:val="0"/>
              <w:keepLines w:val="0"/>
              <w:spacing w:after="240" w:before="0" w:lineRule="auto"/>
              <w:ind w:left="720" w:hanging="540"/>
              <w:rPr>
                <w:rFonts w:ascii="Arial" w:cs="Arial" w:eastAsia="Arial" w:hAnsi="Arial"/>
                <w:b w:val="0"/>
                <w:color w:val="000000"/>
                <w:sz w:val="22"/>
                <w:szCs w:val="22"/>
              </w:rPr>
            </w:pPr>
            <w:bookmarkStart w:colFirst="0" w:colLast="0" w:name="_xo0iyfqrb2h6" w:id="3"/>
            <w:bookmarkEnd w:id="3"/>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47">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0.5% Service Credit gained for each percentage under the specified Service Level Performance Measure</w:t>
            </w:r>
          </w:p>
        </w:tc>
      </w:tr>
      <w:tr>
        <w:trPr>
          <w:cantSplit w:val="0"/>
          <w:trHeight w:val="1474" w:hRule="atLeast"/>
          <w:tblHeader w:val="0"/>
        </w:trPr>
        <w:tc>
          <w:tcPr/>
          <w:p w:rsidR="00000000" w:rsidDel="00000000" w:rsidP="00000000" w:rsidRDefault="00000000" w:rsidRPr="00000000" w14:paraId="00000048">
            <w:pPr>
              <w:jc w:val="both"/>
              <w:rPr>
                <w:rFonts w:ascii="Arial" w:cs="Arial" w:eastAsia="Arial" w:hAnsi="Arial"/>
                <w:b w:val="0"/>
                <w:color w:val="000000"/>
                <w:sz w:val="22"/>
                <w:szCs w:val="22"/>
              </w:rPr>
            </w:pPr>
            <w:r w:rsidDel="00000000" w:rsidR="00000000" w:rsidRPr="00000000">
              <w:rPr>
                <w:rFonts w:ascii="Arial" w:cs="Arial" w:eastAsia="Arial" w:hAnsi="Arial"/>
                <w:sz w:val="22"/>
                <w:szCs w:val="22"/>
                <w:rtl w:val="0"/>
              </w:rPr>
              <w:t xml:space="preserve">Technical development projects completed to an excellent standard as measured by internal stakeholder and user feedback </w:t>
            </w:r>
            <w:r w:rsidDel="00000000" w:rsidR="00000000" w:rsidRPr="00000000">
              <w:rPr>
                <w:rtl w:val="0"/>
              </w:rPr>
            </w:r>
          </w:p>
        </w:tc>
        <w:tc>
          <w:tcPr/>
          <w:p w:rsidR="00000000" w:rsidDel="00000000" w:rsidP="00000000" w:rsidRDefault="00000000" w:rsidRPr="00000000" w14:paraId="00000049">
            <w:pPr>
              <w:pStyle w:val="Heading2"/>
              <w:keepNext w:val="0"/>
              <w:keepLines w:val="0"/>
              <w:spacing w:after="240" w:before="0" w:lineRule="auto"/>
              <w:ind w:left="181.4173228346457" w:firstLine="0"/>
              <w:rPr>
                <w:rFonts w:ascii="Arial" w:cs="Arial" w:eastAsia="Arial" w:hAnsi="Arial"/>
                <w:b w:val="0"/>
                <w:color w:val="000000"/>
                <w:sz w:val="22"/>
                <w:szCs w:val="22"/>
              </w:rPr>
            </w:pPr>
            <w:bookmarkStart w:colFirst="0" w:colLast="0" w:name="_od4sfybt908m" w:id="4"/>
            <w:bookmarkEnd w:id="4"/>
            <w:r w:rsidDel="00000000" w:rsidR="00000000" w:rsidRPr="00000000">
              <w:rPr>
                <w:rFonts w:ascii="Arial" w:cs="Arial" w:eastAsia="Arial" w:hAnsi="Arial"/>
                <w:b w:val="0"/>
                <w:color w:val="000000"/>
                <w:sz w:val="22"/>
                <w:szCs w:val="22"/>
                <w:rtl w:val="0"/>
              </w:rPr>
              <w:t xml:space="preserve">Accuracy / quality</w:t>
            </w:r>
          </w:p>
        </w:tc>
        <w:tc>
          <w:tcPr/>
          <w:p w:rsidR="00000000" w:rsidDel="00000000" w:rsidP="00000000" w:rsidRDefault="00000000" w:rsidRPr="00000000" w14:paraId="0000004A">
            <w:pPr>
              <w:pStyle w:val="Heading2"/>
              <w:keepNext w:val="0"/>
              <w:keepLines w:val="0"/>
              <w:spacing w:after="240" w:before="0" w:lineRule="auto"/>
              <w:ind w:left="720" w:hanging="540"/>
              <w:rPr>
                <w:rFonts w:ascii="Arial" w:cs="Arial" w:eastAsia="Arial" w:hAnsi="Arial"/>
                <w:sz w:val="22"/>
                <w:szCs w:val="22"/>
              </w:rPr>
            </w:pPr>
            <w:bookmarkStart w:colFirst="0" w:colLast="0" w:name="_g7o38jryelqi" w:id="5"/>
            <w:bookmarkEnd w:id="5"/>
            <w:r w:rsidDel="00000000" w:rsidR="00000000" w:rsidRPr="00000000">
              <w:rPr>
                <w:rFonts w:ascii="Arial" w:cs="Arial" w:eastAsia="Arial" w:hAnsi="Arial"/>
                <w:b w:val="0"/>
                <w:color w:val="000000"/>
                <w:sz w:val="22"/>
                <w:szCs w:val="22"/>
                <w:rtl w:val="0"/>
              </w:rPr>
              <w:t xml:space="preserve">95%</w:t>
            </w:r>
            <w:r w:rsidDel="00000000" w:rsidR="00000000" w:rsidRPr="00000000">
              <w:rPr>
                <w:rtl w:val="0"/>
              </w:rPr>
            </w:r>
          </w:p>
        </w:tc>
        <w:tc>
          <w:tcPr/>
          <w:p w:rsidR="00000000" w:rsidDel="00000000" w:rsidP="00000000" w:rsidRDefault="00000000" w:rsidRPr="00000000" w14:paraId="0000004B">
            <w:pPr>
              <w:pStyle w:val="Heading2"/>
              <w:keepNext w:val="0"/>
              <w:keepLines w:val="0"/>
              <w:spacing w:after="240" w:before="0" w:lineRule="auto"/>
              <w:ind w:left="720" w:hanging="540"/>
              <w:rPr>
                <w:rFonts w:ascii="Arial" w:cs="Arial" w:eastAsia="Arial" w:hAnsi="Arial"/>
                <w:b w:val="0"/>
                <w:color w:val="000000"/>
                <w:sz w:val="22"/>
                <w:szCs w:val="22"/>
              </w:rPr>
            </w:pPr>
            <w:bookmarkStart w:colFirst="0" w:colLast="0" w:name="_7k1uta95402w" w:id="6"/>
            <w:bookmarkEnd w:id="6"/>
            <w:r w:rsidDel="00000000" w:rsidR="00000000" w:rsidRPr="00000000">
              <w:rPr>
                <w:rFonts w:ascii="Arial" w:cs="Arial" w:eastAsia="Arial" w:hAnsi="Arial"/>
                <w:b w:val="0"/>
                <w:color w:val="000000"/>
                <w:sz w:val="22"/>
                <w:szCs w:val="22"/>
                <w:rtl w:val="0"/>
              </w:rPr>
              <w:t xml:space="preserve">95%</w:t>
            </w:r>
          </w:p>
        </w:tc>
        <w:tc>
          <w:tcPr/>
          <w:p w:rsidR="00000000" w:rsidDel="00000000" w:rsidP="00000000" w:rsidRDefault="00000000" w:rsidRPr="00000000" w14:paraId="0000004C">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0.5% Service Credit gained for each percentage under the specified Service Level Performance Measure</w:t>
            </w:r>
          </w:p>
        </w:tc>
      </w:tr>
      <w:tr>
        <w:trPr>
          <w:cantSplit w:val="0"/>
          <w:trHeight w:val="1474" w:hRule="atLeast"/>
          <w:tblHeader w:val="0"/>
        </w:trPr>
        <w:tc>
          <w:tcPr/>
          <w:p w:rsidR="00000000" w:rsidDel="00000000" w:rsidP="00000000" w:rsidRDefault="00000000" w:rsidRPr="00000000" w14:paraId="0000004D">
            <w:pPr>
              <w:pStyle w:val="Heading2"/>
              <w:keepNext w:val="0"/>
              <w:keepLines w:val="0"/>
              <w:spacing w:after="240" w:before="0" w:lineRule="auto"/>
              <w:rPr>
                <w:rFonts w:ascii="Arial" w:cs="Arial" w:eastAsia="Arial" w:hAnsi="Arial"/>
                <w:b w:val="0"/>
                <w:color w:val="000000"/>
                <w:sz w:val="22"/>
                <w:szCs w:val="22"/>
              </w:rPr>
            </w:pPr>
            <w:bookmarkStart w:colFirst="0" w:colLast="0" w:name="_gywpa3oma2u1" w:id="7"/>
            <w:bookmarkEnd w:id="7"/>
            <w:r w:rsidDel="00000000" w:rsidR="00000000" w:rsidRPr="00000000">
              <w:rPr>
                <w:rFonts w:ascii="Arial" w:cs="Arial" w:eastAsia="Arial" w:hAnsi="Arial"/>
                <w:b w:val="0"/>
                <w:color w:val="000000"/>
                <w:sz w:val="22"/>
                <w:szCs w:val="22"/>
                <w:rtl w:val="0"/>
              </w:rPr>
              <w:t xml:space="preserve">Supplier sufficiently staffed to meet GCS needs through contract duration </w:t>
            </w:r>
          </w:p>
        </w:tc>
        <w:tc>
          <w:tcPr/>
          <w:p w:rsidR="00000000" w:rsidDel="00000000" w:rsidP="00000000" w:rsidRDefault="00000000" w:rsidRPr="00000000" w14:paraId="0000004E">
            <w:pPr>
              <w:pStyle w:val="Heading2"/>
              <w:keepNext w:val="0"/>
              <w:keepLines w:val="0"/>
              <w:spacing w:after="240" w:before="0" w:lineRule="auto"/>
              <w:ind w:left="181.4173228346457" w:firstLine="0"/>
              <w:rPr>
                <w:rFonts w:ascii="Arial" w:cs="Arial" w:eastAsia="Arial" w:hAnsi="Arial"/>
                <w:b w:val="0"/>
                <w:color w:val="000000"/>
                <w:sz w:val="22"/>
                <w:szCs w:val="22"/>
              </w:rPr>
            </w:pPr>
            <w:bookmarkStart w:colFirst="0" w:colLast="0" w:name="_rrh331crmdhb" w:id="8"/>
            <w:bookmarkEnd w:id="8"/>
            <w:r w:rsidDel="00000000" w:rsidR="00000000" w:rsidRPr="00000000">
              <w:rPr>
                <w:rFonts w:ascii="Arial" w:cs="Arial" w:eastAsia="Arial" w:hAnsi="Arial"/>
                <w:b w:val="0"/>
                <w:color w:val="000000"/>
                <w:sz w:val="22"/>
                <w:szCs w:val="22"/>
                <w:rtl w:val="0"/>
              </w:rPr>
              <w:t xml:space="preserve">Accuracy</w:t>
            </w:r>
          </w:p>
        </w:tc>
        <w:tc>
          <w:tcPr/>
          <w:p w:rsidR="00000000" w:rsidDel="00000000" w:rsidP="00000000" w:rsidRDefault="00000000" w:rsidRPr="00000000" w14:paraId="0000004F">
            <w:pPr>
              <w:pStyle w:val="Heading2"/>
              <w:keepNext w:val="0"/>
              <w:keepLines w:val="0"/>
              <w:spacing w:after="240" w:before="0" w:lineRule="auto"/>
              <w:ind w:left="720" w:hanging="540"/>
              <w:rPr>
                <w:rFonts w:ascii="Arial" w:cs="Arial" w:eastAsia="Arial" w:hAnsi="Arial"/>
                <w:b w:val="0"/>
                <w:color w:val="000000"/>
                <w:sz w:val="22"/>
                <w:szCs w:val="22"/>
              </w:rPr>
            </w:pPr>
            <w:bookmarkStart w:colFirst="0" w:colLast="0" w:name="_mz3z5hu8qfwq" w:id="9"/>
            <w:bookmarkEnd w:id="9"/>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50">
            <w:pPr>
              <w:pStyle w:val="Heading2"/>
              <w:keepNext w:val="0"/>
              <w:keepLines w:val="0"/>
              <w:spacing w:after="240" w:before="0" w:lineRule="auto"/>
              <w:ind w:left="720" w:hanging="540"/>
              <w:rPr>
                <w:rFonts w:ascii="Arial" w:cs="Arial" w:eastAsia="Arial" w:hAnsi="Arial"/>
                <w:b w:val="0"/>
                <w:color w:val="000000"/>
                <w:sz w:val="22"/>
                <w:szCs w:val="22"/>
              </w:rPr>
            </w:pPr>
            <w:bookmarkStart w:colFirst="0" w:colLast="0" w:name="_4bbe3g4gokek" w:id="10"/>
            <w:bookmarkEnd w:id="10"/>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51">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0.5% Service Credit gained for each percentage under the specified Service Level Performance Measure</w:t>
            </w:r>
          </w:p>
        </w:tc>
      </w:tr>
      <w:tr>
        <w:trPr>
          <w:cantSplit w:val="0"/>
          <w:trHeight w:val="1474" w:hRule="atLeast"/>
          <w:tblHeader w:val="0"/>
        </w:trPr>
        <w:tc>
          <w:tcPr/>
          <w:p w:rsidR="00000000" w:rsidDel="00000000" w:rsidP="00000000" w:rsidRDefault="00000000" w:rsidRPr="00000000" w14:paraId="00000052">
            <w:pPr>
              <w:pStyle w:val="Heading2"/>
              <w:keepNext w:val="0"/>
              <w:keepLines w:val="0"/>
              <w:spacing w:after="240" w:before="0" w:lineRule="auto"/>
              <w:rPr>
                <w:rFonts w:ascii="Arial" w:cs="Arial" w:eastAsia="Arial" w:hAnsi="Arial"/>
                <w:b w:val="0"/>
                <w:color w:val="000000"/>
                <w:sz w:val="22"/>
                <w:szCs w:val="22"/>
              </w:rPr>
            </w:pPr>
            <w:bookmarkStart w:colFirst="0" w:colLast="0" w:name="_p5ca4blke4n7" w:id="11"/>
            <w:bookmarkEnd w:id="11"/>
            <w:r w:rsidDel="00000000" w:rsidR="00000000" w:rsidRPr="00000000">
              <w:rPr>
                <w:rFonts w:ascii="Arial" w:cs="Arial" w:eastAsia="Arial" w:hAnsi="Arial"/>
                <w:b w:val="0"/>
                <w:color w:val="000000"/>
                <w:sz w:val="22"/>
                <w:szCs w:val="22"/>
                <w:rtl w:val="0"/>
              </w:rPr>
              <w:t xml:space="preserve">Supplier meets security requirements as stated in Statement of Requirements</w:t>
            </w:r>
          </w:p>
        </w:tc>
        <w:tc>
          <w:tcPr/>
          <w:p w:rsidR="00000000" w:rsidDel="00000000" w:rsidP="00000000" w:rsidRDefault="00000000" w:rsidRPr="00000000" w14:paraId="00000053">
            <w:pPr>
              <w:pStyle w:val="Heading2"/>
              <w:keepNext w:val="0"/>
              <w:keepLines w:val="0"/>
              <w:spacing w:after="240" w:before="0" w:lineRule="auto"/>
              <w:ind w:left="181.4173228346457" w:firstLine="0"/>
              <w:rPr>
                <w:rFonts w:ascii="Arial" w:cs="Arial" w:eastAsia="Arial" w:hAnsi="Arial"/>
                <w:b w:val="0"/>
                <w:color w:val="000000"/>
                <w:sz w:val="22"/>
                <w:szCs w:val="22"/>
              </w:rPr>
            </w:pPr>
            <w:bookmarkStart w:colFirst="0" w:colLast="0" w:name="_jvw1owo87ghq" w:id="12"/>
            <w:bookmarkEnd w:id="12"/>
            <w:r w:rsidDel="00000000" w:rsidR="00000000" w:rsidRPr="00000000">
              <w:rPr>
                <w:rFonts w:ascii="Arial" w:cs="Arial" w:eastAsia="Arial" w:hAnsi="Arial"/>
                <w:b w:val="0"/>
                <w:color w:val="000000"/>
                <w:sz w:val="22"/>
                <w:szCs w:val="22"/>
                <w:rtl w:val="0"/>
              </w:rPr>
              <w:t xml:space="preserve">Accuracy</w:t>
            </w:r>
          </w:p>
        </w:tc>
        <w:tc>
          <w:tcPr/>
          <w:p w:rsidR="00000000" w:rsidDel="00000000" w:rsidP="00000000" w:rsidRDefault="00000000" w:rsidRPr="00000000" w14:paraId="00000054">
            <w:pPr>
              <w:pStyle w:val="Heading2"/>
              <w:keepNext w:val="0"/>
              <w:keepLines w:val="0"/>
              <w:spacing w:after="240" w:before="0" w:lineRule="auto"/>
              <w:ind w:left="720" w:hanging="540"/>
              <w:rPr>
                <w:rFonts w:ascii="Arial" w:cs="Arial" w:eastAsia="Arial" w:hAnsi="Arial"/>
                <w:b w:val="0"/>
                <w:color w:val="000000"/>
                <w:sz w:val="22"/>
                <w:szCs w:val="22"/>
              </w:rPr>
            </w:pPr>
            <w:bookmarkStart w:colFirst="0" w:colLast="0" w:name="_izoj0fw954px" w:id="13"/>
            <w:bookmarkEnd w:id="13"/>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55">
            <w:pPr>
              <w:pStyle w:val="Heading2"/>
              <w:keepNext w:val="0"/>
              <w:keepLines w:val="0"/>
              <w:spacing w:after="240" w:before="0" w:lineRule="auto"/>
              <w:ind w:left="720" w:hanging="540"/>
              <w:rPr>
                <w:rFonts w:ascii="Arial" w:cs="Arial" w:eastAsia="Arial" w:hAnsi="Arial"/>
                <w:b w:val="0"/>
                <w:color w:val="000000"/>
                <w:sz w:val="22"/>
                <w:szCs w:val="22"/>
              </w:rPr>
            </w:pPr>
            <w:bookmarkStart w:colFirst="0" w:colLast="0" w:name="_en0o9d6o74at" w:id="14"/>
            <w:bookmarkEnd w:id="14"/>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56">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0.5% Service Credit gained for each percentage under the specified Service Level Performance Measure</w:t>
            </w:r>
          </w:p>
        </w:tc>
      </w:tr>
      <w:tr>
        <w:trPr>
          <w:cantSplit w:val="0"/>
          <w:trHeight w:val="1474" w:hRule="atLeast"/>
          <w:tblHeader w:val="0"/>
        </w:trPr>
        <w:tc>
          <w:tcPr/>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Support SLAs as outlined in Statement of Requirements to be sufficiently met </w:t>
            </w:r>
          </w:p>
        </w:tc>
        <w:tc>
          <w:tcPr/>
          <w:p w:rsidR="00000000" w:rsidDel="00000000" w:rsidP="00000000" w:rsidRDefault="00000000" w:rsidRPr="00000000" w14:paraId="00000058">
            <w:pPr>
              <w:pStyle w:val="Heading2"/>
              <w:keepNext w:val="0"/>
              <w:keepLines w:val="0"/>
              <w:spacing w:after="240" w:before="0" w:lineRule="auto"/>
              <w:ind w:left="181.4173228346457" w:firstLine="0"/>
              <w:rPr>
                <w:rFonts w:ascii="Arial" w:cs="Arial" w:eastAsia="Arial" w:hAnsi="Arial"/>
                <w:b w:val="0"/>
                <w:color w:val="000000"/>
                <w:sz w:val="22"/>
                <w:szCs w:val="22"/>
              </w:rPr>
            </w:pPr>
            <w:bookmarkStart w:colFirst="0" w:colLast="0" w:name="_yvkiyfvxq5bc" w:id="15"/>
            <w:bookmarkEnd w:id="15"/>
            <w:r w:rsidDel="00000000" w:rsidR="00000000" w:rsidRPr="00000000">
              <w:rPr>
                <w:rFonts w:ascii="Arial" w:cs="Arial" w:eastAsia="Arial" w:hAnsi="Arial"/>
                <w:b w:val="0"/>
                <w:color w:val="000000"/>
                <w:sz w:val="22"/>
                <w:szCs w:val="22"/>
                <w:rtl w:val="0"/>
              </w:rPr>
              <w:t xml:space="preserve">Accuracy</w:t>
            </w:r>
          </w:p>
        </w:tc>
        <w:tc>
          <w:tcPr/>
          <w:p w:rsidR="00000000" w:rsidDel="00000000" w:rsidP="00000000" w:rsidRDefault="00000000" w:rsidRPr="00000000" w14:paraId="00000059">
            <w:pPr>
              <w:pStyle w:val="Heading2"/>
              <w:keepNext w:val="0"/>
              <w:keepLines w:val="0"/>
              <w:spacing w:after="240" w:before="0" w:lineRule="auto"/>
              <w:ind w:left="720" w:hanging="540"/>
              <w:rPr>
                <w:rFonts w:ascii="Arial" w:cs="Arial" w:eastAsia="Arial" w:hAnsi="Arial"/>
                <w:sz w:val="22"/>
                <w:szCs w:val="22"/>
              </w:rPr>
            </w:pPr>
            <w:bookmarkStart w:colFirst="0" w:colLast="0" w:name="_vlukoul89fqm" w:id="16"/>
            <w:bookmarkEnd w:id="16"/>
            <w:r w:rsidDel="00000000" w:rsidR="00000000" w:rsidRPr="00000000">
              <w:rPr>
                <w:rFonts w:ascii="Arial" w:cs="Arial" w:eastAsia="Arial" w:hAnsi="Arial"/>
                <w:b w:val="0"/>
                <w:color w:val="000000"/>
                <w:sz w:val="22"/>
                <w:szCs w:val="22"/>
                <w:rtl w:val="0"/>
              </w:rPr>
              <w:t xml:space="preserve">100%</w:t>
            </w:r>
            <w:r w:rsidDel="00000000" w:rsidR="00000000" w:rsidRPr="00000000">
              <w:rPr>
                <w:rtl w:val="0"/>
              </w:rPr>
            </w:r>
          </w:p>
        </w:tc>
        <w:tc>
          <w:tcPr/>
          <w:p w:rsidR="00000000" w:rsidDel="00000000" w:rsidP="00000000" w:rsidRDefault="00000000" w:rsidRPr="00000000" w14:paraId="0000005A">
            <w:pPr>
              <w:pStyle w:val="Heading2"/>
              <w:keepNext w:val="0"/>
              <w:keepLines w:val="0"/>
              <w:spacing w:after="240" w:before="0" w:lineRule="auto"/>
              <w:ind w:left="720" w:hanging="540"/>
              <w:rPr>
                <w:rFonts w:ascii="Arial" w:cs="Arial" w:eastAsia="Arial" w:hAnsi="Arial"/>
                <w:b w:val="0"/>
                <w:color w:val="000000"/>
                <w:sz w:val="22"/>
                <w:szCs w:val="22"/>
              </w:rPr>
            </w:pPr>
            <w:bookmarkStart w:colFirst="0" w:colLast="0" w:name="_ofcx9bvhzvwx" w:id="17"/>
            <w:bookmarkEnd w:id="17"/>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5B">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0.5% Service Credit gained for each percentage under the specified Service Level Performance Measure</w:t>
            </w:r>
          </w:p>
        </w:tc>
      </w:tr>
      <w:tr>
        <w:trPr>
          <w:cantSplit w:val="0"/>
          <w:trHeight w:val="1474" w:hRule="atLeast"/>
          <w:tblHeader w:val="0"/>
        </w:trPr>
        <w:tc>
          <w:tcPr/>
          <w:p w:rsidR="00000000" w:rsidDel="00000000" w:rsidP="00000000" w:rsidRDefault="00000000" w:rsidRPr="00000000" w14:paraId="0000005C">
            <w:pPr>
              <w:jc w:val="both"/>
              <w:rPr>
                <w:rFonts w:ascii="Arial" w:cs="Arial" w:eastAsia="Arial" w:hAnsi="Arial"/>
                <w:b w:val="0"/>
                <w:color w:val="000000"/>
                <w:sz w:val="22"/>
                <w:szCs w:val="22"/>
              </w:rPr>
            </w:pPr>
            <w:r w:rsidDel="00000000" w:rsidR="00000000" w:rsidRPr="00000000">
              <w:rPr>
                <w:rFonts w:ascii="Arial" w:cs="Arial" w:eastAsia="Arial" w:hAnsi="Arial"/>
                <w:sz w:val="22"/>
                <w:szCs w:val="22"/>
                <w:rtl w:val="0"/>
              </w:rPr>
              <w:t xml:space="preserve">A project delivery team drawn from GCSI and including the project manager and team as needed from the Supplier, will meet regularly, at least once a week, </w:t>
            </w:r>
            <w:r w:rsidDel="00000000" w:rsidR="00000000" w:rsidRPr="00000000">
              <w:rPr>
                <w:rtl w:val="0"/>
              </w:rPr>
            </w:r>
          </w:p>
        </w:tc>
        <w:tc>
          <w:tcPr/>
          <w:p w:rsidR="00000000" w:rsidDel="00000000" w:rsidP="00000000" w:rsidRDefault="00000000" w:rsidRPr="00000000" w14:paraId="0000005D">
            <w:pPr>
              <w:pStyle w:val="Heading2"/>
              <w:keepNext w:val="0"/>
              <w:keepLines w:val="0"/>
              <w:spacing w:after="240" w:before="0" w:lineRule="auto"/>
              <w:ind w:left="181.4173228346457" w:firstLine="0"/>
              <w:rPr>
                <w:rFonts w:ascii="Arial" w:cs="Arial" w:eastAsia="Arial" w:hAnsi="Arial"/>
                <w:b w:val="0"/>
                <w:color w:val="000000"/>
                <w:sz w:val="22"/>
                <w:szCs w:val="22"/>
              </w:rPr>
            </w:pPr>
            <w:bookmarkStart w:colFirst="0" w:colLast="0" w:name="_qibod75i9yio" w:id="18"/>
            <w:bookmarkEnd w:id="18"/>
            <w:r w:rsidDel="00000000" w:rsidR="00000000" w:rsidRPr="00000000">
              <w:rPr>
                <w:rFonts w:ascii="Arial" w:cs="Arial" w:eastAsia="Arial" w:hAnsi="Arial"/>
                <w:b w:val="0"/>
                <w:color w:val="000000"/>
                <w:sz w:val="22"/>
                <w:szCs w:val="22"/>
                <w:rtl w:val="0"/>
              </w:rPr>
              <w:t xml:space="preserve">Accuracy</w:t>
            </w:r>
          </w:p>
        </w:tc>
        <w:tc>
          <w:tcPr/>
          <w:p w:rsidR="00000000" w:rsidDel="00000000" w:rsidP="00000000" w:rsidRDefault="00000000" w:rsidRPr="00000000" w14:paraId="0000005E">
            <w:pPr>
              <w:pStyle w:val="Heading2"/>
              <w:keepNext w:val="0"/>
              <w:keepLines w:val="0"/>
              <w:spacing w:after="240" w:before="0" w:lineRule="auto"/>
              <w:ind w:left="720" w:hanging="540"/>
              <w:jc w:val="both"/>
              <w:rPr>
                <w:rFonts w:ascii="Arial" w:cs="Arial" w:eastAsia="Arial" w:hAnsi="Arial"/>
                <w:sz w:val="22"/>
                <w:szCs w:val="22"/>
              </w:rPr>
            </w:pPr>
            <w:bookmarkStart w:colFirst="0" w:colLast="0" w:name="_xgvznekbo0tq" w:id="19"/>
            <w:bookmarkEnd w:id="19"/>
            <w:r w:rsidDel="00000000" w:rsidR="00000000" w:rsidRPr="00000000">
              <w:rPr>
                <w:rFonts w:ascii="Arial" w:cs="Arial" w:eastAsia="Arial" w:hAnsi="Arial"/>
                <w:b w:val="0"/>
                <w:color w:val="000000"/>
                <w:sz w:val="22"/>
                <w:szCs w:val="22"/>
                <w:rtl w:val="0"/>
              </w:rPr>
              <w:t xml:space="preserve">100%</w:t>
            </w:r>
            <w:r w:rsidDel="00000000" w:rsidR="00000000" w:rsidRPr="00000000">
              <w:rPr>
                <w:rtl w:val="0"/>
              </w:rPr>
            </w:r>
          </w:p>
        </w:tc>
        <w:tc>
          <w:tcPr/>
          <w:p w:rsidR="00000000" w:rsidDel="00000000" w:rsidP="00000000" w:rsidRDefault="00000000" w:rsidRPr="00000000" w14:paraId="0000005F">
            <w:pPr>
              <w:pStyle w:val="Heading2"/>
              <w:keepNext w:val="0"/>
              <w:keepLines w:val="0"/>
              <w:spacing w:after="240" w:before="0" w:lineRule="auto"/>
              <w:ind w:left="720" w:hanging="540"/>
              <w:jc w:val="both"/>
              <w:rPr>
                <w:rFonts w:ascii="Arial" w:cs="Arial" w:eastAsia="Arial" w:hAnsi="Arial"/>
                <w:b w:val="0"/>
                <w:color w:val="000000"/>
                <w:sz w:val="22"/>
                <w:szCs w:val="22"/>
              </w:rPr>
            </w:pPr>
            <w:bookmarkStart w:colFirst="0" w:colLast="0" w:name="_vkdaixjtnsf4" w:id="20"/>
            <w:bookmarkEnd w:id="20"/>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60">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0.5% Service Credit gained for each percentage under the specified Service Level Performance Measure</w:t>
            </w:r>
          </w:p>
        </w:tc>
      </w:tr>
      <w:tr>
        <w:trPr>
          <w:cantSplit w:val="0"/>
          <w:trHeight w:val="1474" w:hRule="atLeast"/>
          <w:tblHeader w:val="0"/>
        </w:trPr>
        <w:tc>
          <w:tcPr/>
          <w:p w:rsidR="00000000" w:rsidDel="00000000" w:rsidP="00000000" w:rsidRDefault="00000000" w:rsidRPr="00000000" w14:paraId="00000061">
            <w:pPr>
              <w:jc w:val="both"/>
              <w:rPr>
                <w:rFonts w:ascii="Arial" w:cs="Arial" w:eastAsia="Arial" w:hAnsi="Arial"/>
                <w:b w:val="0"/>
                <w:color w:val="000000"/>
                <w:sz w:val="22"/>
                <w:szCs w:val="22"/>
              </w:rPr>
            </w:pPr>
            <w:r w:rsidDel="00000000" w:rsidR="00000000" w:rsidRPr="00000000">
              <w:rPr>
                <w:rFonts w:ascii="Arial" w:cs="Arial" w:eastAsia="Arial" w:hAnsi="Arial"/>
                <w:sz w:val="22"/>
                <w:szCs w:val="22"/>
                <w:rtl w:val="0"/>
              </w:rPr>
              <w:t xml:space="preserve">The Parties shall attend meetings to discuss Performance Monitoring Reports on a Monthly basis.</w:t>
            </w:r>
            <w:r w:rsidDel="00000000" w:rsidR="00000000" w:rsidRPr="00000000">
              <w:rPr>
                <w:rtl w:val="0"/>
              </w:rPr>
            </w:r>
          </w:p>
        </w:tc>
        <w:tc>
          <w:tcPr/>
          <w:p w:rsidR="00000000" w:rsidDel="00000000" w:rsidP="00000000" w:rsidRDefault="00000000" w:rsidRPr="00000000" w14:paraId="00000062">
            <w:pPr>
              <w:pStyle w:val="Heading2"/>
              <w:keepNext w:val="0"/>
              <w:keepLines w:val="0"/>
              <w:spacing w:after="240" w:before="0" w:lineRule="auto"/>
              <w:ind w:left="181.4173228346457" w:firstLine="0"/>
              <w:rPr>
                <w:rFonts w:ascii="Arial" w:cs="Arial" w:eastAsia="Arial" w:hAnsi="Arial"/>
                <w:b w:val="0"/>
                <w:color w:val="000000"/>
                <w:sz w:val="22"/>
                <w:szCs w:val="22"/>
              </w:rPr>
            </w:pPr>
            <w:bookmarkStart w:colFirst="0" w:colLast="0" w:name="_5shq9qlx6uo2" w:id="21"/>
            <w:bookmarkEnd w:id="21"/>
            <w:r w:rsidDel="00000000" w:rsidR="00000000" w:rsidRPr="00000000">
              <w:rPr>
                <w:rFonts w:ascii="Arial" w:cs="Arial" w:eastAsia="Arial" w:hAnsi="Arial"/>
                <w:b w:val="0"/>
                <w:color w:val="000000"/>
                <w:sz w:val="22"/>
                <w:szCs w:val="22"/>
                <w:rtl w:val="0"/>
              </w:rPr>
              <w:t xml:space="preserve">Accuracy</w:t>
            </w:r>
          </w:p>
        </w:tc>
        <w:tc>
          <w:tcPr/>
          <w:p w:rsidR="00000000" w:rsidDel="00000000" w:rsidP="00000000" w:rsidRDefault="00000000" w:rsidRPr="00000000" w14:paraId="00000063">
            <w:pPr>
              <w:pStyle w:val="Heading2"/>
              <w:keepNext w:val="0"/>
              <w:keepLines w:val="0"/>
              <w:spacing w:after="240" w:before="0" w:lineRule="auto"/>
              <w:ind w:left="720" w:hanging="540"/>
              <w:jc w:val="both"/>
              <w:rPr>
                <w:rFonts w:ascii="Arial" w:cs="Arial" w:eastAsia="Arial" w:hAnsi="Arial"/>
                <w:sz w:val="22"/>
                <w:szCs w:val="22"/>
              </w:rPr>
            </w:pPr>
            <w:bookmarkStart w:colFirst="0" w:colLast="0" w:name="_ytwf2ye36oyb" w:id="22"/>
            <w:bookmarkEnd w:id="22"/>
            <w:r w:rsidDel="00000000" w:rsidR="00000000" w:rsidRPr="00000000">
              <w:rPr>
                <w:rFonts w:ascii="Arial" w:cs="Arial" w:eastAsia="Arial" w:hAnsi="Arial"/>
                <w:b w:val="0"/>
                <w:color w:val="000000"/>
                <w:sz w:val="22"/>
                <w:szCs w:val="22"/>
                <w:rtl w:val="0"/>
              </w:rPr>
              <w:t xml:space="preserve">100%</w:t>
            </w:r>
            <w:r w:rsidDel="00000000" w:rsidR="00000000" w:rsidRPr="00000000">
              <w:rPr>
                <w:rtl w:val="0"/>
              </w:rPr>
            </w:r>
          </w:p>
        </w:tc>
        <w:tc>
          <w:tcPr/>
          <w:p w:rsidR="00000000" w:rsidDel="00000000" w:rsidP="00000000" w:rsidRDefault="00000000" w:rsidRPr="00000000" w14:paraId="00000064">
            <w:pPr>
              <w:pStyle w:val="Heading2"/>
              <w:keepNext w:val="0"/>
              <w:keepLines w:val="0"/>
              <w:spacing w:after="240" w:before="0" w:lineRule="auto"/>
              <w:ind w:left="720" w:hanging="540"/>
              <w:jc w:val="both"/>
              <w:rPr>
                <w:rFonts w:ascii="Arial" w:cs="Arial" w:eastAsia="Arial" w:hAnsi="Arial"/>
                <w:b w:val="0"/>
                <w:color w:val="000000"/>
                <w:sz w:val="22"/>
                <w:szCs w:val="22"/>
              </w:rPr>
            </w:pPr>
            <w:bookmarkStart w:colFirst="0" w:colLast="0" w:name="_1nbmgopcaodw" w:id="23"/>
            <w:bookmarkEnd w:id="23"/>
            <w:r w:rsidDel="00000000" w:rsidR="00000000" w:rsidRPr="00000000">
              <w:rPr>
                <w:rFonts w:ascii="Arial" w:cs="Arial" w:eastAsia="Arial" w:hAnsi="Arial"/>
                <w:b w:val="0"/>
                <w:color w:val="000000"/>
                <w:sz w:val="22"/>
                <w:szCs w:val="22"/>
                <w:rtl w:val="0"/>
              </w:rPr>
              <w:t xml:space="preserve">100%</w:t>
            </w:r>
          </w:p>
        </w:tc>
        <w:tc>
          <w:tcPr/>
          <w:p w:rsidR="00000000" w:rsidDel="00000000" w:rsidP="00000000" w:rsidRDefault="00000000" w:rsidRPr="00000000" w14:paraId="00000065">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0.5% Service Credit gained for each percentage under the specified Service Level Performance Measure</w:t>
            </w:r>
          </w:p>
        </w:tc>
      </w:tr>
    </w:tbl>
    <w:p w:rsidR="00000000" w:rsidDel="00000000" w:rsidP="00000000" w:rsidRDefault="00000000" w:rsidRPr="00000000" w14:paraId="00000066">
      <w:pPr>
        <w:ind w:left="709" w:firstLine="0"/>
        <w:rPr>
          <w:rFonts w:ascii="Arial" w:cs="Arial" w:eastAsia="Arial" w:hAnsi="Arial"/>
          <w:sz w:val="24"/>
          <w:szCs w:val="24"/>
          <w:highlight w:val="green"/>
        </w:rPr>
      </w:pPr>
      <w:r w:rsidDel="00000000" w:rsidR="00000000" w:rsidRPr="00000000">
        <w:rPr>
          <w:rtl w:val="0"/>
        </w:rPr>
      </w:r>
    </w:p>
    <w:p w:rsidR="00000000" w:rsidDel="00000000" w:rsidP="00000000" w:rsidRDefault="00000000" w:rsidRPr="00000000" w14:paraId="00000067">
      <w:pPr>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Credits shall be calculated on the basis of the following formula:</w:t>
      </w:r>
    </w:p>
    <w:p w:rsidR="00000000" w:rsidDel="00000000" w:rsidP="00000000" w:rsidRDefault="00000000" w:rsidRPr="00000000" w14:paraId="00000068">
      <w:pPr>
        <w:ind w:left="709" w:firstLine="0"/>
        <w:rPr>
          <w:rFonts w:ascii="Arial" w:cs="Arial" w:eastAsia="Arial" w:hAnsi="Arial"/>
          <w:sz w:val="24"/>
          <w:szCs w:val="24"/>
          <w:highlight w:val="yellow"/>
        </w:rPr>
      </w:pPr>
      <w:r w:rsidDel="00000000" w:rsidR="00000000" w:rsidRPr="00000000">
        <w:rPr>
          <w:rtl w:val="0"/>
        </w:rPr>
      </w:r>
    </w:p>
    <w:tbl>
      <w:tblPr>
        <w:tblStyle w:val="Table3"/>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75"/>
        <w:gridCol w:w="685"/>
        <w:gridCol w:w="3966"/>
        <w:tblGridChange w:id="0">
          <w:tblGrid>
            <w:gridCol w:w="4375"/>
            <w:gridCol w:w="685"/>
            <w:gridCol w:w="3966"/>
          </w:tblGrid>
        </w:tblGridChange>
      </w:tblGrid>
      <w:tr>
        <w:trPr>
          <w:cantSplit w:val="0"/>
          <w:tblHeader w:val="0"/>
        </w:trPr>
        <w:tc>
          <w:tcPr/>
          <w:p w:rsidR="00000000" w:rsidDel="00000000" w:rsidP="00000000" w:rsidRDefault="00000000" w:rsidRPr="00000000" w14:paraId="00000069">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Formula: x% (Service Level Performance Measure) - x% (actual Service Level performance)  </w:t>
            </w:r>
          </w:p>
        </w:tc>
        <w:tc>
          <w:tcPr/>
          <w:p w:rsidR="00000000" w:rsidDel="00000000" w:rsidP="00000000" w:rsidRDefault="00000000" w:rsidRPr="00000000" w14:paraId="0000006A">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6B">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x% of the Charges payable to the Buyer as Service Credits to be deducted from the next Invoice payable by the Buyer</w:t>
            </w:r>
          </w:p>
        </w:tc>
      </w:tr>
    </w:tbl>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after="240" w:line="240" w:lineRule="auto"/>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B: Performance Monitoring </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rPr/>
      </w:pPr>
      <w:r w:rsidDel="00000000" w:rsidR="00000000" w:rsidRPr="00000000">
        <w:rPr>
          <w:rFonts w:ascii="Arial Bold" w:cs="Arial Bold" w:eastAsia="Arial Bold" w:hAnsi="Arial Bold"/>
          <w:b w:val="1"/>
          <w:color w:val="000000"/>
          <w:sz w:val="24"/>
          <w:szCs w:val="24"/>
          <w:rtl w:val="0"/>
        </w:rPr>
        <w:t xml:space="preserve">Performance Monitoring and Performance Review</w:t>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000000" w:rsidDel="00000000" w:rsidP="00000000" w:rsidRDefault="00000000" w:rsidRPr="00000000" w14:paraId="0000006F">
      <w:pPr>
        <w:keepNext w:val="1"/>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Supplier shall provide the Buyer with performance monitoring reports ("</w:t>
      </w:r>
      <w:r w:rsidDel="00000000" w:rsidR="00000000" w:rsidRPr="00000000">
        <w:rPr>
          <w:rFonts w:ascii="Arial" w:cs="Arial" w:eastAsia="Arial" w:hAnsi="Arial"/>
          <w:b w:val="1"/>
          <w:color w:val="000000"/>
          <w:sz w:val="24"/>
          <w:szCs w:val="24"/>
          <w:rtl w:val="0"/>
        </w:rPr>
        <w:t xml:space="preserve">Performance Monitoring Reports</w:t>
      </w:r>
      <w:r w:rsidDel="00000000" w:rsidR="00000000" w:rsidRPr="00000000">
        <w:rPr>
          <w:rFonts w:ascii="Arial" w:cs="Arial" w:eastAsia="Arial" w:hAnsi="Arial"/>
          <w:color w:val="000000"/>
          <w:sz w:val="24"/>
          <w:szCs w:val="24"/>
          <w:rtl w:val="0"/>
        </w:rPr>
        <w:t xml:space="preserve">") in accordance with the process and timescales agreed pursuant to paragraph 1.1 of Part B of this Schedule which shall contain, as a minimum, the following information in respect of the relevant Service Period just ended:</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for each Service Level, the actual performance achieved over the Service Level for the relevant Service Period;</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a summary of all failures to achieve Service Levels that occurred during that Service Period;</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details of any Critical Service Level Failures;</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for any repeat failures, actions taken to resolve the underlying cause and prevent recurrence;</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the Service Credits to be applied in respect of the relevant period indicating the failures and Service Levels to which the Service Credits relate; and</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such other details as the Buyer may reasonably require from time to time.</w:t>
      </w:r>
    </w:p>
    <w:p w:rsidR="00000000" w:rsidDel="00000000" w:rsidP="00000000" w:rsidRDefault="00000000" w:rsidRPr="00000000" w14:paraId="00000076">
      <w:pPr>
        <w:keepNext w:val="1"/>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Parties shall attend meetings to discuss Performance Monitoring Reports ("</w:t>
      </w:r>
      <w:r w:rsidDel="00000000" w:rsidR="00000000" w:rsidRPr="00000000">
        <w:rPr>
          <w:rFonts w:ascii="Arial" w:cs="Arial" w:eastAsia="Arial" w:hAnsi="Arial"/>
          <w:b w:val="1"/>
          <w:color w:val="000000"/>
          <w:sz w:val="24"/>
          <w:szCs w:val="24"/>
          <w:rtl w:val="0"/>
        </w:rPr>
        <w:t xml:space="preserve">Performance Review Meetings</w:t>
      </w:r>
      <w:r w:rsidDel="00000000" w:rsidR="00000000" w:rsidRPr="00000000">
        <w:rPr>
          <w:rFonts w:ascii="Arial" w:cs="Arial" w:eastAsia="Arial" w:hAnsi="Arial"/>
          <w:color w:val="000000"/>
          <w:sz w:val="24"/>
          <w:szCs w:val="24"/>
          <w:rtl w:val="0"/>
        </w:rPr>
        <w:t xml:space="preserve">") on a Monthly basis.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be attended by the Supplier's Representative and the Buyer’s Representative; and</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spacing w:after="120" w:before="120" w:line="240" w:lineRule="auto"/>
        <w:ind w:left="2160" w:hanging="720"/>
        <w:rPr/>
      </w:pPr>
      <w:r w:rsidDel="00000000" w:rsidR="00000000" w:rsidRPr="00000000">
        <w:rPr>
          <w:rFonts w:ascii="Arial" w:cs="Arial" w:eastAsia="Arial" w:hAnsi="Arial"/>
          <w:color w:val="000000"/>
          <w:sz w:val="24"/>
          <w:szCs w:val="24"/>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minutes of the preceding Month's Performance Review Meeting will be agreed and signed by both the Supplier's Representative and the Buyer’s Representative at each meeting.</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40" w:lineRule="auto"/>
        <w:ind w:left="1440" w:hanging="57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rPr/>
      </w:pPr>
      <w:r w:rsidDel="00000000" w:rsidR="00000000" w:rsidRPr="00000000">
        <w:rPr>
          <w:rFonts w:ascii="Arial Bold" w:cs="Arial Bold" w:eastAsia="Arial Bold" w:hAnsi="Arial Bold"/>
          <w:b w:val="1"/>
          <w:color w:val="000000"/>
          <w:sz w:val="24"/>
          <w:szCs w:val="24"/>
          <w:rtl w:val="0"/>
        </w:rPr>
        <w:t xml:space="preserve">Satisfaction Surveys</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40" w:lineRule="auto"/>
        <w:ind w:left="936" w:hanging="576"/>
        <w:jc w:val="both"/>
        <w:rPr>
          <w:rFonts w:ascii="Arial" w:cs="Arial" w:eastAsia="Arial" w:hAnsi="Arial"/>
          <w:color w:val="000000"/>
          <w:sz w:val="24"/>
          <w:szCs w:val="24"/>
        </w:rPr>
      </w:pPr>
      <w:bookmarkStart w:colFirst="0" w:colLast="0" w:name="_1fob9te" w:id="24"/>
      <w:bookmarkEnd w:id="24"/>
      <w:r w:rsidDel="00000000" w:rsidR="00000000" w:rsidRPr="00000000">
        <w:rPr>
          <w:rtl w:val="0"/>
        </w:rPr>
      </w:r>
    </w:p>
    <w:sectPr>
      <w:headerReference r:id="rId6" w:type="default"/>
      <w:footerReference r:id="rId7" w:type="default"/>
      <w:footerReference r:id="rId8"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center" w:pos="4513"/>
        <w:tab w:val="right" w:pos="9026"/>
      </w:tabs>
      <w:spacing w:after="0" w:line="240" w:lineRule="auto"/>
      <w:jc w:val="both"/>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DPS Ref: </w:t>
    </w:r>
    <w:r w:rsidDel="00000000" w:rsidR="00000000" w:rsidRPr="00000000">
      <w:rPr>
        <w:rFonts w:ascii="Arial" w:cs="Arial" w:eastAsia="Arial" w:hAnsi="Arial"/>
        <w:sz w:val="20"/>
        <w:szCs w:val="20"/>
        <w:rtl w:val="0"/>
      </w:rPr>
      <w:t xml:space="preserve">RM6219 Learning and Training</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tabs>
        <w:tab w:val="center" w:pos="4513"/>
        <w:tab w:val="right" w:pos="9026"/>
      </w:tabs>
      <w:spacing w:after="0" w:line="240" w:lineRule="auto"/>
      <w:jc w:val="both"/>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DPS Ref: RM</w:t>
      <w:tab/>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000000"/>
        <w:sz w:val="20"/>
        <w:szCs w:val="20"/>
        <w:rtl w:val="0"/>
      </w:rPr>
      <w:t xml:space="preserve">Model Version : v2.9</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Order Schedule 14 (Service Levels)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Order Ref:</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21</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