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582B96" w:rsidRDefault="00582B96" w14:paraId="1606CB11" w14:textId="77777777"/>
    <w:tbl>
      <w:tblPr>
        <w:tblStyle w:val="TableGrid1"/>
        <w:tblW w:w="9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9"/>
        <w:gridCol w:w="4487"/>
      </w:tblGrid>
      <w:tr w:rsidRPr="008D4A19" w:rsidR="00582B96" w:rsidTr="00061C01" w14:paraId="1606CB14" w14:textId="77777777">
        <w:tc>
          <w:tcPr>
            <w:tcW w:w="4539" w:type="dxa"/>
          </w:tcPr>
          <w:p w:rsidRPr="008D4A19" w:rsidR="00582B96" w:rsidP="00061C01" w:rsidRDefault="00582B96" w14:paraId="1606CB12" w14:textId="77777777">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606CC68" wp14:editId="1606CC6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rsidRPr="008D4A19" w:rsidR="00582B96" w:rsidP="00061C01" w:rsidRDefault="00582B96" w14:paraId="1606CB13" w14:textId="77777777">
            <w:pPr>
              <w:spacing w:after="200" w:line="276" w:lineRule="auto"/>
              <w:jc w:val="right"/>
              <w:rPr>
                <w:rFonts w:eastAsiaTheme="minorHAnsi" w:cstheme="minorBidi"/>
                <w:b/>
                <w:color w:val="FF0000"/>
                <w:szCs w:val="22"/>
              </w:rPr>
            </w:pPr>
            <w:r>
              <w:rPr>
                <w:noProof/>
                <w:lang w:eastAsia="en-GB"/>
              </w:rPr>
              <w:drawing>
                <wp:inline distT="0" distB="0" distL="0" distR="0" wp14:anchorId="1606CC6A" wp14:editId="1606CC6B">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rsidR="00582B96" w:rsidP="00582B96" w:rsidRDefault="00582B96" w14:paraId="1606CB15" w14:textId="77777777"/>
    <w:p w:rsidRPr="00D144D9" w:rsidR="00582B96" w:rsidP="00582B96" w:rsidRDefault="00582B96" w14:paraId="1606CB16" w14:textId="77777777">
      <w:pPr>
        <w:rPr>
          <w:color w:val="FF0000"/>
        </w:rPr>
      </w:pPr>
    </w:p>
    <w:p w:rsidR="00582B96" w:rsidP="00582B96" w:rsidRDefault="00582B96" w14:paraId="1606CB17" w14:textId="77777777"/>
    <w:p w:rsidR="00582B96" w:rsidP="00582B96" w:rsidRDefault="00582B96" w14:paraId="1606CB18" w14:textId="77777777"/>
    <w:p w:rsidR="00582B96" w:rsidP="00582B96" w:rsidRDefault="00582B96" w14:paraId="1606CB19" w14:textId="77777777"/>
    <w:p w:rsidR="00C5289B" w:rsidP="00582B96" w:rsidRDefault="00C5289B" w14:paraId="1606CB1A" w14:textId="77777777">
      <w:pPr>
        <w:rPr>
          <w:b/>
          <w:sz w:val="52"/>
          <w:szCs w:val="52"/>
        </w:rPr>
      </w:pPr>
    </w:p>
    <w:p w:rsidRPr="00360CDD" w:rsidR="00582B96" w:rsidP="00582B96" w:rsidRDefault="00582B96" w14:paraId="1606CB1B" w14:textId="21E1DD61">
      <w:pPr>
        <w:rPr>
          <w:b/>
          <w:sz w:val="52"/>
          <w:szCs w:val="52"/>
        </w:rPr>
      </w:pPr>
      <w:r w:rsidRPr="00360CDD">
        <w:rPr>
          <w:b/>
          <w:sz w:val="52"/>
          <w:szCs w:val="52"/>
        </w:rPr>
        <w:t xml:space="preserve">SPECIFICATION </w:t>
      </w:r>
    </w:p>
    <w:p w:rsidR="00582B96" w:rsidP="00582B96" w:rsidRDefault="00582B96" w14:paraId="1606CB1C" w14:textId="77777777">
      <w:pPr>
        <w:rPr>
          <w:b/>
          <w:sz w:val="48"/>
          <w:szCs w:val="48"/>
        </w:rPr>
      </w:pPr>
    </w:p>
    <w:p w:rsidR="00582B96" w:rsidP="00582B96" w:rsidRDefault="00582B96" w14:paraId="1606CB1D" w14:textId="77777777">
      <w:pPr>
        <w:rPr>
          <w:b/>
          <w:sz w:val="48"/>
          <w:szCs w:val="48"/>
        </w:rPr>
      </w:pPr>
    </w:p>
    <w:p w:rsidR="00582B96" w:rsidP="00582B96" w:rsidRDefault="00582B96" w14:paraId="1606CB1E" w14:textId="77777777">
      <w:pPr>
        <w:rPr>
          <w:b/>
          <w:sz w:val="48"/>
          <w:szCs w:val="48"/>
        </w:rPr>
      </w:pPr>
    </w:p>
    <w:p w:rsidRPr="00360CDD" w:rsidR="00582B96" w:rsidP="00582B96" w:rsidRDefault="00582B96" w14:paraId="1606CB1F" w14:textId="4F4DE14E">
      <w:pPr>
        <w:rPr>
          <w:b/>
          <w:color w:val="FF0000"/>
          <w:sz w:val="36"/>
          <w:szCs w:val="36"/>
        </w:rPr>
      </w:pPr>
      <w:r w:rsidRPr="00360CDD">
        <w:rPr>
          <w:b/>
          <w:sz w:val="36"/>
          <w:szCs w:val="36"/>
        </w:rPr>
        <w:t xml:space="preserve">INVITATION TO TENDER </w:t>
      </w:r>
      <w:r w:rsidRPr="006A07EA" w:rsidR="006A07EA">
        <w:rPr>
          <w:b/>
          <w:sz w:val="36"/>
          <w:szCs w:val="36"/>
        </w:rPr>
        <w:t>itt_30077</w:t>
      </w:r>
    </w:p>
    <w:p w:rsidRPr="00360CDD" w:rsidR="00582B96" w:rsidP="00582B96" w:rsidRDefault="00582B96" w14:paraId="1606CB20" w14:textId="77777777">
      <w:pPr>
        <w:autoSpaceDE w:val="0"/>
        <w:autoSpaceDN w:val="0"/>
        <w:adjustRightInd w:val="0"/>
        <w:rPr>
          <w:rFonts w:cs="Arial"/>
          <w:b/>
          <w:bCs/>
          <w:sz w:val="48"/>
          <w:szCs w:val="48"/>
        </w:rPr>
      </w:pPr>
    </w:p>
    <w:p w:rsidRPr="00360CDD" w:rsidR="00582B96" w:rsidP="00582B96" w:rsidRDefault="00582B96" w14:paraId="1606CB21" w14:textId="77777777">
      <w:pPr>
        <w:autoSpaceDE w:val="0"/>
        <w:autoSpaceDN w:val="0"/>
        <w:adjustRightInd w:val="0"/>
        <w:rPr>
          <w:rFonts w:cs="Arial"/>
          <w:b/>
          <w:bCs/>
          <w:sz w:val="48"/>
          <w:szCs w:val="48"/>
        </w:rPr>
      </w:pPr>
    </w:p>
    <w:p w:rsidRPr="003F020C" w:rsidR="00D72023" w:rsidP="00582B96" w:rsidRDefault="00204192" w14:paraId="1606CB23" w14:textId="5870B8EA">
      <w:pPr>
        <w:autoSpaceDE w:val="0"/>
        <w:autoSpaceDN w:val="0"/>
        <w:adjustRightInd w:val="0"/>
        <w:rPr>
          <w:rFonts w:cs="Arial"/>
          <w:b/>
          <w:bCs/>
          <w:sz w:val="36"/>
          <w:szCs w:val="36"/>
        </w:rPr>
      </w:pPr>
      <w:r w:rsidRPr="003F020C">
        <w:rPr>
          <w:rFonts w:cs="Arial"/>
          <w:b/>
          <w:bCs/>
          <w:sz w:val="36"/>
          <w:szCs w:val="36"/>
        </w:rPr>
        <w:t>Inclusive Labour Markets</w:t>
      </w:r>
      <w:r w:rsidR="006A07EA">
        <w:rPr>
          <w:rFonts w:cs="Arial"/>
          <w:b/>
          <w:bCs/>
          <w:sz w:val="36"/>
          <w:szCs w:val="36"/>
        </w:rPr>
        <w:t xml:space="preserve"> </w:t>
      </w:r>
      <w:r w:rsidR="00D72023">
        <w:rPr>
          <w:rFonts w:cs="Arial"/>
          <w:b/>
          <w:bCs/>
          <w:sz w:val="36"/>
          <w:szCs w:val="36"/>
        </w:rPr>
        <w:t>29-005</w:t>
      </w:r>
    </w:p>
    <w:p w:rsidR="00582B96" w:rsidP="00582B96" w:rsidRDefault="00582B96" w14:paraId="1606CB24" w14:textId="77777777">
      <w:pPr>
        <w:rPr>
          <w:b/>
          <w:sz w:val="48"/>
          <w:szCs w:val="48"/>
        </w:rPr>
      </w:pPr>
    </w:p>
    <w:p w:rsidR="00582B96" w:rsidP="00582B96" w:rsidRDefault="00582B96" w14:paraId="1606CB25" w14:textId="77777777">
      <w:pPr>
        <w:rPr>
          <w:b/>
          <w:sz w:val="48"/>
          <w:szCs w:val="48"/>
        </w:rPr>
      </w:pPr>
    </w:p>
    <w:p w:rsidRPr="00AC3C37" w:rsidR="00582B96" w:rsidP="00582B96" w:rsidRDefault="00AC3C37" w14:paraId="1606CB26" w14:textId="77777777">
      <w:pPr>
        <w:rPr>
          <w:b/>
          <w:sz w:val="36"/>
          <w:szCs w:val="36"/>
        </w:rPr>
      </w:pPr>
      <w:r w:rsidRPr="00AC3C37">
        <w:rPr>
          <w:b/>
          <w:sz w:val="36"/>
          <w:szCs w:val="36"/>
        </w:rPr>
        <w:t>Solent</w:t>
      </w:r>
      <w:r w:rsidR="003F020C">
        <w:rPr>
          <w:b/>
          <w:sz w:val="36"/>
          <w:szCs w:val="36"/>
        </w:rPr>
        <w:t xml:space="preserve"> LEP</w:t>
      </w:r>
    </w:p>
    <w:p w:rsidR="00582B96" w:rsidP="00582B96" w:rsidRDefault="00582B96" w14:paraId="1606CB27" w14:textId="77777777">
      <w:pPr>
        <w:rPr>
          <w:b/>
          <w:sz w:val="48"/>
          <w:szCs w:val="48"/>
        </w:rPr>
      </w:pPr>
    </w:p>
    <w:p w:rsidR="00582B96" w:rsidP="00582B96" w:rsidRDefault="00582B96" w14:paraId="1606CB28" w14:textId="77777777">
      <w:pPr>
        <w:rPr>
          <w:b/>
          <w:sz w:val="48"/>
          <w:szCs w:val="48"/>
        </w:rPr>
      </w:pPr>
    </w:p>
    <w:p w:rsidR="00582B96" w:rsidP="00582B96" w:rsidRDefault="00582B96" w14:paraId="1606CB29" w14:textId="77777777">
      <w:pPr>
        <w:rPr>
          <w:b/>
          <w:sz w:val="48"/>
          <w:szCs w:val="48"/>
        </w:rPr>
      </w:pPr>
    </w:p>
    <w:p w:rsidRPr="00360CDD" w:rsidR="00582B96" w:rsidP="00582B96" w:rsidRDefault="00582B96" w14:paraId="1606CB2A" w14:textId="0CE85F9F">
      <w:pPr>
        <w:rPr>
          <w:b/>
          <w:sz w:val="36"/>
          <w:szCs w:val="36"/>
        </w:rPr>
      </w:pPr>
      <w:r w:rsidRPr="00360CDD">
        <w:rPr>
          <w:b/>
          <w:sz w:val="36"/>
          <w:szCs w:val="36"/>
        </w:rPr>
        <w:t>DATE:</w:t>
      </w:r>
      <w:r w:rsidR="002F71DB">
        <w:rPr>
          <w:b/>
          <w:sz w:val="36"/>
          <w:szCs w:val="36"/>
        </w:rPr>
        <w:t xml:space="preserve"> </w:t>
      </w:r>
      <w:r w:rsidR="006A07EA">
        <w:rPr>
          <w:b/>
          <w:sz w:val="36"/>
          <w:szCs w:val="36"/>
        </w:rPr>
        <w:t>June</w:t>
      </w:r>
      <w:r w:rsidR="006002A9">
        <w:rPr>
          <w:b/>
          <w:sz w:val="36"/>
          <w:szCs w:val="36"/>
        </w:rPr>
        <w:t xml:space="preserve"> </w:t>
      </w:r>
      <w:r w:rsidR="00204192">
        <w:rPr>
          <w:b/>
          <w:sz w:val="36"/>
          <w:szCs w:val="36"/>
        </w:rPr>
        <w:t>2016</w:t>
      </w:r>
    </w:p>
    <w:p w:rsidR="00582B96" w:rsidRDefault="00582B96" w14:paraId="1606CB2B" w14:textId="77777777"/>
    <w:tbl>
      <w:tblPr>
        <w:tblW w:w="0" w:type="auto"/>
        <w:tblLook w:val="01E0" w:firstRow="1" w:lastRow="1" w:firstColumn="1" w:lastColumn="1" w:noHBand="0" w:noVBand="0"/>
      </w:tblPr>
      <w:tblGrid>
        <w:gridCol w:w="4421"/>
        <w:gridCol w:w="4366"/>
      </w:tblGrid>
      <w:tr w:rsidR="00ED67E0" w:rsidTr="00B24D65" w14:paraId="1606CB2E" w14:textId="77777777">
        <w:tc>
          <w:tcPr>
            <w:tcW w:w="4421" w:type="dxa"/>
          </w:tcPr>
          <w:p w:rsidR="00ED67E0" w:rsidP="000419AD" w:rsidRDefault="00ED67E0" w14:paraId="1606CB2C" w14:textId="77777777">
            <w:pPr>
              <w:pStyle w:val="Header"/>
              <w:tabs>
                <w:tab w:val="clear" w:pos="4153"/>
                <w:tab w:val="clear" w:pos="8306"/>
                <w:tab w:val="left" w:pos="1185"/>
              </w:tabs>
            </w:pPr>
            <w:r>
              <w:tab/>
            </w:r>
          </w:p>
        </w:tc>
        <w:tc>
          <w:tcPr>
            <w:tcW w:w="4366" w:type="dxa"/>
          </w:tcPr>
          <w:p w:rsidR="00ED67E0" w:rsidP="000419AD" w:rsidRDefault="00ED67E0" w14:paraId="1606CB2D" w14:textId="77777777">
            <w:pPr>
              <w:pStyle w:val="Header"/>
              <w:jc w:val="right"/>
            </w:pPr>
          </w:p>
        </w:tc>
      </w:tr>
      <w:tr w:rsidRPr="002465E9" w:rsidR="00ED67E0" w:rsidTr="00B24D65" w14:paraId="1606CB31" w14:textId="77777777">
        <w:tc>
          <w:tcPr>
            <w:tcW w:w="4421" w:type="dxa"/>
          </w:tcPr>
          <w:p w:rsidR="00ED67E0" w:rsidP="000419AD" w:rsidRDefault="00ED67E0" w14:paraId="1606CB2F" w14:textId="77777777">
            <w:pPr>
              <w:pStyle w:val="Header"/>
            </w:pPr>
            <w:r>
              <w:rPr>
                <w:noProof/>
                <w:lang w:eastAsia="en-GB"/>
              </w:rPr>
              <w:lastRenderedPageBreak/>
              <w:drawing>
                <wp:inline distT="0" distB="0" distL="0" distR="0" wp14:anchorId="1606CC6C" wp14:editId="1606CC6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rsidR="00ED67E0" w:rsidP="000419AD" w:rsidRDefault="000D51DE" w14:paraId="1606CB30" w14:textId="77777777">
            <w:pPr>
              <w:pStyle w:val="Header"/>
              <w:jc w:val="right"/>
            </w:pPr>
            <w:r>
              <w:rPr>
                <w:noProof/>
                <w:lang w:eastAsia="en-GB"/>
              </w:rPr>
              <w:drawing>
                <wp:inline distT="0" distB="0" distL="0" distR="0" wp14:anchorId="1606CC6E" wp14:editId="1606CC6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Pr="002465E9" w:rsidR="008441FE" w:rsidTr="00B24D65" w14:paraId="1606CB34" w14:textId="77777777">
        <w:tc>
          <w:tcPr>
            <w:tcW w:w="4421" w:type="dxa"/>
          </w:tcPr>
          <w:p w:rsidR="008441FE" w:rsidP="000419AD" w:rsidRDefault="008441FE" w14:paraId="1606CB32" w14:textId="77777777">
            <w:pPr>
              <w:pStyle w:val="Header"/>
              <w:rPr>
                <w:noProof/>
                <w:lang w:eastAsia="en-GB"/>
              </w:rPr>
            </w:pPr>
          </w:p>
        </w:tc>
        <w:tc>
          <w:tcPr>
            <w:tcW w:w="4366" w:type="dxa"/>
          </w:tcPr>
          <w:p w:rsidR="008441FE" w:rsidP="000419AD" w:rsidRDefault="008441FE" w14:paraId="1606CB33" w14:textId="77777777">
            <w:pPr>
              <w:pStyle w:val="Header"/>
              <w:jc w:val="right"/>
              <w:rPr>
                <w:noProof/>
                <w:lang w:eastAsia="en-GB"/>
              </w:rPr>
            </w:pPr>
          </w:p>
        </w:tc>
      </w:tr>
    </w:tbl>
    <w:p w:rsidR="0015011A" w:rsidP="0015011A" w:rsidRDefault="0015011A" w14:paraId="1606CB35" w14:textId="77777777"/>
    <w:tbl>
      <w:tblPr>
        <w:tblStyle w:val="TableGrid"/>
        <w:tblW w:w="5177" w:type="pct"/>
        <w:tblLook w:val="04A0" w:firstRow="1" w:lastRow="0" w:firstColumn="1" w:lastColumn="0" w:noHBand="0" w:noVBand="1"/>
      </w:tblPr>
      <w:tblGrid>
        <w:gridCol w:w="9088"/>
      </w:tblGrid>
      <w:tr w:rsidRPr="00EF4406" w:rsidR="00967429" w:rsidTr="2E3DAC76" w14:paraId="1606CB3B" w14:textId="77777777">
        <w:trPr>
          <w:trHeight w:val="597"/>
        </w:trPr>
        <w:tc>
          <w:tcPr>
            <w:tcW w:w="9088" w:type="dxa"/>
            <w:tcMar/>
          </w:tcPr>
          <w:p w:rsidRPr="00AC3C37" w:rsidR="007654E6" w:rsidP="00A524B5" w:rsidRDefault="00B3399A" w14:paraId="1606CB36" w14:textId="484A4AA7">
            <w:pPr>
              <w:pStyle w:val="BodyText"/>
              <w:tabs>
                <w:tab w:val="num" w:pos="1134"/>
              </w:tabs>
              <w:spacing w:after="0"/>
              <w:jc w:val="both"/>
              <w:rPr>
                <w:rFonts w:ascii="Arial" w:hAnsi="Arial" w:cs="Arial"/>
                <w:b/>
              </w:rPr>
            </w:pPr>
            <w:r w:rsidRPr="00AC3C37">
              <w:rPr>
                <w:rFonts w:ascii="Arial" w:hAnsi="Arial" w:cs="Arial"/>
                <w:b/>
              </w:rPr>
              <w:t xml:space="preserve">SPECIFICATION: </w:t>
            </w:r>
            <w:r w:rsidRPr="00AC3C37" w:rsidR="0005224F">
              <w:rPr>
                <w:rFonts w:ascii="Arial" w:hAnsi="Arial" w:cs="Arial"/>
                <w:b/>
              </w:rPr>
              <w:t>Access to Employment</w:t>
            </w:r>
            <w:r w:rsidR="006A07EA">
              <w:rPr>
                <w:rFonts w:ascii="Arial" w:hAnsi="Arial" w:cs="Arial"/>
                <w:b/>
              </w:rPr>
              <w:t xml:space="preserve"> </w:t>
            </w:r>
          </w:p>
          <w:p w:rsidRPr="006A07EA" w:rsidR="006002A9" w:rsidP="00A524B5" w:rsidRDefault="00AC3C37" w14:paraId="1606CB39" w14:textId="134D7A10">
            <w:pPr>
              <w:pStyle w:val="BodyText"/>
              <w:tabs>
                <w:tab w:val="num" w:pos="1134"/>
              </w:tabs>
              <w:spacing w:after="0"/>
              <w:jc w:val="both"/>
              <w:rPr>
                <w:rFonts w:ascii="Arial" w:hAnsi="Arial" w:cs="Arial"/>
                <w:b/>
              </w:rPr>
            </w:pPr>
            <w:r w:rsidRPr="00AC3C37">
              <w:rPr>
                <w:rFonts w:ascii="Arial" w:hAnsi="Arial" w:cs="Arial"/>
                <w:b/>
              </w:rPr>
              <w:t>Solent</w:t>
            </w:r>
            <w:r w:rsidRPr="00AC3C37" w:rsidR="005B3F9D">
              <w:rPr>
                <w:rFonts w:ascii="Arial" w:hAnsi="Arial" w:cs="Arial"/>
                <w:b/>
              </w:rPr>
              <w:t xml:space="preserve"> LEP </w:t>
            </w:r>
            <w:r w:rsidRPr="00AC3C37" w:rsidR="006002A9">
              <w:rPr>
                <w:rFonts w:ascii="Arial" w:hAnsi="Arial" w:cs="Arial"/>
                <w:b/>
              </w:rPr>
              <w:t>–</w:t>
            </w:r>
            <w:r w:rsidR="003F020C">
              <w:rPr>
                <w:rFonts w:ascii="Arial" w:hAnsi="Arial" w:cs="Arial"/>
                <w:b/>
              </w:rPr>
              <w:t xml:space="preserve">  </w:t>
            </w:r>
            <w:r w:rsidRPr="00AC3C37">
              <w:rPr>
                <w:rFonts w:ascii="Arial" w:hAnsi="Arial" w:cs="Arial"/>
                <w:b/>
              </w:rPr>
              <w:t>Support for the Unemployed</w:t>
            </w:r>
            <w:r w:rsidRPr="00AC3C37" w:rsidR="003F020C">
              <w:rPr>
                <w:rFonts w:ascii="Arial" w:hAnsi="Arial" w:cs="Arial"/>
                <w:b/>
              </w:rPr>
              <w:t xml:space="preserve"> </w:t>
            </w:r>
            <w:r w:rsidRPr="006A07EA" w:rsidR="006A07EA">
              <w:rPr>
                <w:rFonts w:ascii="Arial" w:hAnsi="Arial" w:cs="Arial"/>
                <w:b/>
              </w:rPr>
              <w:t>ITT 30077</w:t>
            </w:r>
          </w:p>
          <w:p w:rsidRPr="00200BC6" w:rsidR="00967429" w:rsidP="00A524B5" w:rsidRDefault="00967429" w14:paraId="1606CB3A" w14:textId="77777777">
            <w:pPr>
              <w:pStyle w:val="BodyText"/>
              <w:tabs>
                <w:tab w:val="num" w:pos="1134"/>
              </w:tabs>
              <w:spacing w:after="0"/>
              <w:jc w:val="both"/>
              <w:rPr>
                <w:rFonts w:ascii="Arial" w:hAnsi="Arial" w:cs="Arial"/>
                <w:b/>
                <w:color w:val="FF0000"/>
              </w:rPr>
            </w:pPr>
          </w:p>
        </w:tc>
      </w:tr>
      <w:tr w:rsidR="00967429" w:rsidTr="2E3DAC76" w14:paraId="1606CB3D" w14:textId="77777777">
        <w:tc>
          <w:tcPr>
            <w:tcW w:w="9088" w:type="dxa"/>
            <w:shd w:val="clear" w:color="auto" w:fill="D9D9D9" w:themeFill="background1" w:themeFillShade="D9"/>
            <w:tcMar/>
          </w:tcPr>
          <w:p w:rsidRPr="00FD3B0A" w:rsidR="00967429" w:rsidP="00FD3B0A" w:rsidRDefault="004C726D" w14:paraId="1606CB3C" w14:textId="77777777">
            <w:pPr>
              <w:pStyle w:val="SpecificationHeading"/>
            </w:pPr>
            <w:r w:rsidRPr="00FD3B0A">
              <w:t>BACKGROUND</w:t>
            </w:r>
          </w:p>
        </w:tc>
      </w:tr>
      <w:tr w:rsidRPr="00EF4406" w:rsidR="00967429" w:rsidTr="2E3DAC76" w14:paraId="1606CB67" w14:textId="77777777">
        <w:tc>
          <w:tcPr>
            <w:tcW w:w="9088" w:type="dxa"/>
            <w:tcMar/>
          </w:tcPr>
          <w:p w:rsidRPr="002833D9" w:rsidR="00B24D65" w:rsidP="00A524B5" w:rsidRDefault="00B24D65" w14:paraId="1606CB3E" w14:textId="77777777">
            <w:pPr>
              <w:tabs>
                <w:tab w:val="num" w:pos="900"/>
              </w:tabs>
              <w:autoSpaceDE w:val="0"/>
              <w:autoSpaceDN w:val="0"/>
              <w:adjustRightInd w:val="0"/>
              <w:rPr>
                <w:rFonts w:cs="Arial"/>
                <w:b/>
              </w:rPr>
            </w:pPr>
          </w:p>
          <w:p w:rsidRPr="002833D9" w:rsidR="001F0385" w:rsidP="00A524B5" w:rsidRDefault="002833D9" w14:paraId="1606CB3F" w14:textId="77777777">
            <w:pPr>
              <w:tabs>
                <w:tab w:val="num" w:pos="900"/>
              </w:tabs>
              <w:autoSpaceDE w:val="0"/>
              <w:autoSpaceDN w:val="0"/>
              <w:adjustRightInd w:val="0"/>
              <w:rPr>
                <w:rFonts w:cs="Arial"/>
                <w:b/>
              </w:rPr>
            </w:pPr>
            <w:r w:rsidRPr="002833D9">
              <w:rPr>
                <w:rFonts w:cs="Arial"/>
                <w:b/>
              </w:rPr>
              <w:t>General</w:t>
            </w:r>
          </w:p>
          <w:p w:rsidRPr="002833D9" w:rsidR="002833D9" w:rsidP="00A524B5" w:rsidRDefault="002833D9" w14:paraId="1606CB40" w14:textId="77777777">
            <w:pPr>
              <w:tabs>
                <w:tab w:val="num" w:pos="900"/>
              </w:tabs>
              <w:autoSpaceDE w:val="0"/>
              <w:autoSpaceDN w:val="0"/>
              <w:adjustRightInd w:val="0"/>
              <w:rPr>
                <w:rFonts w:cs="Arial"/>
                <w:b/>
              </w:rPr>
            </w:pPr>
          </w:p>
          <w:p w:rsidRPr="005A1D76" w:rsidR="00B24D65" w:rsidP="00A524B5" w:rsidRDefault="00B24D65" w14:paraId="1606CB41" w14:textId="77777777">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Pr="005A1D76" w:rsidR="002E3B40">
              <w:rPr>
                <w:rFonts w:cs="Arial"/>
              </w:rPr>
              <w:t xml:space="preserve">Skills </w:t>
            </w:r>
            <w:r w:rsidRPr="005A1D76">
              <w:rPr>
                <w:rFonts w:cs="Arial"/>
              </w:rPr>
              <w:t>acting through the Skills Funding Agency</w:t>
            </w:r>
            <w:r w:rsidRPr="005A1D76" w:rsidR="00442DA3">
              <w:rPr>
                <w:rFonts w:cs="Arial"/>
              </w:rPr>
              <w:t xml:space="preserve"> </w:t>
            </w:r>
            <w:r w:rsidRPr="005A1D76">
              <w:rPr>
                <w:rFonts w:cs="Arial"/>
              </w:rPr>
              <w:t>(SFA), an executive agency of the Department for Business Innovation and Skills exercising functions to fund adult education and skills.</w:t>
            </w:r>
          </w:p>
          <w:p w:rsidRPr="005A1D76" w:rsidR="002833D9" w:rsidP="00A524B5" w:rsidRDefault="002833D9" w14:paraId="1606CB42" w14:textId="77777777">
            <w:pPr>
              <w:tabs>
                <w:tab w:val="num" w:pos="900"/>
              </w:tabs>
              <w:autoSpaceDE w:val="0"/>
              <w:autoSpaceDN w:val="0"/>
              <w:adjustRightInd w:val="0"/>
              <w:rPr>
                <w:rFonts w:cs="Arial"/>
              </w:rPr>
            </w:pPr>
          </w:p>
          <w:p w:rsidRPr="005A1D76" w:rsidR="002833D9" w:rsidP="00A524B5" w:rsidRDefault="002833D9" w14:paraId="1606CB43" w14:textId="77777777">
            <w:pPr>
              <w:rPr>
                <w:rFonts w:cs="Arial"/>
              </w:rPr>
            </w:pPr>
            <w:r w:rsidRPr="005A1D76">
              <w:rPr>
                <w:rFonts w:cs="Arial"/>
              </w:rPr>
              <w:t>T</w:t>
            </w:r>
            <w:r w:rsidRPr="005A1D76" w:rsidR="009F51A8">
              <w:rPr>
                <w:rFonts w:cs="Arial"/>
              </w:rPr>
              <w:t>he SFA, acting as an Opt-In Organisation</w:t>
            </w:r>
            <w:r w:rsidRPr="005A1D76">
              <w:rPr>
                <w:rFonts w:cs="Arial"/>
              </w:rPr>
              <w:t xml:space="preserve"> for the European Social Fund (ESF), is procuring education and training services to meet priorities identified by </w:t>
            </w:r>
            <w:r w:rsidRPr="005A1D76" w:rsidR="00F3689D">
              <w:t xml:space="preserve">Local Enterprise Partnership (LEP) area European Structural and Investment Funds Sub–Committees. </w:t>
            </w:r>
            <w:r w:rsidRPr="005A1D76">
              <w:rPr>
                <w:rFonts w:cs="Arial"/>
              </w:rPr>
              <w:t>As a</w:t>
            </w:r>
            <w:r w:rsidRPr="005A1D76" w:rsidR="009F51A8">
              <w:rPr>
                <w:rFonts w:cs="Arial"/>
              </w:rPr>
              <w:t>n</w:t>
            </w:r>
            <w:r w:rsidRPr="005A1D76">
              <w:rPr>
                <w:rFonts w:cs="Arial"/>
              </w:rPr>
              <w:t xml:space="preserve"> </w:t>
            </w:r>
            <w:r w:rsidRPr="005A1D76" w:rsidR="009F51A8">
              <w:rPr>
                <w:rFonts w:cs="Arial"/>
              </w:rPr>
              <w:t>Opt-In Organisation</w:t>
            </w:r>
            <w:r w:rsidRPr="005A1D76">
              <w:rPr>
                <w:rFonts w:cs="Arial"/>
              </w:rPr>
              <w:t xml:space="preserve"> the SFA provides match funding at Priority Axis level utilising sources of public funding as match for ESF funded activity.</w:t>
            </w:r>
          </w:p>
          <w:p w:rsidRPr="005A1D76" w:rsidR="002833D9" w:rsidP="00A524B5" w:rsidRDefault="002833D9" w14:paraId="1606CB44" w14:textId="77777777">
            <w:pPr>
              <w:rPr>
                <w:rFonts w:cs="Arial"/>
              </w:rPr>
            </w:pPr>
          </w:p>
          <w:p w:rsidRPr="00A63E89" w:rsidR="00A63E89" w:rsidP="00A63E89" w:rsidRDefault="00AD0B65" w14:paraId="1606CB45" w14:textId="77777777">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Pr="00A63E89" w:rsidR="00A63E89">
              <w:t xml:space="preserve">ere the need has been identified both in the LEP area and European Structural and Investment Fund Strategies.  </w:t>
            </w:r>
          </w:p>
          <w:p w:rsidRPr="00AD0B65" w:rsidR="00AD0B65" w:rsidP="00AD0B65" w:rsidRDefault="00AD0B65" w14:paraId="1606CB46" w14:textId="77777777">
            <w:pPr>
              <w:rPr>
                <w:rFonts w:cs="Arial"/>
              </w:rPr>
            </w:pPr>
          </w:p>
          <w:p w:rsidR="2E3DAC76" w:rsidRDefault="2E3DAC76" w14:noSpellErr="1" w14:paraId="76813F38" w14:textId="3D8FB105">
            <w:r w:rsidRPr="2E3DAC76" w:rsidR="2E3DAC76">
              <w:rPr>
                <w:rFonts w:ascii="Arial" w:hAnsi="Arial" w:eastAsia="Arial" w:cs="Arial"/>
                <w:sz w:val="24"/>
                <w:szCs w:val="24"/>
                <w:lang w:val="en-GB"/>
              </w:rPr>
              <w:t>The SFA is looking to procure an organisation to deliver education and training that helps unemployed and inactive people to enter into employment and sustain employment in the LEP area set out below.</w:t>
            </w:r>
          </w:p>
          <w:p w:rsidR="2E3DAC76" w:rsidP="2E3DAC76" w:rsidRDefault="2E3DAC76" w14:paraId="7C59911F" w14:textId="5A48218F">
            <w:pPr>
              <w:pStyle w:val="Normal"/>
            </w:pPr>
          </w:p>
          <w:p w:rsidR="00204192" w:rsidP="00AD0B65" w:rsidRDefault="009E7A30" w14:paraId="1606CB47" w14:textId="77777777">
            <w:r w:rsidRPr="00D72023">
              <w:t>The</w:t>
            </w:r>
            <w:r w:rsidRPr="00D72023" w:rsidR="00A63E89">
              <w:t xml:space="preserve"> </w:t>
            </w:r>
            <w:r w:rsidRPr="00D72023" w:rsidR="00204192">
              <w:t xml:space="preserve">Priority Axis 1 </w:t>
            </w:r>
            <w:r w:rsidRPr="00D72023" w:rsidR="00A63E89">
              <w:t xml:space="preserve">supports </w:t>
            </w:r>
            <w:r w:rsidRPr="00D72023" w:rsidR="00204192">
              <w:t xml:space="preserve">activity to increase participation in the labour market and thereby improve social inclusion and mobility.   The objectives of Priority Axis 1 </w:t>
            </w:r>
            <w:r w:rsidRPr="00D72023" w:rsidR="00F0539E">
              <w:t xml:space="preserve">covered in this specification </w:t>
            </w:r>
            <w:r w:rsidRPr="00D72023" w:rsidR="00204192">
              <w:t>are:</w:t>
            </w:r>
          </w:p>
          <w:p w:rsidRPr="00D72023" w:rsidR="00DE7779" w:rsidP="00AD0B65" w:rsidRDefault="00DE7779" w14:paraId="16332D90" w14:textId="77777777"/>
          <w:p w:rsidRPr="00D72023" w:rsidR="00204192" w:rsidP="00A503FD" w:rsidRDefault="00204192" w14:paraId="1606CB48" w14:textId="77777777">
            <w:pPr>
              <w:pStyle w:val="ListParagraph"/>
              <w:numPr>
                <w:ilvl w:val="0"/>
                <w:numId w:val="11"/>
              </w:numPr>
            </w:pPr>
            <w:r w:rsidRPr="00D72023">
              <w:t>To improve the employability of long-term unemployed people, so that they can compete effectively in the labour market.</w:t>
            </w:r>
          </w:p>
          <w:p w:rsidRPr="00D72023" w:rsidR="00204192" w:rsidP="00A503FD" w:rsidRDefault="00204192" w14:paraId="1606CB49" w14:textId="77777777">
            <w:pPr>
              <w:pStyle w:val="ListParagraph"/>
              <w:numPr>
                <w:ilvl w:val="0"/>
                <w:numId w:val="11"/>
              </w:numPr>
            </w:pPr>
            <w:r w:rsidRPr="00D72023">
              <w:t>To provide individuals from groups which face particular labour market disadvantage with additional support so that they can compete effectively in the labour market.</w:t>
            </w:r>
          </w:p>
          <w:p w:rsidRPr="00D72023" w:rsidR="00204192" w:rsidP="00A503FD" w:rsidRDefault="00204192" w14:paraId="1606CB4A" w14:textId="77777777">
            <w:pPr>
              <w:pStyle w:val="ListParagraph"/>
              <w:numPr>
                <w:ilvl w:val="0"/>
                <w:numId w:val="11"/>
              </w:numPr>
            </w:pPr>
            <w:r w:rsidRPr="00D72023">
              <w:t>To encourage inactive people to participate in the labour market and to improve their employability.</w:t>
            </w:r>
          </w:p>
          <w:p w:rsidRPr="00D72023" w:rsidR="00204192" w:rsidP="00A503FD" w:rsidRDefault="00204192" w14:paraId="1606CB4B" w14:textId="77777777">
            <w:pPr>
              <w:pStyle w:val="ListParagraph"/>
              <w:numPr>
                <w:ilvl w:val="0"/>
                <w:numId w:val="11"/>
              </w:numPr>
            </w:pPr>
            <w:r w:rsidRPr="00D72023">
              <w:t>To address the basic skills needs of unemployed and inactive people so that they can compete effectively in the labour market.</w:t>
            </w:r>
          </w:p>
          <w:p w:rsidRPr="00D72023" w:rsidR="00204192" w:rsidP="00A503FD" w:rsidRDefault="00204192" w14:paraId="1606CB4C" w14:textId="77777777">
            <w:pPr>
              <w:pStyle w:val="Default"/>
              <w:numPr>
                <w:ilvl w:val="0"/>
                <w:numId w:val="11"/>
              </w:numPr>
            </w:pPr>
            <w:r w:rsidRPr="00D72023">
              <w:t xml:space="preserve">To provide support for women at a disadvantage in the labour market, and particularly those who are currently inactive, to contribute to our efforts to reduce the gender employment gap. </w:t>
            </w:r>
          </w:p>
          <w:p w:rsidRPr="00D72023" w:rsidR="00F0539E" w:rsidP="00A503FD" w:rsidRDefault="00F0539E" w14:paraId="1606CB4D" w14:textId="77777777">
            <w:pPr>
              <w:pStyle w:val="Default"/>
              <w:numPr>
                <w:ilvl w:val="0"/>
                <w:numId w:val="11"/>
              </w:numPr>
            </w:pPr>
            <w:r w:rsidRPr="00D72023">
              <w:lastRenderedPageBreak/>
              <w:t xml:space="preserve">To support people with multiple and complex barriers to participation to address these underlying issues and to move closer to or into the labour market. </w:t>
            </w:r>
          </w:p>
          <w:p w:rsidRPr="00D72023" w:rsidR="00204192" w:rsidP="00A503FD" w:rsidRDefault="00F0539E" w14:paraId="1606CB4E" w14:textId="77777777">
            <w:pPr>
              <w:pStyle w:val="ListParagraph"/>
              <w:numPr>
                <w:ilvl w:val="0"/>
                <w:numId w:val="11"/>
              </w:numPr>
            </w:pPr>
            <w:r w:rsidRPr="00D72023">
              <w:t>To engage marginalised individuals and support them to re-engage with education, training, or in employment.</w:t>
            </w:r>
          </w:p>
          <w:p w:rsidR="007E51DD" w:rsidP="00AD0B65" w:rsidRDefault="007E51DD" w14:paraId="1606CB4F" w14:textId="77777777"/>
          <w:p w:rsidR="004A2467" w:rsidP="00AD0B65" w:rsidRDefault="004A2467" w14:paraId="1606CB50" w14:textId="600FEF5E">
            <w:r>
              <w:t>The</w:t>
            </w:r>
            <w:r w:rsidR="00E63880">
              <w:t xml:space="preserve"> theme</w:t>
            </w:r>
            <w:r>
              <w:t xml:space="preserve"> in </w:t>
            </w:r>
            <w:r w:rsidR="00204192">
              <w:t>Priority Axis 1</w:t>
            </w:r>
            <w:r>
              <w:t xml:space="preserve"> </w:t>
            </w:r>
            <w:r w:rsidR="00F0539E">
              <w:t xml:space="preserve">in this specification </w:t>
            </w:r>
            <w:r>
              <w:t>are:</w:t>
            </w:r>
          </w:p>
          <w:p w:rsidR="00204192" w:rsidP="00A503FD" w:rsidRDefault="00204192" w14:paraId="1606CB51" w14:textId="77777777">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rsidR="00F17CE2" w:rsidP="00A524B5" w:rsidRDefault="00F17CE2" w14:paraId="1606CB52" w14:textId="77777777">
            <w:pPr>
              <w:tabs>
                <w:tab w:val="num" w:pos="900"/>
              </w:tabs>
              <w:autoSpaceDE w:val="0"/>
              <w:autoSpaceDN w:val="0"/>
              <w:adjustRightInd w:val="0"/>
              <w:rPr>
                <w:rFonts w:cs="Arial"/>
              </w:rPr>
            </w:pPr>
          </w:p>
          <w:p w:rsidRPr="003E0C7F" w:rsidR="009B1204" w:rsidP="009B1204" w:rsidRDefault="009B1204" w14:paraId="1606CB53" w14:textId="77777777">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rsidR="009B1204" w:rsidP="009B1204" w:rsidRDefault="009B1204" w14:paraId="1606CB54" w14:textId="77777777">
            <w:pPr>
              <w:rPr>
                <w:rFonts w:cs="Arial"/>
                <w:b/>
              </w:rPr>
            </w:pPr>
          </w:p>
          <w:p w:rsidRPr="00D72023" w:rsidR="009B1204" w:rsidP="009B1204" w:rsidRDefault="009B1204" w14:paraId="1606CB55" w14:textId="77777777">
            <w:pPr>
              <w:autoSpaceDE w:val="0"/>
              <w:autoSpaceDN w:val="0"/>
              <w:adjustRightInd w:val="0"/>
              <w:rPr>
                <w:rFonts w:cs="Arial"/>
                <w:color w:val="000000"/>
                <w:lang w:eastAsia="en-GB"/>
              </w:rPr>
            </w:pPr>
            <w:r w:rsidRPr="00D72023">
              <w:rPr>
                <w:rFonts w:cs="Arial"/>
                <w:color w:val="000000"/>
                <w:lang w:eastAsia="en-GB"/>
              </w:rPr>
              <w:t xml:space="preserve">The Government is promoting employment for all by providing support mechanisms and benefits that incentivise work and reduce </w:t>
            </w:r>
            <w:proofErr w:type="spellStart"/>
            <w:r w:rsidRPr="00D72023">
              <w:rPr>
                <w:rFonts w:cs="Arial"/>
                <w:color w:val="000000"/>
                <w:lang w:eastAsia="en-GB"/>
              </w:rPr>
              <w:t>worklessness</w:t>
            </w:r>
            <w:proofErr w:type="spellEnd"/>
            <w:r w:rsidRPr="00D72023">
              <w:rPr>
                <w:rFonts w:cs="Arial"/>
                <w:color w:val="000000"/>
                <w:lang w:eastAsia="en-GB"/>
              </w:rPr>
              <w:t xml:space="preserve">,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rsidRPr="00D72023" w:rsidR="009B1204" w:rsidP="009B1204" w:rsidRDefault="009B1204" w14:paraId="1606CB56" w14:textId="77777777">
            <w:pPr>
              <w:autoSpaceDE w:val="0"/>
              <w:autoSpaceDN w:val="0"/>
              <w:adjustRightInd w:val="0"/>
              <w:rPr>
                <w:rFonts w:cs="Arial"/>
                <w:color w:val="000000"/>
                <w:lang w:eastAsia="en-GB"/>
              </w:rPr>
            </w:pPr>
          </w:p>
          <w:p w:rsidRPr="00D72023" w:rsidR="009B1204" w:rsidP="009B1204" w:rsidRDefault="009B1204" w14:paraId="1606CB57" w14:textId="77777777">
            <w:pPr>
              <w:tabs>
                <w:tab w:val="num" w:pos="900"/>
              </w:tabs>
              <w:autoSpaceDE w:val="0"/>
              <w:autoSpaceDN w:val="0"/>
              <w:adjustRightInd w:val="0"/>
              <w:rPr>
                <w:rFonts w:cs="Arial"/>
                <w:color w:val="000000"/>
                <w:lang w:eastAsia="en-GB"/>
              </w:rPr>
            </w:pPr>
            <w:r w:rsidRPr="00D72023">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proofErr w:type="spellStart"/>
            <w:r w:rsidRPr="00D72023">
              <w:rPr>
                <w:rFonts w:cs="Arial"/>
                <w:color w:val="000000"/>
                <w:lang w:eastAsia="en-GB"/>
              </w:rPr>
              <w:t>jobseeking</w:t>
            </w:r>
            <w:proofErr w:type="spellEnd"/>
            <w:r w:rsidRPr="00D72023">
              <w:rPr>
                <w:rFonts w:cs="Arial"/>
                <w:color w:val="000000"/>
                <w:lang w:eastAsia="en-GB"/>
              </w:rPr>
              <w:t xml:space="preserve"> skills, or other material barriers like debt and working with them to tackle these barriers.</w:t>
            </w:r>
          </w:p>
          <w:p w:rsidR="009B1204" w:rsidP="00A524B5" w:rsidRDefault="009B1204" w14:paraId="1606CB58" w14:textId="77777777">
            <w:pPr>
              <w:tabs>
                <w:tab w:val="num" w:pos="900"/>
              </w:tabs>
              <w:autoSpaceDE w:val="0"/>
              <w:autoSpaceDN w:val="0"/>
              <w:adjustRightInd w:val="0"/>
              <w:rPr>
                <w:rFonts w:cs="Arial"/>
              </w:rPr>
            </w:pPr>
          </w:p>
          <w:p w:rsidR="00442DA3" w:rsidP="00A524B5" w:rsidRDefault="00B24D65" w14:paraId="1606CB59" w14:textId="77777777">
            <w:pPr>
              <w:rPr>
                <w:rFonts w:cs="Arial"/>
              </w:rPr>
            </w:pPr>
            <w:r w:rsidRPr="005A1D76">
              <w:rPr>
                <w:rFonts w:cs="Arial"/>
              </w:rPr>
              <w:t xml:space="preserve">The SFA is looking to procure an organisation to </w:t>
            </w:r>
            <w:r w:rsidRPr="005A1D76" w:rsidR="007654E6">
              <w:rPr>
                <w:rFonts w:cs="Arial"/>
              </w:rPr>
              <w:t>deliver education and training</w:t>
            </w:r>
            <w:r w:rsidRPr="005A1D76" w:rsidR="00F925C5">
              <w:rPr>
                <w:lang w:eastAsia="en-GB"/>
              </w:rPr>
              <w:t xml:space="preserve"> that best support the needs of local employers and employees </w:t>
            </w:r>
            <w:r w:rsidRPr="005A1D76" w:rsidR="00F9192C">
              <w:rPr>
                <w:rFonts w:cs="Arial"/>
              </w:rPr>
              <w:t xml:space="preserve">in the </w:t>
            </w:r>
            <w:r w:rsidRPr="005A1D76" w:rsidR="00FD3B0A">
              <w:rPr>
                <w:rFonts w:cs="Arial"/>
              </w:rPr>
              <w:t xml:space="preserve">LEP </w:t>
            </w:r>
            <w:r w:rsidRPr="005A1D76" w:rsidR="00F9192C">
              <w:rPr>
                <w:rFonts w:cs="Arial"/>
              </w:rPr>
              <w:t xml:space="preserve">area </w:t>
            </w:r>
            <w:r w:rsidRPr="005A1D76" w:rsidR="00755E41">
              <w:rPr>
                <w:rFonts w:cs="Arial"/>
              </w:rPr>
              <w:t>set out</w:t>
            </w:r>
            <w:r w:rsidRPr="005A1D76" w:rsidR="00F9192C">
              <w:rPr>
                <w:rFonts w:cs="Arial"/>
              </w:rPr>
              <w:t xml:space="preserve"> below</w:t>
            </w:r>
            <w:r w:rsidRPr="005A1D76" w:rsidR="000D51DE">
              <w:rPr>
                <w:rFonts w:cs="Arial"/>
              </w:rPr>
              <w:t>.</w:t>
            </w:r>
            <w:r w:rsidRPr="002833D9" w:rsidR="007654E6">
              <w:rPr>
                <w:rFonts w:cs="Arial"/>
              </w:rPr>
              <w:t xml:space="preserve"> </w:t>
            </w:r>
          </w:p>
          <w:p w:rsidR="0036018B" w:rsidP="00A524B5" w:rsidRDefault="0036018B" w14:paraId="1606CB5A" w14:textId="77777777">
            <w:pPr>
              <w:rPr>
                <w:rFonts w:cs="Arial"/>
                <w:b/>
              </w:rPr>
            </w:pPr>
          </w:p>
          <w:p w:rsidR="002833D9" w:rsidP="00A524B5" w:rsidRDefault="00AC3C37" w14:paraId="1606CB5B" w14:textId="77777777">
            <w:pPr>
              <w:rPr>
                <w:rFonts w:cs="Arial"/>
                <w:b/>
              </w:rPr>
            </w:pPr>
            <w:r>
              <w:rPr>
                <w:rFonts w:cs="Arial"/>
                <w:b/>
              </w:rPr>
              <w:t>Solent</w:t>
            </w:r>
            <w:r w:rsidR="000304B2">
              <w:rPr>
                <w:rFonts w:cs="Arial"/>
                <w:b/>
              </w:rPr>
              <w:t xml:space="preserve"> Local </w:t>
            </w:r>
            <w:r w:rsidR="00A76A58">
              <w:rPr>
                <w:rFonts w:cs="Arial"/>
                <w:b/>
              </w:rPr>
              <w:t>Enterprise Partnership</w:t>
            </w:r>
            <w:r w:rsidR="00F24C41">
              <w:rPr>
                <w:rFonts w:cs="Arial"/>
                <w:b/>
              </w:rPr>
              <w:t xml:space="preserve"> Background</w:t>
            </w:r>
          </w:p>
          <w:p w:rsidR="005146E9" w:rsidP="00A524B5" w:rsidRDefault="005146E9" w14:paraId="1606CB5C" w14:textId="77777777">
            <w:pPr>
              <w:rPr>
                <w:rFonts w:cs="Arial"/>
                <w:b/>
              </w:rPr>
            </w:pPr>
          </w:p>
          <w:p w:rsidR="0036018B" w:rsidP="0036018B" w:rsidRDefault="0036018B" w14:paraId="1606CB5D" w14:textId="77777777">
            <w:pPr>
              <w:rPr>
                <w:rFonts w:cs="Arial"/>
              </w:rPr>
            </w:pPr>
            <w:r>
              <w:rPr>
                <w:rFonts w:cs="Arial"/>
              </w:rPr>
              <w:t xml:space="preserve">Whilst the Solent is characterised by relatively high employment rates and low unemployment this masks some structural weaknesses in the Solent economy.  The over-dependency on public sector employment and lower than average productivity leaves some residents within the Solent economic disproportionally vulnerable to economic shocks and periodic unemployment.  </w:t>
            </w:r>
          </w:p>
          <w:p w:rsidRPr="006A1A4A" w:rsidR="0036018B" w:rsidP="0036018B" w:rsidRDefault="0036018B" w14:paraId="1606CB5E" w14:textId="77777777">
            <w:pPr>
              <w:rPr>
                <w:rFonts w:eastAsia="Calibri"/>
              </w:rPr>
            </w:pPr>
          </w:p>
          <w:p w:rsidR="0036018B" w:rsidP="0036018B" w:rsidRDefault="0036018B" w14:paraId="1606CB5F" w14:textId="77777777">
            <w:pPr>
              <w:jc w:val="both"/>
            </w:pPr>
            <w:r w:rsidRPr="006A1A4A">
              <w:t xml:space="preserve">Although the number of young JSA claimants has fallen </w:t>
            </w:r>
            <w:r>
              <w:t xml:space="preserve">significantly from its peak of 9,000 in August </w:t>
            </w:r>
            <w:r w:rsidRPr="006A1A4A">
              <w:t xml:space="preserve">2009, youth unemployment </w:t>
            </w:r>
            <w:r>
              <w:t>is still significant with 1,920 18-24 year olds claiming JSA across the Solent in September 2015.</w:t>
            </w:r>
            <w:r w:rsidRPr="006A1A4A">
              <w:t xml:space="preserve"> </w:t>
            </w:r>
            <w:r>
              <w:t>Focused effort through City Deal activity has reduced,</w:t>
            </w:r>
            <w:r w:rsidRPr="006A1A4A">
              <w:t xml:space="preserve"> the proportions of 16 to 18 year olds in Portsmouth and Southampton who were Not in Education, Employment or Training (NEET) </w:t>
            </w:r>
            <w:r>
              <w:t xml:space="preserve">however </w:t>
            </w:r>
            <w:r>
              <w:lastRenderedPageBreak/>
              <w:t>there remains a significant cohort of young people who require sustained support to move into sustained employment.</w:t>
            </w:r>
          </w:p>
          <w:p w:rsidRPr="006A1A4A" w:rsidR="0036018B" w:rsidP="0036018B" w:rsidRDefault="0036018B" w14:paraId="1606CB60" w14:textId="77777777">
            <w:pPr>
              <w:jc w:val="both"/>
            </w:pPr>
          </w:p>
          <w:p w:rsidRPr="006A1A4A" w:rsidR="0036018B" w:rsidP="0036018B" w:rsidRDefault="0036018B" w14:paraId="1606CB61" w14:textId="77777777">
            <w:pPr>
              <w:jc w:val="both"/>
              <w:rPr>
                <w:rFonts w:cs="ArialMT"/>
              </w:rPr>
            </w:pPr>
            <w:r>
              <w:rPr>
                <w:rFonts w:cs="ArialMT"/>
              </w:rPr>
              <w:t>The Solent, is characterised by pocket</w:t>
            </w:r>
            <w:r w:rsidRPr="006A1A4A">
              <w:rPr>
                <w:rFonts w:cs="ArialMT"/>
              </w:rPr>
              <w:t xml:space="preserve">s </w:t>
            </w:r>
            <w:r>
              <w:rPr>
                <w:rFonts w:cs="ArialMT"/>
              </w:rPr>
              <w:t xml:space="preserve">of significant </w:t>
            </w:r>
            <w:r w:rsidRPr="006A1A4A">
              <w:rPr>
                <w:rFonts w:cs="ArialMT"/>
              </w:rPr>
              <w:t>levels of deprivation</w:t>
            </w:r>
            <w:r>
              <w:rPr>
                <w:rFonts w:cs="ArialMT"/>
              </w:rPr>
              <w:t>. E</w:t>
            </w:r>
            <w:r w:rsidRPr="006A1A4A">
              <w:rPr>
                <w:rFonts w:cs="ArialMT"/>
              </w:rPr>
              <w:t xml:space="preserve">ntrenched cyclical and long-term unemployment </w:t>
            </w:r>
            <w:r>
              <w:rPr>
                <w:rFonts w:cs="ArialMT"/>
              </w:rPr>
              <w:t xml:space="preserve">and </w:t>
            </w:r>
            <w:proofErr w:type="spellStart"/>
            <w:r>
              <w:rPr>
                <w:rFonts w:cs="ArialMT"/>
              </w:rPr>
              <w:t>worklessness</w:t>
            </w:r>
            <w:proofErr w:type="spellEnd"/>
            <w:r>
              <w:rPr>
                <w:rFonts w:cs="ArialMT"/>
              </w:rPr>
              <w:t xml:space="preserve"> </w:t>
            </w:r>
            <w:r w:rsidRPr="006A1A4A">
              <w:rPr>
                <w:rFonts w:cs="ArialMT"/>
              </w:rPr>
              <w:t xml:space="preserve">is evident </w:t>
            </w:r>
            <w:r>
              <w:rPr>
                <w:rFonts w:cs="ArialMT"/>
              </w:rPr>
              <w:t xml:space="preserve">with low skills and educational attainment an underpinning factor for the residents of these localities. </w:t>
            </w:r>
            <w:r w:rsidRPr="006A1A4A">
              <w:t xml:space="preserve">At the time of Census 2011, there were 34 Wards where the unemployment rate was 5.0% or over. Of these, 16 were located on the Isle of Wight, five were in both Gosport and Southampton and four were in both Portsmouth and Havant. Four wards had an unemployment rate of over 7%, which is far above the England average of 4.4%. </w:t>
            </w:r>
            <w:r w:rsidRPr="006A1A4A">
              <w:rPr>
                <w:rFonts w:cs="ArialMT"/>
              </w:rPr>
              <w:t>Depression and anxiety are higher than previously assumed, with between 50 and 70% of people on Incapacity Benefit (IB) and Employment Support Allowance (ESA) reporting having mental health issues. Work Programme Providers comment that they are often unable to place ESA claimants in employment. 50% of this cohort has been ‘workless’ long term, more than five years.</w:t>
            </w:r>
          </w:p>
          <w:p w:rsidR="0036018B" w:rsidP="0036018B" w:rsidRDefault="0036018B" w14:paraId="1606CB62" w14:textId="77777777">
            <w:pPr>
              <w:jc w:val="both"/>
            </w:pPr>
          </w:p>
          <w:p w:rsidRPr="0028192F" w:rsidR="0036018B" w:rsidP="0036018B" w:rsidRDefault="0036018B" w14:paraId="1606CB63" w14:textId="77777777">
            <w:pPr>
              <w:jc w:val="both"/>
              <w:rPr>
                <w:rStyle w:val="A3"/>
                <w:sz w:val="24"/>
                <w:szCs w:val="24"/>
              </w:rPr>
            </w:pPr>
            <w:r>
              <w:t xml:space="preserve">Key to preventing long-term unemployment is early intervention and skills development. </w:t>
            </w:r>
            <w:r w:rsidRPr="00A53727">
              <w:rPr>
                <w:rStyle w:val="A3"/>
                <w:sz w:val="24"/>
                <w:szCs w:val="24"/>
              </w:rPr>
              <w:t xml:space="preserve">Low skills levels in the two cities and </w:t>
            </w:r>
            <w:r w:rsidRPr="003F003E">
              <w:rPr>
                <w:rStyle w:val="A3"/>
                <w:sz w:val="24"/>
                <w:szCs w:val="24"/>
              </w:rPr>
              <w:t>neighbouring boroughs are also a potential barrier to our ambitions to increase GVA per capita and develop high value-added sectors.</w:t>
            </w:r>
            <w:r w:rsidRPr="00657F02">
              <w:rPr>
                <w:rStyle w:val="A9"/>
              </w:rPr>
              <w:t xml:space="preserve"> </w:t>
            </w:r>
            <w:r w:rsidRPr="00657F02">
              <w:rPr>
                <w:rStyle w:val="A3"/>
                <w:sz w:val="24"/>
                <w:szCs w:val="24"/>
              </w:rPr>
              <w:t xml:space="preserve">Compared with the other South East functional economic geographies with potential for growth, the Solent has a relatively poorly-qualified working age population, and while progress has been made in raising Level 2 skills, there is more to be done on Level 4 and above. </w:t>
            </w:r>
          </w:p>
          <w:p w:rsidR="0036018B" w:rsidP="0036018B" w:rsidRDefault="0036018B" w14:paraId="1606CB64" w14:textId="77777777">
            <w:pPr>
              <w:rPr>
                <w:rFonts w:cs="Arial"/>
                <w:b/>
              </w:rPr>
            </w:pPr>
          </w:p>
          <w:p w:rsidR="008D70EA" w:rsidRDefault="0036018B" w14:paraId="1606CB65" w14:textId="77777777">
            <w:pPr>
              <w:rPr>
                <w:rFonts w:cs="Arial"/>
              </w:rPr>
            </w:pPr>
            <w:r w:rsidRPr="0028192F">
              <w:rPr>
                <w:rFonts w:cs="Arial"/>
              </w:rPr>
              <w:t xml:space="preserve">The activity will be Solent wide and will support all adults aged 18 and over. It aims to build on the </w:t>
            </w:r>
            <w:r>
              <w:rPr>
                <w:rFonts w:cs="Arial"/>
              </w:rPr>
              <w:t xml:space="preserve">previous </w:t>
            </w:r>
            <w:r w:rsidRPr="0028192F">
              <w:rPr>
                <w:rFonts w:cs="Arial"/>
                <w:lang w:val="en-US"/>
              </w:rPr>
              <w:t xml:space="preserve">ESF-funded </w:t>
            </w:r>
            <w:r w:rsidRPr="0028192F">
              <w:rPr>
                <w:rFonts w:cs="Arial"/>
                <w:i/>
                <w:lang w:val="en-US"/>
              </w:rPr>
              <w:t>Skills Support for the Unemployed</w:t>
            </w:r>
            <w:r w:rsidRPr="0028192F">
              <w:rPr>
                <w:rFonts w:cs="Arial"/>
                <w:lang w:val="en-US"/>
              </w:rPr>
              <w:t xml:space="preserve"> </w:t>
            </w:r>
            <w:r w:rsidRPr="0028192F">
              <w:rPr>
                <w:rFonts w:cs="Arial"/>
              </w:rPr>
              <w:t>programme</w:t>
            </w:r>
            <w:r w:rsidRPr="0028192F">
              <w:rPr>
                <w:rFonts w:cs="Arial"/>
                <w:lang w:val="en-US"/>
              </w:rPr>
              <w:t xml:space="preserve">.  It will help people with low skill and qualification levels to address the skills gaps preventing them from entering the </w:t>
            </w:r>
            <w:r w:rsidRPr="0028192F">
              <w:rPr>
                <w:rFonts w:cs="Arial"/>
              </w:rPr>
              <w:t>labour</w:t>
            </w:r>
            <w:r w:rsidRPr="0028192F">
              <w:rPr>
                <w:rFonts w:cs="Arial"/>
                <w:lang w:val="en-US"/>
              </w:rPr>
              <w:t xml:space="preserve"> market. It will also provide training opportunities for people who</w:t>
            </w:r>
            <w:r>
              <w:rPr>
                <w:rFonts w:cs="Arial"/>
                <w:lang w:val="en-US"/>
              </w:rPr>
              <w:t xml:space="preserve"> have r</w:t>
            </w:r>
            <w:r w:rsidRPr="0028192F">
              <w:rPr>
                <w:rFonts w:cs="Arial"/>
                <w:lang w:val="en-US"/>
              </w:rPr>
              <w:t xml:space="preserve">ecently been made unemployed as a result of such a </w:t>
            </w:r>
            <w:r>
              <w:rPr>
                <w:rFonts w:cs="Arial"/>
                <w:lang w:val="en-US"/>
              </w:rPr>
              <w:t xml:space="preserve">larger scale </w:t>
            </w:r>
            <w:r w:rsidRPr="0028192F">
              <w:rPr>
                <w:rFonts w:cs="Arial"/>
                <w:lang w:val="en-US"/>
              </w:rPr>
              <w:t>closure</w:t>
            </w:r>
            <w:r>
              <w:rPr>
                <w:rFonts w:cs="Arial"/>
                <w:lang w:val="en-US"/>
              </w:rPr>
              <w:t xml:space="preserve"> or </w:t>
            </w:r>
            <w:r w:rsidRPr="00240583">
              <w:rPr>
                <w:rFonts w:cs="Arial"/>
                <w:lang w:val="en-US"/>
              </w:rPr>
              <w:t>redundancy</w:t>
            </w:r>
            <w:r>
              <w:rPr>
                <w:rFonts w:cs="Arial"/>
                <w:lang w:val="en-US"/>
              </w:rPr>
              <w:t xml:space="preserve"> process.</w:t>
            </w:r>
            <w:r w:rsidRPr="000D51DE" w:rsidDel="0036018B">
              <w:rPr>
                <w:rFonts w:cs="Arial"/>
              </w:rPr>
              <w:t xml:space="preserve"> </w:t>
            </w:r>
          </w:p>
          <w:p w:rsidRPr="002833D9" w:rsidR="000D51DE" w:rsidRDefault="000D51DE" w14:paraId="1606CB66" w14:textId="77777777">
            <w:pPr>
              <w:rPr>
                <w:rFonts w:cs="Arial"/>
                <w:lang w:eastAsia="en-GB"/>
              </w:rPr>
            </w:pPr>
          </w:p>
        </w:tc>
      </w:tr>
      <w:tr w:rsidR="00967429" w:rsidTr="2E3DAC76" w14:paraId="1606CB69" w14:textId="77777777">
        <w:trPr>
          <w:trHeight w:val="567"/>
        </w:trPr>
        <w:tc>
          <w:tcPr>
            <w:tcW w:w="9088" w:type="dxa"/>
            <w:shd w:val="clear" w:color="auto" w:fill="D9D9D9" w:themeFill="background1" w:themeFillShade="D9"/>
            <w:tcMar/>
            <w:vAlign w:val="center"/>
          </w:tcPr>
          <w:p w:rsidRPr="00C107CE" w:rsidR="00967429" w:rsidP="00C107CE" w:rsidRDefault="002E25F4" w14:paraId="1606CB68" w14:textId="77777777">
            <w:pPr>
              <w:tabs>
                <w:tab w:val="num" w:pos="900"/>
              </w:tabs>
              <w:autoSpaceDE w:val="0"/>
              <w:autoSpaceDN w:val="0"/>
              <w:adjustRightInd w:val="0"/>
              <w:rPr>
                <w:rFonts w:cs="Arial"/>
                <w:b/>
              </w:rPr>
            </w:pPr>
            <w:r w:rsidRPr="002833D9">
              <w:rPr>
                <w:rFonts w:cs="Arial"/>
                <w:b/>
              </w:rPr>
              <w:lastRenderedPageBreak/>
              <w:t>DEFINITION OF TERMS</w:t>
            </w:r>
          </w:p>
        </w:tc>
      </w:tr>
      <w:tr w:rsidRPr="00EF4406" w:rsidR="00967429" w:rsidTr="2E3DAC76" w14:paraId="1606CB94" w14:textId="77777777">
        <w:tc>
          <w:tcPr>
            <w:tcW w:w="9088" w:type="dxa"/>
            <w:tcMar/>
          </w:tcPr>
          <w:p w:rsidR="002E25F4" w:rsidP="00A524B5" w:rsidRDefault="002E25F4" w14:paraId="1606CB6A" w14:textId="77777777">
            <w:pPr>
              <w:rPr>
                <w:rFonts w:cs="Arial"/>
                <w:i/>
              </w:rPr>
            </w:pPr>
          </w:p>
          <w:p w:rsidRPr="005A1D76" w:rsidR="000304B2" w:rsidP="000304B2" w:rsidRDefault="000304B2" w14:paraId="1606CB6D" w14:textId="77777777">
            <w:pPr>
              <w:ind w:left="360" w:hanging="360"/>
            </w:pPr>
            <w:r w:rsidRPr="005A1D76">
              <w:rPr>
                <w:b/>
              </w:rPr>
              <w:t xml:space="preserve">Candidate: </w:t>
            </w:r>
            <w:r w:rsidRPr="005A1D76">
              <w:t>means an organisation who has been invited to take part in this restricted procurement procedure</w:t>
            </w:r>
          </w:p>
          <w:p w:rsidRPr="005A1D76" w:rsidR="000304B2" w:rsidP="000304B2" w:rsidRDefault="000304B2" w14:paraId="1606CB6E" w14:textId="77777777">
            <w:pPr>
              <w:ind w:left="360" w:hanging="360"/>
              <w:rPr>
                <w:b/>
              </w:rPr>
            </w:pPr>
          </w:p>
          <w:p w:rsidR="005C5B32" w:rsidP="005C5B32" w:rsidRDefault="005C5B32" w14:paraId="1606CB6F" w14:textId="77777777">
            <w:pPr>
              <w:ind w:left="360" w:hanging="360"/>
            </w:pPr>
            <w:r w:rsidRPr="0082646E">
              <w:rPr>
                <w:b/>
              </w:rPr>
              <w:t>Disability</w:t>
            </w:r>
            <w:r w:rsidRPr="0082646E">
              <w:t>: A person has a disability if they disclose a disability that limits their ability to work.</w:t>
            </w:r>
          </w:p>
          <w:p w:rsidRPr="005A1D76" w:rsidR="000304B2" w:rsidP="000304B2" w:rsidRDefault="000304B2" w14:paraId="1606CB70" w14:textId="77777777">
            <w:pPr>
              <w:ind w:left="360" w:hanging="360"/>
              <w:rPr>
                <w:b/>
              </w:rPr>
            </w:pPr>
          </w:p>
          <w:p w:rsidRPr="005A1D76" w:rsidR="000304B2" w:rsidP="000304B2" w:rsidRDefault="000304B2" w14:paraId="1606CB71" w14:textId="77777777">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rsidR="00AA0B4C" w:rsidP="00AA0B4C" w:rsidRDefault="00AA0B4C" w14:paraId="1606CB72" w14:textId="77777777">
            <w:pPr>
              <w:autoSpaceDE w:val="0"/>
              <w:autoSpaceDN w:val="0"/>
              <w:adjustRightInd w:val="0"/>
              <w:ind w:left="360" w:hanging="360"/>
            </w:pPr>
          </w:p>
          <w:p w:rsidRPr="00F67261" w:rsidR="00035FB6" w:rsidP="00035FB6" w:rsidRDefault="00AA0B4C" w14:paraId="1606CB73" w14:textId="77777777">
            <w:pPr>
              <w:autoSpaceDE w:val="0"/>
              <w:autoSpaceDN w:val="0"/>
              <w:adjustRightInd w:val="0"/>
              <w:ind w:left="360" w:hanging="360"/>
            </w:pPr>
            <w:r w:rsidRPr="003E0C7F">
              <w:rPr>
                <w:b/>
              </w:rPr>
              <w:t>Employed</w:t>
            </w:r>
            <w:r w:rsidRPr="003E0C7F">
              <w:t xml:space="preserve">: </w:t>
            </w:r>
            <w:r w:rsidRPr="00F67261" w:rsidR="00035FB6">
              <w:t>People are employed if they perform work for pay, profit or family gain. People are self-employed if they work in his/her own business for the purpose of earning a profit, even if they are not making a profit or are just setting up.</w:t>
            </w:r>
          </w:p>
          <w:p w:rsidR="008E2A7B" w:rsidP="000304B2" w:rsidRDefault="008E2A7B" w14:paraId="1606CB74" w14:textId="77777777">
            <w:pPr>
              <w:autoSpaceDE w:val="0"/>
              <w:autoSpaceDN w:val="0"/>
              <w:adjustRightInd w:val="0"/>
              <w:ind w:left="360" w:hanging="360"/>
              <w:rPr>
                <w:b/>
              </w:rPr>
            </w:pPr>
          </w:p>
          <w:p w:rsidRPr="003E0C7F" w:rsidR="008E2A7B" w:rsidP="000304B2" w:rsidRDefault="008E2A7B" w14:paraId="1606CB75" w14:textId="77777777">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rsidR="003A723F" w:rsidP="005A1D76" w:rsidRDefault="003A723F" w14:paraId="1606CB76" w14:textId="77777777">
            <w:pPr>
              <w:autoSpaceDE w:val="0"/>
              <w:autoSpaceDN w:val="0"/>
              <w:adjustRightInd w:val="0"/>
            </w:pPr>
          </w:p>
          <w:p w:rsidR="005C5B32" w:rsidP="005A1D76" w:rsidRDefault="005C5B32" w14:paraId="1606CB77" w14:textId="77777777">
            <w:pPr>
              <w:autoSpaceDE w:val="0"/>
              <w:autoSpaceDN w:val="0"/>
              <w:adjustRightInd w:val="0"/>
            </w:pPr>
            <w:r w:rsidRPr="003E0C7F">
              <w:rPr>
                <w:b/>
              </w:rPr>
              <w:lastRenderedPageBreak/>
              <w:t>Inactive:</w:t>
            </w:r>
            <w:r>
              <w:t xml:space="preserve"> </w:t>
            </w:r>
            <w:r w:rsidRPr="003E0C7F" w:rsidR="008E2A7B">
              <w:t>Inactive are persons currently not part of the labour force (in the sense that they are not employed or unemployed according to the definitions provided).</w:t>
            </w:r>
          </w:p>
          <w:p w:rsidR="005C5B32" w:rsidP="005A1D76" w:rsidRDefault="005C5B32" w14:paraId="1606CB78" w14:textId="77777777">
            <w:pPr>
              <w:autoSpaceDE w:val="0"/>
              <w:autoSpaceDN w:val="0"/>
              <w:adjustRightInd w:val="0"/>
            </w:pPr>
          </w:p>
          <w:p w:rsidRPr="00F67261" w:rsidR="005C5B32" w:rsidP="005C5B32" w:rsidRDefault="005C5B32" w14:paraId="1606CB79" w14:textId="77777777">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rsidRPr="005A1D76" w:rsidR="005C5B32" w:rsidP="005A1D76" w:rsidRDefault="005C5B32" w14:paraId="1606CB7A" w14:textId="77777777">
            <w:pPr>
              <w:autoSpaceDE w:val="0"/>
              <w:autoSpaceDN w:val="0"/>
              <w:adjustRightInd w:val="0"/>
            </w:pPr>
          </w:p>
          <w:p w:rsidRPr="005A1D76" w:rsidR="000304B2" w:rsidP="000304B2" w:rsidRDefault="000304B2" w14:paraId="1606CB7B" w14:textId="77777777">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rsidRPr="005A1D76" w:rsidR="000304B2" w:rsidP="000304B2" w:rsidRDefault="000304B2" w14:paraId="1606CB7C" w14:textId="77777777">
            <w:pPr>
              <w:autoSpaceDE w:val="0"/>
              <w:autoSpaceDN w:val="0"/>
              <w:adjustRightInd w:val="0"/>
              <w:ind w:left="360" w:hanging="360"/>
            </w:pPr>
          </w:p>
          <w:p w:rsidRPr="005A1D76" w:rsidR="000304B2" w:rsidP="00C107CE" w:rsidRDefault="00C107CE" w14:paraId="1606CB7D" w14:textId="77777777">
            <w:pPr>
              <w:autoSpaceDE w:val="0"/>
              <w:autoSpaceDN w:val="0"/>
              <w:adjustRightInd w:val="0"/>
              <w:ind w:left="360" w:hanging="360"/>
            </w:pPr>
            <w:r w:rsidRPr="005A1D76">
              <w:t xml:space="preserve">     </w:t>
            </w:r>
            <w:r w:rsidRPr="005A1D76" w:rsidR="000304B2">
              <w:t>Regulated and non-regulated aims must be planned to be delivered within budget.</w:t>
            </w:r>
          </w:p>
          <w:p w:rsidRPr="005A1D76" w:rsidR="000304B2" w:rsidP="00C107CE" w:rsidRDefault="000304B2" w14:paraId="1606CB7E" w14:textId="77777777">
            <w:pPr>
              <w:autoSpaceDE w:val="0"/>
              <w:autoSpaceDN w:val="0"/>
              <w:adjustRightInd w:val="0"/>
              <w:ind w:left="360" w:hanging="360"/>
            </w:pPr>
          </w:p>
          <w:p w:rsidRPr="005A1D76" w:rsidR="000304B2" w:rsidP="00C107CE" w:rsidRDefault="00C107CE" w14:paraId="1606CB7F" w14:textId="77777777">
            <w:pPr>
              <w:autoSpaceDE w:val="0"/>
              <w:autoSpaceDN w:val="0"/>
              <w:adjustRightInd w:val="0"/>
              <w:ind w:left="360" w:hanging="360"/>
            </w:pPr>
            <w:r w:rsidRPr="005A1D76">
              <w:t xml:space="preserve">     </w:t>
            </w:r>
            <w:r w:rsidRPr="005A1D76" w:rsidR="000304B2">
              <w:t>Qualification rates are based on the published LARS rates at the start of the contract</w:t>
            </w:r>
            <w:r w:rsidR="005C5B32">
              <w:t xml:space="preserve"> or when the qualification starts if this later</w:t>
            </w:r>
            <w:r w:rsidRPr="005A1D76" w:rsidR="000304B2">
              <w:t>.</w:t>
            </w:r>
            <w:r w:rsidR="005C5B32">
              <w:t xml:space="preserve">  </w:t>
            </w:r>
          </w:p>
          <w:p w:rsidRPr="005A1D76" w:rsidR="000304B2" w:rsidP="000304B2" w:rsidRDefault="000304B2" w14:paraId="1606CB80" w14:textId="77777777">
            <w:pPr>
              <w:autoSpaceDE w:val="0"/>
              <w:autoSpaceDN w:val="0"/>
              <w:adjustRightInd w:val="0"/>
              <w:ind w:left="360" w:hanging="360"/>
            </w:pPr>
          </w:p>
          <w:p w:rsidRPr="005A1D76" w:rsidR="000304B2" w:rsidP="000304B2" w:rsidRDefault="000304B2" w14:paraId="1606CB81" w14:textId="77777777">
            <w:pPr>
              <w:autoSpaceDE w:val="0"/>
              <w:autoSpaceDN w:val="0"/>
              <w:adjustRightInd w:val="0"/>
              <w:ind w:left="360" w:hanging="360"/>
            </w:pPr>
            <w:r w:rsidRPr="005A1D76">
              <w:rPr>
                <w:b/>
              </w:rPr>
              <w:t xml:space="preserve">Services:  </w:t>
            </w:r>
            <w:r w:rsidRPr="005A1D76">
              <w:t>The provision of education, training or support delivered to individuals.</w:t>
            </w:r>
          </w:p>
          <w:p w:rsidRPr="005A1D76" w:rsidR="000304B2" w:rsidP="000304B2" w:rsidRDefault="000304B2" w14:paraId="1606CB82" w14:textId="77777777">
            <w:pPr>
              <w:autoSpaceDE w:val="0"/>
              <w:autoSpaceDN w:val="0"/>
              <w:adjustRightInd w:val="0"/>
              <w:ind w:left="360" w:hanging="360"/>
            </w:pPr>
          </w:p>
          <w:p w:rsidRPr="006002A9" w:rsidR="000304B2" w:rsidP="000304B2" w:rsidRDefault="005C5B32" w14:paraId="1606CB83" w14:textId="77777777">
            <w:pPr>
              <w:autoSpaceDE w:val="0"/>
              <w:autoSpaceDN w:val="0"/>
              <w:adjustRightInd w:val="0"/>
              <w:ind w:left="360" w:hanging="360"/>
            </w:pPr>
            <w:r w:rsidRPr="006002A9">
              <w:rPr>
                <w:b/>
              </w:rPr>
              <w:t>Status</w:t>
            </w:r>
            <w:r w:rsidRPr="006002A9" w:rsidR="000304B2">
              <w:rPr>
                <w:b/>
              </w:rPr>
              <w:t>:</w:t>
            </w:r>
            <w:r w:rsidRPr="006002A9" w:rsidR="000304B2">
              <w:t xml:space="preserve"> Employment status and age are determined on the date of starting on the</w:t>
            </w:r>
            <w:r w:rsidRPr="006002A9" w:rsidR="00E82E42">
              <w:t xml:space="preserve"> Services</w:t>
            </w:r>
            <w:r w:rsidRPr="006002A9" w:rsidR="000304B2">
              <w:t>.</w:t>
            </w:r>
            <w:r w:rsidRPr="006002A9" w:rsidR="000304B2">
              <w:rPr>
                <w:b/>
              </w:rPr>
              <w:t xml:space="preserve"> </w:t>
            </w:r>
          </w:p>
          <w:p w:rsidRPr="006002A9" w:rsidR="000304B2" w:rsidP="000304B2" w:rsidRDefault="000304B2" w14:paraId="1606CB84" w14:textId="77777777">
            <w:pPr>
              <w:autoSpaceDE w:val="0"/>
              <w:autoSpaceDN w:val="0"/>
              <w:adjustRightInd w:val="0"/>
              <w:ind w:left="360" w:hanging="360"/>
            </w:pPr>
          </w:p>
          <w:p w:rsidRPr="006002A9" w:rsidR="000304B2" w:rsidP="000304B2" w:rsidRDefault="000304B2" w14:paraId="1606CB85" w14:textId="77777777">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rsidRPr="006002A9" w:rsidR="005A1D76" w:rsidP="000304B2" w:rsidRDefault="005A1D76" w14:paraId="1606CB86" w14:textId="77777777">
            <w:pPr>
              <w:autoSpaceDE w:val="0"/>
              <w:autoSpaceDN w:val="0"/>
              <w:adjustRightInd w:val="0"/>
              <w:ind w:left="360" w:hanging="360"/>
            </w:pPr>
          </w:p>
          <w:p w:rsidRPr="003E0C7F" w:rsidR="000304B2" w:rsidP="003E0C7F" w:rsidRDefault="005A1D76" w14:paraId="1606CB87" w14:textId="77777777">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rsidRPr="00590073" w:rsidR="00D72023" w:rsidP="005A1D76" w:rsidRDefault="00D72023" w14:paraId="1606CB93" w14:textId="77777777">
            <w:pPr>
              <w:autoSpaceDE w:val="0"/>
              <w:autoSpaceDN w:val="0"/>
              <w:adjustRightInd w:val="0"/>
              <w:ind w:left="360" w:hanging="360"/>
            </w:pPr>
          </w:p>
        </w:tc>
      </w:tr>
      <w:tr w:rsidRPr="00544738" w:rsidR="00967429" w:rsidTr="2E3DAC76" w14:paraId="1606CB96" w14:textId="77777777">
        <w:trPr>
          <w:trHeight w:val="567"/>
        </w:trPr>
        <w:tc>
          <w:tcPr>
            <w:tcW w:w="9088" w:type="dxa"/>
            <w:shd w:val="clear" w:color="auto" w:fill="D9D9D9" w:themeFill="background1" w:themeFillShade="D9"/>
            <w:tcMar/>
            <w:vAlign w:val="center"/>
          </w:tcPr>
          <w:p w:rsidRPr="00C107CE" w:rsidR="00967429" w:rsidP="00C107CE" w:rsidRDefault="002E25F4" w14:paraId="1606CB95" w14:textId="77777777">
            <w:pPr>
              <w:autoSpaceDE w:val="0"/>
              <w:autoSpaceDN w:val="0"/>
              <w:adjustRightInd w:val="0"/>
              <w:rPr>
                <w:rFonts w:cs="Arial"/>
                <w:b/>
                <w:lang w:eastAsia="en-GB"/>
              </w:rPr>
            </w:pPr>
            <w:r w:rsidRPr="002833D9">
              <w:rPr>
                <w:rFonts w:cs="Arial"/>
                <w:b/>
                <w:lang w:eastAsia="en-GB"/>
              </w:rPr>
              <w:lastRenderedPageBreak/>
              <w:t>SERVICE REQUIREMENTS</w:t>
            </w:r>
          </w:p>
        </w:tc>
      </w:tr>
      <w:tr w:rsidRPr="00544738" w:rsidR="00967429" w:rsidTr="2E3DAC76" w14:paraId="1606CBE5" w14:textId="77777777">
        <w:trPr>
          <w:trHeight w:val="983"/>
        </w:trPr>
        <w:tc>
          <w:tcPr>
            <w:tcW w:w="9088" w:type="dxa"/>
            <w:tcMar/>
          </w:tcPr>
          <w:p w:rsidR="000D51DE" w:rsidP="00A524B5" w:rsidRDefault="000D51DE" w14:paraId="1606CB97" w14:textId="77777777">
            <w:pPr>
              <w:rPr>
                <w:rFonts w:cs="Arial"/>
                <w:b/>
              </w:rPr>
            </w:pPr>
          </w:p>
          <w:p w:rsidR="002E25F4" w:rsidP="00A524B5" w:rsidRDefault="002E25F4" w14:paraId="1606CB98" w14:textId="77777777">
            <w:pPr>
              <w:rPr>
                <w:rFonts w:cs="Arial"/>
                <w:b/>
              </w:rPr>
            </w:pPr>
            <w:r w:rsidRPr="002833D9">
              <w:rPr>
                <w:rFonts w:cs="Arial"/>
                <w:b/>
              </w:rPr>
              <w:t xml:space="preserve">General </w:t>
            </w:r>
            <w:r w:rsidR="00EA180F">
              <w:rPr>
                <w:rFonts w:cs="Arial"/>
                <w:b/>
              </w:rPr>
              <w:t>Service Requirements</w:t>
            </w:r>
          </w:p>
          <w:p w:rsidRPr="001A4B05" w:rsidR="00EA180F" w:rsidP="00A524B5" w:rsidRDefault="00EA180F" w14:paraId="1606CB99" w14:textId="77777777">
            <w:pPr>
              <w:rPr>
                <w:rFonts w:cs="Arial"/>
                <w:b/>
              </w:rPr>
            </w:pPr>
          </w:p>
          <w:p w:rsidRPr="00D535E6" w:rsidR="002E25F4" w:rsidP="00A524B5" w:rsidRDefault="002E25F4" w14:paraId="1606CB9A" w14:textId="77777777">
            <w:pPr>
              <w:rPr>
                <w:rFonts w:cs="Arial"/>
              </w:rPr>
            </w:pPr>
            <w:r w:rsidRPr="00D535E6">
              <w:rPr>
                <w:rFonts w:cs="Arial"/>
              </w:rPr>
              <w:t>All activities must complement and avoid duplication with other provision, thereby adding value to D</w:t>
            </w:r>
            <w:r w:rsidRPr="00D535E6" w:rsidR="00F3689D">
              <w:rPr>
                <w:rFonts w:cs="Arial"/>
              </w:rPr>
              <w:t xml:space="preserve">epartment for </w:t>
            </w:r>
            <w:r w:rsidRPr="00D535E6">
              <w:rPr>
                <w:rFonts w:cs="Arial"/>
              </w:rPr>
              <w:t>W</w:t>
            </w:r>
            <w:r w:rsidRPr="00D535E6" w:rsidR="00F3689D">
              <w:rPr>
                <w:rFonts w:cs="Arial"/>
              </w:rPr>
              <w:t xml:space="preserve">ork and </w:t>
            </w:r>
            <w:r w:rsidRPr="00D535E6">
              <w:rPr>
                <w:rFonts w:cs="Arial"/>
              </w:rPr>
              <w:t>P</w:t>
            </w:r>
            <w:r w:rsidRPr="00D535E6" w:rsidR="00F3689D">
              <w:rPr>
                <w:rFonts w:cs="Arial"/>
              </w:rPr>
              <w:t>ensions</w:t>
            </w:r>
            <w:r w:rsidRPr="00D535E6">
              <w:rPr>
                <w:rFonts w:cs="Arial"/>
              </w:rPr>
              <w:t>/Big Lottery</w:t>
            </w:r>
            <w:r w:rsidRPr="00D535E6" w:rsidR="00581451">
              <w:rPr>
                <w:rFonts w:cs="Arial"/>
              </w:rPr>
              <w:t>, E</w:t>
            </w:r>
            <w:r w:rsidRPr="00D535E6" w:rsidR="00F3689D">
              <w:rPr>
                <w:rFonts w:cs="Arial"/>
              </w:rPr>
              <w:t xml:space="preserve">ducation </w:t>
            </w:r>
            <w:r w:rsidRPr="00D535E6" w:rsidR="00581451">
              <w:rPr>
                <w:rFonts w:cs="Arial"/>
              </w:rPr>
              <w:t>F</w:t>
            </w:r>
            <w:r w:rsidRPr="00D535E6" w:rsidR="00F3689D">
              <w:rPr>
                <w:rFonts w:cs="Arial"/>
              </w:rPr>
              <w:t xml:space="preserve">unding </w:t>
            </w:r>
            <w:r w:rsidRPr="00D535E6" w:rsidR="00581451">
              <w:rPr>
                <w:rFonts w:cs="Arial"/>
              </w:rPr>
              <w:t>A</w:t>
            </w:r>
            <w:r w:rsidRPr="00D535E6" w:rsidR="00F3689D">
              <w:rPr>
                <w:rFonts w:cs="Arial"/>
              </w:rPr>
              <w:t>gency</w:t>
            </w:r>
            <w:r w:rsidRPr="00D535E6" w:rsidR="00581451">
              <w:rPr>
                <w:rFonts w:cs="Arial"/>
              </w:rPr>
              <w:t>,</w:t>
            </w:r>
            <w:r w:rsidRPr="00D535E6">
              <w:rPr>
                <w:rFonts w:cs="Arial"/>
              </w:rPr>
              <w:t xml:space="preserve"> Skills Funding Agency</w:t>
            </w:r>
            <w:r w:rsidRPr="00D535E6" w:rsidR="00C107CE">
              <w:rPr>
                <w:rFonts w:cs="Arial"/>
              </w:rPr>
              <w:t>, local</w:t>
            </w:r>
            <w:r w:rsidRPr="00D535E6" w:rsidR="00581451">
              <w:rPr>
                <w:rFonts w:cs="Arial"/>
              </w:rPr>
              <w:t xml:space="preserve"> authority</w:t>
            </w:r>
            <w:r w:rsidRPr="00D535E6" w:rsidR="00C0243B">
              <w:rPr>
                <w:rFonts w:cs="Arial"/>
              </w:rPr>
              <w:t>,</w:t>
            </w:r>
            <w:r w:rsidRPr="00D535E6" w:rsidR="00581451">
              <w:rPr>
                <w:rFonts w:cs="Arial"/>
              </w:rPr>
              <w:t xml:space="preserve"> </w:t>
            </w:r>
            <w:r w:rsidRPr="00D535E6" w:rsidR="00C0243B">
              <w:rPr>
                <w:rFonts w:cs="Arial"/>
              </w:rPr>
              <w:t>N</w:t>
            </w:r>
            <w:r w:rsidRPr="00D535E6" w:rsidR="00F3689D">
              <w:rPr>
                <w:rFonts w:cs="Arial"/>
              </w:rPr>
              <w:t xml:space="preserve">ational </w:t>
            </w:r>
            <w:r w:rsidRPr="00D535E6" w:rsidR="00C0243B">
              <w:rPr>
                <w:rFonts w:cs="Arial"/>
              </w:rPr>
              <w:t>C</w:t>
            </w:r>
            <w:r w:rsidRPr="00D535E6" w:rsidR="00F3689D">
              <w:rPr>
                <w:rFonts w:cs="Arial"/>
              </w:rPr>
              <w:t xml:space="preserve">areers </w:t>
            </w:r>
            <w:r w:rsidRPr="00D535E6" w:rsidR="00C0243B">
              <w:rPr>
                <w:rFonts w:cs="Arial"/>
              </w:rPr>
              <w:t>S</w:t>
            </w:r>
            <w:r w:rsidRPr="00D535E6" w:rsidR="00F3689D">
              <w:rPr>
                <w:rFonts w:cs="Arial"/>
              </w:rPr>
              <w:t>ervice</w:t>
            </w:r>
            <w:r w:rsidRPr="00D535E6" w:rsidR="00C0243B">
              <w:rPr>
                <w:rFonts w:cs="Arial"/>
              </w:rPr>
              <w:t xml:space="preserve"> and the new Careers Enterprise Company </w:t>
            </w:r>
            <w:r w:rsidRPr="00D535E6">
              <w:rPr>
                <w:rFonts w:cs="Arial"/>
              </w:rPr>
              <w:t xml:space="preserve">funded provision. </w:t>
            </w:r>
            <w:r w:rsidRPr="00D535E6" w:rsidR="0006724D">
              <w:rPr>
                <w:rFonts w:cs="Arial"/>
              </w:rPr>
              <w:t xml:space="preserve"> </w:t>
            </w:r>
            <w:r w:rsidRPr="00D535E6">
              <w:rPr>
                <w:rFonts w:cs="Arial"/>
              </w:rPr>
              <w:t xml:space="preserve">Successful </w:t>
            </w:r>
            <w:r w:rsidRPr="00D535E6" w:rsidR="00C6219F">
              <w:rPr>
                <w:rFonts w:cs="Arial"/>
              </w:rPr>
              <w:t>candidate</w:t>
            </w:r>
            <w:r w:rsidRPr="00D535E6">
              <w:rPr>
                <w:rFonts w:cs="Arial"/>
              </w:rPr>
              <w:t>s will be required to ensure that ESF provision will clearly add value and not duplicate any provision that can be arranged locally through existing mainstream institutions.</w:t>
            </w:r>
          </w:p>
          <w:p w:rsidRPr="00D535E6" w:rsidR="00ED156A" w:rsidP="00A524B5" w:rsidRDefault="00ED156A" w14:paraId="1606CB9B" w14:textId="77777777">
            <w:pPr>
              <w:rPr>
                <w:rFonts w:cs="Arial"/>
              </w:rPr>
            </w:pPr>
          </w:p>
          <w:p w:rsidRPr="00D535E6" w:rsidR="0031325C" w:rsidP="00A524B5" w:rsidRDefault="00ED156A" w14:paraId="1606CB9C" w14:textId="77777777">
            <w:pPr>
              <w:rPr>
                <w:rFonts w:cs="Arial"/>
                <w:b/>
                <w:i/>
              </w:rPr>
            </w:pPr>
            <w:r w:rsidRPr="00D535E6">
              <w:rPr>
                <w:rFonts w:cs="Arial"/>
                <w:b/>
                <w:i/>
              </w:rPr>
              <w:t>Capacity and readiness to deliver</w:t>
            </w:r>
          </w:p>
          <w:p w:rsidRPr="00D535E6" w:rsidR="00ED156A" w:rsidP="00ED156A" w:rsidRDefault="00ED156A" w14:paraId="1606CB9D" w14:textId="77777777">
            <w:pPr>
              <w:autoSpaceDE w:val="0"/>
              <w:autoSpaceDN w:val="0"/>
              <w:adjustRightInd w:val="0"/>
              <w:rPr>
                <w:rFonts w:cs="Arial"/>
              </w:rPr>
            </w:pPr>
            <w:r w:rsidRPr="00D535E6">
              <w:rPr>
                <w:rFonts w:cs="Arial"/>
              </w:rPr>
              <w:t>Candidates must have:</w:t>
            </w:r>
          </w:p>
          <w:p w:rsidRPr="00D535E6" w:rsidR="00ED156A" w:rsidP="00A503FD" w:rsidRDefault="00ED156A" w14:paraId="1606CB9E" w14:textId="77777777">
            <w:pPr>
              <w:pStyle w:val="ListParagraph"/>
              <w:numPr>
                <w:ilvl w:val="0"/>
                <w:numId w:val="8"/>
              </w:numPr>
              <w:autoSpaceDE w:val="0"/>
              <w:autoSpaceDN w:val="0"/>
              <w:adjustRightInd w:val="0"/>
              <w:ind w:left="313"/>
              <w:rPr>
                <w:rFonts w:cs="Arial"/>
                <w:strike/>
                <w:szCs w:val="22"/>
              </w:rPr>
            </w:pPr>
            <w:r w:rsidRPr="00D535E6">
              <w:rPr>
                <w:rFonts w:cs="Arial"/>
                <w:szCs w:val="22"/>
              </w:rPr>
              <w:lastRenderedPageBreak/>
              <w:t>The resources to offer</w:t>
            </w:r>
            <w:r w:rsidRPr="00D535E6" w:rsidR="003B0CB7">
              <w:rPr>
                <w:rFonts w:cs="Arial"/>
                <w:szCs w:val="22"/>
              </w:rPr>
              <w:t xml:space="preserve"> locally tailored solutions </w:t>
            </w:r>
            <w:r w:rsidRPr="00D535E6">
              <w:rPr>
                <w:rFonts w:cs="Arial"/>
                <w:szCs w:val="22"/>
              </w:rPr>
              <w:t>and flexible delivery</w:t>
            </w:r>
            <w:r w:rsidR="005A1D76">
              <w:rPr>
                <w:rFonts w:cs="Arial"/>
                <w:szCs w:val="22"/>
              </w:rPr>
              <w:t xml:space="preserve"> </w:t>
            </w:r>
            <w:r w:rsidRPr="005A1D76" w:rsidR="003B0CB7">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Pr="002F4192" w:rsidR="002F4192">
              <w:rPr>
                <w:rFonts w:cs="Arial"/>
                <w:i/>
                <w:szCs w:val="22"/>
              </w:rPr>
              <w:t>in each locality</w:t>
            </w:r>
          </w:p>
          <w:p w:rsidRPr="00D535E6" w:rsidR="00ED156A" w:rsidP="00A503FD" w:rsidRDefault="00ED156A" w14:paraId="1606CB9F" w14:textId="77777777">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rsidRPr="005A1D76" w:rsidR="002F71DB" w:rsidP="00A503FD" w:rsidRDefault="002F71DB" w14:paraId="1606CBA0" w14:textId="77777777">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rsidRPr="002F4192" w:rsidR="00ED156A" w:rsidP="00515602" w:rsidRDefault="00ED156A" w14:paraId="1606CBA1" w14:textId="77777777">
            <w:pPr>
              <w:rPr>
                <w:rFonts w:cs="Arial"/>
                <w:lang w:eastAsia="en-GB"/>
              </w:rPr>
            </w:pPr>
          </w:p>
          <w:p w:rsidRPr="005A1D76" w:rsidR="00ED156A" w:rsidP="00515602" w:rsidRDefault="00ED156A" w14:paraId="1606CBA2" w14:textId="77777777">
            <w:pPr>
              <w:rPr>
                <w:rFonts w:cs="Arial"/>
                <w:b/>
                <w:i/>
                <w:lang w:eastAsia="en-GB"/>
              </w:rPr>
            </w:pPr>
            <w:r w:rsidRPr="005A1D76">
              <w:rPr>
                <w:rFonts w:cs="Arial"/>
                <w:b/>
                <w:i/>
                <w:lang w:eastAsia="en-GB"/>
              </w:rPr>
              <w:t>Track record</w:t>
            </w:r>
          </w:p>
          <w:p w:rsidR="00ED156A" w:rsidP="00515602" w:rsidRDefault="00812EC6" w14:paraId="1606CBA3" w14:textId="77777777">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rsidRPr="005A1D76" w:rsidR="00E43DDB" w:rsidP="00515602" w:rsidRDefault="00E43DDB" w14:paraId="1606CBA4" w14:textId="77777777">
            <w:pPr>
              <w:rPr>
                <w:rFonts w:cs="Arial"/>
                <w:szCs w:val="22"/>
              </w:rPr>
            </w:pPr>
          </w:p>
          <w:p w:rsidRPr="00E43DDB" w:rsidR="00E43DDB" w:rsidP="00E43DDB" w:rsidRDefault="00E43DDB" w14:paraId="1606CBA5" w14:textId="77777777">
            <w:pPr>
              <w:rPr>
                <w:rFonts w:cs="Arial"/>
                <w:b/>
                <w:i/>
                <w:lang w:eastAsia="en-GB"/>
              </w:rPr>
            </w:pPr>
            <w:r w:rsidRPr="00E43DDB">
              <w:rPr>
                <w:rFonts w:cs="Arial"/>
                <w:b/>
                <w:i/>
                <w:lang w:eastAsia="en-GB"/>
              </w:rPr>
              <w:t>Information, Advice and Guidance</w:t>
            </w:r>
          </w:p>
          <w:p w:rsidRPr="00E43DDB" w:rsidR="00E43DDB" w:rsidP="00E43DDB" w:rsidRDefault="00E43DDB" w14:paraId="1606CBA6" w14:textId="77777777">
            <w:pPr>
              <w:rPr>
                <w:rFonts w:cs="Arial"/>
                <w:lang w:eastAsia="en-GB"/>
              </w:rPr>
            </w:pPr>
            <w:r w:rsidRPr="00E43DDB">
              <w:rPr>
                <w:rFonts w:cs="Arial"/>
                <w:lang w:eastAsia="en-GB"/>
              </w:rPr>
              <w:t>Where the activity requires effective Information, Advice and Guidance successful</w:t>
            </w:r>
          </w:p>
          <w:p w:rsidRPr="00E43DDB" w:rsidR="00E43DDB" w:rsidP="00E43DDB" w:rsidRDefault="00E43DDB" w14:paraId="1606CBA7" w14:textId="77777777">
            <w:pPr>
              <w:rPr>
                <w:rFonts w:cs="Arial"/>
                <w:lang w:eastAsia="en-GB"/>
              </w:rPr>
            </w:pPr>
            <w:r w:rsidRPr="00E43DDB">
              <w:rPr>
                <w:rFonts w:cs="Arial"/>
                <w:lang w:eastAsia="en-GB"/>
              </w:rPr>
              <w:t>applicants and/or subcontractors delivering this element will either hold or be</w:t>
            </w:r>
          </w:p>
          <w:p w:rsidRPr="00E43DDB" w:rsidR="00E43DDB" w:rsidP="00E43DDB" w:rsidRDefault="00E43DDB" w14:paraId="1606CBA8" w14:textId="77777777">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rsidRPr="00E43DDB" w:rsidR="00E43DDB" w:rsidP="00E43DDB" w:rsidRDefault="00E43DDB" w14:paraId="1606CBA9" w14:textId="77777777">
            <w:pPr>
              <w:rPr>
                <w:rFonts w:cs="Arial"/>
                <w:lang w:eastAsia="en-GB"/>
              </w:rPr>
            </w:pPr>
          </w:p>
          <w:p w:rsidRPr="005A1D76" w:rsidR="00ED156A" w:rsidP="00A524B5" w:rsidRDefault="002E25F4" w14:paraId="1606CBAA" w14:textId="77777777">
            <w:pPr>
              <w:rPr>
                <w:rFonts w:cs="Arial"/>
              </w:rPr>
            </w:pPr>
            <w:r w:rsidRPr="005A1D76">
              <w:rPr>
                <w:rFonts w:cs="Arial"/>
                <w:b/>
                <w:i/>
              </w:rPr>
              <w:t>Management and quality assurance</w:t>
            </w:r>
          </w:p>
          <w:p w:rsidRPr="005A1D76" w:rsidR="002E25F4" w:rsidP="00A524B5" w:rsidRDefault="002E25F4" w14:paraId="1606CBAB" w14:textId="77777777">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Pr="005A1D76" w:rsidR="00F45857">
              <w:rPr>
                <w:rFonts w:cs="Arial"/>
              </w:rPr>
              <w:t xml:space="preserve"> </w:t>
            </w:r>
            <w:r w:rsidRPr="005A1D76">
              <w:rPr>
                <w:rFonts w:cs="Arial"/>
              </w:rPr>
              <w:t>The Services must be delivered to a high quality and successful tenderers will need to have in place quality assurance and improvement processes.</w:t>
            </w:r>
          </w:p>
          <w:p w:rsidRPr="005A1D76" w:rsidR="00B06A9F" w:rsidP="00A524B5" w:rsidRDefault="00B06A9F" w14:paraId="1606CBAC" w14:textId="77777777">
            <w:pPr>
              <w:rPr>
                <w:rFonts w:cs="Arial"/>
              </w:rPr>
            </w:pPr>
          </w:p>
          <w:p w:rsidR="0036018B" w:rsidP="00515602" w:rsidRDefault="00B06A9F" w14:paraId="1606CBAD" w14:textId="77777777">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rsidR="0036018B" w:rsidP="00515602" w:rsidRDefault="0036018B" w14:paraId="1606CBAE" w14:textId="77777777">
            <w:pPr>
              <w:rPr>
                <w:rFonts w:cs="Arial"/>
              </w:rPr>
            </w:pPr>
          </w:p>
          <w:p w:rsidRPr="005A1D76" w:rsidR="002E25F4" w:rsidP="00A524B5" w:rsidRDefault="00B06A9F" w14:paraId="1606CBB1" w14:textId="5AA0C83D">
            <w:pPr>
              <w:rPr>
                <w:rFonts w:cs="Arial"/>
              </w:rPr>
            </w:pPr>
            <w:r w:rsidRPr="005A1D76">
              <w:rPr>
                <w:rFonts w:cs="Arial"/>
              </w:rPr>
              <w:t xml:space="preserve"> </w:t>
            </w:r>
            <w:r w:rsidRPr="005A1D76" w:rsidR="002E25F4">
              <w:rPr>
                <w:rFonts w:cs="Arial"/>
                <w:b/>
                <w:i/>
              </w:rPr>
              <w:t>Partnership working</w:t>
            </w:r>
          </w:p>
          <w:p w:rsidRPr="005A1D76" w:rsidR="002E25F4" w:rsidP="00A524B5" w:rsidRDefault="002E25F4" w14:paraId="1606CBB2" w14:textId="77777777">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rsidRPr="005A1D76" w:rsidR="002E25F4" w:rsidP="00A524B5" w:rsidRDefault="002E25F4" w14:paraId="1606CBB3" w14:textId="77777777">
            <w:pPr>
              <w:rPr>
                <w:rFonts w:cs="Arial"/>
              </w:rPr>
            </w:pPr>
          </w:p>
          <w:p w:rsidRPr="005A1D76" w:rsidR="002E25F4" w:rsidP="00A524B5" w:rsidRDefault="002E25F4" w14:paraId="1606CBB4" w14:textId="77777777">
            <w:pPr>
              <w:rPr>
                <w:rFonts w:cs="Arial"/>
              </w:rPr>
            </w:pPr>
            <w:r w:rsidRPr="005A1D76">
              <w:rPr>
                <w:rFonts w:cs="Arial"/>
              </w:rPr>
              <w:t xml:space="preserve">The Service must be able to respond to changing local needs and opportunities, as well as policy changes. </w:t>
            </w:r>
          </w:p>
          <w:p w:rsidRPr="006C64F5" w:rsidR="00ED156A" w:rsidP="00A524B5" w:rsidRDefault="00ED156A" w14:paraId="1606CBB5" w14:textId="77777777">
            <w:pPr>
              <w:rPr>
                <w:rFonts w:cs="Arial"/>
                <w:highlight w:val="yellow"/>
              </w:rPr>
            </w:pPr>
          </w:p>
          <w:p w:rsidR="00603F09" w:rsidP="00C107CE" w:rsidRDefault="00ED156A" w14:paraId="1606CBB6" w14:textId="77777777">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rsidR="000E66D3" w:rsidP="00A524B5" w:rsidRDefault="00FA5F66" w14:paraId="1606CBB7" w14:textId="77777777">
            <w:pPr>
              <w:rPr>
                <w:rFonts w:cs="Arial"/>
              </w:rPr>
            </w:pPr>
            <w:r>
              <w:rPr>
                <w:rFonts w:cs="Arial"/>
              </w:rPr>
              <w:t xml:space="preserve">Where the Service works with Jobcentre Plus clients the Candidates will be required to co-operate </w:t>
            </w:r>
            <w:r w:rsidRPr="00372220" w:rsidR="004B698A">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w:t>
            </w:r>
            <w:r w:rsidR="00136327">
              <w:rPr>
                <w:rFonts w:cs="Arial"/>
              </w:rPr>
              <w:lastRenderedPageBreak/>
              <w:t xml:space="preserve">establish links with </w:t>
            </w:r>
            <w:r w:rsidRPr="00372220" w:rsidR="000E66D3">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rsidR="000E66D3" w:rsidP="00A524B5" w:rsidRDefault="000E66D3" w14:paraId="1606CBB8" w14:textId="77777777">
            <w:pPr>
              <w:rPr>
                <w:rFonts w:cs="Arial"/>
              </w:rPr>
            </w:pPr>
          </w:p>
          <w:p w:rsidRPr="00BC7F87" w:rsidR="002E25F4" w:rsidP="00A524B5" w:rsidRDefault="002E25F4" w14:paraId="1606CBB9" w14:textId="77777777">
            <w:pPr>
              <w:rPr>
                <w:rFonts w:cs="Arial"/>
              </w:rPr>
            </w:pPr>
            <w:r w:rsidRPr="00BC7F87">
              <w:rPr>
                <w:rFonts w:cs="Arial"/>
                <w:b/>
                <w:i/>
              </w:rPr>
              <w:t>Market intelligence and local knowledge</w:t>
            </w:r>
          </w:p>
          <w:p w:rsidRPr="00BC7F87" w:rsidR="002E25F4" w:rsidP="00BC7F87" w:rsidRDefault="002E25F4" w14:paraId="1606CBBA" w14:textId="7777777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Pr="00BC7F87" w:rsidR="00812EC6">
              <w:rPr>
                <w:rFonts w:cs="Arial"/>
                <w:szCs w:val="22"/>
              </w:rPr>
              <w:t xml:space="preserve"> comprehensive understanding of the current employment market and the c</w:t>
            </w:r>
            <w:r w:rsidRPr="00BC7F87" w:rsidR="00812EC6">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rsidRPr="00BC7F87" w:rsidR="00812EC6" w:rsidP="00A524B5" w:rsidRDefault="00812EC6" w14:paraId="1606CBBB" w14:textId="77777777">
            <w:pPr>
              <w:rPr>
                <w:rFonts w:cs="Arial"/>
              </w:rPr>
            </w:pPr>
          </w:p>
          <w:p w:rsidRPr="00BC7F87" w:rsidR="002E25F4" w:rsidP="00A524B5" w:rsidRDefault="002E25F4" w14:paraId="1606CBBC" w14:noSpellErr="1" w14:textId="52EC08D3">
            <w:pPr>
              <w:pStyle w:val="letteredlist"/>
              <w:numPr>
                <w:numId w:val="0"/>
              </w:numPr>
              <w:spacing w:after="0"/>
              <w:ind w:left="29"/>
              <w:rPr>
                <w:b/>
                <w:i/>
              </w:rPr>
            </w:pPr>
            <w:r w:rsidRPr="2E3DAC76" w:rsidR="2E3DAC76">
              <w:rPr>
                <w:b w:val="1"/>
                <w:bCs w:val="1"/>
                <w:i w:val="1"/>
                <w:iCs w:val="1"/>
              </w:rPr>
              <w:t xml:space="preserve">      </w:t>
            </w:r>
            <w:r w:rsidRPr="2E3DAC76" w:rsidR="2E3DAC76">
              <w:rPr>
                <w:b w:val="1"/>
                <w:bCs w:val="1"/>
                <w:i w:val="1"/>
                <w:iCs w:val="1"/>
              </w:rPr>
              <w:t>Management information and reporting</w:t>
            </w:r>
          </w:p>
          <w:p w:rsidRPr="00BC7F87" w:rsidR="002E25F4" w:rsidP="00A524B5" w:rsidRDefault="002E25F4" w14:paraId="1606CBBD" w14:textId="77777777">
            <w:pPr>
              <w:rPr>
                <w:rFonts w:cs="Arial"/>
              </w:rPr>
            </w:pPr>
            <w:r w:rsidRPr="00BC7F87">
              <w:t xml:space="preserve">Candidates will develop management information systems to enable it to submit data to the Skills Funding Agency via the Individual Learner Record </w:t>
            </w:r>
            <w:r w:rsidRPr="00BC7F87" w:rsidR="00F20E79">
              <w:t xml:space="preserve">(ILR) </w:t>
            </w:r>
            <w:r w:rsidRPr="00BC7F87">
              <w:t xml:space="preserve">and put in place robust arrangements for ensuring that the evidence required to support payments is collected and retained.  </w:t>
            </w:r>
          </w:p>
          <w:p w:rsidRPr="00BC7F87" w:rsidR="002E25F4" w:rsidP="00A524B5" w:rsidRDefault="002E25F4" w14:paraId="1606CBBE" w14:textId="77777777">
            <w:pPr>
              <w:rPr>
                <w:rFonts w:cs="Arial"/>
              </w:rPr>
            </w:pPr>
          </w:p>
          <w:p w:rsidRPr="00BC7F87" w:rsidR="002E25F4" w:rsidP="00A524B5" w:rsidRDefault="002E25F4" w14:paraId="1606CBBF" w14:textId="77777777">
            <w:pPr>
              <w:rPr>
                <w:rFonts w:cs="Arial"/>
                <w:strike/>
              </w:rPr>
            </w:pPr>
            <w:r w:rsidRPr="00BC7F87">
              <w:rPr>
                <w:rFonts w:cs="Arial"/>
              </w:rPr>
              <w:t xml:space="preserve">Candidates will be required to share with LEPs </w:t>
            </w:r>
            <w:r w:rsidRPr="00BC7F87" w:rsidR="00025EF8">
              <w:rPr>
                <w:rFonts w:cs="Arial"/>
              </w:rPr>
              <w:t xml:space="preserve">and the Skills Funding Agency </w:t>
            </w:r>
            <w:r w:rsidRPr="00BC7F87">
              <w:rPr>
                <w:rFonts w:cs="Arial"/>
              </w:rPr>
              <w:t xml:space="preserve">ongoing performance management data as well as additional intelligence to improve the effectiveness </w:t>
            </w:r>
            <w:r w:rsidRPr="00BC7F87" w:rsidR="002F71DB">
              <w:rPr>
                <w:rFonts w:cs="Arial"/>
              </w:rPr>
              <w:t xml:space="preserve">of </w:t>
            </w:r>
            <w:r w:rsidRPr="00BC7F87" w:rsidR="006B0A4D">
              <w:rPr>
                <w:rFonts w:cs="Arial"/>
              </w:rPr>
              <w:t>projects in the LEP area in the future</w:t>
            </w:r>
            <w:r w:rsidRPr="00BC7F87">
              <w:rPr>
                <w:rFonts w:cs="Arial"/>
                <w:strike/>
              </w:rPr>
              <w:t xml:space="preserve"> </w:t>
            </w:r>
          </w:p>
          <w:p w:rsidR="001C5C9F" w:rsidP="009E7A30" w:rsidRDefault="001C5C9F" w14:paraId="1606CBC0" w14:textId="77777777">
            <w:pPr>
              <w:rPr>
                <w:rFonts w:cs="Arial"/>
              </w:rPr>
            </w:pPr>
          </w:p>
          <w:p w:rsidRPr="00466FA7" w:rsidR="00B85F61" w:rsidP="009E7A30" w:rsidRDefault="00EA180F" w14:paraId="1606CBC1" w14:textId="77777777">
            <w:pPr>
              <w:rPr>
                <w:rFonts w:cs="Arial"/>
                <w:b/>
                <w:i/>
              </w:rPr>
            </w:pPr>
            <w:r>
              <w:rPr>
                <w:rFonts w:cs="Arial"/>
                <w:b/>
              </w:rPr>
              <w:t>Specific Service Requirements</w:t>
            </w:r>
          </w:p>
          <w:p w:rsidR="00204794" w:rsidP="009E7A30" w:rsidRDefault="00204794" w14:paraId="1606CBC2" w14:textId="77777777">
            <w:pPr>
              <w:rPr>
                <w:rFonts w:cs="Arial"/>
                <w:b/>
              </w:rPr>
            </w:pPr>
          </w:p>
          <w:p w:rsidRPr="00AC3C37" w:rsidR="00F65D61" w:rsidP="00F65D61" w:rsidRDefault="00F65D61" w14:paraId="1606CBC3" w14:textId="176AFFA7">
            <w:pPr>
              <w:rPr>
                <w:rFonts w:cs="Arial"/>
                <w:b/>
              </w:rPr>
            </w:pPr>
            <w:r w:rsidRPr="00AC3C37">
              <w:rPr>
                <w:rFonts w:cs="Arial"/>
                <w:b/>
              </w:rPr>
              <w:t>SUPPORT FOR THE UNEMPLOYED</w:t>
            </w:r>
            <w:r w:rsidRPr="00AC3C37" w:rsidR="00C1183A">
              <w:rPr>
                <w:rFonts w:cs="Arial"/>
                <w:b/>
              </w:rPr>
              <w:t xml:space="preserve"> </w:t>
            </w:r>
            <w:r w:rsidR="00E63880">
              <w:rPr>
                <w:rFonts w:cs="Arial"/>
                <w:b/>
              </w:rPr>
              <w:t xml:space="preserve">THEME </w:t>
            </w:r>
            <w:r w:rsidRPr="00AC3C37" w:rsidR="00C1183A">
              <w:rPr>
                <w:rFonts w:cs="Arial"/>
                <w:b/>
              </w:rPr>
              <w:t>(I</w:t>
            </w:r>
            <w:r w:rsidR="003F020C">
              <w:rPr>
                <w:rFonts w:cs="Arial"/>
                <w:b/>
              </w:rPr>
              <w:t xml:space="preserve">nvestment </w:t>
            </w:r>
            <w:r w:rsidRPr="00AC3C37" w:rsidR="00C1183A">
              <w:rPr>
                <w:rFonts w:cs="Arial"/>
                <w:b/>
              </w:rPr>
              <w:t>P</w:t>
            </w:r>
            <w:r w:rsidR="003F020C">
              <w:rPr>
                <w:rFonts w:cs="Arial"/>
                <w:b/>
              </w:rPr>
              <w:t>riority</w:t>
            </w:r>
            <w:r w:rsidRPr="00AC3C37" w:rsidR="00C1183A">
              <w:rPr>
                <w:rFonts w:cs="Arial"/>
                <w:b/>
              </w:rPr>
              <w:t>:</w:t>
            </w:r>
            <w:r w:rsidR="003F020C">
              <w:rPr>
                <w:rFonts w:cs="Arial"/>
                <w:b/>
              </w:rPr>
              <w:t xml:space="preserve"> </w:t>
            </w:r>
            <w:r w:rsidRPr="00AC3C37" w:rsidR="00C1183A">
              <w:rPr>
                <w:rFonts w:cs="Arial"/>
                <w:b/>
              </w:rPr>
              <w:t xml:space="preserve"> 1.1)</w:t>
            </w:r>
          </w:p>
          <w:p w:rsidRPr="00AC3C37" w:rsidR="00F65D61" w:rsidP="00F65D61" w:rsidRDefault="00F65D61" w14:paraId="1606CBC4" w14:textId="77777777">
            <w:pPr>
              <w:rPr>
                <w:rFonts w:cs="Arial"/>
              </w:rPr>
            </w:pPr>
          </w:p>
          <w:p w:rsidRPr="00AC3C37" w:rsidR="00F65D61" w:rsidP="00F65D61" w:rsidRDefault="00F65D61" w14:paraId="1606CBC5" w14:textId="4A3898F2">
            <w:pPr>
              <w:rPr>
                <w:rFonts w:cs="Arial"/>
              </w:rPr>
            </w:pPr>
            <w:r w:rsidRPr="00AC3C37">
              <w:rPr>
                <w:rFonts w:cs="Arial"/>
              </w:rPr>
              <w:t>The aim of the Services is to provide bespoke support and training for the unemployed and those economically inactive and seeking a return to the labour market but facing skills related barriers to entering the labour market. The</w:t>
            </w:r>
            <w:r w:rsidRPr="00AC3C37" w:rsidR="00B85F61">
              <w:rPr>
                <w:rFonts w:cs="Arial"/>
              </w:rPr>
              <w:t xml:space="preserve"> Services </w:t>
            </w:r>
            <w:r w:rsidRPr="00AC3C37">
              <w:rPr>
                <w:rFonts w:cs="Arial"/>
              </w:rPr>
              <w:t>will deliver the vocationally related skills needed by local employers</w:t>
            </w:r>
            <w:r w:rsidR="00A711F2">
              <w:rPr>
                <w:rFonts w:cs="Arial"/>
              </w:rPr>
              <w:t>.</w:t>
            </w:r>
          </w:p>
          <w:p w:rsidR="00A711F2" w:rsidP="00F65D61" w:rsidRDefault="00A711F2" w14:paraId="1606CBC6" w14:textId="77777777">
            <w:pPr>
              <w:rPr>
                <w:rFonts w:cs="Arial"/>
              </w:rPr>
            </w:pPr>
          </w:p>
          <w:p w:rsidRPr="00F004AA" w:rsidR="00A711F2" w:rsidP="00A711F2" w:rsidRDefault="00A711F2" w14:paraId="1606CBC7" w14:textId="45ED16A9">
            <w:pPr>
              <w:pStyle w:val="Bodycopy"/>
              <w:rPr>
                <w:rFonts w:ascii="Arial" w:hAnsi="Arial" w:cs="Arial"/>
                <w:sz w:val="24"/>
                <w:szCs w:val="24"/>
                <w:lang w:val="en-US"/>
              </w:rPr>
            </w:pPr>
            <w:r>
              <w:rPr>
                <w:rFonts w:ascii="Arial" w:hAnsi="Arial" w:cs="Arial"/>
                <w:sz w:val="24"/>
                <w:szCs w:val="24"/>
              </w:rPr>
              <w:t xml:space="preserve">The Services should provide </w:t>
            </w:r>
            <w:r w:rsidRPr="00F004AA">
              <w:rPr>
                <w:rFonts w:ascii="Arial" w:hAnsi="Arial" w:cs="Arial"/>
                <w:sz w:val="24"/>
                <w:szCs w:val="24"/>
              </w:rPr>
              <w:t xml:space="preserve">support all unemployed or workless adults aged 18 and over. </w:t>
            </w:r>
            <w:r>
              <w:rPr>
                <w:rFonts w:ascii="Arial" w:hAnsi="Arial" w:cs="Arial"/>
                <w:sz w:val="24"/>
                <w:szCs w:val="24"/>
              </w:rPr>
              <w:t xml:space="preserve">The Services should </w:t>
            </w:r>
            <w:r w:rsidRPr="00F004AA">
              <w:rPr>
                <w:rFonts w:ascii="Arial" w:hAnsi="Arial" w:cs="Arial"/>
                <w:sz w:val="24"/>
                <w:szCs w:val="24"/>
              </w:rPr>
              <w:t>build on the previous</w:t>
            </w:r>
            <w:r>
              <w:rPr>
                <w:rFonts w:ascii="Arial" w:hAnsi="Arial" w:cs="Arial"/>
                <w:sz w:val="24"/>
                <w:szCs w:val="24"/>
              </w:rPr>
              <w:t>,</w:t>
            </w:r>
            <w:r w:rsidRPr="00F004AA">
              <w:rPr>
                <w:rFonts w:ascii="Arial" w:hAnsi="Arial" w:cs="Arial"/>
                <w:sz w:val="24"/>
                <w:szCs w:val="24"/>
              </w:rPr>
              <w:t xml:space="preserve"> </w:t>
            </w:r>
            <w:r w:rsidRPr="00F004AA">
              <w:rPr>
                <w:rFonts w:ascii="Arial" w:hAnsi="Arial" w:cs="Arial"/>
                <w:sz w:val="24"/>
                <w:szCs w:val="24"/>
                <w:lang w:val="en-US"/>
              </w:rPr>
              <w:t xml:space="preserve">ESF-funded </w:t>
            </w:r>
            <w:r w:rsidRPr="00F004AA">
              <w:rPr>
                <w:rFonts w:ascii="Arial" w:hAnsi="Arial" w:cs="Arial"/>
                <w:i/>
                <w:sz w:val="24"/>
                <w:szCs w:val="24"/>
                <w:lang w:val="en-US"/>
              </w:rPr>
              <w:t>Skills Support for the Unemployed</w:t>
            </w:r>
            <w:r w:rsidRPr="00F004AA">
              <w:rPr>
                <w:rFonts w:ascii="Arial" w:hAnsi="Arial" w:cs="Arial"/>
                <w:sz w:val="24"/>
                <w:szCs w:val="24"/>
                <w:lang w:val="en-US"/>
              </w:rPr>
              <w:t xml:space="preserve"> </w:t>
            </w:r>
            <w:r w:rsidRPr="00F004AA">
              <w:rPr>
                <w:rFonts w:ascii="Arial" w:hAnsi="Arial" w:cs="Arial"/>
                <w:sz w:val="24"/>
                <w:szCs w:val="24"/>
              </w:rPr>
              <w:t>programmes</w:t>
            </w:r>
            <w:r w:rsidRPr="00F004AA">
              <w:rPr>
                <w:rFonts w:ascii="Arial" w:hAnsi="Arial" w:cs="Arial"/>
                <w:sz w:val="24"/>
                <w:szCs w:val="24"/>
                <w:lang w:val="en-US"/>
              </w:rPr>
              <w:t xml:space="preserve">.  </w:t>
            </w:r>
            <w:r>
              <w:rPr>
                <w:rFonts w:ascii="Arial" w:hAnsi="Arial" w:cs="Arial"/>
                <w:sz w:val="24"/>
                <w:szCs w:val="24"/>
                <w:lang w:val="en-US"/>
              </w:rPr>
              <w:t xml:space="preserve">The Services should </w:t>
            </w:r>
            <w:r w:rsidRPr="00F004AA">
              <w:rPr>
                <w:rFonts w:ascii="Arial" w:hAnsi="Arial" w:cs="Arial"/>
                <w:sz w:val="24"/>
                <w:szCs w:val="24"/>
                <w:lang w:val="en-US"/>
              </w:rPr>
              <w:t xml:space="preserve">will help people with low skill and qualification levels to address the skills gaps preventing them from entering the </w:t>
            </w:r>
            <w:r w:rsidRPr="00F004AA">
              <w:rPr>
                <w:rFonts w:ascii="Arial" w:hAnsi="Arial" w:cs="Arial"/>
                <w:sz w:val="24"/>
                <w:szCs w:val="24"/>
              </w:rPr>
              <w:t>labour</w:t>
            </w:r>
            <w:r w:rsidRPr="00F004AA">
              <w:rPr>
                <w:rFonts w:ascii="Arial" w:hAnsi="Arial" w:cs="Arial"/>
                <w:sz w:val="24"/>
                <w:szCs w:val="24"/>
                <w:lang w:val="en-US"/>
              </w:rPr>
              <w:t xml:space="preserve"> market</w:t>
            </w:r>
            <w:r>
              <w:rPr>
                <w:rFonts w:ascii="Arial" w:hAnsi="Arial" w:cs="Arial"/>
                <w:sz w:val="24"/>
                <w:szCs w:val="24"/>
                <w:lang w:val="en-US"/>
              </w:rPr>
              <w:t xml:space="preserve"> and </w:t>
            </w:r>
            <w:r w:rsidRPr="00F004AA">
              <w:rPr>
                <w:rFonts w:ascii="Arial" w:hAnsi="Arial" w:cs="Arial"/>
                <w:sz w:val="24"/>
                <w:szCs w:val="24"/>
                <w:lang w:val="en-US"/>
              </w:rPr>
              <w:t xml:space="preserve"> provide training opportunities for people who have recently been made unemployed as a result of a closure or downsizing of a company locally</w:t>
            </w:r>
          </w:p>
          <w:p w:rsidR="00A711F2" w:rsidP="00A711F2" w:rsidRDefault="00A711F2" w14:paraId="1606CBC8" w14:textId="77777777">
            <w:pPr>
              <w:rPr>
                <w:rFonts w:cs="Arial"/>
              </w:rPr>
            </w:pPr>
            <w:r>
              <w:rPr>
                <w:rFonts w:cs="Arial"/>
              </w:rPr>
              <w:t xml:space="preserve">The Services should focus on </w:t>
            </w:r>
            <w:r w:rsidRPr="00F004AA">
              <w:rPr>
                <w:rFonts w:cs="Arial"/>
              </w:rPr>
              <w:t xml:space="preserve">groups in society who may need particular support. For example, with the rise in the State Pension Age, a growing number of people will need to remain in work for longer. A growing number of older people are likely to find that they are unable to continue in their usual job, due to its characteristics or physically demanding nature. These older adults will need to re-skill and build confidence to enter new areas of employment. </w:t>
            </w:r>
          </w:p>
          <w:p w:rsidR="00A711F2" w:rsidP="00A711F2" w:rsidRDefault="00A711F2" w14:paraId="1606CBC9" w14:textId="77777777">
            <w:pPr>
              <w:rPr>
                <w:rFonts w:cs="Arial"/>
              </w:rPr>
            </w:pPr>
          </w:p>
          <w:p w:rsidR="00A711F2" w:rsidP="00A711F2" w:rsidRDefault="00A711F2" w14:paraId="1606CBCA" w14:textId="77777777">
            <w:pPr>
              <w:rPr>
                <w:rFonts w:cs="Arial"/>
              </w:rPr>
            </w:pPr>
            <w:r w:rsidRPr="00F004AA">
              <w:rPr>
                <w:rFonts w:cs="Arial"/>
              </w:rPr>
              <w:lastRenderedPageBreak/>
              <w:t xml:space="preserve">The </w:t>
            </w:r>
            <w:r>
              <w:rPr>
                <w:rFonts w:cs="Arial"/>
              </w:rPr>
              <w:t xml:space="preserve">Services should </w:t>
            </w:r>
            <w:r w:rsidRPr="00F004AA">
              <w:rPr>
                <w:rFonts w:cs="Arial"/>
              </w:rPr>
              <w:t>target people not eligible for the work programme. The aim of th</w:t>
            </w:r>
            <w:r>
              <w:rPr>
                <w:rFonts w:cs="Arial"/>
              </w:rPr>
              <w:t xml:space="preserve">e Services </w:t>
            </w:r>
            <w:r w:rsidRPr="00F004AA">
              <w:rPr>
                <w:rFonts w:cs="Arial"/>
              </w:rPr>
              <w:t>is to complement activity going forward under the Solent Jobs Pilot, which will provide more intensive support for those furthest from the labour-market.</w:t>
            </w:r>
          </w:p>
          <w:p w:rsidR="00A711F2" w:rsidP="00F65D61" w:rsidRDefault="00A711F2" w14:paraId="1606CBCB" w14:textId="77777777">
            <w:pPr>
              <w:rPr>
                <w:rFonts w:cs="Arial"/>
              </w:rPr>
            </w:pPr>
          </w:p>
          <w:p w:rsidRPr="00AC3C37" w:rsidR="00F65D61" w:rsidP="00F65D61" w:rsidRDefault="00B85F61" w14:paraId="1606CBCC" w14:textId="77777777">
            <w:pPr>
              <w:rPr>
                <w:rFonts w:cs="Arial"/>
              </w:rPr>
            </w:pPr>
            <w:r w:rsidRPr="00AC3C37">
              <w:rPr>
                <w:rFonts w:cs="Arial"/>
              </w:rPr>
              <w:t xml:space="preserve">There must be an </w:t>
            </w:r>
            <w:r w:rsidRPr="00AC3C37" w:rsidR="00F65D61">
              <w:rPr>
                <w:rFonts w:cs="Arial"/>
              </w:rPr>
              <w:t xml:space="preserve">initial assessment </w:t>
            </w:r>
            <w:r w:rsidRPr="00AC3C37">
              <w:rPr>
                <w:rFonts w:cs="Arial"/>
              </w:rPr>
              <w:t xml:space="preserve">to </w:t>
            </w:r>
            <w:r w:rsidRPr="00AC3C37" w:rsidR="00F65D61">
              <w:rPr>
                <w:rFonts w:cs="Arial"/>
              </w:rPr>
              <w:t xml:space="preserve">diagnose </w:t>
            </w:r>
            <w:r w:rsidRPr="00AC3C37" w:rsidR="00466FA7">
              <w:rPr>
                <w:rFonts w:cs="Arial"/>
              </w:rPr>
              <w:t>the existing</w:t>
            </w:r>
            <w:r w:rsidRPr="00AC3C37" w:rsidR="00F65D61">
              <w:rPr>
                <w:rFonts w:cs="Arial"/>
              </w:rPr>
              <w:t xml:space="preserve"> skills and identify skills gaps</w:t>
            </w:r>
            <w:r w:rsidRPr="00AC3C37">
              <w:rPr>
                <w:rFonts w:cs="Arial"/>
              </w:rPr>
              <w:t xml:space="preserve"> of participants</w:t>
            </w:r>
            <w:r w:rsidRPr="00AC3C37" w:rsidR="00F65D61">
              <w:rPr>
                <w:rFonts w:cs="Arial"/>
              </w:rPr>
              <w:t xml:space="preserve"> in relation to employer requirements and/or opportunities for self-employment.  An individual learning plan</w:t>
            </w:r>
            <w:r w:rsidRPr="00AC3C37">
              <w:rPr>
                <w:rFonts w:cs="Arial"/>
              </w:rPr>
              <w:t xml:space="preserve"> must </w:t>
            </w:r>
            <w:r w:rsidRPr="00AC3C37" w:rsidR="00F65D61">
              <w:rPr>
                <w:rFonts w:cs="Arial"/>
              </w:rPr>
              <w:t>then be devised.</w:t>
            </w:r>
          </w:p>
          <w:p w:rsidRPr="00AC3C37" w:rsidR="00F65D61" w:rsidP="00F65D61" w:rsidRDefault="00F65D61" w14:paraId="1606CBCD" w14:textId="77777777">
            <w:pPr>
              <w:rPr>
                <w:rFonts w:cs="Arial"/>
              </w:rPr>
            </w:pPr>
          </w:p>
          <w:p w:rsidRPr="00AC3C37" w:rsidR="00F65D61" w:rsidP="00F65D61" w:rsidRDefault="00F65D61" w14:paraId="1606CBCE" w14:textId="77777777">
            <w:pPr>
              <w:rPr>
                <w:rFonts w:cs="Arial"/>
              </w:rPr>
            </w:pPr>
            <w:r w:rsidRPr="00AC3C37">
              <w:rPr>
                <w:rFonts w:cs="Arial"/>
              </w:rPr>
              <w:t xml:space="preserve">The Services </w:t>
            </w:r>
            <w:r w:rsidRPr="00AC3C37" w:rsidR="00B85F61">
              <w:rPr>
                <w:rFonts w:cs="Arial"/>
              </w:rPr>
              <w:t xml:space="preserve">must </w:t>
            </w:r>
            <w:r w:rsidRPr="00AC3C37">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rsidRPr="00AC3C37" w:rsidR="00F65D61" w:rsidP="00F65D61" w:rsidRDefault="00F65D61" w14:paraId="1606CBCF" w14:textId="77777777">
            <w:pPr>
              <w:rPr>
                <w:rFonts w:cs="Arial"/>
              </w:rPr>
            </w:pPr>
          </w:p>
          <w:p w:rsidRPr="00AC3C37" w:rsidR="00F65D61" w:rsidP="00F65D61" w:rsidRDefault="00F65D61" w14:paraId="1606CBD0" w14:textId="77777777">
            <w:pPr>
              <w:rPr>
                <w:rFonts w:cs="Arial"/>
                <w:bCs/>
                <w:color w:val="000000"/>
                <w:sz w:val="20"/>
              </w:rPr>
            </w:pPr>
            <w:r w:rsidRPr="00AC3C37">
              <w:rPr>
                <w:rFonts w:cs="Arial"/>
                <w:szCs w:val="23"/>
              </w:rPr>
              <w:t>The Services must provide individual and continuous mentor/key worker support for each participant.</w:t>
            </w:r>
          </w:p>
          <w:p w:rsidRPr="00AC3C37" w:rsidR="00F65D61" w:rsidP="00F65D61" w:rsidRDefault="00F65D61" w14:paraId="1606CBD1" w14:textId="77777777">
            <w:pPr>
              <w:rPr>
                <w:rFonts w:cs="Arial"/>
              </w:rPr>
            </w:pPr>
          </w:p>
          <w:p w:rsidRPr="00AC3C37" w:rsidR="00F65D61" w:rsidP="00F65D61" w:rsidRDefault="00F65D61" w14:paraId="1606CBD2" w14:textId="77777777">
            <w:pPr>
              <w:rPr>
                <w:rFonts w:cs="Arial"/>
              </w:rPr>
            </w:pPr>
            <w:r w:rsidRPr="00AC3C37">
              <w:rPr>
                <w:rFonts w:cs="Arial"/>
              </w:rPr>
              <w:t xml:space="preserve">The Services </w:t>
            </w:r>
            <w:r w:rsidRPr="00AC3C37" w:rsidR="00B85F61">
              <w:rPr>
                <w:rFonts w:cs="Arial"/>
              </w:rPr>
              <w:t xml:space="preserve">must </w:t>
            </w:r>
            <w:r w:rsidRPr="00AC3C37">
              <w:rPr>
                <w:rFonts w:cs="Arial"/>
              </w:rPr>
              <w:t xml:space="preserve">provide participants with advice on vacancies, job search, CV writing and interview techniques and assistance with registration, searching and applications for Apprenticeship vacancies on </w:t>
            </w:r>
            <w:hyperlink w:history="1" r:id="rId15">
              <w:r w:rsidRPr="00AC3C37">
                <w:rPr>
                  <w:rStyle w:val="Hyperlink"/>
                  <w:rFonts w:cs="Arial"/>
                </w:rPr>
                <w:t>www.apprenticeships.org.uk</w:t>
              </w:r>
            </w:hyperlink>
            <w:r w:rsidRPr="00AC3C37">
              <w:rPr>
                <w:rFonts w:cs="Arial"/>
              </w:rPr>
              <w:t xml:space="preserve"> as well as independent study and career skills.</w:t>
            </w:r>
          </w:p>
          <w:p w:rsidRPr="00AC3C37" w:rsidR="00F65D61" w:rsidP="00F65D61" w:rsidRDefault="00F65D61" w14:paraId="1606CBD3" w14:textId="77777777">
            <w:pPr>
              <w:rPr>
                <w:rFonts w:cs="Arial"/>
              </w:rPr>
            </w:pPr>
          </w:p>
          <w:p w:rsidRPr="00AC3C37" w:rsidR="00F65D61" w:rsidP="00F65D61" w:rsidRDefault="00F65D61" w14:paraId="1606CBD4" w14:textId="77777777">
            <w:pPr>
              <w:rPr>
                <w:rFonts w:cs="Arial"/>
              </w:rPr>
            </w:pPr>
            <w:r w:rsidRPr="00AC3C37">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Pr="00AC3C37" w:rsidR="00C1183A">
              <w:rPr>
                <w:rFonts w:cs="Arial"/>
              </w:rPr>
              <w:t xml:space="preserve"> traineeships,</w:t>
            </w:r>
            <w:r w:rsidRPr="00AC3C37">
              <w:rPr>
                <w:rFonts w:cs="Arial"/>
              </w:rPr>
              <w:t xml:space="preserve"> self-employment</w:t>
            </w:r>
            <w:r w:rsidRPr="00AC3C37" w:rsidR="00C1183A">
              <w:rPr>
                <w:rFonts w:cs="Arial"/>
              </w:rPr>
              <w:t xml:space="preserve"> or </w:t>
            </w:r>
            <w:r w:rsidRPr="00AC3C37">
              <w:rPr>
                <w:rFonts w:cs="Arial"/>
              </w:rPr>
              <w:t>volunteering.</w:t>
            </w:r>
          </w:p>
          <w:p w:rsidRPr="00AC3C37" w:rsidR="00F65D61" w:rsidP="00F65D61" w:rsidRDefault="00F65D61" w14:paraId="1606CBD5" w14:textId="77777777">
            <w:pPr>
              <w:rPr>
                <w:rFonts w:cs="Arial"/>
              </w:rPr>
            </w:pPr>
          </w:p>
          <w:p w:rsidRPr="00AC3C37" w:rsidR="00F65D61" w:rsidP="00F65D61" w:rsidRDefault="00F65D61" w14:paraId="1606CBD6" w14:textId="77777777">
            <w:pPr>
              <w:rPr>
                <w:rFonts w:cs="Arial"/>
              </w:rPr>
            </w:pPr>
            <w:r w:rsidRPr="00AC3C37">
              <w:rPr>
                <w:rFonts w:cs="Arial"/>
              </w:rPr>
              <w:t xml:space="preserve">The Services </w:t>
            </w:r>
            <w:r w:rsidRPr="00AC3C37" w:rsidR="00B85F61">
              <w:rPr>
                <w:rFonts w:cs="Arial"/>
              </w:rPr>
              <w:t xml:space="preserve">must </w:t>
            </w:r>
            <w:r w:rsidRPr="00AC3C37">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rsidRPr="00AC3C37" w:rsidR="00F65D61" w:rsidP="00F65D61" w:rsidRDefault="00F65D61" w14:paraId="1606CBD7" w14:textId="77777777">
            <w:pPr>
              <w:rPr>
                <w:rFonts w:cs="Arial"/>
              </w:rPr>
            </w:pPr>
          </w:p>
          <w:p w:rsidRPr="00AC3C37" w:rsidR="00F65D61" w:rsidP="00F65D61" w:rsidRDefault="00F65D61" w14:paraId="1606CBD8" w14:textId="77777777">
            <w:pPr>
              <w:rPr>
                <w:rFonts w:cs="Arial"/>
              </w:rPr>
            </w:pPr>
            <w:r w:rsidRPr="00AC3C37">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Pr="00AC3C37" w:rsidR="00C1183A">
              <w:rPr>
                <w:rFonts w:cs="Arial"/>
              </w:rPr>
              <w:t>e.g.</w:t>
            </w:r>
            <w:r w:rsidRPr="00AC3C37">
              <w:rPr>
                <w:rFonts w:cs="Arial"/>
              </w:rPr>
              <w:t xml:space="preserve"> CSCS card, SIA Licence.  These costs will be integrated into the unit cost per individual.</w:t>
            </w:r>
          </w:p>
          <w:p w:rsidRPr="00AC3C37" w:rsidR="00F65D61" w:rsidP="00F65D61" w:rsidRDefault="00F65D61" w14:paraId="1606CBD9" w14:textId="77777777">
            <w:pPr>
              <w:rPr>
                <w:rFonts w:cs="Arial"/>
              </w:rPr>
            </w:pPr>
          </w:p>
          <w:p w:rsidRPr="00AC3C37" w:rsidR="00F65D61" w:rsidP="00F65D61" w:rsidRDefault="00F65D61" w14:paraId="1606CBDA" w14:textId="77777777">
            <w:pPr>
              <w:autoSpaceDE w:val="0"/>
              <w:autoSpaceDN w:val="0"/>
              <w:adjustRightInd w:val="0"/>
              <w:rPr>
                <w:rFonts w:cs="Arial"/>
              </w:rPr>
            </w:pPr>
            <w:r w:rsidRPr="00AC3C37">
              <w:rPr>
                <w:rFonts w:cs="Arial"/>
              </w:rPr>
              <w:t xml:space="preserve">The Services </w:t>
            </w:r>
            <w:r w:rsidRPr="00AC3C37" w:rsidR="00B85F61">
              <w:rPr>
                <w:rFonts w:cs="Arial"/>
              </w:rPr>
              <w:t xml:space="preserve">must </w:t>
            </w:r>
            <w:r w:rsidRPr="00AC3C37">
              <w:rPr>
                <w:rFonts w:cs="Arial"/>
              </w:rPr>
              <w:t xml:space="preserve">support sustained engagement, transition and progression through creation of individual support packages, appropriate to the particular needs of the individual. </w:t>
            </w:r>
            <w:r w:rsidRPr="00AC3C37" w:rsidR="00B85F61">
              <w:rPr>
                <w:rFonts w:cs="Arial"/>
              </w:rPr>
              <w:t xml:space="preserve"> Participants </w:t>
            </w:r>
            <w:r w:rsidRPr="00AC3C37">
              <w:rPr>
                <w:rFonts w:cs="Arial"/>
              </w:rPr>
              <w:t xml:space="preserve">will receive regular progress reviews, will receive an exit interview and </w:t>
            </w:r>
            <w:r w:rsidRPr="00AC3C37" w:rsidR="00B85F61">
              <w:rPr>
                <w:rFonts w:cs="Arial"/>
              </w:rPr>
              <w:t>t</w:t>
            </w:r>
            <w:r w:rsidRPr="00AC3C37">
              <w:rPr>
                <w:rFonts w:cs="Arial"/>
              </w:rPr>
              <w:t xml:space="preserve">he Services will track the individual after leaving the programme.  </w:t>
            </w:r>
          </w:p>
          <w:p w:rsidRPr="00AC3C37" w:rsidR="00F65D61" w:rsidP="00F65D61" w:rsidRDefault="00F65D61" w14:paraId="1606CBDB" w14:textId="77777777">
            <w:pPr>
              <w:autoSpaceDE w:val="0"/>
              <w:autoSpaceDN w:val="0"/>
              <w:adjustRightInd w:val="0"/>
              <w:rPr>
                <w:rFonts w:cs="Arial"/>
              </w:rPr>
            </w:pPr>
          </w:p>
          <w:p w:rsidRPr="00AC3C37" w:rsidR="00F65D61" w:rsidP="00F65D61" w:rsidRDefault="00F65D61" w14:paraId="1606CBDC" w14:textId="77777777">
            <w:pPr>
              <w:rPr>
                <w:rFonts w:cs="Arial"/>
              </w:rPr>
            </w:pPr>
            <w:r w:rsidRPr="00AC3C37">
              <w:rPr>
                <w:rFonts w:cs="Arial"/>
              </w:rPr>
              <w:t xml:space="preserve">Where </w:t>
            </w:r>
            <w:r w:rsidRPr="00AC3C37" w:rsidR="00B85F61">
              <w:rPr>
                <w:rFonts w:cs="Arial"/>
              </w:rPr>
              <w:t xml:space="preserve">participants </w:t>
            </w:r>
            <w:r w:rsidRPr="00AC3C37">
              <w:rPr>
                <w:rFonts w:cs="Arial"/>
              </w:rPr>
              <w:t xml:space="preserve">gain positive outcomes the Services will provide continuous support that support will include regular communication, interventions, coaching and mentoring support for the participant up to the </w:t>
            </w:r>
            <w:r w:rsidRPr="00AC3C37" w:rsidR="005833BD">
              <w:rPr>
                <w:rFonts w:cs="Arial"/>
              </w:rPr>
              <w:t>3rd month</w:t>
            </w:r>
            <w:r w:rsidRPr="00AC3C37">
              <w:rPr>
                <w:rFonts w:cs="Arial"/>
              </w:rPr>
              <w:t xml:space="preserve"> in employment.  </w:t>
            </w:r>
            <w:r w:rsidRPr="00AC3C37">
              <w:rPr>
                <w:rFonts w:cs="Arial"/>
              </w:rPr>
              <w:lastRenderedPageBreak/>
              <w:t>Where</w:t>
            </w:r>
            <w:r w:rsidRPr="00AC3C37" w:rsidR="00B85F61">
              <w:rPr>
                <w:rFonts w:cs="Arial"/>
              </w:rPr>
              <w:t xml:space="preserve"> </w:t>
            </w:r>
            <w:r w:rsidRPr="00AC3C37" w:rsidR="00BF1E26">
              <w:rPr>
                <w:rFonts w:cs="Arial"/>
              </w:rPr>
              <w:t>participants’</w:t>
            </w:r>
            <w:r w:rsidRPr="00AC3C37">
              <w:rPr>
                <w:rFonts w:cs="Arial"/>
              </w:rPr>
              <w:t xml:space="preserve"> progress into a positive outcome generated via working with employers, the Service</w:t>
            </w:r>
            <w:r w:rsidRPr="00AC3C37" w:rsidR="00B85F61">
              <w:rPr>
                <w:rFonts w:cs="Arial"/>
              </w:rPr>
              <w:t>s</w:t>
            </w:r>
            <w:r w:rsidRPr="00AC3C37">
              <w:rPr>
                <w:rFonts w:cs="Arial"/>
              </w:rPr>
              <w:t xml:space="preserve"> will provide on-going tailored induction training as required by the employer to the </w:t>
            </w:r>
            <w:r w:rsidRPr="00AC3C37" w:rsidR="00B85F61">
              <w:rPr>
                <w:rFonts w:cs="Arial"/>
              </w:rPr>
              <w:t xml:space="preserve">participants </w:t>
            </w:r>
            <w:r w:rsidRPr="00AC3C37">
              <w:rPr>
                <w:rFonts w:cs="Arial"/>
              </w:rPr>
              <w:t xml:space="preserve">once in employment. </w:t>
            </w:r>
          </w:p>
          <w:p w:rsidRPr="00AC3C37" w:rsidR="00F65D61" w:rsidP="00F65D61" w:rsidRDefault="00F65D61" w14:paraId="1606CBDD" w14:textId="77777777">
            <w:pPr>
              <w:autoSpaceDE w:val="0"/>
              <w:autoSpaceDN w:val="0"/>
              <w:adjustRightInd w:val="0"/>
              <w:rPr>
                <w:rFonts w:cs="Arial"/>
              </w:rPr>
            </w:pPr>
          </w:p>
          <w:p w:rsidRPr="00AC3C37" w:rsidR="00F65D61" w:rsidP="00F65D61" w:rsidRDefault="00F65D61" w14:paraId="1606CBDE" w14:textId="77777777">
            <w:pPr>
              <w:autoSpaceDE w:val="0"/>
              <w:autoSpaceDN w:val="0"/>
              <w:adjustRightInd w:val="0"/>
              <w:rPr>
                <w:rFonts w:cs="Arial"/>
              </w:rPr>
            </w:pPr>
            <w:r w:rsidRPr="001C5C9F">
              <w:rPr>
                <w:rFonts w:cs="Arial"/>
              </w:rPr>
              <w:t xml:space="preserve">For any participant who did not gain a positive outcome from the activity the </w:t>
            </w:r>
            <w:r w:rsidRPr="001C5C9F" w:rsidR="00B85F61">
              <w:rPr>
                <w:rFonts w:cs="Arial"/>
              </w:rPr>
              <w:t xml:space="preserve">Services </w:t>
            </w:r>
            <w:r w:rsidRPr="001C5C9F">
              <w:rPr>
                <w:rFonts w:cs="Arial"/>
              </w:rPr>
              <w:t>will provide o</w:t>
            </w:r>
            <w:r w:rsidRPr="009143C5">
              <w:rPr>
                <w:rFonts w:cs="Arial"/>
              </w:rPr>
              <w:t xml:space="preserve">ngoing support/job matching until a successful outcome has been achieved up to </w:t>
            </w:r>
            <w:r w:rsidRPr="009143C5" w:rsidR="00F004AA">
              <w:rPr>
                <w:rFonts w:cs="Arial"/>
              </w:rPr>
              <w:t>4</w:t>
            </w:r>
            <w:r w:rsidRPr="001C5C9F">
              <w:rPr>
                <w:rFonts w:cs="Arial"/>
              </w:rPr>
              <w:t xml:space="preserve"> weeks post completion of activity end date.</w:t>
            </w:r>
          </w:p>
          <w:p w:rsidRPr="00AC3C37" w:rsidR="00F65D61" w:rsidP="00F65D61" w:rsidRDefault="00F65D61" w14:paraId="1606CBDF" w14:textId="77777777">
            <w:pPr>
              <w:pStyle w:val="Default"/>
              <w:rPr>
                <w:sz w:val="22"/>
                <w:szCs w:val="22"/>
              </w:rPr>
            </w:pPr>
          </w:p>
          <w:p w:rsidRPr="00AC3C37" w:rsidR="00F65D61" w:rsidP="00F65D61" w:rsidRDefault="00F65D61" w14:paraId="1606CBE0" w14:textId="77777777">
            <w:pPr>
              <w:rPr>
                <w:rFonts w:cs="Arial"/>
              </w:rPr>
            </w:pPr>
            <w:r w:rsidRPr="00AC3C37">
              <w:rPr>
                <w:rFonts w:cs="Arial"/>
              </w:rPr>
              <w:t xml:space="preserve">The Services </w:t>
            </w:r>
            <w:r w:rsidRPr="00AC3C37" w:rsidR="00B85F61">
              <w:rPr>
                <w:rFonts w:cs="Arial"/>
              </w:rPr>
              <w:t xml:space="preserve">must </w:t>
            </w:r>
            <w:r w:rsidRPr="00AC3C37">
              <w:rPr>
                <w:rFonts w:cs="Arial"/>
              </w:rPr>
              <w:t xml:space="preserve">work with employers to identify potential apprenticeship, traineeship and job opportunities.  The Services </w:t>
            </w:r>
            <w:r w:rsidRPr="00AC3C37" w:rsidR="00B85F61">
              <w:rPr>
                <w:rFonts w:cs="Arial"/>
              </w:rPr>
              <w:t xml:space="preserve">must </w:t>
            </w:r>
            <w:r w:rsidRPr="00AC3C37">
              <w:rPr>
                <w:rFonts w:cs="Arial"/>
              </w:rPr>
              <w:t xml:space="preserve">provide a single point of contact for employers which provides a candidate matching service.  The matching service </w:t>
            </w:r>
            <w:r w:rsidRPr="00AC3C37" w:rsidR="007118CF">
              <w:rPr>
                <w:rFonts w:cs="Arial"/>
              </w:rPr>
              <w:t xml:space="preserve">must </w:t>
            </w:r>
            <w:r w:rsidRPr="00AC3C37">
              <w:rPr>
                <w:rFonts w:cs="Arial"/>
              </w:rPr>
              <w:t xml:space="preserve">set up and maintain a candidate/employer vacancy bank and support employers to identify candidates who meet their needs and will develop a mechanism to ensure candidates engage with match service.  The Services </w:t>
            </w:r>
            <w:r w:rsidRPr="00AC3C37" w:rsidR="007118CF">
              <w:rPr>
                <w:rFonts w:cs="Arial"/>
              </w:rPr>
              <w:t xml:space="preserve">must </w:t>
            </w:r>
            <w:r w:rsidRPr="00AC3C37">
              <w:rPr>
                <w:rFonts w:cs="Arial"/>
              </w:rPr>
              <w:t>provide employers with a selection of suitable candidates for each vacancy and any other support related to the recruitment process as required by the employer</w:t>
            </w:r>
            <w:r w:rsidRPr="00AC3C37">
              <w:t xml:space="preserve">.  </w:t>
            </w:r>
            <w:r w:rsidRPr="00AC3C37">
              <w:rPr>
                <w:rFonts w:cs="Arial"/>
              </w:rPr>
              <w:t xml:space="preserve">The Services </w:t>
            </w:r>
            <w:r w:rsidRPr="00AC3C37" w:rsidR="007118CF">
              <w:rPr>
                <w:rFonts w:cs="Arial"/>
              </w:rPr>
              <w:t xml:space="preserve">must </w:t>
            </w:r>
            <w:r w:rsidRPr="00AC3C37">
              <w:rPr>
                <w:rFonts w:cs="Arial"/>
              </w:rPr>
              <w:t>provide mentoring support to employers to assist them in supporting their new employees.</w:t>
            </w:r>
          </w:p>
          <w:p w:rsidRPr="00AC3C37" w:rsidR="00F65D61" w:rsidP="00F65D61" w:rsidRDefault="00F65D61" w14:paraId="1606CBE1" w14:textId="77777777">
            <w:pPr>
              <w:rPr>
                <w:rFonts w:cs="Arial"/>
              </w:rPr>
            </w:pPr>
          </w:p>
          <w:p w:rsidRPr="00AC3C37" w:rsidR="002F59FE" w:rsidP="002F59FE" w:rsidRDefault="002F59FE" w14:paraId="1606CBE2" w14:textId="77777777">
            <w:pPr>
              <w:pStyle w:val="Default"/>
              <w:rPr>
                <w:color w:val="auto"/>
                <w:sz w:val="22"/>
                <w:szCs w:val="22"/>
              </w:rPr>
            </w:pPr>
            <w:r w:rsidRPr="00AC3C37">
              <w:t xml:space="preserve">The </w:t>
            </w:r>
            <w:r w:rsidRPr="00AC3C37" w:rsidR="007118CF">
              <w:t>S</w:t>
            </w:r>
            <w:r w:rsidRPr="00AC3C37">
              <w:t>ervice</w:t>
            </w:r>
            <w:r w:rsidRPr="00AC3C37" w:rsidR="007118CF">
              <w:t>s</w:t>
            </w:r>
            <w:r w:rsidRPr="00AC3C37">
              <w:t xml:space="preserve"> </w:t>
            </w:r>
            <w:r w:rsidRPr="00AC3C37" w:rsidR="007118CF">
              <w:t xml:space="preserve">must </w:t>
            </w:r>
            <w:r w:rsidRPr="00AC3C37">
              <w:t xml:space="preserve">develop and provide </w:t>
            </w:r>
            <w:r w:rsidRPr="00AC3C37" w:rsidR="007118CF">
              <w:t>s</w:t>
            </w:r>
            <w:r w:rsidRPr="00AC3C37">
              <w:t xml:space="preserve">kills support to reduce </w:t>
            </w:r>
            <w:proofErr w:type="spellStart"/>
            <w:r w:rsidRPr="00AC3C37">
              <w:t>worklessness</w:t>
            </w:r>
            <w:proofErr w:type="spellEnd"/>
            <w:r w:rsidRPr="00AC3C37">
              <w:t xml:space="preserve"> amongst the hardest to reach communities by providing support to local communities to deliver local training solutions to engage disadvantaged learners, Innovative provision that engages people and enables them to enter education and/or employment. The </w:t>
            </w:r>
            <w:r w:rsidRPr="00AC3C37" w:rsidR="007118CF">
              <w:t>S</w:t>
            </w:r>
            <w:r w:rsidRPr="00AC3C37">
              <w:t>ervice</w:t>
            </w:r>
            <w:r w:rsidRPr="00AC3C37" w:rsidR="007118CF">
              <w:t>s</w:t>
            </w:r>
            <w:r w:rsidRPr="00AC3C37">
              <w:t xml:space="preserve"> </w:t>
            </w:r>
            <w:r w:rsidRPr="00AC3C37" w:rsidR="007118CF">
              <w:t xml:space="preserve">must </w:t>
            </w:r>
            <w:r w:rsidRPr="00AC3C37">
              <w:t xml:space="preserve">offer </w:t>
            </w:r>
            <w:r w:rsidRPr="00AC3C37" w:rsidR="007118CF">
              <w:t>f</w:t>
            </w:r>
            <w:r w:rsidRPr="00AC3C37">
              <w:t xml:space="preserve">unctional skills training, including literacy and ICT, promoting digital competence within the labour market; ESOL provision </w:t>
            </w:r>
            <w:r w:rsidRPr="00AC3C37" w:rsidR="007118CF">
              <w:t>l</w:t>
            </w:r>
            <w:r w:rsidRPr="00AC3C37">
              <w:t>earning programmes for learners with special educational needs</w:t>
            </w:r>
            <w:r w:rsidRPr="00AC3C37" w:rsidR="007118CF">
              <w:t xml:space="preserve"> and</w:t>
            </w:r>
            <w:r w:rsidRPr="00AC3C37">
              <w:t xml:space="preserve"> </w:t>
            </w:r>
            <w:r w:rsidRPr="00AC3C37" w:rsidR="007118CF">
              <w:t>s</w:t>
            </w:r>
            <w:r w:rsidRPr="00AC3C37">
              <w:t>upport independence skills for those with learning difficulties</w:t>
            </w:r>
          </w:p>
          <w:p w:rsidRPr="00AC3C37" w:rsidR="00F65D61" w:rsidP="00F65D61" w:rsidRDefault="00F65D61" w14:paraId="1606CBE3" w14:textId="77777777">
            <w:pPr>
              <w:pStyle w:val="Default"/>
              <w:rPr>
                <w:color w:val="auto"/>
                <w:sz w:val="22"/>
                <w:szCs w:val="22"/>
              </w:rPr>
            </w:pPr>
          </w:p>
          <w:p w:rsidR="00344FA1" w:rsidP="00D72023" w:rsidRDefault="00A503FD" w14:paraId="7850652F" w14:textId="77777777">
            <w:pPr>
              <w:rPr>
                <w:rFonts w:cs="Arial"/>
              </w:rPr>
            </w:pPr>
            <w:r w:rsidRPr="00AC3C37">
              <w:rPr>
                <w:rFonts w:cs="Arial"/>
              </w:rPr>
              <w:t xml:space="preserve">The Services </w:t>
            </w:r>
            <w:r w:rsidRPr="00AC3C37" w:rsidR="007118CF">
              <w:rPr>
                <w:rFonts w:cs="Arial"/>
              </w:rPr>
              <w:t xml:space="preserve">must </w:t>
            </w:r>
            <w:r w:rsidRPr="00AC3C37">
              <w:rPr>
                <w:rFonts w:cs="Arial"/>
              </w:rPr>
              <w:t>investigate existing demand for ESOL provision across the LEP area and explore where</w:t>
            </w:r>
            <w:r w:rsidRPr="00AC3C37" w:rsidR="007118CF">
              <w:rPr>
                <w:rFonts w:cs="Arial"/>
              </w:rPr>
              <w:t xml:space="preserve"> the Services </w:t>
            </w:r>
            <w:r w:rsidRPr="00AC3C37">
              <w:rPr>
                <w:rFonts w:cs="Arial"/>
              </w:rPr>
              <w:t xml:space="preserve">might be able to augment provision available to the target group and promote participation.  The Services </w:t>
            </w:r>
            <w:r w:rsidRPr="00AC3C37" w:rsidR="007118CF">
              <w:rPr>
                <w:rFonts w:cs="Arial"/>
              </w:rPr>
              <w:t xml:space="preserve">must </w:t>
            </w:r>
            <w:r w:rsidRPr="00AC3C37">
              <w:rPr>
                <w:rFonts w:cs="Arial"/>
              </w:rPr>
              <w:t>then offer provision that will be responsive to local demands and business needs including a package of support that will equip participants to develop the skills and workplace experience required by employers.</w:t>
            </w:r>
          </w:p>
          <w:p w:rsidRPr="002762EB" w:rsidR="00DE7779" w:rsidP="00D72023" w:rsidRDefault="00DE7779" w14:paraId="1606CBE4" w14:textId="77777777">
            <w:pPr>
              <w:rPr>
                <w:rFonts w:cs="Arial"/>
              </w:rPr>
            </w:pPr>
          </w:p>
        </w:tc>
      </w:tr>
      <w:tr w:rsidRPr="00544738" w:rsidR="00967429" w:rsidTr="2E3DAC76" w14:paraId="1606CBE7" w14:textId="77777777">
        <w:tc>
          <w:tcPr>
            <w:tcW w:w="9088" w:type="dxa"/>
            <w:shd w:val="clear" w:color="auto" w:fill="D9D9D9" w:themeFill="background1" w:themeFillShade="D9"/>
            <w:tcMar/>
          </w:tcPr>
          <w:p w:rsidRPr="00544738" w:rsidR="00967429" w:rsidP="00FD3B0A" w:rsidRDefault="003A52A2" w14:paraId="1606CBE6" w14:textId="77777777">
            <w:pPr>
              <w:pStyle w:val="SpecificationHeading"/>
            </w:pPr>
            <w:r>
              <w:lastRenderedPageBreak/>
              <w:t>Eligibility</w:t>
            </w:r>
          </w:p>
        </w:tc>
      </w:tr>
      <w:tr w:rsidRPr="00EF4406" w:rsidR="00967429" w:rsidTr="2E3DAC76" w14:paraId="1606CC14" w14:textId="77777777">
        <w:tc>
          <w:tcPr>
            <w:tcW w:w="9088" w:type="dxa"/>
            <w:tcMar/>
          </w:tcPr>
          <w:p w:rsidR="001E23AA" w:rsidP="002F70E9" w:rsidRDefault="001E23AA" w14:paraId="1606CBE8" w14:textId="77777777">
            <w:pPr>
              <w:rPr>
                <w:rFonts w:cs="Arial"/>
                <w:b/>
                <w:u w:val="single"/>
              </w:rPr>
            </w:pPr>
          </w:p>
          <w:p w:rsidRPr="00344FA1" w:rsidR="00A005EF" w:rsidP="00A005EF" w:rsidRDefault="00A005EF" w14:paraId="1606CBE9" w14:textId="77777777">
            <w:r>
              <w:rPr>
                <w:b/>
              </w:rPr>
              <w:t>General</w:t>
            </w:r>
          </w:p>
          <w:p w:rsidRPr="002833D9" w:rsidR="00A005EF" w:rsidP="00A005EF" w:rsidRDefault="00A005EF" w14:paraId="1606CBEA" w14:textId="77777777">
            <w:pPr>
              <w:rPr>
                <w:rFonts w:cs="Arial"/>
              </w:rPr>
            </w:pPr>
            <w:r w:rsidRPr="00BC7F87">
              <w:rPr>
                <w:rFonts w:cs="Arial"/>
              </w:rPr>
              <w:t xml:space="preserve">General eligibility requirements are set out in : </w:t>
            </w:r>
            <w:r w:rsidRPr="00BC7F87" w:rsidR="00025EF8">
              <w:rPr>
                <w:rFonts w:cs="Arial"/>
              </w:rPr>
              <w:t>the</w:t>
            </w:r>
            <w:r w:rsidRPr="00BC7F87" w:rsidR="00025EF8">
              <w:t xml:space="preserve"> </w:t>
            </w:r>
            <w:r w:rsidRPr="00BC7F87">
              <w:rPr>
                <w:rFonts w:cs="Arial"/>
              </w:rPr>
              <w:t>European Social Fund Programme for England 2014-2020</w:t>
            </w:r>
            <w:r w:rsidRPr="00BC7F87" w:rsidR="00384AE2">
              <w:rPr>
                <w:rFonts w:cs="Arial"/>
              </w:rPr>
              <w:t xml:space="preserve"> National Eligibility Rules</w:t>
            </w:r>
            <w:r w:rsidRPr="00BC7F87" w:rsidR="00025EF8">
              <w:rPr>
                <w:rFonts w:cs="Arial"/>
              </w:rPr>
              <w:t xml:space="preserve"> which can be found here: </w:t>
            </w:r>
            <w:hyperlink w:history="1" r:id="rId16">
              <w:r w:rsidRPr="00BC7F87" w:rsidR="00475879">
                <w:rPr>
                  <w:rStyle w:val="Hyperlink"/>
                  <w:rFonts w:cs="Arial"/>
                  <w:sz w:val="24"/>
                  <w:szCs w:val="24"/>
                </w:rPr>
                <w:t>https://www.gov.uk/government/publications/european-structural-and-investment-funds-programme-guidance</w:t>
              </w:r>
            </w:hyperlink>
            <w:r w:rsidR="00475879">
              <w:rPr>
                <w:rFonts w:cs="Arial"/>
              </w:rPr>
              <w:t xml:space="preserve"> </w:t>
            </w:r>
          </w:p>
          <w:p w:rsidR="00A005EF" w:rsidP="00C107CE" w:rsidRDefault="00A005EF" w14:paraId="1606CBEB" w14:textId="77777777">
            <w:pPr>
              <w:rPr>
                <w:rFonts w:cs="Arial"/>
              </w:rPr>
            </w:pPr>
          </w:p>
          <w:p w:rsidR="00394F36" w:rsidP="00394F36" w:rsidRDefault="00394F36" w14:paraId="1606CBEC" w14:textId="77777777">
            <w:pPr>
              <w:rPr>
                <w:rFonts w:cs="Arial"/>
              </w:rPr>
            </w:pPr>
            <w:r w:rsidRPr="00F67261">
              <w:rPr>
                <w:rFonts w:cs="Arial"/>
              </w:rPr>
              <w:t>Please note LEP Specific requirements are subject to the National Eligibility Rules detailed above.</w:t>
            </w:r>
          </w:p>
          <w:p w:rsidR="00204794" w:rsidP="00394F36" w:rsidRDefault="00204794" w14:paraId="1606CBED" w14:textId="77777777">
            <w:pPr>
              <w:rPr>
                <w:rFonts w:cs="Arial"/>
              </w:rPr>
            </w:pPr>
          </w:p>
          <w:p w:rsidR="00162B5B" w:rsidP="00162B5B" w:rsidRDefault="00C336D2" w14:paraId="1606CBEE" w14:textId="77777777">
            <w:pPr>
              <w:rPr>
                <w:b/>
              </w:rPr>
            </w:pPr>
            <w:r w:rsidRPr="00AC3C37">
              <w:rPr>
                <w:b/>
              </w:rPr>
              <w:t>I</w:t>
            </w:r>
            <w:r w:rsidR="003F020C">
              <w:rPr>
                <w:b/>
              </w:rPr>
              <w:t xml:space="preserve">nvestment </w:t>
            </w:r>
            <w:r w:rsidRPr="00AC3C37">
              <w:rPr>
                <w:b/>
              </w:rPr>
              <w:t>P</w:t>
            </w:r>
            <w:r w:rsidR="003F020C">
              <w:rPr>
                <w:b/>
              </w:rPr>
              <w:t>riority</w:t>
            </w:r>
            <w:r w:rsidRPr="00AC3C37">
              <w:rPr>
                <w:b/>
              </w:rPr>
              <w:t xml:space="preserve"> 1.1 </w:t>
            </w:r>
            <w:r w:rsidRPr="00AC3C37" w:rsidR="00162B5B">
              <w:rPr>
                <w:b/>
              </w:rPr>
              <w:t>Access to employment for jobseekers and inactive people:</w:t>
            </w:r>
          </w:p>
          <w:p w:rsidRPr="00AC3C37" w:rsidR="00F004AA" w:rsidP="00162B5B" w:rsidRDefault="00F004AA" w14:paraId="1606CBEF" w14:textId="77777777">
            <w:pPr>
              <w:rPr>
                <w:b/>
              </w:rPr>
            </w:pPr>
          </w:p>
          <w:p w:rsidRPr="009143C5" w:rsidR="00F004AA" w:rsidP="00F004AA" w:rsidRDefault="00F004AA" w14:paraId="1606CBF0" w14:textId="77777777">
            <w:pPr>
              <w:pStyle w:val="ListParagraph"/>
              <w:numPr>
                <w:ilvl w:val="0"/>
                <w:numId w:val="13"/>
              </w:numPr>
              <w:rPr>
                <w:rFonts w:cs="Arial"/>
              </w:rPr>
            </w:pPr>
            <w:r w:rsidRPr="009143C5">
              <w:rPr>
                <w:rFonts w:cs="Arial"/>
              </w:rPr>
              <w:t xml:space="preserve">Aged 18 plus at start of intervention </w:t>
            </w:r>
          </w:p>
          <w:p w:rsidRPr="00AC3C37" w:rsidR="00162B5B" w:rsidP="00A503FD" w:rsidRDefault="00162B5B" w14:paraId="1606CBF1" w14:textId="77777777">
            <w:pPr>
              <w:pStyle w:val="ListParagraph"/>
              <w:numPr>
                <w:ilvl w:val="0"/>
                <w:numId w:val="13"/>
              </w:numPr>
              <w:rPr>
                <w:rFonts w:cs="Arial"/>
              </w:rPr>
            </w:pPr>
            <w:r w:rsidRPr="00AC3C37">
              <w:rPr>
                <w:rFonts w:cs="Arial"/>
              </w:rPr>
              <w:t>Unemployed</w:t>
            </w:r>
            <w:r w:rsidRPr="00AC3C37" w:rsidR="00CC112A">
              <w:rPr>
                <w:rFonts w:cs="Arial"/>
              </w:rPr>
              <w:t>, any length of unemployment</w:t>
            </w:r>
          </w:p>
          <w:p w:rsidRPr="00AC3C37" w:rsidR="00162B5B" w:rsidP="00A503FD" w:rsidRDefault="00162B5B" w14:paraId="1606CBF2" w14:textId="77777777">
            <w:pPr>
              <w:pStyle w:val="ListParagraph"/>
              <w:numPr>
                <w:ilvl w:val="0"/>
                <w:numId w:val="13"/>
              </w:numPr>
              <w:rPr>
                <w:rFonts w:cs="Arial"/>
              </w:rPr>
            </w:pPr>
            <w:r w:rsidRPr="00AC3C37">
              <w:rPr>
                <w:rFonts w:cs="Arial"/>
              </w:rPr>
              <w:t>Inactive</w:t>
            </w:r>
          </w:p>
          <w:p w:rsidRPr="00AC3C37" w:rsidR="00162B5B" w:rsidP="00394F36" w:rsidRDefault="00162B5B" w14:paraId="1606CBF3" w14:textId="77777777">
            <w:pPr>
              <w:rPr>
                <w:rFonts w:cs="Arial"/>
              </w:rPr>
            </w:pPr>
          </w:p>
          <w:p w:rsidRPr="00AC3C37" w:rsidR="00394F36" w:rsidP="00162B5B" w:rsidRDefault="00394F36" w14:paraId="1606CBF4" w14:textId="77777777">
            <w:pPr>
              <w:rPr>
                <w:rFonts w:ascii="Calibri" w:hAnsi="Calibri"/>
                <w:iCs/>
                <w:sz w:val="22"/>
                <w:szCs w:val="22"/>
              </w:rPr>
            </w:pPr>
            <w:r w:rsidRPr="00AC3C37">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rsidRPr="006002A9" w:rsidR="003E0C7F" w:rsidP="00394F36" w:rsidRDefault="003E0C7F" w14:paraId="1606CBF5" w14:textId="77777777">
            <w:pPr>
              <w:ind w:left="720"/>
              <w:rPr>
                <w:iCs/>
                <w:highlight w:val="green"/>
              </w:rPr>
            </w:pPr>
          </w:p>
          <w:p w:rsidRPr="006002A9" w:rsidR="00394F36" w:rsidP="00A005EF" w:rsidRDefault="00394F36" w14:paraId="1606CBF6" w14:textId="77777777">
            <w:pPr>
              <w:rPr>
                <w:rFonts w:cs="Arial"/>
                <w:highlight w:val="green"/>
              </w:rPr>
            </w:pPr>
          </w:p>
          <w:p w:rsidRPr="00AC3C37" w:rsidR="00162B5B" w:rsidP="00162B5B" w:rsidRDefault="00C336D2" w14:paraId="1606CBF7" w14:textId="77777777">
            <w:pPr>
              <w:rPr>
                <w:b/>
              </w:rPr>
            </w:pPr>
            <w:r w:rsidRPr="00AC3C37">
              <w:rPr>
                <w:b/>
              </w:rPr>
              <w:t>I</w:t>
            </w:r>
            <w:r w:rsidR="003F020C">
              <w:rPr>
                <w:b/>
              </w:rPr>
              <w:t xml:space="preserve">nvestment </w:t>
            </w:r>
            <w:r w:rsidRPr="00AC3C37">
              <w:rPr>
                <w:b/>
              </w:rPr>
              <w:t>P</w:t>
            </w:r>
            <w:r w:rsidR="003F020C">
              <w:rPr>
                <w:b/>
              </w:rPr>
              <w:t xml:space="preserve">riority </w:t>
            </w:r>
            <w:r w:rsidRPr="00AC3C37">
              <w:rPr>
                <w:b/>
              </w:rPr>
              <w:t xml:space="preserve">1.1 </w:t>
            </w:r>
            <w:r w:rsidRPr="00AC3C37" w:rsidR="00162B5B">
              <w:rPr>
                <w:b/>
              </w:rPr>
              <w:t>Access to employment for jobseekers and inactive people:</w:t>
            </w:r>
          </w:p>
          <w:tbl>
            <w:tblPr>
              <w:tblW w:w="5983" w:type="dxa"/>
              <w:tblLook w:val="04A0" w:firstRow="1" w:lastRow="0" w:firstColumn="1" w:lastColumn="0" w:noHBand="0" w:noVBand="1"/>
            </w:tblPr>
            <w:tblGrid>
              <w:gridCol w:w="4423"/>
              <w:gridCol w:w="1560"/>
            </w:tblGrid>
            <w:tr w:rsidRPr="003F020C" w:rsidR="00AC3C37" w:rsidTr="00D72023" w14:paraId="1606CBFA" w14:textId="77777777">
              <w:trPr>
                <w:trHeight w:val="504"/>
              </w:trPr>
              <w:tc>
                <w:tcPr>
                  <w:tcW w:w="4423" w:type="dxa"/>
                  <w:tcBorders>
                    <w:top w:val="nil"/>
                    <w:left w:val="nil"/>
                    <w:bottom w:val="nil"/>
                    <w:right w:val="nil"/>
                  </w:tcBorders>
                  <w:shd w:val="clear" w:color="auto" w:fill="auto"/>
                  <w:noWrap/>
                  <w:vAlign w:val="bottom"/>
                  <w:hideMark/>
                </w:tcPr>
                <w:p w:rsidRPr="003F020C" w:rsidR="00AC3C37" w:rsidP="00162B5B" w:rsidRDefault="00AC3C37" w14:paraId="1606CBF8" w14:textId="77777777">
                  <w:pPr>
                    <w:rPr>
                      <w:rFonts w:cs="Arial"/>
                      <w:lang w:eastAsia="en-GB"/>
                    </w:rPr>
                  </w:pPr>
                </w:p>
              </w:tc>
              <w:tc>
                <w:tcPr>
                  <w:tcW w:w="1560" w:type="dxa"/>
                  <w:tcBorders>
                    <w:top w:val="nil"/>
                    <w:left w:val="nil"/>
                    <w:bottom w:val="nil"/>
                    <w:right w:val="nil"/>
                  </w:tcBorders>
                  <w:shd w:val="clear" w:color="auto" w:fill="auto"/>
                  <w:vAlign w:val="bottom"/>
                  <w:hideMark/>
                </w:tcPr>
                <w:p w:rsidRPr="003F020C" w:rsidR="00AC3C37" w:rsidP="00162B5B" w:rsidRDefault="00AC3C37" w14:paraId="1606CBF9" w14:textId="77777777">
                  <w:pPr>
                    <w:jc w:val="center"/>
                    <w:rPr>
                      <w:rFonts w:cs="Arial"/>
                      <w:b/>
                      <w:bCs/>
                      <w:color w:val="000000"/>
                      <w:lang w:eastAsia="en-GB"/>
                    </w:rPr>
                  </w:pPr>
                </w:p>
              </w:tc>
            </w:tr>
            <w:tr w:rsidRPr="003F020C" w:rsidR="00AC3C37" w:rsidTr="00D72023" w14:paraId="1606CBFD" w14:textId="77777777">
              <w:trPr>
                <w:trHeight w:val="576"/>
              </w:trPr>
              <w:tc>
                <w:tcPr>
                  <w:tcW w:w="4423" w:type="dxa"/>
                  <w:tcBorders>
                    <w:top w:val="nil"/>
                    <w:left w:val="nil"/>
                    <w:bottom w:val="nil"/>
                    <w:right w:val="nil"/>
                  </w:tcBorders>
                  <w:shd w:val="clear" w:color="auto" w:fill="auto"/>
                  <w:vAlign w:val="bottom"/>
                  <w:hideMark/>
                </w:tcPr>
                <w:p w:rsidRPr="003F020C" w:rsidR="00AC3C37" w:rsidP="00162B5B" w:rsidRDefault="00AC3C37" w14:paraId="1606CBFB" w14:textId="77777777">
                  <w:pPr>
                    <w:rPr>
                      <w:rFonts w:cs="Arial"/>
                      <w:color w:val="000000"/>
                      <w:lang w:eastAsia="en-GB"/>
                    </w:rPr>
                  </w:pPr>
                  <w:r w:rsidRPr="003F020C">
                    <w:rPr>
                      <w:rFonts w:cs="Arial"/>
                      <w:color w:val="000000"/>
                      <w:lang w:eastAsia="en-GB"/>
                    </w:rPr>
                    <w:t>Total participants who are unemployed (including long term unemployed)</w:t>
                  </w:r>
                </w:p>
              </w:tc>
              <w:tc>
                <w:tcPr>
                  <w:tcW w:w="1560" w:type="dxa"/>
                  <w:tcBorders>
                    <w:top w:val="nil"/>
                    <w:left w:val="nil"/>
                    <w:bottom w:val="nil"/>
                    <w:right w:val="nil"/>
                  </w:tcBorders>
                  <w:shd w:val="clear" w:color="auto" w:fill="auto"/>
                  <w:noWrap/>
                  <w:vAlign w:val="bottom"/>
                  <w:hideMark/>
                </w:tcPr>
                <w:p w:rsidRPr="003F020C" w:rsidR="00AC3C37" w:rsidP="00162B5B" w:rsidRDefault="00AC3C37" w14:paraId="1606CBFC" w14:textId="77777777">
                  <w:pPr>
                    <w:jc w:val="center"/>
                    <w:rPr>
                      <w:rFonts w:cs="Arial"/>
                      <w:color w:val="000000"/>
                      <w:lang w:eastAsia="en-GB"/>
                    </w:rPr>
                  </w:pPr>
                  <w:r w:rsidRPr="003F020C">
                    <w:rPr>
                      <w:rFonts w:cs="Arial"/>
                      <w:color w:val="000000"/>
                      <w:lang w:eastAsia="en-GB"/>
                    </w:rPr>
                    <w:t>70%</w:t>
                  </w:r>
                </w:p>
              </w:tc>
            </w:tr>
            <w:tr w:rsidRPr="003F020C" w:rsidR="00AC3C37" w:rsidTr="00D72023" w14:paraId="1606CC00" w14:textId="77777777">
              <w:trPr>
                <w:trHeight w:val="288"/>
              </w:trPr>
              <w:tc>
                <w:tcPr>
                  <w:tcW w:w="4423" w:type="dxa"/>
                  <w:tcBorders>
                    <w:top w:val="nil"/>
                    <w:left w:val="nil"/>
                    <w:bottom w:val="nil"/>
                    <w:right w:val="nil"/>
                  </w:tcBorders>
                  <w:shd w:val="clear" w:color="auto" w:fill="auto"/>
                  <w:vAlign w:val="bottom"/>
                  <w:hideMark/>
                </w:tcPr>
                <w:p w:rsidRPr="003F020C" w:rsidR="00AC3C37" w:rsidP="00162B5B" w:rsidRDefault="00AC3C37" w14:paraId="1606CBFE" w14:textId="77777777">
                  <w:pPr>
                    <w:rPr>
                      <w:rFonts w:cs="Arial"/>
                      <w:color w:val="000000"/>
                      <w:lang w:eastAsia="en-GB"/>
                    </w:rPr>
                  </w:pPr>
                  <w:r w:rsidRPr="003F020C">
                    <w:rPr>
                      <w:rFonts w:cs="Arial"/>
                      <w:color w:val="000000"/>
                      <w:lang w:eastAsia="en-GB"/>
                    </w:rPr>
                    <w:t>Total participants who are inactive</w:t>
                  </w:r>
                </w:p>
              </w:tc>
              <w:tc>
                <w:tcPr>
                  <w:tcW w:w="1560" w:type="dxa"/>
                  <w:tcBorders>
                    <w:top w:val="nil"/>
                    <w:left w:val="nil"/>
                    <w:bottom w:val="nil"/>
                    <w:right w:val="nil"/>
                  </w:tcBorders>
                  <w:shd w:val="clear" w:color="auto" w:fill="auto"/>
                  <w:noWrap/>
                  <w:vAlign w:val="bottom"/>
                  <w:hideMark/>
                </w:tcPr>
                <w:p w:rsidRPr="003F020C" w:rsidR="00AC3C37" w:rsidP="00162B5B" w:rsidRDefault="00AC3C37" w14:paraId="1606CBFF" w14:textId="77777777">
                  <w:pPr>
                    <w:jc w:val="center"/>
                    <w:rPr>
                      <w:rFonts w:cs="Arial"/>
                      <w:color w:val="000000"/>
                      <w:lang w:eastAsia="en-GB"/>
                    </w:rPr>
                  </w:pPr>
                  <w:r w:rsidRPr="003F020C">
                    <w:rPr>
                      <w:rFonts w:cs="Arial"/>
                      <w:color w:val="000000"/>
                      <w:lang w:eastAsia="en-GB"/>
                    </w:rPr>
                    <w:t>25%</w:t>
                  </w:r>
                </w:p>
              </w:tc>
            </w:tr>
            <w:tr w:rsidRPr="003F020C" w:rsidR="00AC3C37" w:rsidTr="00D72023" w14:paraId="1606CC03" w14:textId="77777777">
              <w:trPr>
                <w:trHeight w:val="288"/>
              </w:trPr>
              <w:tc>
                <w:tcPr>
                  <w:tcW w:w="4423" w:type="dxa"/>
                  <w:tcBorders>
                    <w:top w:val="nil"/>
                    <w:left w:val="nil"/>
                    <w:bottom w:val="nil"/>
                    <w:right w:val="nil"/>
                  </w:tcBorders>
                  <w:shd w:val="clear" w:color="auto" w:fill="auto"/>
                  <w:vAlign w:val="bottom"/>
                  <w:hideMark/>
                </w:tcPr>
                <w:p w:rsidRPr="003F020C" w:rsidR="00AC3C37" w:rsidP="00162B5B" w:rsidRDefault="00AC3C37" w14:paraId="1606CC01" w14:textId="77777777">
                  <w:pPr>
                    <w:rPr>
                      <w:rFonts w:cs="Arial"/>
                      <w:color w:val="000000"/>
                      <w:lang w:eastAsia="en-GB"/>
                    </w:rPr>
                  </w:pPr>
                  <w:r w:rsidRPr="003F020C">
                    <w:rPr>
                      <w:rFonts w:cs="Arial"/>
                      <w:color w:val="000000"/>
                      <w:lang w:eastAsia="en-GB"/>
                    </w:rPr>
                    <w:t>Participants who are over 50</w:t>
                  </w:r>
                </w:p>
              </w:tc>
              <w:tc>
                <w:tcPr>
                  <w:tcW w:w="1560" w:type="dxa"/>
                  <w:tcBorders>
                    <w:top w:val="nil"/>
                    <w:left w:val="nil"/>
                    <w:bottom w:val="nil"/>
                    <w:right w:val="nil"/>
                  </w:tcBorders>
                  <w:shd w:val="clear" w:color="auto" w:fill="auto"/>
                  <w:noWrap/>
                  <w:vAlign w:val="bottom"/>
                  <w:hideMark/>
                </w:tcPr>
                <w:p w:rsidRPr="003F020C" w:rsidR="00AC3C37" w:rsidP="00162B5B" w:rsidRDefault="00AC3C37" w14:paraId="1606CC02" w14:textId="77777777">
                  <w:pPr>
                    <w:jc w:val="center"/>
                    <w:rPr>
                      <w:rFonts w:cs="Arial"/>
                      <w:color w:val="000000"/>
                      <w:lang w:eastAsia="en-GB"/>
                    </w:rPr>
                  </w:pPr>
                  <w:r w:rsidRPr="003F020C">
                    <w:rPr>
                      <w:rFonts w:cs="Arial"/>
                      <w:color w:val="000000"/>
                      <w:lang w:eastAsia="en-GB"/>
                    </w:rPr>
                    <w:t>20%</w:t>
                  </w:r>
                </w:p>
              </w:tc>
            </w:tr>
            <w:tr w:rsidRPr="003F020C" w:rsidR="00AC3C37" w:rsidTr="00D72023" w14:paraId="1606CC06" w14:textId="77777777">
              <w:trPr>
                <w:trHeight w:val="288"/>
              </w:trPr>
              <w:tc>
                <w:tcPr>
                  <w:tcW w:w="4423" w:type="dxa"/>
                  <w:tcBorders>
                    <w:top w:val="nil"/>
                    <w:left w:val="nil"/>
                    <w:bottom w:val="nil"/>
                    <w:right w:val="nil"/>
                  </w:tcBorders>
                  <w:shd w:val="clear" w:color="auto" w:fill="auto"/>
                  <w:vAlign w:val="bottom"/>
                  <w:hideMark/>
                </w:tcPr>
                <w:p w:rsidRPr="003F020C" w:rsidR="00AC3C37" w:rsidP="00162B5B" w:rsidRDefault="00AC3C37" w14:paraId="1606CC04" w14:textId="77777777">
                  <w:pPr>
                    <w:rPr>
                      <w:rFonts w:cs="Arial"/>
                      <w:color w:val="000000"/>
                      <w:lang w:eastAsia="en-GB"/>
                    </w:rPr>
                  </w:pPr>
                  <w:r w:rsidRPr="003F020C">
                    <w:rPr>
                      <w:rFonts w:cs="Arial"/>
                      <w:color w:val="000000"/>
                      <w:lang w:eastAsia="en-GB"/>
                    </w:rPr>
                    <w:t>Participants from ethnic minorities</w:t>
                  </w:r>
                </w:p>
              </w:tc>
              <w:tc>
                <w:tcPr>
                  <w:tcW w:w="1560" w:type="dxa"/>
                  <w:tcBorders>
                    <w:top w:val="nil"/>
                    <w:left w:val="nil"/>
                    <w:bottom w:val="nil"/>
                    <w:right w:val="nil"/>
                  </w:tcBorders>
                  <w:shd w:val="clear" w:color="auto" w:fill="auto"/>
                  <w:noWrap/>
                  <w:vAlign w:val="bottom"/>
                  <w:hideMark/>
                </w:tcPr>
                <w:p w:rsidRPr="003F020C" w:rsidR="00AC3C37" w:rsidP="00162B5B" w:rsidRDefault="00AC3C37" w14:paraId="1606CC05" w14:textId="77777777">
                  <w:pPr>
                    <w:jc w:val="center"/>
                    <w:rPr>
                      <w:rFonts w:cs="Arial"/>
                      <w:color w:val="000000"/>
                      <w:lang w:eastAsia="en-GB"/>
                    </w:rPr>
                  </w:pPr>
                  <w:r w:rsidRPr="003F020C">
                    <w:rPr>
                      <w:rFonts w:cs="Arial"/>
                      <w:color w:val="000000"/>
                      <w:lang w:eastAsia="en-GB"/>
                    </w:rPr>
                    <w:t>22%</w:t>
                  </w:r>
                </w:p>
              </w:tc>
            </w:tr>
            <w:tr w:rsidRPr="003F020C" w:rsidR="00AC3C37" w:rsidTr="00D72023" w14:paraId="1606CC09" w14:textId="77777777">
              <w:trPr>
                <w:trHeight w:val="288"/>
              </w:trPr>
              <w:tc>
                <w:tcPr>
                  <w:tcW w:w="4423" w:type="dxa"/>
                  <w:tcBorders>
                    <w:top w:val="nil"/>
                    <w:left w:val="nil"/>
                    <w:bottom w:val="nil"/>
                    <w:right w:val="nil"/>
                  </w:tcBorders>
                  <w:shd w:val="clear" w:color="auto" w:fill="auto"/>
                  <w:vAlign w:val="bottom"/>
                  <w:hideMark/>
                </w:tcPr>
                <w:p w:rsidRPr="003F020C" w:rsidR="00AC3C37" w:rsidP="00162B5B" w:rsidRDefault="00AC3C37" w14:paraId="1606CC07" w14:textId="77777777">
                  <w:pPr>
                    <w:rPr>
                      <w:rFonts w:cs="Arial"/>
                      <w:color w:val="000000"/>
                      <w:lang w:eastAsia="en-GB"/>
                    </w:rPr>
                  </w:pPr>
                  <w:r w:rsidRPr="003F020C">
                    <w:rPr>
                      <w:rFonts w:cs="Arial"/>
                      <w:color w:val="000000"/>
                      <w:lang w:eastAsia="en-GB"/>
                    </w:rPr>
                    <w:t>Female participants</w:t>
                  </w:r>
                </w:p>
              </w:tc>
              <w:tc>
                <w:tcPr>
                  <w:tcW w:w="1560" w:type="dxa"/>
                  <w:tcBorders>
                    <w:top w:val="nil"/>
                    <w:left w:val="nil"/>
                    <w:bottom w:val="nil"/>
                    <w:right w:val="nil"/>
                  </w:tcBorders>
                  <w:shd w:val="clear" w:color="auto" w:fill="auto"/>
                  <w:noWrap/>
                  <w:vAlign w:val="bottom"/>
                  <w:hideMark/>
                </w:tcPr>
                <w:p w:rsidRPr="003F020C" w:rsidR="00AC3C37" w:rsidP="00162B5B" w:rsidRDefault="00AC3C37" w14:paraId="1606CC08" w14:textId="77777777">
                  <w:pPr>
                    <w:jc w:val="center"/>
                    <w:rPr>
                      <w:rFonts w:cs="Arial"/>
                      <w:color w:val="000000"/>
                      <w:lang w:eastAsia="en-GB"/>
                    </w:rPr>
                  </w:pPr>
                  <w:r w:rsidRPr="003F020C">
                    <w:rPr>
                      <w:rFonts w:cs="Arial"/>
                      <w:color w:val="000000"/>
                      <w:lang w:eastAsia="en-GB"/>
                    </w:rPr>
                    <w:t>45%</w:t>
                  </w:r>
                </w:p>
              </w:tc>
            </w:tr>
            <w:tr w:rsidRPr="003F020C" w:rsidR="00AC3C37" w:rsidTr="00D72023" w14:paraId="1606CC0C" w14:textId="77777777">
              <w:trPr>
                <w:trHeight w:val="288"/>
              </w:trPr>
              <w:tc>
                <w:tcPr>
                  <w:tcW w:w="4423" w:type="dxa"/>
                  <w:tcBorders>
                    <w:top w:val="nil"/>
                    <w:left w:val="nil"/>
                    <w:bottom w:val="nil"/>
                    <w:right w:val="nil"/>
                  </w:tcBorders>
                  <w:shd w:val="clear" w:color="auto" w:fill="auto"/>
                  <w:vAlign w:val="bottom"/>
                  <w:hideMark/>
                </w:tcPr>
                <w:p w:rsidRPr="003F020C" w:rsidR="00AC3C37" w:rsidP="00162B5B" w:rsidRDefault="00AC3C37" w14:paraId="1606CC0A" w14:textId="77777777">
                  <w:pPr>
                    <w:rPr>
                      <w:rFonts w:cs="Arial"/>
                      <w:color w:val="000000"/>
                      <w:lang w:eastAsia="en-GB"/>
                    </w:rPr>
                  </w:pPr>
                  <w:r w:rsidRPr="003F020C">
                    <w:rPr>
                      <w:rFonts w:cs="Arial"/>
                      <w:color w:val="000000"/>
                      <w:lang w:eastAsia="en-GB"/>
                    </w:rPr>
                    <w:t>Participants without basic skills</w:t>
                  </w:r>
                </w:p>
              </w:tc>
              <w:tc>
                <w:tcPr>
                  <w:tcW w:w="1560" w:type="dxa"/>
                  <w:tcBorders>
                    <w:top w:val="nil"/>
                    <w:left w:val="nil"/>
                    <w:bottom w:val="nil"/>
                    <w:right w:val="nil"/>
                  </w:tcBorders>
                  <w:shd w:val="clear" w:color="auto" w:fill="auto"/>
                  <w:noWrap/>
                  <w:vAlign w:val="bottom"/>
                  <w:hideMark/>
                </w:tcPr>
                <w:p w:rsidRPr="003F020C" w:rsidR="00AC3C37" w:rsidP="00162B5B" w:rsidRDefault="00AC3C37" w14:paraId="1606CC0B" w14:textId="77777777">
                  <w:pPr>
                    <w:jc w:val="center"/>
                    <w:rPr>
                      <w:rFonts w:cs="Arial"/>
                      <w:color w:val="000000"/>
                      <w:lang w:eastAsia="en-GB"/>
                    </w:rPr>
                  </w:pPr>
                  <w:r w:rsidRPr="003F020C">
                    <w:rPr>
                      <w:rFonts w:cs="Arial"/>
                      <w:color w:val="000000"/>
                      <w:lang w:eastAsia="en-GB"/>
                    </w:rPr>
                    <w:t>21%</w:t>
                  </w:r>
                </w:p>
              </w:tc>
            </w:tr>
            <w:tr w:rsidRPr="003F020C" w:rsidR="00AC3C37" w:rsidTr="00D72023" w14:paraId="1606CC0F" w14:textId="77777777">
              <w:trPr>
                <w:trHeight w:val="288"/>
              </w:trPr>
              <w:tc>
                <w:tcPr>
                  <w:tcW w:w="4423" w:type="dxa"/>
                  <w:tcBorders>
                    <w:top w:val="nil"/>
                    <w:left w:val="nil"/>
                    <w:bottom w:val="nil"/>
                    <w:right w:val="nil"/>
                  </w:tcBorders>
                  <w:shd w:val="clear" w:color="auto" w:fill="auto"/>
                  <w:vAlign w:val="bottom"/>
                  <w:hideMark/>
                </w:tcPr>
                <w:p w:rsidRPr="003F020C" w:rsidR="00AC3C37" w:rsidP="00162B5B" w:rsidRDefault="00AC3C37" w14:paraId="1606CC0D" w14:textId="77777777">
                  <w:pPr>
                    <w:rPr>
                      <w:rFonts w:cs="Arial"/>
                      <w:color w:val="000000"/>
                      <w:lang w:eastAsia="en-GB"/>
                    </w:rPr>
                  </w:pPr>
                  <w:r w:rsidRPr="003F020C">
                    <w:rPr>
                      <w:rFonts w:cs="Arial"/>
                      <w:color w:val="000000"/>
                      <w:lang w:eastAsia="en-GB"/>
                    </w:rPr>
                    <w:t>Participants with a disability or health problems</w:t>
                  </w:r>
                </w:p>
              </w:tc>
              <w:tc>
                <w:tcPr>
                  <w:tcW w:w="1560" w:type="dxa"/>
                  <w:tcBorders>
                    <w:top w:val="nil"/>
                    <w:left w:val="nil"/>
                    <w:bottom w:val="nil"/>
                    <w:right w:val="nil"/>
                  </w:tcBorders>
                  <w:shd w:val="clear" w:color="auto" w:fill="auto"/>
                  <w:noWrap/>
                  <w:vAlign w:val="bottom"/>
                  <w:hideMark/>
                </w:tcPr>
                <w:p w:rsidRPr="003F020C" w:rsidR="00AC3C37" w:rsidP="00162B5B" w:rsidRDefault="00AC3C37" w14:paraId="1606CC0E" w14:textId="77777777">
                  <w:pPr>
                    <w:jc w:val="center"/>
                    <w:rPr>
                      <w:rFonts w:cs="Arial"/>
                      <w:color w:val="000000"/>
                      <w:lang w:eastAsia="en-GB"/>
                    </w:rPr>
                  </w:pPr>
                  <w:r w:rsidRPr="003F020C">
                    <w:rPr>
                      <w:rFonts w:cs="Arial"/>
                      <w:color w:val="000000"/>
                      <w:lang w:eastAsia="en-GB"/>
                    </w:rPr>
                    <w:t>25%</w:t>
                  </w:r>
                </w:p>
              </w:tc>
            </w:tr>
            <w:tr w:rsidRPr="003F020C" w:rsidR="00AC3C37" w:rsidTr="00D72023" w14:paraId="1606CC12" w14:textId="77777777">
              <w:trPr>
                <w:trHeight w:val="288"/>
              </w:trPr>
              <w:tc>
                <w:tcPr>
                  <w:tcW w:w="4423" w:type="dxa"/>
                  <w:tcBorders>
                    <w:top w:val="nil"/>
                    <w:left w:val="nil"/>
                    <w:bottom w:val="nil"/>
                    <w:right w:val="nil"/>
                  </w:tcBorders>
                  <w:shd w:val="clear" w:color="auto" w:fill="auto"/>
                  <w:vAlign w:val="bottom"/>
                  <w:hideMark/>
                </w:tcPr>
                <w:p w:rsidRPr="003F020C" w:rsidR="00AC3C37" w:rsidP="00162B5B" w:rsidRDefault="00AC3C37" w14:paraId="1606CC10" w14:textId="77777777">
                  <w:pPr>
                    <w:rPr>
                      <w:rFonts w:cs="Arial"/>
                      <w:color w:val="000000"/>
                      <w:lang w:eastAsia="en-GB"/>
                    </w:rPr>
                  </w:pPr>
                  <w:r w:rsidRPr="003F020C">
                    <w:rPr>
                      <w:rFonts w:cs="Arial"/>
                      <w:color w:val="000000"/>
                      <w:lang w:eastAsia="en-GB"/>
                    </w:rPr>
                    <w:t>Participants who are lone parents</w:t>
                  </w:r>
                </w:p>
              </w:tc>
              <w:tc>
                <w:tcPr>
                  <w:tcW w:w="1560" w:type="dxa"/>
                  <w:tcBorders>
                    <w:top w:val="nil"/>
                    <w:left w:val="nil"/>
                    <w:bottom w:val="nil"/>
                    <w:right w:val="nil"/>
                  </w:tcBorders>
                  <w:shd w:val="clear" w:color="auto" w:fill="auto"/>
                  <w:noWrap/>
                  <w:vAlign w:val="bottom"/>
                  <w:hideMark/>
                </w:tcPr>
                <w:p w:rsidRPr="003F020C" w:rsidR="00AC3C37" w:rsidP="00162B5B" w:rsidRDefault="00AC3C37" w14:paraId="1606CC11" w14:textId="77777777">
                  <w:pPr>
                    <w:jc w:val="center"/>
                    <w:rPr>
                      <w:rFonts w:cs="Arial"/>
                      <w:color w:val="000000"/>
                      <w:lang w:eastAsia="en-GB"/>
                    </w:rPr>
                  </w:pPr>
                  <w:r w:rsidRPr="003F020C">
                    <w:rPr>
                      <w:rFonts w:cs="Arial"/>
                      <w:color w:val="000000"/>
                      <w:lang w:eastAsia="en-GB"/>
                    </w:rPr>
                    <w:t>13%</w:t>
                  </w:r>
                </w:p>
              </w:tc>
            </w:tr>
          </w:tbl>
          <w:p w:rsidRPr="00162B5B" w:rsidR="00FD3B0A" w:rsidP="00162B5B" w:rsidRDefault="00FD3B0A" w14:paraId="1606CC13" w14:textId="77777777">
            <w:pPr>
              <w:rPr>
                <w:rFonts w:cs="Arial"/>
                <w:color w:val="000000"/>
              </w:rPr>
            </w:pPr>
          </w:p>
        </w:tc>
      </w:tr>
      <w:tr w:rsidRPr="00EF4406" w:rsidR="00967429" w:rsidTr="2E3DAC76" w14:paraId="1606CC16" w14:textId="77777777">
        <w:tc>
          <w:tcPr>
            <w:tcW w:w="9088" w:type="dxa"/>
            <w:shd w:val="clear" w:color="auto" w:fill="D9D9D9" w:themeFill="background1" w:themeFillShade="D9"/>
            <w:tcMar/>
          </w:tcPr>
          <w:p w:rsidRPr="00A005EF" w:rsidR="00967429" w:rsidP="005E37D8" w:rsidRDefault="00A005EF" w14:paraId="1606CC15" w14:textId="77777777">
            <w:pPr>
              <w:spacing w:before="120" w:after="120"/>
              <w:rPr>
                <w:b/>
                <w:bCs/>
              </w:rPr>
            </w:pPr>
            <w:r w:rsidRPr="00A005EF">
              <w:rPr>
                <w:b/>
              </w:rPr>
              <w:lastRenderedPageBreak/>
              <w:t>GEOGRAPHY / AREA OF DELIVERY</w:t>
            </w:r>
          </w:p>
        </w:tc>
      </w:tr>
      <w:tr w:rsidRPr="0052695C" w:rsidR="00967429" w:rsidTr="2E3DAC76" w14:paraId="1606CC1F" w14:textId="77777777">
        <w:trPr>
          <w:trHeight w:val="983"/>
        </w:trPr>
        <w:tc>
          <w:tcPr>
            <w:tcW w:w="9088" w:type="dxa"/>
            <w:tcMar/>
          </w:tcPr>
          <w:p w:rsidR="00A005EF" w:rsidP="00A005EF" w:rsidRDefault="00A005EF" w14:paraId="1606CC17" w14:textId="77777777"/>
          <w:p w:rsidR="007E7731" w:rsidP="00A005EF" w:rsidRDefault="007E7731" w14:paraId="1606CC18" w14:textId="77777777">
            <w:pPr>
              <w:rPr>
                <w:b/>
              </w:rPr>
            </w:pPr>
            <w:r>
              <w:rPr>
                <w:b/>
              </w:rPr>
              <w:t>LEP Specific</w:t>
            </w:r>
          </w:p>
          <w:p w:rsidRPr="00C107CE" w:rsidR="007E7731" w:rsidP="00A005EF" w:rsidRDefault="007E7731" w14:paraId="1606CC19" w14:textId="77777777">
            <w:pPr>
              <w:rPr>
                <w:b/>
              </w:rPr>
            </w:pPr>
          </w:p>
          <w:p w:rsidR="00787807" w:rsidP="00A005EF" w:rsidRDefault="00A005EF" w14:paraId="1606CC1A" w14:textId="77777777">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Pr="00BC7F87" w:rsidR="00105A7C">
              <w:rPr>
                <w:rFonts w:cs="Arial"/>
              </w:rPr>
              <w:t>within</w:t>
            </w:r>
            <w:r w:rsidR="00105A7C">
              <w:rPr>
                <w:rFonts w:cs="Arial"/>
              </w:rPr>
              <w:t xml:space="preserve"> the</w:t>
            </w:r>
            <w:r w:rsidRPr="00F06A90">
              <w:rPr>
                <w:rFonts w:cs="Arial"/>
              </w:rPr>
              <w:t xml:space="preserve"> </w:t>
            </w:r>
            <w:r w:rsidR="00AC3C37">
              <w:rPr>
                <w:rFonts w:cs="Arial"/>
              </w:rPr>
              <w:t>Solent</w:t>
            </w:r>
            <w:r w:rsidR="000304B2">
              <w:rPr>
                <w:rFonts w:cs="Arial"/>
              </w:rPr>
              <w:t xml:space="preserve"> </w:t>
            </w:r>
            <w:r w:rsidR="00105A7C">
              <w:rPr>
                <w:rFonts w:cs="Arial"/>
              </w:rPr>
              <w:t>Local Enterprise Partnership area</w:t>
            </w:r>
            <w:r w:rsidR="007C2B80">
              <w:rPr>
                <w:rFonts w:cs="Arial"/>
              </w:rPr>
              <w:t>.</w:t>
            </w:r>
          </w:p>
          <w:p w:rsidR="003F020C" w:rsidP="003F020C" w:rsidRDefault="004825CA" w14:paraId="1606CC1D" w14:textId="30EAD266">
            <w:pPr>
              <w:autoSpaceDE w:val="0"/>
              <w:autoSpaceDN w:val="0"/>
              <w:adjustRightInd w:val="0"/>
              <w:rPr>
                <w:rFonts w:cs="Arial"/>
              </w:rPr>
            </w:pPr>
            <w:r>
              <w:rPr>
                <w:rFonts w:cs="Arial"/>
              </w:rPr>
              <w:t xml:space="preserve">This area </w:t>
            </w:r>
            <w:r w:rsidRPr="00AC3C37">
              <w:rPr>
                <w:rFonts w:cs="Arial"/>
                <w:b/>
                <w:i/>
              </w:rPr>
              <w:t>does not</w:t>
            </w:r>
            <w:r>
              <w:rPr>
                <w:rFonts w:cs="Arial"/>
              </w:rPr>
              <w:t xml:space="preserve"> include a transitional area (see </w:t>
            </w:r>
            <w:r w:rsidR="00394F36">
              <w:rPr>
                <w:rFonts w:cs="Arial"/>
              </w:rPr>
              <w:t xml:space="preserve">funding rules </w:t>
            </w:r>
            <w:r>
              <w:rPr>
                <w:rFonts w:cs="Arial"/>
              </w:rPr>
              <w:t>re delivery locations)</w:t>
            </w:r>
            <w:r w:rsidR="00394F36">
              <w:rPr>
                <w:rFonts w:cs="Arial"/>
              </w:rPr>
              <w:t xml:space="preserve"> and these are identified in the lots below.</w:t>
            </w:r>
          </w:p>
          <w:p w:rsidRPr="00FF6CCA" w:rsidR="007C2B80" w:rsidRDefault="007C2B80" w14:paraId="1606CC1E" w14:textId="77777777">
            <w:pPr>
              <w:autoSpaceDE w:val="0"/>
              <w:autoSpaceDN w:val="0"/>
              <w:adjustRightInd w:val="0"/>
            </w:pPr>
          </w:p>
        </w:tc>
      </w:tr>
      <w:tr w:rsidRPr="00505117" w:rsidR="00967429" w:rsidTr="2E3DAC76" w14:paraId="1606CC21" w14:textId="77777777">
        <w:trPr>
          <w:trHeight w:val="510"/>
        </w:trPr>
        <w:tc>
          <w:tcPr>
            <w:tcW w:w="9088" w:type="dxa"/>
            <w:shd w:val="clear" w:color="auto" w:fill="D9D9D9" w:themeFill="background1" w:themeFillShade="D9"/>
            <w:tcMar/>
          </w:tcPr>
          <w:p w:rsidRPr="00A005EF" w:rsidR="00967429" w:rsidP="00DA3E5E" w:rsidRDefault="00A005EF" w14:paraId="1606CC20" w14:textId="77777777">
            <w:pPr>
              <w:spacing w:before="120" w:after="120"/>
              <w:rPr>
                <w:b/>
                <w:bCs/>
              </w:rPr>
            </w:pPr>
            <w:r w:rsidRPr="00A005EF">
              <w:rPr>
                <w:b/>
              </w:rPr>
              <w:t>FUNDING AND DELIVERABLES</w:t>
            </w:r>
          </w:p>
        </w:tc>
      </w:tr>
      <w:tr w:rsidRPr="00EF4406" w:rsidR="00967429" w:rsidTr="2E3DAC76" w14:paraId="1606CC66" w14:textId="77777777">
        <w:trPr>
          <w:trHeight w:val="1408"/>
        </w:trPr>
        <w:tc>
          <w:tcPr>
            <w:tcW w:w="9088" w:type="dxa"/>
            <w:tcMar/>
          </w:tcPr>
          <w:p w:rsidR="007E7731" w:rsidP="00A005EF" w:rsidRDefault="007E7731" w14:paraId="1606CC22" w14:textId="77777777">
            <w:pPr>
              <w:rPr>
                <w:rFonts w:cs="Arial"/>
              </w:rPr>
            </w:pPr>
          </w:p>
          <w:p w:rsidRPr="00C107CE" w:rsidR="007E7731" w:rsidP="00A005EF" w:rsidRDefault="007E7731" w14:paraId="1606CC23" w14:textId="77777777">
            <w:pPr>
              <w:rPr>
                <w:rFonts w:cs="Arial"/>
                <w:b/>
              </w:rPr>
            </w:pPr>
            <w:r>
              <w:rPr>
                <w:rFonts w:cs="Arial"/>
                <w:b/>
              </w:rPr>
              <w:t>LEP Specific</w:t>
            </w:r>
          </w:p>
          <w:p w:rsidR="007E7731" w:rsidP="00A005EF" w:rsidRDefault="007E7731" w14:paraId="1606CC24" w14:textId="77777777">
            <w:pPr>
              <w:rPr>
                <w:rFonts w:cs="Arial"/>
              </w:rPr>
            </w:pPr>
          </w:p>
          <w:p w:rsidRPr="00BC7F87" w:rsidR="00A005EF" w:rsidP="00A005EF" w:rsidRDefault="00475879" w14:paraId="1606CC25" w14:textId="0EC369CD">
            <w:pPr>
              <w:rPr>
                <w:rFonts w:cs="Arial"/>
              </w:rPr>
            </w:pPr>
            <w:r w:rsidRPr="00BC7F87">
              <w:rPr>
                <w:rFonts w:cs="Arial"/>
              </w:rPr>
              <w:t>Currently</w:t>
            </w:r>
            <w:r w:rsidRPr="00BC7F87" w:rsidR="00A005EF">
              <w:rPr>
                <w:rFonts w:cs="Arial"/>
              </w:rPr>
              <w:t xml:space="preserve"> </w:t>
            </w:r>
            <w:r w:rsidR="00AC3C37">
              <w:rPr>
                <w:rFonts w:cs="Arial"/>
              </w:rPr>
              <w:t>£1,</w:t>
            </w:r>
            <w:r w:rsidR="007D3BC2">
              <w:rPr>
                <w:rFonts w:cs="Arial"/>
              </w:rPr>
              <w:t>040,250</w:t>
            </w:r>
            <w:r w:rsidRPr="00BC7F87" w:rsidR="00A005EF">
              <w:rPr>
                <w:rFonts w:cs="Arial"/>
              </w:rPr>
              <w:t xml:space="preserve"> </w:t>
            </w:r>
            <w:r w:rsidRPr="00BC7F87" w:rsidR="009552C2">
              <w:rPr>
                <w:rFonts w:cs="Arial"/>
              </w:rPr>
              <w:t>will be available</w:t>
            </w:r>
            <w:r w:rsidR="00DE7779">
              <w:rPr>
                <w:rFonts w:cs="Arial"/>
              </w:rPr>
              <w:t xml:space="preserve"> for the period from August</w:t>
            </w:r>
            <w:r w:rsidR="006A28A1">
              <w:rPr>
                <w:rFonts w:cs="Arial"/>
              </w:rPr>
              <w:t xml:space="preserve"> 2016</w:t>
            </w:r>
            <w:r w:rsidRPr="00BC7F87" w:rsidR="00C107CE">
              <w:rPr>
                <w:rFonts w:cs="Arial"/>
              </w:rPr>
              <w:t xml:space="preserve"> to </w:t>
            </w:r>
            <w:r w:rsidR="006A28A1">
              <w:rPr>
                <w:rFonts w:cs="Arial"/>
              </w:rPr>
              <w:t>March 2018</w:t>
            </w:r>
            <w:r w:rsidR="00D72023">
              <w:rPr>
                <w:rFonts w:cs="Arial"/>
              </w:rPr>
              <w:t>.  T</w:t>
            </w:r>
            <w:r w:rsidRPr="00BC7F87" w:rsidR="00C107CE">
              <w:rPr>
                <w:rFonts w:cs="Arial"/>
              </w:rPr>
              <w:t xml:space="preserve">his </w:t>
            </w:r>
            <w:r w:rsidRPr="00BC7F87" w:rsidR="009552C2">
              <w:rPr>
                <w:rFonts w:cs="Arial"/>
              </w:rPr>
              <w:t xml:space="preserve">may be increased if </w:t>
            </w:r>
            <w:r w:rsidRPr="00BC7F87">
              <w:rPr>
                <w:rFonts w:cs="Arial"/>
              </w:rPr>
              <w:t>additional funding</w:t>
            </w:r>
            <w:r w:rsidRPr="00BC7F87" w:rsidR="009552C2">
              <w:rPr>
                <w:rFonts w:cs="Arial"/>
              </w:rPr>
              <w:t xml:space="preserve"> becomes available</w:t>
            </w:r>
            <w:r w:rsidRPr="00BC7F87" w:rsidR="00C107CE">
              <w:rPr>
                <w:rFonts w:cs="Arial"/>
              </w:rPr>
              <w:t>.</w:t>
            </w:r>
          </w:p>
          <w:p w:rsidR="00A005EF" w:rsidP="00A005EF" w:rsidRDefault="00A005EF" w14:paraId="1606CC26" w14:textId="77777777">
            <w:pPr>
              <w:rPr>
                <w:b/>
              </w:rPr>
            </w:pPr>
          </w:p>
          <w:p w:rsidR="00394F36" w:rsidP="00394F36" w:rsidRDefault="00394F36" w14:paraId="1606CC27" w14:textId="77777777">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rsidRPr="00BC7F87" w:rsidR="00394F36" w:rsidP="00A005EF" w:rsidRDefault="00394F36" w14:paraId="1606CC28" w14:textId="77777777">
            <w:pPr>
              <w:rPr>
                <w:b/>
              </w:rPr>
            </w:pPr>
          </w:p>
          <w:p w:rsidR="00627E01" w:rsidP="003F020C" w:rsidRDefault="00A005EF" w14:paraId="1606CC29" w14:textId="77777777">
            <w:pPr>
              <w:autoSpaceDE w:val="0"/>
              <w:autoSpaceDN w:val="0"/>
              <w:adjustRightInd w:val="0"/>
              <w:rPr>
                <w:rFonts w:cs="Arial"/>
              </w:rPr>
            </w:pPr>
            <w:r w:rsidRPr="00BC7F87">
              <w:rPr>
                <w:rFonts w:cs="Arial"/>
              </w:rPr>
              <w:lastRenderedPageBreak/>
              <w:t>The minimum service deliverables</w:t>
            </w:r>
            <w:r w:rsidRPr="00BC7F87" w:rsidR="00FD3B0A">
              <w:rPr>
                <w:rFonts w:cs="Arial"/>
              </w:rPr>
              <w:t>,</w:t>
            </w:r>
            <w:r w:rsidRPr="00BC7F87">
              <w:rPr>
                <w:rFonts w:cs="Arial"/>
              </w:rPr>
              <w:t xml:space="preserve"> </w:t>
            </w:r>
            <w:r w:rsidRPr="00BC7F87" w:rsidR="007E7731">
              <w:rPr>
                <w:rFonts w:cs="Arial"/>
              </w:rPr>
              <w:t xml:space="preserve">values and volumes </w:t>
            </w:r>
            <w:r w:rsidRPr="00BC7F87">
              <w:rPr>
                <w:rFonts w:cs="Arial"/>
              </w:rPr>
              <w:t>for which evidence must be provided are:</w:t>
            </w:r>
          </w:p>
          <w:p w:rsidR="00D72023" w:rsidP="003F020C" w:rsidRDefault="00D72023" w14:paraId="1606CC2A" w14:textId="77777777">
            <w:pPr>
              <w:autoSpaceDE w:val="0"/>
              <w:autoSpaceDN w:val="0"/>
              <w:adjustRightInd w:val="0"/>
              <w:rPr>
                <w:rFonts w:cs="Arial"/>
              </w:rPr>
            </w:pPr>
          </w:p>
          <w:tbl>
            <w:tblPr>
              <w:tblW w:w="5000" w:type="pct"/>
              <w:tblLook w:val="04A0" w:firstRow="1" w:lastRow="0" w:firstColumn="1" w:lastColumn="0" w:noHBand="0" w:noVBand="1"/>
            </w:tblPr>
            <w:tblGrid>
              <w:gridCol w:w="5234"/>
              <w:gridCol w:w="1050"/>
              <w:gridCol w:w="1361"/>
              <w:gridCol w:w="1217"/>
            </w:tblGrid>
            <w:tr w:rsidRPr="00D72023" w:rsidR="00D72023" w:rsidTr="00D72023" w14:paraId="1606CC2F" w14:textId="77777777">
              <w:trPr>
                <w:trHeight w:val="1128"/>
              </w:trPr>
              <w:tc>
                <w:tcPr>
                  <w:tcW w:w="2953" w:type="pct"/>
                  <w:tcBorders>
                    <w:top w:val="single" w:color="000000" w:sz="4" w:space="0"/>
                    <w:left w:val="single" w:color="auto" w:sz="4" w:space="0"/>
                    <w:bottom w:val="single" w:color="auto" w:sz="12" w:space="0"/>
                    <w:right w:val="single" w:color="auto" w:sz="4" w:space="0"/>
                  </w:tcBorders>
                  <w:shd w:val="clear" w:color="auto" w:fill="auto"/>
                  <w:vAlign w:val="center"/>
                  <w:hideMark/>
                </w:tcPr>
                <w:p w:rsidRPr="00D72023" w:rsidR="00D72023" w:rsidP="00D72023" w:rsidRDefault="00D72023" w14:paraId="1606CC2B" w14:textId="77777777">
                  <w:pPr>
                    <w:rPr>
                      <w:rFonts w:cs="Arial"/>
                      <w:b/>
                      <w:bCs/>
                      <w:color w:val="000000"/>
                      <w:sz w:val="20"/>
                      <w:szCs w:val="20"/>
                      <w:lang w:eastAsia="en-GB"/>
                    </w:rPr>
                  </w:pPr>
                  <w:r w:rsidRPr="00D72023">
                    <w:rPr>
                      <w:rFonts w:cs="Arial"/>
                      <w:b/>
                      <w:bCs/>
                      <w:color w:val="000000"/>
                      <w:sz w:val="20"/>
                      <w:szCs w:val="20"/>
                      <w:lang w:eastAsia="en-GB"/>
                    </w:rPr>
                    <w:t>Description</w:t>
                  </w:r>
                  <w:r w:rsidRPr="00D72023">
                    <w:rPr>
                      <w:rFonts w:cs="Arial"/>
                      <w:b/>
                      <w:bCs/>
                      <w:color w:val="000000"/>
                      <w:sz w:val="20"/>
                      <w:szCs w:val="20"/>
                      <w:lang w:eastAsia="en-GB"/>
                    </w:rPr>
                    <w:br/>
                  </w:r>
                </w:p>
              </w:tc>
              <w:tc>
                <w:tcPr>
                  <w:tcW w:w="592" w:type="pct"/>
                  <w:tcBorders>
                    <w:top w:val="single" w:color="000000" w:sz="4" w:space="0"/>
                    <w:left w:val="single" w:color="auto" w:sz="4" w:space="0"/>
                    <w:bottom w:val="single" w:color="auto" w:sz="12" w:space="0"/>
                    <w:right w:val="single" w:color="auto" w:sz="4" w:space="0"/>
                  </w:tcBorders>
                  <w:shd w:val="clear" w:color="auto" w:fill="auto"/>
                  <w:vAlign w:val="center"/>
                  <w:hideMark/>
                </w:tcPr>
                <w:p w:rsidRPr="00D72023" w:rsidR="00D72023" w:rsidP="00D72023" w:rsidRDefault="00D72023" w14:paraId="1606CC2C" w14:textId="77777777">
                  <w:pPr>
                    <w:jc w:val="center"/>
                    <w:rPr>
                      <w:rFonts w:cs="Arial"/>
                      <w:b/>
                      <w:bCs/>
                      <w:color w:val="000000"/>
                      <w:sz w:val="20"/>
                      <w:szCs w:val="20"/>
                      <w:lang w:eastAsia="en-GB"/>
                    </w:rPr>
                  </w:pPr>
                  <w:r w:rsidRPr="00D72023">
                    <w:rPr>
                      <w:rFonts w:cs="Arial"/>
                      <w:b/>
                      <w:bCs/>
                      <w:color w:val="000000"/>
                      <w:sz w:val="20"/>
                      <w:szCs w:val="20"/>
                      <w:lang w:eastAsia="en-GB"/>
                    </w:rPr>
                    <w:t>Volumes</w:t>
                  </w:r>
                </w:p>
              </w:tc>
              <w:tc>
                <w:tcPr>
                  <w:tcW w:w="768" w:type="pct"/>
                  <w:tcBorders>
                    <w:top w:val="single" w:color="000000" w:sz="4" w:space="0"/>
                    <w:left w:val="single" w:color="auto" w:sz="4" w:space="0"/>
                    <w:bottom w:val="single" w:color="auto" w:sz="12" w:space="0"/>
                    <w:right w:val="single" w:color="auto" w:sz="4" w:space="0"/>
                  </w:tcBorders>
                  <w:shd w:val="clear" w:color="auto" w:fill="auto"/>
                  <w:vAlign w:val="center"/>
                  <w:hideMark/>
                </w:tcPr>
                <w:p w:rsidRPr="00D72023" w:rsidR="00D72023" w:rsidP="00D72023" w:rsidRDefault="00D72023" w14:paraId="1606CC2D" w14:textId="77777777">
                  <w:pPr>
                    <w:jc w:val="center"/>
                    <w:rPr>
                      <w:rFonts w:cs="Arial"/>
                      <w:b/>
                      <w:bCs/>
                      <w:color w:val="000000"/>
                      <w:sz w:val="20"/>
                      <w:szCs w:val="20"/>
                      <w:lang w:eastAsia="en-GB"/>
                    </w:rPr>
                  </w:pPr>
                  <w:r w:rsidRPr="00D72023">
                    <w:rPr>
                      <w:rFonts w:cs="Arial"/>
                      <w:b/>
                      <w:bCs/>
                      <w:color w:val="000000"/>
                      <w:sz w:val="20"/>
                      <w:szCs w:val="20"/>
                      <w:lang w:eastAsia="en-GB"/>
                    </w:rPr>
                    <w:t>Unit Cost Total Value Average per Intervention</w:t>
                  </w:r>
                </w:p>
              </w:tc>
              <w:tc>
                <w:tcPr>
                  <w:tcW w:w="687" w:type="pct"/>
                  <w:tcBorders>
                    <w:top w:val="single" w:color="000000" w:sz="4" w:space="0"/>
                    <w:left w:val="single" w:color="auto" w:sz="4" w:space="0"/>
                    <w:bottom w:val="single" w:color="auto" w:sz="12" w:space="0"/>
                    <w:right w:val="single" w:color="000000" w:sz="4" w:space="0"/>
                  </w:tcBorders>
                  <w:shd w:val="clear" w:color="auto" w:fill="auto"/>
                  <w:vAlign w:val="center"/>
                  <w:hideMark/>
                </w:tcPr>
                <w:p w:rsidRPr="00D72023" w:rsidR="00D72023" w:rsidP="00D72023" w:rsidRDefault="00D72023" w14:paraId="1606CC2E" w14:textId="77777777">
                  <w:pPr>
                    <w:jc w:val="center"/>
                    <w:rPr>
                      <w:rFonts w:cs="Arial"/>
                      <w:b/>
                      <w:bCs/>
                      <w:color w:val="000000"/>
                      <w:sz w:val="20"/>
                      <w:szCs w:val="20"/>
                      <w:lang w:eastAsia="en-GB"/>
                    </w:rPr>
                  </w:pPr>
                  <w:r w:rsidRPr="00D72023">
                    <w:rPr>
                      <w:rFonts w:cs="Arial"/>
                      <w:b/>
                      <w:bCs/>
                      <w:color w:val="000000"/>
                      <w:sz w:val="20"/>
                      <w:szCs w:val="20"/>
                      <w:lang w:eastAsia="en-GB"/>
                    </w:rPr>
                    <w:t>£</w:t>
                  </w:r>
                </w:p>
              </w:tc>
            </w:tr>
            <w:tr w:rsidRPr="00D72023" w:rsidR="00D72023" w:rsidTr="00D72023" w14:paraId="1606CC34" w14:textId="77777777">
              <w:trPr>
                <w:trHeight w:val="450"/>
              </w:trPr>
              <w:tc>
                <w:tcPr>
                  <w:tcW w:w="3217"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D72023" w:rsidR="00D72023" w:rsidP="00D72023" w:rsidRDefault="00D72023" w14:paraId="1606CC30" w14:textId="77777777">
                  <w:pPr>
                    <w:rPr>
                      <w:rFonts w:cs="Arial"/>
                      <w:color w:val="000000"/>
                      <w:sz w:val="20"/>
                      <w:szCs w:val="20"/>
                      <w:lang w:eastAsia="en-GB"/>
                    </w:rPr>
                  </w:pPr>
                  <w:r w:rsidRPr="00D72023">
                    <w:rPr>
                      <w:rFonts w:cs="Arial"/>
                      <w:color w:val="000000"/>
                      <w:sz w:val="20"/>
                      <w:szCs w:val="20"/>
                      <w:lang w:eastAsia="en-GB"/>
                    </w:rPr>
                    <w:t>ST01 Learner Assessment and Plan</w:t>
                  </w:r>
                </w:p>
              </w:tc>
              <w:tc>
                <w:tcPr>
                  <w:tcW w:w="580"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D72023" w:rsidR="00D72023" w:rsidP="00D72023" w:rsidRDefault="00D72023" w14:paraId="1606CC31" w14:textId="77777777">
                  <w:pPr>
                    <w:jc w:val="center"/>
                    <w:rPr>
                      <w:rFonts w:cs="Arial"/>
                      <w:color w:val="000000"/>
                      <w:sz w:val="20"/>
                      <w:szCs w:val="20"/>
                      <w:lang w:eastAsia="en-GB"/>
                    </w:rPr>
                  </w:pPr>
                  <w:r>
                    <w:rPr>
                      <w:rFonts w:cs="Arial"/>
                      <w:color w:val="000000"/>
                      <w:sz w:val="20"/>
                      <w:szCs w:val="20"/>
                      <w:lang w:eastAsia="en-GB"/>
                    </w:rPr>
                    <w:t>615</w:t>
                  </w:r>
                </w:p>
              </w:tc>
              <w:tc>
                <w:tcPr>
                  <w:tcW w:w="622" w:type="pct"/>
                  <w:tcBorders>
                    <w:top w:val="single" w:color="000000" w:sz="4" w:space="0"/>
                    <w:left w:val="single" w:color="auto" w:sz="4" w:space="0"/>
                    <w:bottom w:val="single" w:color="auto" w:sz="4" w:space="0"/>
                    <w:right w:val="single" w:color="auto" w:sz="4" w:space="0"/>
                  </w:tcBorders>
                  <w:shd w:val="clear" w:color="D9D9D9" w:fill="D9D9D9"/>
                  <w:noWrap/>
                  <w:vAlign w:val="center"/>
                  <w:hideMark/>
                </w:tcPr>
                <w:p w:rsidRPr="00D72023" w:rsidR="00D72023" w:rsidP="00D72023" w:rsidRDefault="00D72023" w14:paraId="1606CC32" w14:textId="77777777">
                  <w:pPr>
                    <w:jc w:val="center"/>
                    <w:rPr>
                      <w:rFonts w:cs="Arial"/>
                      <w:color w:val="000000"/>
                      <w:sz w:val="20"/>
                      <w:szCs w:val="20"/>
                      <w:lang w:eastAsia="en-GB"/>
                    </w:rPr>
                  </w:pPr>
                  <w:r w:rsidRPr="00D72023">
                    <w:rPr>
                      <w:rFonts w:cs="Arial"/>
                      <w:color w:val="000000"/>
                      <w:sz w:val="20"/>
                      <w:szCs w:val="20"/>
                      <w:lang w:eastAsia="en-GB"/>
                    </w:rPr>
                    <w:t>£50</w:t>
                  </w:r>
                </w:p>
              </w:tc>
              <w:tc>
                <w:tcPr>
                  <w:tcW w:w="580" w:type="pct"/>
                  <w:tcBorders>
                    <w:top w:val="single" w:color="000000" w:sz="4" w:space="0"/>
                    <w:left w:val="single" w:color="auto" w:sz="4" w:space="0"/>
                    <w:bottom w:val="single" w:color="auto" w:sz="4" w:space="0"/>
                    <w:right w:val="single" w:color="000000" w:sz="4" w:space="0"/>
                  </w:tcBorders>
                  <w:shd w:val="clear" w:color="D9D9D9" w:fill="D9D9D9"/>
                  <w:noWrap/>
                  <w:vAlign w:val="center"/>
                  <w:hideMark/>
                </w:tcPr>
                <w:p w:rsidRPr="00D72023" w:rsidR="00D72023" w:rsidP="00D72023" w:rsidRDefault="00D72023" w14:paraId="1606CC33" w14:textId="77777777">
                  <w:pPr>
                    <w:jc w:val="center"/>
                    <w:rPr>
                      <w:rFonts w:cs="Arial"/>
                      <w:color w:val="000000"/>
                      <w:sz w:val="20"/>
                      <w:szCs w:val="20"/>
                      <w:lang w:eastAsia="en-GB"/>
                    </w:rPr>
                  </w:pPr>
                  <w:r w:rsidRPr="00D72023">
                    <w:rPr>
                      <w:rFonts w:cs="Arial"/>
                      <w:color w:val="000000"/>
                      <w:sz w:val="20"/>
                      <w:szCs w:val="20"/>
                      <w:lang w:eastAsia="en-GB"/>
                    </w:rPr>
                    <w:t>£30,750</w:t>
                  </w:r>
                </w:p>
              </w:tc>
            </w:tr>
            <w:tr w:rsidRPr="00D72023" w:rsidR="00D72023" w:rsidTr="00D72023" w14:paraId="1606CC39" w14:textId="77777777">
              <w:trPr>
                <w:trHeight w:val="450"/>
              </w:trPr>
              <w:tc>
                <w:tcPr>
                  <w:tcW w:w="3217"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D72023" w:rsidR="00D72023" w:rsidP="00D72023" w:rsidRDefault="00D72023" w14:paraId="1606CC35" w14:textId="77777777">
                  <w:pPr>
                    <w:rPr>
                      <w:rFonts w:cs="Arial"/>
                      <w:color w:val="000000"/>
                      <w:sz w:val="20"/>
                      <w:szCs w:val="20"/>
                      <w:lang w:eastAsia="en-GB"/>
                    </w:rPr>
                  </w:pPr>
                  <w:r w:rsidRPr="00D72023">
                    <w:rPr>
                      <w:rFonts w:cs="Arial"/>
                      <w:color w:val="000000"/>
                      <w:sz w:val="20"/>
                      <w:szCs w:val="20"/>
                      <w:lang w:eastAsia="en-GB"/>
                    </w:rPr>
                    <w:t>RQ01 Regulated Learning</w:t>
                  </w:r>
                </w:p>
              </w:tc>
              <w:tc>
                <w:tcPr>
                  <w:tcW w:w="580"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D72023" w:rsidR="00D72023" w:rsidP="00D72023" w:rsidRDefault="00D72023" w14:paraId="1606CC36" w14:textId="77777777">
                  <w:pPr>
                    <w:jc w:val="center"/>
                    <w:rPr>
                      <w:rFonts w:cs="Arial"/>
                      <w:color w:val="000000"/>
                      <w:sz w:val="20"/>
                      <w:szCs w:val="20"/>
                      <w:lang w:eastAsia="en-GB"/>
                    </w:rPr>
                  </w:pPr>
                </w:p>
              </w:tc>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72023" w:rsidR="00D72023" w:rsidP="00D72023" w:rsidRDefault="00D72023" w14:paraId="1606CC37" w14:textId="77777777">
                  <w:pPr>
                    <w:jc w:val="center"/>
                    <w:rPr>
                      <w:rFonts w:cs="Arial"/>
                      <w:color w:val="000000"/>
                      <w:sz w:val="20"/>
                      <w:szCs w:val="20"/>
                      <w:lang w:eastAsia="en-GB"/>
                    </w:rPr>
                  </w:pPr>
                </w:p>
              </w:tc>
              <w:tc>
                <w:tcPr>
                  <w:tcW w:w="580"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D72023" w:rsidR="00D72023" w:rsidP="00D72023" w:rsidRDefault="00D72023" w14:paraId="1606CC38" w14:textId="77777777">
                  <w:pPr>
                    <w:jc w:val="center"/>
                    <w:rPr>
                      <w:rFonts w:cs="Arial"/>
                      <w:color w:val="000000"/>
                      <w:sz w:val="20"/>
                      <w:szCs w:val="20"/>
                      <w:lang w:eastAsia="en-GB"/>
                    </w:rPr>
                  </w:pPr>
                  <w:r w:rsidRPr="00D72023">
                    <w:rPr>
                      <w:rFonts w:cs="Arial"/>
                      <w:color w:val="000000"/>
                      <w:sz w:val="20"/>
                      <w:szCs w:val="20"/>
                      <w:lang w:eastAsia="en-GB"/>
                    </w:rPr>
                    <w:t>£244,000</w:t>
                  </w:r>
                </w:p>
              </w:tc>
            </w:tr>
            <w:tr w:rsidRPr="00D72023" w:rsidR="00D72023" w:rsidTr="00D72023" w14:paraId="1606CC3E" w14:textId="77777777">
              <w:trPr>
                <w:trHeight w:val="450"/>
              </w:trPr>
              <w:tc>
                <w:tcPr>
                  <w:tcW w:w="3217"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D72023" w:rsidR="00D72023" w:rsidP="00D72023" w:rsidRDefault="00D72023" w14:paraId="1606CC3A" w14:textId="77777777">
                  <w:pPr>
                    <w:rPr>
                      <w:rFonts w:cs="Arial"/>
                      <w:color w:val="000000"/>
                      <w:sz w:val="20"/>
                      <w:szCs w:val="20"/>
                      <w:lang w:eastAsia="en-GB"/>
                    </w:rPr>
                  </w:pPr>
                  <w:r w:rsidRPr="00D72023">
                    <w:rPr>
                      <w:rFonts w:cs="Arial"/>
                      <w:color w:val="000000"/>
                      <w:sz w:val="20"/>
                      <w:szCs w:val="20"/>
                      <w:lang w:eastAsia="en-GB"/>
                    </w:rPr>
                    <w:t>NR01 Non Regulated Activity</w:t>
                  </w:r>
                </w:p>
              </w:tc>
              <w:tc>
                <w:tcPr>
                  <w:tcW w:w="580"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D72023" w:rsidR="00D72023" w:rsidP="00D72023" w:rsidRDefault="00D72023" w14:paraId="1606CC3B" w14:textId="77777777">
                  <w:pPr>
                    <w:jc w:val="center"/>
                    <w:rPr>
                      <w:rFonts w:cs="Arial"/>
                      <w:color w:val="000000"/>
                      <w:sz w:val="20"/>
                      <w:szCs w:val="20"/>
                      <w:lang w:eastAsia="en-GB"/>
                    </w:rPr>
                  </w:pPr>
                </w:p>
              </w:tc>
              <w:tc>
                <w:tcPr>
                  <w:tcW w:w="622"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D72023" w:rsidR="00D72023" w:rsidP="00D72023" w:rsidRDefault="00D72023" w14:paraId="1606CC3C" w14:textId="77777777">
                  <w:pPr>
                    <w:jc w:val="center"/>
                    <w:rPr>
                      <w:rFonts w:cs="Arial"/>
                      <w:color w:val="000000"/>
                      <w:sz w:val="20"/>
                      <w:szCs w:val="20"/>
                      <w:lang w:eastAsia="en-GB"/>
                    </w:rPr>
                  </w:pPr>
                </w:p>
              </w:tc>
              <w:tc>
                <w:tcPr>
                  <w:tcW w:w="580"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D72023" w:rsidR="00D72023" w:rsidP="00D72023" w:rsidRDefault="00D72023" w14:paraId="1606CC3D" w14:textId="77777777">
                  <w:pPr>
                    <w:jc w:val="center"/>
                    <w:rPr>
                      <w:rFonts w:cs="Arial"/>
                      <w:color w:val="000000"/>
                      <w:sz w:val="20"/>
                      <w:szCs w:val="20"/>
                      <w:lang w:eastAsia="en-GB"/>
                    </w:rPr>
                  </w:pPr>
                  <w:r w:rsidRPr="00D72023">
                    <w:rPr>
                      <w:rFonts w:cs="Arial"/>
                      <w:color w:val="000000"/>
                      <w:sz w:val="20"/>
                      <w:szCs w:val="20"/>
                      <w:lang w:eastAsia="en-GB"/>
                    </w:rPr>
                    <w:t>£366,600</w:t>
                  </w:r>
                </w:p>
              </w:tc>
            </w:tr>
            <w:tr w:rsidRPr="00D72023" w:rsidR="00D72023" w:rsidTr="00D72023" w14:paraId="1606CC43" w14:textId="77777777">
              <w:trPr>
                <w:trHeight w:val="450"/>
              </w:trPr>
              <w:tc>
                <w:tcPr>
                  <w:tcW w:w="3217"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D72023" w:rsidR="00D72023" w:rsidP="00D72023" w:rsidRDefault="00D72023" w14:paraId="1606CC3F" w14:textId="77777777">
                  <w:pPr>
                    <w:rPr>
                      <w:rFonts w:cs="Arial"/>
                      <w:color w:val="000000"/>
                      <w:sz w:val="20"/>
                      <w:szCs w:val="20"/>
                      <w:lang w:eastAsia="en-GB"/>
                    </w:rPr>
                  </w:pPr>
                  <w:r w:rsidRPr="00D72023">
                    <w:rPr>
                      <w:rFonts w:cs="Arial"/>
                      <w:color w:val="000000"/>
                      <w:sz w:val="20"/>
                      <w:szCs w:val="20"/>
                      <w:lang w:eastAsia="en-GB"/>
                    </w:rPr>
                    <w:t>PG01 Progression Paid Employment (EMP)</w:t>
                  </w:r>
                </w:p>
              </w:tc>
              <w:tc>
                <w:tcPr>
                  <w:tcW w:w="580"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D72023" w:rsidR="00D72023" w:rsidP="00D72023" w:rsidRDefault="00D72023" w14:paraId="1606CC40" w14:textId="77777777">
                  <w:pPr>
                    <w:jc w:val="center"/>
                    <w:rPr>
                      <w:rFonts w:cs="Arial"/>
                      <w:color w:val="000000"/>
                      <w:sz w:val="20"/>
                      <w:szCs w:val="20"/>
                      <w:lang w:eastAsia="en-GB"/>
                    </w:rPr>
                  </w:pPr>
                  <w:r>
                    <w:rPr>
                      <w:rFonts w:cs="Arial"/>
                      <w:color w:val="000000"/>
                      <w:sz w:val="20"/>
                      <w:szCs w:val="20"/>
                      <w:lang w:eastAsia="en-GB"/>
                    </w:rPr>
                    <w:t>109</w:t>
                  </w:r>
                </w:p>
              </w:tc>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72023" w:rsidR="00D72023" w:rsidP="00D72023" w:rsidRDefault="00D72023" w14:paraId="1606CC41" w14:textId="77777777">
                  <w:pPr>
                    <w:jc w:val="center"/>
                    <w:rPr>
                      <w:rFonts w:cs="Arial"/>
                      <w:color w:val="000000"/>
                      <w:sz w:val="20"/>
                      <w:szCs w:val="20"/>
                      <w:lang w:eastAsia="en-GB"/>
                    </w:rPr>
                  </w:pPr>
                  <w:r w:rsidRPr="00D72023">
                    <w:rPr>
                      <w:rFonts w:cs="Arial"/>
                      <w:color w:val="000000"/>
                      <w:sz w:val="20"/>
                      <w:szCs w:val="20"/>
                      <w:lang w:eastAsia="en-GB"/>
                    </w:rPr>
                    <w:t>£700</w:t>
                  </w:r>
                </w:p>
              </w:tc>
              <w:tc>
                <w:tcPr>
                  <w:tcW w:w="580"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D72023" w:rsidR="00D72023" w:rsidP="00D72023" w:rsidRDefault="00D72023" w14:paraId="1606CC42" w14:textId="77777777">
                  <w:pPr>
                    <w:jc w:val="center"/>
                    <w:rPr>
                      <w:rFonts w:cs="Arial"/>
                      <w:color w:val="000000"/>
                      <w:sz w:val="20"/>
                      <w:szCs w:val="20"/>
                      <w:lang w:eastAsia="en-GB"/>
                    </w:rPr>
                  </w:pPr>
                  <w:r w:rsidRPr="00D72023">
                    <w:rPr>
                      <w:rFonts w:cs="Arial"/>
                      <w:color w:val="000000"/>
                      <w:sz w:val="20"/>
                      <w:szCs w:val="20"/>
                      <w:lang w:eastAsia="en-GB"/>
                    </w:rPr>
                    <w:t>£76,300</w:t>
                  </w:r>
                </w:p>
              </w:tc>
            </w:tr>
            <w:tr w:rsidRPr="00D72023" w:rsidR="00D72023" w:rsidTr="00D72023" w14:paraId="1606CC48" w14:textId="77777777">
              <w:trPr>
                <w:trHeight w:val="450"/>
              </w:trPr>
              <w:tc>
                <w:tcPr>
                  <w:tcW w:w="3217"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D72023" w:rsidR="00D72023" w:rsidP="00D72023" w:rsidRDefault="00D72023" w14:paraId="1606CC44" w14:textId="77777777">
                  <w:pPr>
                    <w:rPr>
                      <w:rFonts w:cs="Arial"/>
                      <w:color w:val="000000"/>
                      <w:sz w:val="20"/>
                      <w:szCs w:val="20"/>
                      <w:lang w:eastAsia="en-GB"/>
                    </w:rPr>
                  </w:pPr>
                  <w:r w:rsidRPr="00D72023">
                    <w:rPr>
                      <w:rFonts w:cs="Arial"/>
                      <w:color w:val="000000"/>
                      <w:sz w:val="20"/>
                      <w:szCs w:val="20"/>
                      <w:lang w:eastAsia="en-GB"/>
                    </w:rPr>
                    <w:t>SU01 Sustained Employment 3 Months</w:t>
                  </w:r>
                </w:p>
              </w:tc>
              <w:tc>
                <w:tcPr>
                  <w:tcW w:w="580"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D72023" w:rsidR="00D72023" w:rsidP="00D72023" w:rsidRDefault="00D72023" w14:paraId="1606CC45" w14:textId="77777777">
                  <w:pPr>
                    <w:jc w:val="center"/>
                    <w:rPr>
                      <w:rFonts w:cs="Arial"/>
                      <w:color w:val="000000"/>
                      <w:sz w:val="20"/>
                      <w:szCs w:val="20"/>
                      <w:lang w:eastAsia="en-GB"/>
                    </w:rPr>
                  </w:pPr>
                  <w:r>
                    <w:rPr>
                      <w:rFonts w:cs="Arial"/>
                      <w:color w:val="000000"/>
                      <w:sz w:val="20"/>
                      <w:szCs w:val="20"/>
                      <w:lang w:eastAsia="en-GB"/>
                    </w:rPr>
                    <w:t>86</w:t>
                  </w:r>
                </w:p>
              </w:tc>
              <w:tc>
                <w:tcPr>
                  <w:tcW w:w="622"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D72023" w:rsidR="00D72023" w:rsidP="00D72023" w:rsidRDefault="00D72023" w14:paraId="1606CC46" w14:textId="77777777">
                  <w:pPr>
                    <w:jc w:val="center"/>
                    <w:rPr>
                      <w:rFonts w:cs="Arial"/>
                      <w:color w:val="000000"/>
                      <w:sz w:val="20"/>
                      <w:szCs w:val="20"/>
                      <w:lang w:eastAsia="en-GB"/>
                    </w:rPr>
                  </w:pPr>
                  <w:r w:rsidRPr="00D72023">
                    <w:rPr>
                      <w:rFonts w:cs="Arial"/>
                      <w:color w:val="000000"/>
                      <w:sz w:val="20"/>
                      <w:szCs w:val="20"/>
                      <w:lang w:eastAsia="en-GB"/>
                    </w:rPr>
                    <w:t>£600</w:t>
                  </w:r>
                </w:p>
              </w:tc>
              <w:tc>
                <w:tcPr>
                  <w:tcW w:w="580"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D72023" w:rsidR="00D72023" w:rsidP="00D72023" w:rsidRDefault="00D72023" w14:paraId="1606CC47" w14:textId="77777777">
                  <w:pPr>
                    <w:jc w:val="center"/>
                    <w:rPr>
                      <w:rFonts w:cs="Arial"/>
                      <w:color w:val="000000"/>
                      <w:sz w:val="20"/>
                      <w:szCs w:val="20"/>
                      <w:lang w:eastAsia="en-GB"/>
                    </w:rPr>
                  </w:pPr>
                  <w:r w:rsidRPr="00D72023">
                    <w:rPr>
                      <w:rFonts w:cs="Arial"/>
                      <w:color w:val="000000"/>
                      <w:sz w:val="20"/>
                      <w:szCs w:val="20"/>
                      <w:lang w:eastAsia="en-GB"/>
                    </w:rPr>
                    <w:t>£51,600</w:t>
                  </w:r>
                </w:p>
              </w:tc>
            </w:tr>
            <w:tr w:rsidRPr="00D72023" w:rsidR="00D72023" w:rsidTr="00D72023" w14:paraId="1606CC4D" w14:textId="77777777">
              <w:trPr>
                <w:trHeight w:val="450"/>
              </w:trPr>
              <w:tc>
                <w:tcPr>
                  <w:tcW w:w="3217"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D72023" w:rsidR="00D72023" w:rsidP="00D72023" w:rsidRDefault="00D72023" w14:paraId="1606CC49" w14:textId="77777777">
                  <w:pPr>
                    <w:rPr>
                      <w:rFonts w:cs="Arial"/>
                      <w:color w:val="000000"/>
                      <w:sz w:val="20"/>
                      <w:szCs w:val="20"/>
                      <w:lang w:eastAsia="en-GB"/>
                    </w:rPr>
                  </w:pPr>
                  <w:r w:rsidRPr="00D72023">
                    <w:rPr>
                      <w:rFonts w:cs="Arial"/>
                      <w:color w:val="000000"/>
                      <w:sz w:val="20"/>
                      <w:szCs w:val="20"/>
                      <w:lang w:eastAsia="en-GB"/>
                    </w:rPr>
                    <w:t>PG03 Progression Education (EDU)</w:t>
                  </w:r>
                </w:p>
              </w:tc>
              <w:tc>
                <w:tcPr>
                  <w:tcW w:w="580"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D72023" w:rsidR="00D72023" w:rsidP="00D72023" w:rsidRDefault="00D72023" w14:paraId="1606CC4A" w14:textId="77777777">
                  <w:pPr>
                    <w:jc w:val="center"/>
                    <w:rPr>
                      <w:rFonts w:cs="Arial"/>
                      <w:color w:val="000000"/>
                      <w:sz w:val="20"/>
                      <w:szCs w:val="20"/>
                      <w:lang w:eastAsia="en-GB"/>
                    </w:rPr>
                  </w:pPr>
                  <w:r>
                    <w:rPr>
                      <w:rFonts w:cs="Arial"/>
                      <w:color w:val="000000"/>
                      <w:sz w:val="20"/>
                      <w:szCs w:val="20"/>
                      <w:lang w:eastAsia="en-GB"/>
                    </w:rPr>
                    <w:t>98</w:t>
                  </w:r>
                </w:p>
              </w:tc>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72023" w:rsidR="00D72023" w:rsidP="00D72023" w:rsidRDefault="00D72023" w14:paraId="1606CC4B" w14:textId="77777777">
                  <w:pPr>
                    <w:jc w:val="center"/>
                    <w:rPr>
                      <w:rFonts w:cs="Arial"/>
                      <w:color w:val="000000"/>
                      <w:sz w:val="20"/>
                      <w:szCs w:val="20"/>
                      <w:lang w:eastAsia="en-GB"/>
                    </w:rPr>
                  </w:pPr>
                  <w:r w:rsidRPr="00D72023">
                    <w:rPr>
                      <w:rFonts w:cs="Arial"/>
                      <w:color w:val="000000"/>
                      <w:sz w:val="20"/>
                      <w:szCs w:val="20"/>
                      <w:lang w:eastAsia="en-GB"/>
                    </w:rPr>
                    <w:t>£700</w:t>
                  </w:r>
                </w:p>
              </w:tc>
              <w:tc>
                <w:tcPr>
                  <w:tcW w:w="580"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D72023" w:rsidR="00D72023" w:rsidP="00D72023" w:rsidRDefault="00D72023" w14:paraId="1606CC4C" w14:textId="77777777">
                  <w:pPr>
                    <w:jc w:val="center"/>
                    <w:rPr>
                      <w:rFonts w:cs="Arial"/>
                      <w:color w:val="000000"/>
                      <w:sz w:val="20"/>
                      <w:szCs w:val="20"/>
                      <w:lang w:eastAsia="en-GB"/>
                    </w:rPr>
                  </w:pPr>
                  <w:r w:rsidRPr="00D72023">
                    <w:rPr>
                      <w:rFonts w:cs="Arial"/>
                      <w:color w:val="000000"/>
                      <w:sz w:val="20"/>
                      <w:szCs w:val="20"/>
                      <w:lang w:eastAsia="en-GB"/>
                    </w:rPr>
                    <w:t>£68,600</w:t>
                  </w:r>
                </w:p>
              </w:tc>
            </w:tr>
            <w:tr w:rsidRPr="00D72023" w:rsidR="00D72023" w:rsidTr="00D72023" w14:paraId="1606CC52" w14:textId="77777777">
              <w:trPr>
                <w:trHeight w:val="450"/>
              </w:trPr>
              <w:tc>
                <w:tcPr>
                  <w:tcW w:w="3217"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D72023" w:rsidR="00D72023" w:rsidP="00D72023" w:rsidRDefault="00D72023" w14:paraId="1606CC4E" w14:textId="77777777">
                  <w:pPr>
                    <w:rPr>
                      <w:rFonts w:cs="Arial"/>
                      <w:color w:val="000000"/>
                      <w:sz w:val="20"/>
                      <w:szCs w:val="20"/>
                      <w:lang w:eastAsia="en-GB"/>
                    </w:rPr>
                  </w:pPr>
                  <w:r w:rsidRPr="00D72023">
                    <w:rPr>
                      <w:rFonts w:cs="Arial"/>
                      <w:color w:val="000000"/>
                      <w:sz w:val="20"/>
                      <w:szCs w:val="20"/>
                      <w:lang w:eastAsia="en-GB"/>
                    </w:rPr>
                    <w:t>SU03 Sustained Education 3 Months</w:t>
                  </w:r>
                </w:p>
              </w:tc>
              <w:tc>
                <w:tcPr>
                  <w:tcW w:w="580"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D72023" w:rsidR="00D72023" w:rsidP="00D72023" w:rsidRDefault="00D72023" w14:paraId="1606CC4F" w14:textId="77777777">
                  <w:pPr>
                    <w:jc w:val="center"/>
                    <w:rPr>
                      <w:rFonts w:cs="Arial"/>
                      <w:color w:val="000000"/>
                      <w:sz w:val="20"/>
                      <w:szCs w:val="20"/>
                      <w:lang w:eastAsia="en-GB"/>
                    </w:rPr>
                  </w:pPr>
                  <w:r>
                    <w:rPr>
                      <w:rFonts w:cs="Arial"/>
                      <w:color w:val="000000"/>
                      <w:sz w:val="20"/>
                      <w:szCs w:val="20"/>
                      <w:lang w:eastAsia="en-GB"/>
                    </w:rPr>
                    <w:t>73</w:t>
                  </w:r>
                </w:p>
              </w:tc>
              <w:tc>
                <w:tcPr>
                  <w:tcW w:w="622"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D72023" w:rsidR="00D72023" w:rsidP="00D72023" w:rsidRDefault="00D72023" w14:paraId="1606CC50" w14:textId="77777777">
                  <w:pPr>
                    <w:jc w:val="center"/>
                    <w:rPr>
                      <w:rFonts w:cs="Arial"/>
                      <w:color w:val="000000"/>
                      <w:sz w:val="20"/>
                      <w:szCs w:val="20"/>
                      <w:lang w:eastAsia="en-GB"/>
                    </w:rPr>
                  </w:pPr>
                  <w:r w:rsidRPr="00D72023">
                    <w:rPr>
                      <w:rFonts w:cs="Arial"/>
                      <w:color w:val="000000"/>
                      <w:sz w:val="20"/>
                      <w:szCs w:val="20"/>
                      <w:lang w:eastAsia="en-GB"/>
                    </w:rPr>
                    <w:t>£600</w:t>
                  </w:r>
                </w:p>
              </w:tc>
              <w:tc>
                <w:tcPr>
                  <w:tcW w:w="580"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D72023" w:rsidR="00D72023" w:rsidP="00D72023" w:rsidRDefault="00D72023" w14:paraId="1606CC51" w14:textId="77777777">
                  <w:pPr>
                    <w:jc w:val="center"/>
                    <w:rPr>
                      <w:rFonts w:cs="Arial"/>
                      <w:color w:val="000000"/>
                      <w:sz w:val="20"/>
                      <w:szCs w:val="20"/>
                      <w:lang w:eastAsia="en-GB"/>
                    </w:rPr>
                  </w:pPr>
                  <w:r w:rsidRPr="00D72023">
                    <w:rPr>
                      <w:rFonts w:cs="Arial"/>
                      <w:color w:val="000000"/>
                      <w:sz w:val="20"/>
                      <w:szCs w:val="20"/>
                      <w:lang w:eastAsia="en-GB"/>
                    </w:rPr>
                    <w:t>£43,800</w:t>
                  </w:r>
                </w:p>
              </w:tc>
            </w:tr>
            <w:tr w:rsidRPr="00D72023" w:rsidR="00D72023" w:rsidTr="00D72023" w14:paraId="1606CC57" w14:textId="77777777">
              <w:trPr>
                <w:trHeight w:val="450"/>
              </w:trPr>
              <w:tc>
                <w:tcPr>
                  <w:tcW w:w="3217"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D72023" w:rsidR="00D72023" w:rsidP="00D72023" w:rsidRDefault="00D72023" w14:paraId="1606CC53" w14:textId="77777777">
                  <w:pPr>
                    <w:rPr>
                      <w:rFonts w:cs="Arial"/>
                      <w:color w:val="000000"/>
                      <w:sz w:val="20"/>
                      <w:szCs w:val="20"/>
                      <w:lang w:eastAsia="en-GB"/>
                    </w:rPr>
                  </w:pPr>
                  <w:r w:rsidRPr="00D72023">
                    <w:rPr>
                      <w:rFonts w:cs="Arial"/>
                      <w:color w:val="000000"/>
                      <w:sz w:val="20"/>
                      <w:szCs w:val="20"/>
                      <w:lang w:eastAsia="en-GB"/>
                    </w:rPr>
                    <w:t>PG04 Progression Apprenticeship (EDU)</w:t>
                  </w:r>
                </w:p>
              </w:tc>
              <w:tc>
                <w:tcPr>
                  <w:tcW w:w="580"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D72023" w:rsidR="00D72023" w:rsidP="00D72023" w:rsidRDefault="00D72023" w14:paraId="1606CC54" w14:textId="77777777">
                  <w:pPr>
                    <w:jc w:val="center"/>
                    <w:rPr>
                      <w:rFonts w:cs="Arial"/>
                      <w:color w:val="000000"/>
                      <w:sz w:val="20"/>
                      <w:szCs w:val="20"/>
                      <w:lang w:eastAsia="en-GB"/>
                    </w:rPr>
                  </w:pPr>
                  <w:r>
                    <w:rPr>
                      <w:rFonts w:cs="Arial"/>
                      <w:color w:val="000000"/>
                      <w:sz w:val="20"/>
                      <w:szCs w:val="20"/>
                      <w:lang w:eastAsia="en-GB"/>
                    </w:rPr>
                    <w:t>122</w:t>
                  </w:r>
                </w:p>
              </w:tc>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72023" w:rsidR="00D72023" w:rsidP="00D72023" w:rsidRDefault="00D72023" w14:paraId="1606CC55" w14:textId="77777777">
                  <w:pPr>
                    <w:jc w:val="center"/>
                    <w:rPr>
                      <w:rFonts w:cs="Arial"/>
                      <w:color w:val="000000"/>
                      <w:sz w:val="20"/>
                      <w:szCs w:val="20"/>
                      <w:lang w:eastAsia="en-GB"/>
                    </w:rPr>
                  </w:pPr>
                  <w:r w:rsidRPr="00D72023">
                    <w:rPr>
                      <w:rFonts w:cs="Arial"/>
                      <w:color w:val="000000"/>
                      <w:sz w:val="20"/>
                      <w:szCs w:val="20"/>
                      <w:lang w:eastAsia="en-GB"/>
                    </w:rPr>
                    <w:t>£700</w:t>
                  </w:r>
                </w:p>
              </w:tc>
              <w:tc>
                <w:tcPr>
                  <w:tcW w:w="580"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D72023" w:rsidR="00D72023" w:rsidP="00D72023" w:rsidRDefault="00D72023" w14:paraId="1606CC56" w14:textId="77777777">
                  <w:pPr>
                    <w:jc w:val="center"/>
                    <w:rPr>
                      <w:rFonts w:cs="Arial"/>
                      <w:color w:val="000000"/>
                      <w:sz w:val="20"/>
                      <w:szCs w:val="20"/>
                      <w:lang w:eastAsia="en-GB"/>
                    </w:rPr>
                  </w:pPr>
                  <w:r w:rsidRPr="00D72023">
                    <w:rPr>
                      <w:rFonts w:cs="Arial"/>
                      <w:color w:val="000000"/>
                      <w:sz w:val="20"/>
                      <w:szCs w:val="20"/>
                      <w:lang w:eastAsia="en-GB"/>
                    </w:rPr>
                    <w:t>£85,400</w:t>
                  </w:r>
                </w:p>
              </w:tc>
            </w:tr>
            <w:tr w:rsidRPr="00D72023" w:rsidR="00D72023" w:rsidTr="00D72023" w14:paraId="1606CC5C" w14:textId="77777777">
              <w:trPr>
                <w:trHeight w:val="450"/>
              </w:trPr>
              <w:tc>
                <w:tcPr>
                  <w:tcW w:w="3217"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D72023" w:rsidR="00D72023" w:rsidP="00D72023" w:rsidRDefault="00D72023" w14:paraId="1606CC58" w14:textId="77777777">
                  <w:pPr>
                    <w:rPr>
                      <w:rFonts w:cs="Arial"/>
                      <w:color w:val="000000"/>
                      <w:sz w:val="20"/>
                      <w:szCs w:val="20"/>
                      <w:lang w:eastAsia="en-GB"/>
                    </w:rPr>
                  </w:pPr>
                  <w:r w:rsidRPr="00D72023">
                    <w:rPr>
                      <w:rFonts w:cs="Arial"/>
                      <w:color w:val="000000"/>
                      <w:sz w:val="20"/>
                      <w:szCs w:val="20"/>
                      <w:lang w:eastAsia="en-GB"/>
                    </w:rPr>
                    <w:t>SU04 Sustained Apprenticeship 3 Months</w:t>
                  </w:r>
                </w:p>
              </w:tc>
              <w:tc>
                <w:tcPr>
                  <w:tcW w:w="580"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D72023" w:rsidR="00D72023" w:rsidP="00D72023" w:rsidRDefault="00D72023" w14:paraId="1606CC59" w14:textId="77777777">
                  <w:pPr>
                    <w:jc w:val="center"/>
                    <w:rPr>
                      <w:rFonts w:cs="Arial"/>
                      <w:color w:val="000000"/>
                      <w:sz w:val="20"/>
                      <w:szCs w:val="20"/>
                      <w:lang w:eastAsia="en-GB"/>
                    </w:rPr>
                  </w:pPr>
                  <w:r>
                    <w:rPr>
                      <w:rFonts w:cs="Arial"/>
                      <w:color w:val="000000"/>
                      <w:sz w:val="20"/>
                      <w:szCs w:val="20"/>
                      <w:lang w:eastAsia="en-GB"/>
                    </w:rPr>
                    <w:t>122</w:t>
                  </w:r>
                </w:p>
              </w:tc>
              <w:tc>
                <w:tcPr>
                  <w:tcW w:w="622"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D72023" w:rsidR="00D72023" w:rsidP="00D72023" w:rsidRDefault="00D72023" w14:paraId="1606CC5A" w14:textId="77777777">
                  <w:pPr>
                    <w:jc w:val="center"/>
                    <w:rPr>
                      <w:rFonts w:cs="Arial"/>
                      <w:color w:val="000000"/>
                      <w:sz w:val="20"/>
                      <w:szCs w:val="20"/>
                      <w:lang w:eastAsia="en-GB"/>
                    </w:rPr>
                  </w:pPr>
                  <w:r w:rsidRPr="00D72023">
                    <w:rPr>
                      <w:rFonts w:cs="Arial"/>
                      <w:color w:val="000000"/>
                      <w:sz w:val="20"/>
                      <w:szCs w:val="20"/>
                      <w:lang w:eastAsia="en-GB"/>
                    </w:rPr>
                    <w:t>£600</w:t>
                  </w:r>
                </w:p>
              </w:tc>
              <w:tc>
                <w:tcPr>
                  <w:tcW w:w="580"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D72023" w:rsidR="00D72023" w:rsidP="00D72023" w:rsidRDefault="00D72023" w14:paraId="1606CC5B" w14:textId="77777777">
                  <w:pPr>
                    <w:jc w:val="center"/>
                    <w:rPr>
                      <w:rFonts w:cs="Arial"/>
                      <w:color w:val="000000"/>
                      <w:sz w:val="20"/>
                      <w:szCs w:val="20"/>
                      <w:lang w:eastAsia="en-GB"/>
                    </w:rPr>
                  </w:pPr>
                  <w:r w:rsidRPr="00D72023">
                    <w:rPr>
                      <w:rFonts w:cs="Arial"/>
                      <w:color w:val="000000"/>
                      <w:sz w:val="20"/>
                      <w:szCs w:val="20"/>
                      <w:lang w:eastAsia="en-GB"/>
                    </w:rPr>
                    <w:t>£73,200</w:t>
                  </w:r>
                </w:p>
              </w:tc>
            </w:tr>
            <w:tr w:rsidRPr="00D72023" w:rsidR="00D72023" w:rsidTr="00D72023" w14:paraId="1606CC61" w14:textId="77777777">
              <w:trPr>
                <w:trHeight w:val="450"/>
              </w:trPr>
              <w:tc>
                <w:tcPr>
                  <w:tcW w:w="3217" w:type="pct"/>
                  <w:tcBorders>
                    <w:top w:val="single" w:color="auto" w:sz="4" w:space="0"/>
                    <w:left w:val="single" w:color="000000" w:sz="4" w:space="0"/>
                    <w:bottom w:val="single" w:color="auto" w:sz="4" w:space="0"/>
                    <w:right w:val="single" w:color="auto" w:sz="4" w:space="0"/>
                  </w:tcBorders>
                  <w:shd w:val="clear" w:color="auto" w:fill="auto"/>
                  <w:vAlign w:val="center"/>
                  <w:hideMark/>
                </w:tcPr>
                <w:p w:rsidRPr="00D72023" w:rsidR="00D72023" w:rsidP="00D72023" w:rsidRDefault="00D72023" w14:paraId="1606CC5D" w14:textId="77777777">
                  <w:pPr>
                    <w:rPr>
                      <w:rFonts w:cs="Arial"/>
                      <w:color w:val="000000"/>
                      <w:sz w:val="20"/>
                      <w:szCs w:val="20"/>
                      <w:lang w:eastAsia="en-GB"/>
                    </w:rPr>
                  </w:pPr>
                  <w:r w:rsidRPr="00D72023">
                    <w:rPr>
                      <w:rFonts w:cs="Arial"/>
                      <w:color w:val="000000"/>
                      <w:sz w:val="20"/>
                      <w:szCs w:val="20"/>
                      <w:lang w:eastAsia="en-GB"/>
                    </w:rPr>
                    <w:t>Total</w:t>
                  </w:r>
                </w:p>
              </w:tc>
              <w:tc>
                <w:tcPr>
                  <w:tcW w:w="580" w:type="pct"/>
                  <w:tcBorders>
                    <w:top w:val="single" w:color="auto" w:sz="4" w:space="0"/>
                    <w:left w:val="nil"/>
                    <w:bottom w:val="single" w:color="auto" w:sz="4" w:space="0"/>
                    <w:right w:val="single" w:color="auto" w:sz="4" w:space="0"/>
                  </w:tcBorders>
                  <w:shd w:val="clear" w:color="000000" w:fill="FFFFFF" w:themeFill="background1"/>
                  <w:vAlign w:val="center"/>
                  <w:hideMark/>
                </w:tcPr>
                <w:p w:rsidRPr="00D72023" w:rsidR="00D72023" w:rsidP="00D72023" w:rsidRDefault="00D72023" w14:paraId="1606CC5E" w14:textId="77777777">
                  <w:pPr>
                    <w:jc w:val="center"/>
                    <w:rPr>
                      <w:rFonts w:cs="Arial"/>
                      <w:sz w:val="20"/>
                      <w:szCs w:val="20"/>
                      <w:lang w:eastAsia="en-GB"/>
                    </w:rPr>
                  </w:pPr>
                  <w:r w:rsidRPr="00D72023">
                    <w:rPr>
                      <w:rFonts w:cs="Arial"/>
                      <w:sz w:val="20"/>
                      <w:szCs w:val="20"/>
                      <w:lang w:eastAsia="en-GB"/>
                    </w:rPr>
                    <w:t> </w:t>
                  </w:r>
                </w:p>
              </w:tc>
              <w:tc>
                <w:tcPr>
                  <w:tcW w:w="622" w:type="pct"/>
                  <w:tcBorders>
                    <w:top w:val="single" w:color="auto" w:sz="4" w:space="0"/>
                    <w:left w:val="nil"/>
                    <w:bottom w:val="single" w:color="auto" w:sz="4" w:space="0"/>
                    <w:right w:val="single" w:color="auto" w:sz="4" w:space="0"/>
                  </w:tcBorders>
                  <w:shd w:val="clear" w:color="auto" w:fill="FFFFFF" w:themeFill="background1"/>
                  <w:noWrap/>
                  <w:vAlign w:val="center"/>
                  <w:hideMark/>
                </w:tcPr>
                <w:p w:rsidRPr="00D72023" w:rsidR="00D72023" w:rsidP="00D72023" w:rsidRDefault="00D72023" w14:paraId="1606CC5F" w14:textId="77777777">
                  <w:pPr>
                    <w:jc w:val="center"/>
                    <w:rPr>
                      <w:rFonts w:cs="Arial"/>
                      <w:color w:val="000000"/>
                      <w:sz w:val="20"/>
                      <w:szCs w:val="20"/>
                      <w:lang w:eastAsia="en-GB"/>
                    </w:rPr>
                  </w:pPr>
                  <w:r w:rsidRPr="00D72023">
                    <w:rPr>
                      <w:rFonts w:cs="Arial"/>
                      <w:color w:val="000000"/>
                      <w:sz w:val="20"/>
                      <w:szCs w:val="20"/>
                      <w:lang w:eastAsia="en-GB"/>
                    </w:rPr>
                    <w:t> </w:t>
                  </w:r>
                </w:p>
              </w:tc>
              <w:tc>
                <w:tcPr>
                  <w:tcW w:w="580" w:type="pct"/>
                  <w:tcBorders>
                    <w:top w:val="single" w:color="auto" w:sz="4" w:space="0"/>
                    <w:left w:val="nil"/>
                    <w:bottom w:val="single" w:color="auto" w:sz="4" w:space="0"/>
                    <w:right w:val="single" w:color="000000" w:sz="4" w:space="0"/>
                  </w:tcBorders>
                  <w:shd w:val="clear" w:color="auto" w:fill="auto"/>
                  <w:noWrap/>
                  <w:vAlign w:val="center"/>
                  <w:hideMark/>
                </w:tcPr>
                <w:p w:rsidRPr="00D72023" w:rsidR="00D72023" w:rsidP="00D72023" w:rsidRDefault="00D72023" w14:paraId="1606CC60" w14:textId="77777777">
                  <w:pPr>
                    <w:jc w:val="center"/>
                    <w:rPr>
                      <w:rFonts w:cs="Arial"/>
                      <w:color w:val="000000"/>
                      <w:sz w:val="20"/>
                      <w:szCs w:val="20"/>
                      <w:lang w:eastAsia="en-GB"/>
                    </w:rPr>
                  </w:pPr>
                  <w:r w:rsidRPr="00D72023">
                    <w:rPr>
                      <w:rFonts w:cs="Arial"/>
                      <w:color w:val="000000"/>
                      <w:sz w:val="20"/>
                      <w:szCs w:val="20"/>
                      <w:lang w:eastAsia="en-GB"/>
                    </w:rPr>
                    <w:t>£1,040,250</w:t>
                  </w:r>
                </w:p>
              </w:tc>
            </w:tr>
          </w:tbl>
          <w:p w:rsidR="00D72023" w:rsidP="003F020C" w:rsidRDefault="00D72023" w14:paraId="1606CC62" w14:textId="77777777">
            <w:pPr>
              <w:autoSpaceDE w:val="0"/>
              <w:autoSpaceDN w:val="0"/>
              <w:adjustRightInd w:val="0"/>
            </w:pPr>
          </w:p>
          <w:p w:rsidR="0036018B" w:rsidP="003F020C" w:rsidRDefault="0036018B" w14:paraId="1606CC63" w14:textId="77777777">
            <w:pPr>
              <w:autoSpaceDE w:val="0"/>
              <w:autoSpaceDN w:val="0"/>
              <w:adjustRightInd w:val="0"/>
              <w:rPr>
                <w:rFonts w:cs="Arial"/>
                <w:b/>
              </w:rPr>
            </w:pPr>
          </w:p>
          <w:p w:rsidR="0036018B" w:rsidP="003F020C" w:rsidRDefault="0036018B" w14:paraId="1606CC64" w14:textId="77777777">
            <w:pPr>
              <w:autoSpaceDE w:val="0"/>
              <w:autoSpaceDN w:val="0"/>
              <w:adjustRightInd w:val="0"/>
              <w:rPr>
                <w:rFonts w:cs="Arial"/>
                <w:b/>
              </w:rPr>
            </w:pPr>
          </w:p>
          <w:p w:rsidRPr="00DB2FA1" w:rsidR="0036018B" w:rsidRDefault="0036018B" w14:paraId="1606CC65" w14:textId="77777777">
            <w:pPr>
              <w:autoSpaceDE w:val="0"/>
              <w:autoSpaceDN w:val="0"/>
              <w:adjustRightInd w:val="0"/>
              <w:rPr>
                <w:rFonts w:cs="Arial"/>
                <w:b/>
              </w:rPr>
            </w:pPr>
          </w:p>
        </w:tc>
      </w:tr>
    </w:tbl>
    <w:p w:rsidR="006A07EA" w:rsidP="2E3DAC76" w:rsidRDefault="006A07EA" w14:paraId="4A4806F5" w14:noSpellErr="1" w14:textId="2D49A84D">
      <w:pPr>
        <w:pStyle w:val="Normal"/>
      </w:pPr>
      <w:bookmarkStart w:name="_GoBack" w:id="0"/>
      <w:bookmarkEnd w:id="0"/>
    </w:p>
    <w:sectPr w:rsidR="006A07EA" w:rsidSect="0014799D">
      <w:headerReference w:type="default" r:id="rId17"/>
      <w:footerReference w:type="default" r:id="rId18"/>
      <w:type w:val="continuous"/>
      <w:pgSz w:w="11906" w:h="16838" w:orient="portrait"/>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542" w:rsidRDefault="00EA6542" w14:paraId="45F69C9F" w14:textId="77777777">
      <w:r>
        <w:separator/>
      </w:r>
    </w:p>
  </w:endnote>
  <w:endnote w:type="continuationSeparator" w:id="0">
    <w:p w:rsidR="00EA6542" w:rsidRDefault="00EA6542" w14:paraId="4C925E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ecilia LT Std Roman">
    <w:altName w:val="Caecilia LT Std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rsidR="00267691" w:rsidP="006A07EA" w:rsidRDefault="006A07EA" w14:paraId="1606CC75" w14:textId="6A34C797">
        <w:pPr>
          <w:pStyle w:val="Footer"/>
          <w:rPr>
            <w:noProof/>
          </w:rPr>
        </w:pPr>
        <w:r>
          <w:t>Itt_30077 02_06_16</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08"/>
          <w:gridCol w:w="3869"/>
        </w:tblGrid>
        <w:tr w:rsidR="00267691" w:rsidTr="009808AC" w14:paraId="1606CC78" w14:textId="77777777">
          <w:tc>
            <w:tcPr>
              <w:tcW w:w="4908" w:type="dxa"/>
            </w:tcPr>
            <w:p w:rsidR="00267691" w:rsidP="009808AC" w:rsidRDefault="00267691" w14:paraId="1606CC76" w14:textId="77777777">
              <w:pPr>
                <w:pStyle w:val="Footer"/>
              </w:pPr>
            </w:p>
          </w:tc>
          <w:tc>
            <w:tcPr>
              <w:tcW w:w="3869" w:type="dxa"/>
            </w:tcPr>
            <w:p w:rsidR="00267691" w:rsidP="009808AC" w:rsidRDefault="00267691" w14:paraId="1606CC77" w14:textId="77777777">
              <w:pPr>
                <w:pStyle w:val="Footer"/>
                <w:jc w:val="right"/>
              </w:pPr>
              <w:r>
                <w:t xml:space="preserve"> </w:t>
              </w:r>
              <w:r>
                <w:rPr>
                  <w:b/>
                  <w:bCs/>
                </w:rPr>
                <w:fldChar w:fldCharType="begin"/>
              </w:r>
              <w:r>
                <w:rPr>
                  <w:b/>
                  <w:bCs/>
                </w:rPr>
                <w:instrText xml:space="preserve"> PAGE  \* Arabic  \* MERGEFORMAT </w:instrText>
              </w:r>
              <w:r>
                <w:rPr>
                  <w:b/>
                  <w:bCs/>
                </w:rPr>
                <w:fldChar w:fldCharType="separate"/>
              </w:r>
              <w:r w:rsidR="007E24CE">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E24CE">
                <w:rPr>
                  <w:b/>
                  <w:bCs/>
                  <w:noProof/>
                </w:rPr>
                <w:t>11</w:t>
              </w:r>
              <w:r>
                <w:rPr>
                  <w:b/>
                  <w:bCs/>
                </w:rPr>
                <w:fldChar w:fldCharType="end"/>
              </w:r>
            </w:p>
          </w:tc>
        </w:tr>
      </w:tbl>
      <w:p w:rsidR="00267691" w:rsidRDefault="00EA6542" w14:paraId="1606CC79" w14:textId="77777777">
        <w:pPr>
          <w:pStyle w:val="Footer"/>
          <w:jc w:val="right"/>
        </w:pPr>
      </w:p>
    </w:sdtContent>
  </w:sdt>
  <w:p w:rsidR="00267691" w:rsidRDefault="00267691" w14:paraId="1606CC7A"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542" w:rsidRDefault="00EA6542" w14:paraId="50C99246" w14:textId="77777777">
      <w:r>
        <w:separator/>
      </w:r>
    </w:p>
  </w:footnote>
  <w:footnote w:type="continuationSeparator" w:id="0">
    <w:p w:rsidR="00EA6542" w:rsidRDefault="00EA6542" w14:paraId="1874EFA0"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rsidR="00267691" w:rsidRDefault="00EA6542" w14:paraId="1606CC74" w14:textId="77777777">
        <w:pPr>
          <w:pStyle w:val="Header"/>
        </w:pPr>
        <w:r>
          <w:rPr>
            <w:noProof/>
            <w:lang w:val="en-US"/>
          </w:rPr>
          <w:pict w14:anchorId="1606C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hint="default" w:cs="Times New Roman"/>
      </w:rPr>
    </w:lvl>
    <w:lvl w:ilvl="1">
      <w:start w:val="1"/>
      <w:numFmt w:val="decimal"/>
      <w:lvlText w:val="%1.%2"/>
      <w:lvlJc w:val="left"/>
      <w:pPr>
        <w:tabs>
          <w:tab w:val="num" w:pos="0"/>
        </w:tabs>
        <w:ind w:left="1440" w:hanging="720"/>
      </w:pPr>
      <w:rPr>
        <w:rFonts w:hint="default" w:cs="Times New Roman"/>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hint="default" w:cs="Times New Roman"/>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hint="default" w:cs="Times New Roman"/>
      </w:rPr>
    </w:lvl>
    <w:lvl w:ilvl="5">
      <w:start w:val="1"/>
      <w:numFmt w:val="lowerRoman"/>
      <w:lvlText w:val="(%6)"/>
      <w:lvlJc w:val="left"/>
      <w:pPr>
        <w:tabs>
          <w:tab w:val="num" w:pos="0"/>
        </w:tabs>
        <w:ind w:left="4320" w:hanging="720"/>
      </w:pPr>
      <w:rPr>
        <w:rFonts w:hint="default" w:cs="Times New Roman"/>
      </w:rPr>
    </w:lvl>
    <w:lvl w:ilvl="6">
      <w:start w:val="1"/>
      <w:numFmt w:val="decimal"/>
      <w:lvlText w:val="(%7)"/>
      <w:lvlJc w:val="left"/>
      <w:pPr>
        <w:tabs>
          <w:tab w:val="num" w:pos="0"/>
        </w:tabs>
        <w:ind w:left="5040" w:hanging="720"/>
      </w:pPr>
      <w:rPr>
        <w:rFonts w:hint="default" w:cs="Times New Roman"/>
      </w:rPr>
    </w:lvl>
    <w:lvl w:ilvl="7">
      <w:start w:val="1"/>
      <w:numFmt w:val="none"/>
      <w:suff w:val="nothing"/>
      <w:lvlText w:val=""/>
      <w:lvlJc w:val="left"/>
      <w:pPr>
        <w:ind w:left="5760" w:hanging="720"/>
      </w:pPr>
      <w:rPr>
        <w:rFonts w:hint="default" w:cs="Times New Roman"/>
      </w:rPr>
    </w:lvl>
    <w:lvl w:ilvl="8">
      <w:start w:val="1"/>
      <w:numFmt w:val="none"/>
      <w:suff w:val="nothing"/>
      <w:lvlText w:val=""/>
      <w:lvlJc w:val="left"/>
      <w:pPr>
        <w:ind w:left="6480" w:hanging="720"/>
      </w:pPr>
      <w:rPr>
        <w:rFonts w:hint="default" w:cs="Times New Roman"/>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hint="default" w:ascii="Symbol" w:hAnsi="Symbol"/>
        <w:b w:val="0"/>
        <w:i w:val="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261EB1"/>
    <w:multiLevelType w:val="hybridMultilevel"/>
    <w:tmpl w:val="765E51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41C08"/>
    <w:multiLevelType w:val="hybridMultilevel"/>
    <w:tmpl w:val="62BC4F2A"/>
    <w:lvl w:ilvl="0" w:tplc="0CC08888">
      <w:numFmt w:val="bullet"/>
      <w:pStyle w:val="bulletpoint1"/>
      <w:lvlText w:val="•"/>
      <w:lvlJc w:val="left"/>
      <w:pPr>
        <w:ind w:left="700" w:hanging="360"/>
      </w:pPr>
      <w:rPr>
        <w:rFonts w:hint="default" w:ascii="HelveticaNeue" w:hAnsi="HelveticaNeue" w:eastAsia="Times New Roman" w:cs="HelveticaNeue"/>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614DA"/>
    <w:multiLevelType w:val="hybridMultilevel"/>
    <w:tmpl w:val="5CA836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701BF5"/>
    <w:multiLevelType w:val="hybridMultilevel"/>
    <w:tmpl w:val="D242C9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0554A06"/>
    <w:multiLevelType w:val="hybridMultilevel"/>
    <w:tmpl w:val="1228D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593329"/>
    <w:multiLevelType w:val="hybridMultilevel"/>
    <w:tmpl w:val="CCC417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6962C9D"/>
    <w:multiLevelType w:val="hybridMultilevel"/>
    <w:tmpl w:val="64C2E63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732790"/>
    <w:multiLevelType w:val="hybridMultilevel"/>
    <w:tmpl w:val="DC485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33445EE"/>
    <w:multiLevelType w:val="hybridMultilevel"/>
    <w:tmpl w:val="5D0C05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hint="default" w:ascii="Arial" w:hAnsi="Arial" w:cs="Times New Roman"/>
        <w:sz w:val="21"/>
      </w:rPr>
    </w:lvl>
    <w:lvl w:ilvl="1">
      <w:start w:val="1"/>
      <w:numFmt w:val="decimal"/>
      <w:pStyle w:val="Level1"/>
      <w:lvlText w:val="%1.%2"/>
      <w:lvlJc w:val="left"/>
      <w:pPr>
        <w:tabs>
          <w:tab w:val="num" w:pos="720"/>
        </w:tabs>
        <w:ind w:left="720" w:hanging="720"/>
      </w:pPr>
      <w:rPr>
        <w:rFonts w:hint="default" w:ascii="Arial" w:hAnsi="Arial" w:cs="Times New Roman"/>
        <w:b/>
        <w:sz w:val="22"/>
        <w:szCs w:val="22"/>
      </w:rPr>
    </w:lvl>
    <w:lvl w:ilvl="2">
      <w:start w:val="1"/>
      <w:numFmt w:val="lowerLetter"/>
      <w:pStyle w:val="Level2"/>
      <w:lvlText w:val="(%3)"/>
      <w:lvlJc w:val="left"/>
      <w:pPr>
        <w:tabs>
          <w:tab w:val="num" w:pos="1440"/>
        </w:tabs>
        <w:ind w:left="1440" w:hanging="720"/>
      </w:pPr>
      <w:rPr>
        <w:rFonts w:hint="default" w:ascii="Arial" w:hAnsi="Arial" w:cs="Times New Roman"/>
        <w:sz w:val="21"/>
      </w:rPr>
    </w:lvl>
    <w:lvl w:ilvl="3">
      <w:start w:val="1"/>
      <w:numFmt w:val="lowerRoman"/>
      <w:pStyle w:val="Level3"/>
      <w:lvlText w:val="(%4)"/>
      <w:lvlJc w:val="left"/>
      <w:pPr>
        <w:tabs>
          <w:tab w:val="num" w:pos="2160"/>
        </w:tabs>
        <w:ind w:left="2160" w:hanging="720"/>
      </w:pPr>
      <w:rPr>
        <w:rFonts w:hint="default" w:ascii="Arial" w:hAnsi="Arial" w:cs="Times New Roman"/>
        <w:sz w:val="21"/>
      </w:rPr>
    </w:lvl>
    <w:lvl w:ilvl="4">
      <w:start w:val="1"/>
      <w:numFmt w:val="upperLetter"/>
      <w:pStyle w:val="Level4"/>
      <w:lvlText w:val="(%5)"/>
      <w:lvlJc w:val="left"/>
      <w:pPr>
        <w:tabs>
          <w:tab w:val="num" w:pos="2880"/>
        </w:tabs>
        <w:ind w:left="2880" w:hanging="720"/>
      </w:pPr>
      <w:rPr>
        <w:rFonts w:hint="default" w:ascii="Arial" w:hAnsi="Arial" w:cs="Times New Roman"/>
        <w:sz w:val="21"/>
      </w:rPr>
    </w:lvl>
    <w:lvl w:ilvl="5">
      <w:start w:val="1"/>
      <w:numFmt w:val="upperRoman"/>
      <w:pStyle w:val="Level5"/>
      <w:lvlText w:val="(%6)"/>
      <w:lvlJc w:val="left"/>
      <w:pPr>
        <w:tabs>
          <w:tab w:val="num" w:pos="3600"/>
        </w:tabs>
        <w:ind w:left="3600" w:hanging="720"/>
      </w:pPr>
      <w:rPr>
        <w:rFonts w:hint="default" w:ascii="Arial" w:hAnsi="Arial" w:cs="Times New Roman"/>
        <w:sz w:val="21"/>
      </w:rPr>
    </w:lvl>
    <w:lvl w:ilvl="6">
      <w:start w:val="1"/>
      <w:numFmt w:val="decimal"/>
      <w:lvlText w:val="%7."/>
      <w:lvlJc w:val="left"/>
      <w:pPr>
        <w:tabs>
          <w:tab w:val="num" w:pos="0"/>
        </w:tabs>
        <w:ind w:left="2520" w:hanging="360"/>
      </w:pPr>
      <w:rPr>
        <w:rFonts w:hint="default" w:cs="Times New Roman"/>
      </w:rPr>
    </w:lvl>
    <w:lvl w:ilvl="7">
      <w:start w:val="1"/>
      <w:numFmt w:val="lowerLetter"/>
      <w:lvlText w:val="%8."/>
      <w:lvlJc w:val="left"/>
      <w:pPr>
        <w:tabs>
          <w:tab w:val="num" w:pos="0"/>
        </w:tabs>
        <w:ind w:left="2880" w:hanging="360"/>
      </w:pPr>
      <w:rPr>
        <w:rFonts w:hint="default" w:cs="Times New Roman"/>
      </w:rPr>
    </w:lvl>
    <w:lvl w:ilvl="8">
      <w:start w:val="1"/>
      <w:numFmt w:val="lowerRoman"/>
      <w:lvlText w:val="%9."/>
      <w:lvlJc w:val="left"/>
      <w:pPr>
        <w:tabs>
          <w:tab w:val="num" w:pos="0"/>
        </w:tabs>
        <w:ind w:left="3240" w:hanging="360"/>
      </w:pPr>
      <w:rPr>
        <w:rFonts w:hint="default" w:cs="Times New Roman"/>
      </w:rPr>
    </w:lvl>
  </w:abstractNum>
  <w:abstractNum w:abstractNumId="18" w15:restartNumberingAfterBreak="0">
    <w:nsid w:val="58E45F86"/>
    <w:multiLevelType w:val="hybridMultilevel"/>
    <w:tmpl w:val="E2B03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B61FC4"/>
    <w:multiLevelType w:val="multilevel"/>
    <w:tmpl w:val="7904FE84"/>
    <w:lvl w:ilvl="0">
      <w:start w:val="1"/>
      <w:numFmt w:val="none"/>
      <w:lvlText w:val="%1"/>
      <w:lvlJc w:val="left"/>
      <w:pPr>
        <w:tabs>
          <w:tab w:val="num" w:pos="567"/>
        </w:tabs>
        <w:ind w:left="567" w:hanging="567"/>
      </w:pPr>
      <w:rPr>
        <w:rFonts w:hint="default" w:ascii="Arial" w:hAnsi="Arial"/>
      </w:rPr>
    </w:lvl>
    <w:lvl w:ilvl="1">
      <w:start w:val="1"/>
      <w:numFmt w:val="none"/>
      <w:suff w:val="nothing"/>
      <w:lvlText w:val="%2."/>
      <w:lvlJc w:val="left"/>
      <w:pPr>
        <w:ind w:left="567" w:hanging="567"/>
      </w:pPr>
      <w:rPr>
        <w:rFonts w:hint="default" w:ascii="Arial" w:hAnsi="Arial"/>
        <w:sz w:val="22"/>
      </w:rPr>
    </w:lvl>
    <w:lvl w:ilvl="2">
      <w:start w:val="1"/>
      <w:numFmt w:val="none"/>
      <w:lvlRestart w:val="1"/>
      <w:lvlText w:val=""/>
      <w:lvlJc w:val="left"/>
      <w:pPr>
        <w:tabs>
          <w:tab w:val="num" w:pos="851"/>
        </w:tabs>
        <w:ind w:left="851" w:hanging="851"/>
      </w:pPr>
      <w:rPr>
        <w:rFonts w:hint="default" w:ascii="Arial" w:hAnsi="Arial"/>
      </w:rPr>
    </w:lvl>
    <w:lvl w:ilvl="3">
      <w:start w:val="1"/>
      <w:numFmt w:val="none"/>
      <w:lvlRestart w:val="1"/>
      <w:lvlText w:val="%4"/>
      <w:lvlJc w:val="left"/>
      <w:pPr>
        <w:tabs>
          <w:tab w:val="num" w:pos="964"/>
        </w:tabs>
        <w:ind w:left="964" w:hanging="397"/>
      </w:pPr>
      <w:rPr>
        <w:rFonts w:hint="default" w:ascii="Arial" w:hAnsi="Arial"/>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hint="default" w:ascii="Arial" w:hAnsi="Arial"/>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0" w15:restartNumberingAfterBreak="0">
    <w:nsid w:val="6BDF18F0"/>
    <w:multiLevelType w:val="hybridMultilevel"/>
    <w:tmpl w:val="B62896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6C70A3E"/>
    <w:multiLevelType w:val="hybridMultilevel"/>
    <w:tmpl w:val="2DA43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int="default"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8AD5220"/>
    <w:multiLevelType w:val="hybridMultilevel"/>
    <w:tmpl w:val="D9ECC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E624F80"/>
    <w:multiLevelType w:val="hybridMultilevel"/>
    <w:tmpl w:val="15E0A5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22"/>
  </w:num>
  <w:num w:numId="3">
    <w:abstractNumId w:val="19"/>
  </w:num>
  <w:num w:numId="4">
    <w:abstractNumId w:val="19"/>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17"/>
  </w:num>
  <w:num w:numId="11">
    <w:abstractNumId w:val="15"/>
  </w:num>
  <w:num w:numId="12">
    <w:abstractNumId w:val="23"/>
  </w:num>
  <w:num w:numId="13">
    <w:abstractNumId w:val="18"/>
  </w:num>
  <w:num w:numId="14">
    <w:abstractNumId w:val="13"/>
  </w:num>
  <w:num w:numId="15">
    <w:abstractNumId w:val="9"/>
  </w:num>
  <w:num w:numId="16">
    <w:abstractNumId w:val="7"/>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4"/>
  </w:num>
  <w:num w:numId="27">
    <w:abstractNumId w:val="8"/>
  </w:num>
  <w:num w:numId="28">
    <w:abstractNumId w:val="12"/>
  </w:num>
  <w:num w:numId="29">
    <w:abstractNumId w:val="5"/>
  </w:num>
  <w:num w:numId="30">
    <w:abstractNumId w:val="24"/>
  </w:num>
  <w:num w:numId="31">
    <w:abstractNumId w:val="20"/>
  </w:num>
  <w:num w:numId="32">
    <w:abstractNumId w:val="1"/>
  </w:num>
  <w:num w:numId="3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32D7"/>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0644"/>
    <w:rsid w:val="0005224F"/>
    <w:rsid w:val="00055B31"/>
    <w:rsid w:val="00055E5C"/>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B5301"/>
    <w:rsid w:val="001C0F4B"/>
    <w:rsid w:val="001C5ABA"/>
    <w:rsid w:val="001C5C9F"/>
    <w:rsid w:val="001C6BE0"/>
    <w:rsid w:val="001D1AC8"/>
    <w:rsid w:val="001E04A4"/>
    <w:rsid w:val="001E0D89"/>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3728D"/>
    <w:rsid w:val="002374A5"/>
    <w:rsid w:val="00244732"/>
    <w:rsid w:val="00246ACC"/>
    <w:rsid w:val="0024756B"/>
    <w:rsid w:val="0025417A"/>
    <w:rsid w:val="00254DC6"/>
    <w:rsid w:val="00261A57"/>
    <w:rsid w:val="00261BD3"/>
    <w:rsid w:val="00267691"/>
    <w:rsid w:val="00267C1E"/>
    <w:rsid w:val="00270D12"/>
    <w:rsid w:val="00272D93"/>
    <w:rsid w:val="00273291"/>
    <w:rsid w:val="00274F72"/>
    <w:rsid w:val="00275DF2"/>
    <w:rsid w:val="002762EB"/>
    <w:rsid w:val="00281694"/>
    <w:rsid w:val="0028229D"/>
    <w:rsid w:val="002833D9"/>
    <w:rsid w:val="00294130"/>
    <w:rsid w:val="00294FCA"/>
    <w:rsid w:val="00296C8D"/>
    <w:rsid w:val="002A10EA"/>
    <w:rsid w:val="002A4103"/>
    <w:rsid w:val="002A5006"/>
    <w:rsid w:val="002A5E6B"/>
    <w:rsid w:val="002B2730"/>
    <w:rsid w:val="002B2B9C"/>
    <w:rsid w:val="002B7967"/>
    <w:rsid w:val="002C3774"/>
    <w:rsid w:val="002C3DD0"/>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24E6"/>
    <w:rsid w:val="0031325C"/>
    <w:rsid w:val="003146D9"/>
    <w:rsid w:val="00320393"/>
    <w:rsid w:val="003242A9"/>
    <w:rsid w:val="0032532B"/>
    <w:rsid w:val="00325BC2"/>
    <w:rsid w:val="00325EB2"/>
    <w:rsid w:val="00331FD0"/>
    <w:rsid w:val="00332E13"/>
    <w:rsid w:val="003341FC"/>
    <w:rsid w:val="003372BE"/>
    <w:rsid w:val="0034251F"/>
    <w:rsid w:val="003436BF"/>
    <w:rsid w:val="003437A8"/>
    <w:rsid w:val="003441FF"/>
    <w:rsid w:val="00344FA1"/>
    <w:rsid w:val="003531F2"/>
    <w:rsid w:val="0035514D"/>
    <w:rsid w:val="0036018B"/>
    <w:rsid w:val="00363111"/>
    <w:rsid w:val="0036417A"/>
    <w:rsid w:val="00365815"/>
    <w:rsid w:val="00365C0E"/>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14D3"/>
    <w:rsid w:val="003C218D"/>
    <w:rsid w:val="003C3FC1"/>
    <w:rsid w:val="003D0098"/>
    <w:rsid w:val="003D58B2"/>
    <w:rsid w:val="003D5D97"/>
    <w:rsid w:val="003E0C7F"/>
    <w:rsid w:val="003E3DEA"/>
    <w:rsid w:val="003E657D"/>
    <w:rsid w:val="003E69BE"/>
    <w:rsid w:val="003F020C"/>
    <w:rsid w:val="003F57F0"/>
    <w:rsid w:val="00401B9F"/>
    <w:rsid w:val="00404490"/>
    <w:rsid w:val="004050CC"/>
    <w:rsid w:val="004052C2"/>
    <w:rsid w:val="00406199"/>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586F"/>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0234"/>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46E9"/>
    <w:rsid w:val="00515602"/>
    <w:rsid w:val="00517252"/>
    <w:rsid w:val="0052301F"/>
    <w:rsid w:val="0052417A"/>
    <w:rsid w:val="00524B4A"/>
    <w:rsid w:val="00525050"/>
    <w:rsid w:val="00526F80"/>
    <w:rsid w:val="00527247"/>
    <w:rsid w:val="00531017"/>
    <w:rsid w:val="00532143"/>
    <w:rsid w:val="005325A3"/>
    <w:rsid w:val="00533590"/>
    <w:rsid w:val="0054599C"/>
    <w:rsid w:val="00546D27"/>
    <w:rsid w:val="00552885"/>
    <w:rsid w:val="005530E1"/>
    <w:rsid w:val="005532B7"/>
    <w:rsid w:val="0055442A"/>
    <w:rsid w:val="00555D03"/>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2374"/>
    <w:rsid w:val="00596FF4"/>
    <w:rsid w:val="005A0127"/>
    <w:rsid w:val="005A19C2"/>
    <w:rsid w:val="005A1D76"/>
    <w:rsid w:val="005A233C"/>
    <w:rsid w:val="005A3232"/>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07EA"/>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6F59E0"/>
    <w:rsid w:val="007002C7"/>
    <w:rsid w:val="007012FD"/>
    <w:rsid w:val="0070487E"/>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4CE2"/>
    <w:rsid w:val="007A63F7"/>
    <w:rsid w:val="007B305F"/>
    <w:rsid w:val="007B33D4"/>
    <w:rsid w:val="007B407A"/>
    <w:rsid w:val="007C1168"/>
    <w:rsid w:val="007C1C00"/>
    <w:rsid w:val="007C294F"/>
    <w:rsid w:val="007C2B80"/>
    <w:rsid w:val="007D184B"/>
    <w:rsid w:val="007D25C3"/>
    <w:rsid w:val="007D3BC2"/>
    <w:rsid w:val="007E24CE"/>
    <w:rsid w:val="007E2C13"/>
    <w:rsid w:val="007E2F31"/>
    <w:rsid w:val="007E51DD"/>
    <w:rsid w:val="007E5629"/>
    <w:rsid w:val="007E7731"/>
    <w:rsid w:val="007F51F2"/>
    <w:rsid w:val="007F575A"/>
    <w:rsid w:val="007F61A6"/>
    <w:rsid w:val="008040A8"/>
    <w:rsid w:val="00806C56"/>
    <w:rsid w:val="00812EC6"/>
    <w:rsid w:val="008139C0"/>
    <w:rsid w:val="0081783D"/>
    <w:rsid w:val="00823BC1"/>
    <w:rsid w:val="00841CBB"/>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36E0"/>
    <w:rsid w:val="008A7BFE"/>
    <w:rsid w:val="008B0638"/>
    <w:rsid w:val="008B301A"/>
    <w:rsid w:val="008B3265"/>
    <w:rsid w:val="008B7C05"/>
    <w:rsid w:val="008C04D4"/>
    <w:rsid w:val="008C148F"/>
    <w:rsid w:val="008C6517"/>
    <w:rsid w:val="008C74BF"/>
    <w:rsid w:val="008D41F4"/>
    <w:rsid w:val="008D685F"/>
    <w:rsid w:val="008D70EA"/>
    <w:rsid w:val="008E0CA3"/>
    <w:rsid w:val="008E1A0A"/>
    <w:rsid w:val="008E2A7B"/>
    <w:rsid w:val="008E2EBC"/>
    <w:rsid w:val="008E6320"/>
    <w:rsid w:val="008F34BD"/>
    <w:rsid w:val="00900D0A"/>
    <w:rsid w:val="009029D4"/>
    <w:rsid w:val="0090511E"/>
    <w:rsid w:val="00906ED1"/>
    <w:rsid w:val="009100F8"/>
    <w:rsid w:val="00911515"/>
    <w:rsid w:val="009116BD"/>
    <w:rsid w:val="00911A56"/>
    <w:rsid w:val="00912377"/>
    <w:rsid w:val="009143C5"/>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5872"/>
    <w:rsid w:val="009B6412"/>
    <w:rsid w:val="009B666D"/>
    <w:rsid w:val="009C1A29"/>
    <w:rsid w:val="009C4474"/>
    <w:rsid w:val="009D12A3"/>
    <w:rsid w:val="009D12C5"/>
    <w:rsid w:val="009D13EE"/>
    <w:rsid w:val="009D25EB"/>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553A"/>
    <w:rsid w:val="00A668E8"/>
    <w:rsid w:val="00A711F2"/>
    <w:rsid w:val="00A76A58"/>
    <w:rsid w:val="00A813F8"/>
    <w:rsid w:val="00A818CD"/>
    <w:rsid w:val="00A85142"/>
    <w:rsid w:val="00A85312"/>
    <w:rsid w:val="00A857B7"/>
    <w:rsid w:val="00A87E0F"/>
    <w:rsid w:val="00A91617"/>
    <w:rsid w:val="00A926B4"/>
    <w:rsid w:val="00A933DA"/>
    <w:rsid w:val="00A93F46"/>
    <w:rsid w:val="00A940C1"/>
    <w:rsid w:val="00A960A8"/>
    <w:rsid w:val="00A96FF7"/>
    <w:rsid w:val="00AA0653"/>
    <w:rsid w:val="00AA0B4C"/>
    <w:rsid w:val="00AA35C7"/>
    <w:rsid w:val="00AA3E5C"/>
    <w:rsid w:val="00AA5676"/>
    <w:rsid w:val="00AA5B48"/>
    <w:rsid w:val="00AB276E"/>
    <w:rsid w:val="00AB2823"/>
    <w:rsid w:val="00AB37C6"/>
    <w:rsid w:val="00AB4EEA"/>
    <w:rsid w:val="00AB5F90"/>
    <w:rsid w:val="00AC1A53"/>
    <w:rsid w:val="00AC384B"/>
    <w:rsid w:val="00AC3AC1"/>
    <w:rsid w:val="00AC3C37"/>
    <w:rsid w:val="00AD0B65"/>
    <w:rsid w:val="00AD69CB"/>
    <w:rsid w:val="00AD6D2B"/>
    <w:rsid w:val="00AD726E"/>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0249"/>
    <w:rsid w:val="00B3130F"/>
    <w:rsid w:val="00B3399A"/>
    <w:rsid w:val="00B348CF"/>
    <w:rsid w:val="00B37256"/>
    <w:rsid w:val="00B47759"/>
    <w:rsid w:val="00B505CF"/>
    <w:rsid w:val="00B52D80"/>
    <w:rsid w:val="00B5379B"/>
    <w:rsid w:val="00B5677B"/>
    <w:rsid w:val="00B56C5A"/>
    <w:rsid w:val="00B64855"/>
    <w:rsid w:val="00B650A9"/>
    <w:rsid w:val="00B65DE9"/>
    <w:rsid w:val="00B6696F"/>
    <w:rsid w:val="00B66CC6"/>
    <w:rsid w:val="00B70FB2"/>
    <w:rsid w:val="00B71680"/>
    <w:rsid w:val="00B85F61"/>
    <w:rsid w:val="00B87752"/>
    <w:rsid w:val="00B93DDE"/>
    <w:rsid w:val="00BA120C"/>
    <w:rsid w:val="00BA1865"/>
    <w:rsid w:val="00BA2334"/>
    <w:rsid w:val="00BB06DA"/>
    <w:rsid w:val="00BB1C26"/>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4536B"/>
    <w:rsid w:val="00C47F4E"/>
    <w:rsid w:val="00C510A4"/>
    <w:rsid w:val="00C5289B"/>
    <w:rsid w:val="00C574C8"/>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30ED0"/>
    <w:rsid w:val="00D40CC3"/>
    <w:rsid w:val="00D4509F"/>
    <w:rsid w:val="00D47BED"/>
    <w:rsid w:val="00D501D9"/>
    <w:rsid w:val="00D52ABC"/>
    <w:rsid w:val="00D535E6"/>
    <w:rsid w:val="00D6167E"/>
    <w:rsid w:val="00D67580"/>
    <w:rsid w:val="00D70054"/>
    <w:rsid w:val="00D72023"/>
    <w:rsid w:val="00D73447"/>
    <w:rsid w:val="00D75418"/>
    <w:rsid w:val="00D76FA8"/>
    <w:rsid w:val="00D90744"/>
    <w:rsid w:val="00D92E9F"/>
    <w:rsid w:val="00D934F2"/>
    <w:rsid w:val="00DA37E3"/>
    <w:rsid w:val="00DA39DA"/>
    <w:rsid w:val="00DA3E5E"/>
    <w:rsid w:val="00DA4EEE"/>
    <w:rsid w:val="00DA7651"/>
    <w:rsid w:val="00DB2FA1"/>
    <w:rsid w:val="00DB3C97"/>
    <w:rsid w:val="00DB5C0F"/>
    <w:rsid w:val="00DC4D27"/>
    <w:rsid w:val="00DC5127"/>
    <w:rsid w:val="00DC7B87"/>
    <w:rsid w:val="00DD44CA"/>
    <w:rsid w:val="00DD47E2"/>
    <w:rsid w:val="00DD6338"/>
    <w:rsid w:val="00DE0CAB"/>
    <w:rsid w:val="00DE18A3"/>
    <w:rsid w:val="00DE1B57"/>
    <w:rsid w:val="00DE4672"/>
    <w:rsid w:val="00DE7779"/>
    <w:rsid w:val="00DF4569"/>
    <w:rsid w:val="00DF61FC"/>
    <w:rsid w:val="00E0597D"/>
    <w:rsid w:val="00E05B45"/>
    <w:rsid w:val="00E0685C"/>
    <w:rsid w:val="00E076C0"/>
    <w:rsid w:val="00E102EF"/>
    <w:rsid w:val="00E11599"/>
    <w:rsid w:val="00E21F98"/>
    <w:rsid w:val="00E24CC5"/>
    <w:rsid w:val="00E275C2"/>
    <w:rsid w:val="00E37B6C"/>
    <w:rsid w:val="00E413C6"/>
    <w:rsid w:val="00E41BB7"/>
    <w:rsid w:val="00E43DDB"/>
    <w:rsid w:val="00E44261"/>
    <w:rsid w:val="00E45544"/>
    <w:rsid w:val="00E55D00"/>
    <w:rsid w:val="00E56D8F"/>
    <w:rsid w:val="00E57D32"/>
    <w:rsid w:val="00E62552"/>
    <w:rsid w:val="00E627AE"/>
    <w:rsid w:val="00E63880"/>
    <w:rsid w:val="00E74099"/>
    <w:rsid w:val="00E751A1"/>
    <w:rsid w:val="00E82E42"/>
    <w:rsid w:val="00E838E3"/>
    <w:rsid w:val="00E84720"/>
    <w:rsid w:val="00E93E97"/>
    <w:rsid w:val="00EA180F"/>
    <w:rsid w:val="00EA22BB"/>
    <w:rsid w:val="00EA599B"/>
    <w:rsid w:val="00EA61ED"/>
    <w:rsid w:val="00EA6542"/>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4B3"/>
    <w:rsid w:val="00ED67E0"/>
    <w:rsid w:val="00EE3F01"/>
    <w:rsid w:val="00EE6303"/>
    <w:rsid w:val="00EF2392"/>
    <w:rsid w:val="00F004AA"/>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523D2"/>
    <w:rsid w:val="00F5468A"/>
    <w:rsid w:val="00F5623E"/>
    <w:rsid w:val="00F5711C"/>
    <w:rsid w:val="00F6550D"/>
    <w:rsid w:val="00F65D61"/>
    <w:rsid w:val="00F66474"/>
    <w:rsid w:val="00F722BB"/>
    <w:rsid w:val="00F72938"/>
    <w:rsid w:val="00F810E6"/>
    <w:rsid w:val="00F87D3E"/>
    <w:rsid w:val="00F9192C"/>
    <w:rsid w:val="00F925C5"/>
    <w:rsid w:val="00FA346F"/>
    <w:rsid w:val="00FA5F66"/>
    <w:rsid w:val="00FC0576"/>
    <w:rsid w:val="00FC3A08"/>
    <w:rsid w:val="00FC7AB5"/>
    <w:rsid w:val="00FD0099"/>
    <w:rsid w:val="00FD05D4"/>
    <w:rsid w:val="00FD3B0A"/>
    <w:rsid w:val="00FD4ABD"/>
    <w:rsid w:val="00FD6B67"/>
    <w:rsid w:val="00FE0024"/>
    <w:rsid w:val="00FF0667"/>
    <w:rsid w:val="00FF0769"/>
    <w:rsid w:val="00FF08DF"/>
    <w:rsid w:val="00FF33F2"/>
    <w:rsid w:val="00FF6CCA"/>
    <w:rsid w:val="2E3DA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06CB11"/>
  <w15:docId w15:val="{67085598-9455-44DB-84E0-A7D58605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6A07EA"/>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edList" w:customStyle="1">
    <w:name w:val="bulletedList"/>
    <w:basedOn w:val="Normal"/>
    <w:rsid w:val="0014799D"/>
    <w:pPr>
      <w:numPr>
        <w:numId w:val="1"/>
      </w:numPr>
      <w:spacing w:after="60"/>
    </w:pPr>
  </w:style>
  <w:style w:type="paragraph" w:styleId="BulletInLetteredList" w:customStyle="1">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styleId="footerLine" w:customStyle="1">
    <w:name w:val="footerLine"/>
    <w:basedOn w:val="Footer"/>
    <w:next w:val="Footer"/>
    <w:rsid w:val="0014799D"/>
    <w:pPr>
      <w:pBdr>
        <w:bottom w:val="single" w:color="auto" w:sz="4" w:space="1"/>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styleId="letteredList0" w:customStyle="1">
    <w:name w:val="letteredList"/>
    <w:basedOn w:val="Normal"/>
    <w:rsid w:val="0014799D"/>
    <w:pPr>
      <w:numPr>
        <w:ilvl w:val="5"/>
        <w:numId w:val="3"/>
      </w:numPr>
      <w:spacing w:after="60"/>
    </w:pPr>
  </w:style>
  <w:style w:type="paragraph" w:styleId="Mainheading" w:customStyle="1">
    <w:name w:val="Main heading"/>
    <w:basedOn w:val="Normal"/>
    <w:next w:val="Normal"/>
    <w:rsid w:val="0014799D"/>
    <w:pPr>
      <w:keepNext/>
      <w:spacing w:before="240" w:after="80"/>
      <w:outlineLvl w:val="0"/>
    </w:pPr>
    <w:rPr>
      <w:rFonts w:cs="Arial"/>
      <w:b/>
      <w:bCs/>
      <w:kern w:val="32"/>
      <w:sz w:val="28"/>
    </w:rPr>
  </w:style>
  <w:style w:type="paragraph" w:styleId="paragraph" w:customStyle="1">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styleId="QuoteSource" w:customStyle="1">
    <w:name w:val="QuoteSource"/>
    <w:basedOn w:val="Normal"/>
    <w:next w:val="Normal"/>
    <w:rsid w:val="0014799D"/>
    <w:pPr>
      <w:spacing w:after="60"/>
      <w:jc w:val="right"/>
    </w:pPr>
  </w:style>
  <w:style w:type="paragraph" w:styleId="Sub-heading" w:customStyle="1">
    <w:name w:val="Sub-heading"/>
    <w:basedOn w:val="Normal"/>
    <w:next w:val="paragraph"/>
    <w:rsid w:val="0014799D"/>
    <w:pPr>
      <w:keepNext/>
      <w:spacing w:before="120" w:after="80"/>
      <w:outlineLvl w:val="1"/>
    </w:pPr>
    <w:rPr>
      <w:b/>
    </w:rPr>
  </w:style>
  <w:style w:type="paragraph" w:styleId="Subtitle1" w:customSty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styleId="CharCharCharChar" w:customStyle="1">
    <w:name w:val="Char Char Char Char"/>
    <w:basedOn w:val="Normal"/>
    <w:rsid w:val="0015011A"/>
    <w:pPr>
      <w:spacing w:after="160" w:line="240" w:lineRule="exact"/>
    </w:pPr>
    <w:rPr>
      <w:rFonts w:ascii="Verdana" w:hAnsi="Verdana" w:eastAsia="MS Mincho"/>
      <w:sz w:val="20"/>
      <w:szCs w:val="20"/>
    </w:rPr>
  </w:style>
  <w:style w:type="paragraph" w:styleId="DocumentTitle" w:customStyle="1">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ED67E0"/>
    <w:rPr>
      <w:rFonts w:ascii="Tahoma" w:hAnsi="Tahoma" w:cs="Tahoma"/>
      <w:sz w:val="16"/>
      <w:szCs w:val="16"/>
    </w:rPr>
  </w:style>
  <w:style w:type="character" w:styleId="BalloonTextChar" w:customStyle="1">
    <w:name w:val="Balloon Text Char"/>
    <w:basedOn w:val="DefaultParagraphFont"/>
    <w:link w:val="BalloonText"/>
    <w:rsid w:val="00ED67E0"/>
    <w:rPr>
      <w:rFonts w:ascii="Tahoma" w:hAnsi="Tahoma" w:cs="Tahoma"/>
      <w:sz w:val="16"/>
      <w:szCs w:val="16"/>
      <w:lang w:eastAsia="en-US"/>
    </w:rPr>
  </w:style>
  <w:style w:type="character" w:styleId="Heading1Char" w:customStyle="1">
    <w:name w:val="Heading 1 Char"/>
    <w:basedOn w:val="DefaultParagraphFont"/>
    <w:link w:val="Heading1"/>
    <w:uiPriority w:val="99"/>
    <w:rsid w:val="00ED67E0"/>
    <w:rPr>
      <w:rFonts w:ascii="Arial" w:hAnsi="Arial" w:cs="Arial"/>
      <w:b/>
      <w:bCs/>
      <w:kern w:val="32"/>
      <w:sz w:val="36"/>
      <w:szCs w:val="3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styleId="numberedparagraph" w:customStyle="1">
    <w:name w:val="numbered paragraph"/>
    <w:basedOn w:val="Normal"/>
    <w:link w:val="numberedparagraphChar"/>
    <w:uiPriority w:val="99"/>
    <w:rsid w:val="00ED67E0"/>
    <w:pPr>
      <w:numPr>
        <w:ilvl w:val="3"/>
        <w:numId w:val="5"/>
      </w:numPr>
      <w:spacing w:before="120" w:after="120"/>
    </w:pPr>
    <w:rPr>
      <w:rFonts w:cs="Arial"/>
    </w:rPr>
  </w:style>
  <w:style w:type="paragraph" w:styleId="letteredlist" w:customStyle="1">
    <w:name w:val="lettered list"/>
    <w:basedOn w:val="Normal"/>
    <w:uiPriority w:val="99"/>
    <w:rsid w:val="00ED67E0"/>
    <w:pPr>
      <w:numPr>
        <w:ilvl w:val="4"/>
        <w:numId w:val="5"/>
      </w:numPr>
      <w:spacing w:after="60"/>
    </w:pPr>
    <w:rPr>
      <w:rFonts w:cs="Arial"/>
    </w:rPr>
  </w:style>
  <w:style w:type="paragraph" w:styleId="SpecificationHeading" w:customStyle="1">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styleId="BodyTextChar" w:customStyle="1">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styleId="CommentTextChar" w:customStyle="1">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styleId="FootnoteTextChar" w:customStyle="1">
    <w:name w:val="Footnote Text Char"/>
    <w:basedOn w:val="DefaultParagraphFont"/>
    <w:link w:val="FootnoteText"/>
    <w:uiPriority w:val="99"/>
    <w:rsid w:val="00967429"/>
    <w:rPr>
      <w:rFonts w:ascii="Arial" w:hAnsi="Arial"/>
    </w:rPr>
  </w:style>
  <w:style w:type="character" w:styleId="numberedparagraphChar" w:customStyle="1">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styleId="CommentSubjectChar" w:customStyle="1">
    <w:name w:val="Comment Subject Char"/>
    <w:basedOn w:val="CommentTextChar"/>
    <w:link w:val="CommentSubject"/>
    <w:semiHidden/>
    <w:rsid w:val="005E37D8"/>
    <w:rPr>
      <w:rFonts w:ascii="Arial" w:hAnsi="Arial"/>
      <w:b/>
      <w:bCs/>
      <w:lang w:eastAsia="en-US"/>
    </w:rPr>
  </w:style>
  <w:style w:type="paragraph" w:styleId="Default" w:customStyle="1">
    <w:name w:val="Default"/>
    <w:rsid w:val="000D3936"/>
    <w:pPr>
      <w:autoSpaceDE w:val="0"/>
      <w:autoSpaceDN w:val="0"/>
      <w:adjustRightInd w:val="0"/>
    </w:pPr>
    <w:rPr>
      <w:rFonts w:ascii="Arial" w:hAnsi="Arial" w:cs="Arial" w:eastAsiaTheme="minorHAnsi"/>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cs="Arial" w:eastAsiaTheme="minorHAnsi"/>
      <w:lang w:eastAsia="en-GB"/>
    </w:rPr>
  </w:style>
  <w:style w:type="character" w:styleId="DfESOutNumbered1Char" w:customStyle="1">
    <w:name w:val="DfESOutNumbered1 Char"/>
    <w:basedOn w:val="DefaultParagraphFont"/>
    <w:link w:val="DfESOutNumbered1"/>
    <w:locked/>
    <w:rsid w:val="00DD47E2"/>
  </w:style>
  <w:style w:type="paragraph" w:styleId="DfESOutNumbered1" w:customStyle="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styleId="FooterChar" w:customStyle="1">
    <w:name w:val="Footer Char"/>
    <w:basedOn w:val="DefaultParagraphFont"/>
    <w:link w:val="Footer"/>
    <w:uiPriority w:val="99"/>
    <w:rsid w:val="008441FE"/>
    <w:rPr>
      <w:rFonts w:ascii="Arial" w:hAnsi="Arial"/>
      <w:szCs w:val="24"/>
      <w:lang w:eastAsia="en-US"/>
    </w:rPr>
  </w:style>
  <w:style w:type="table" w:styleId="TableGrid1" w:customStyle="1">
    <w:name w:val="Table Grid1"/>
    <w:basedOn w:val="TableNormal"/>
    <w:next w:val="TableGrid"/>
    <w:uiPriority w:val="39"/>
    <w:rsid w:val="00582B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styleId="Level1" w:customStyle="1">
    <w:name w:val="Level 1"/>
    <w:basedOn w:val="Normal"/>
    <w:rsid w:val="00AE2E02"/>
    <w:pPr>
      <w:keepNext/>
      <w:numPr>
        <w:ilvl w:val="1"/>
        <w:numId w:val="10"/>
      </w:numPr>
      <w:spacing w:after="260" w:line="260" w:lineRule="atLeast"/>
      <w:jc w:val="both"/>
      <w:outlineLvl w:val="0"/>
    </w:pPr>
    <w:rPr>
      <w:b/>
      <w:caps/>
      <w:sz w:val="22"/>
    </w:rPr>
  </w:style>
  <w:style w:type="paragraph" w:styleId="Level2" w:customStyle="1">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styleId="Level3" w:customStyle="1">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styleId="Level4" w:customStyle="1">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styleId="Level5" w:customStyle="1">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styleId="ListParagraphChar" w:customStyle="1">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styleId="bulletpoint1" w:customStyle="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paragraph" w:styleId="Bodycopy" w:customStyle="1">
    <w:name w:val="Body copy"/>
    <w:basedOn w:val="ListParagraph"/>
    <w:qFormat/>
    <w:rsid w:val="005146E9"/>
    <w:pPr>
      <w:tabs>
        <w:tab w:val="num" w:pos="432"/>
      </w:tabs>
      <w:spacing w:after="320" w:line="300" w:lineRule="exact"/>
      <w:ind w:left="0"/>
      <w:contextualSpacing w:val="0"/>
    </w:pPr>
    <w:rPr>
      <w:rFonts w:ascii="Arial Narrow" w:hAnsi="Arial Narrow" w:eastAsia="Calibri"/>
      <w:sz w:val="22"/>
      <w:szCs w:val="22"/>
    </w:rPr>
  </w:style>
  <w:style w:type="character" w:styleId="A3" w:customStyle="1">
    <w:name w:val="A3"/>
    <w:uiPriority w:val="99"/>
    <w:rsid w:val="0036018B"/>
    <w:rPr>
      <w:rFonts w:cs="Caecilia LT Std Roman"/>
      <w:color w:val="000000"/>
      <w:sz w:val="20"/>
      <w:szCs w:val="20"/>
    </w:rPr>
  </w:style>
  <w:style w:type="character" w:styleId="A9" w:customStyle="1">
    <w:name w:val="A9"/>
    <w:uiPriority w:val="99"/>
    <w:rsid w:val="0036018B"/>
    <w:rPr>
      <w:rFonts w:cs="Caecilia LT Std Roman"/>
      <w:b/>
      <w:bCs/>
      <w:i/>
      <w:iCs/>
      <w:color w:val="000000"/>
      <w:sz w:val="11"/>
      <w:szCs w:val="11"/>
    </w:rPr>
  </w:style>
  <w:style w:type="character" w:styleId="Heading4Char" w:customStyle="1">
    <w:name w:val="Heading 4 Char"/>
    <w:aliases w:val="Sub-Minor Char,Project table Char,Propos Char,Level 2 - a Char,Bullet 11 Char,Bullet 12 Char,Bullet 13 Char,Bullet 14 Char,Bullet 15 Char,Bullet 16 Char,h4 Char"/>
    <w:basedOn w:val="DefaultParagraphFont"/>
    <w:link w:val="Heading4"/>
    <w:rsid w:val="006A07E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40373095">
      <w:bodyDiv w:val="1"/>
      <w:marLeft w:val="0"/>
      <w:marRight w:val="0"/>
      <w:marTop w:val="0"/>
      <w:marBottom w:val="0"/>
      <w:divBdr>
        <w:top w:val="none" w:sz="0" w:space="0" w:color="auto"/>
        <w:left w:val="none" w:sz="0" w:space="0" w:color="auto"/>
        <w:bottom w:val="none" w:sz="0" w:space="0" w:color="auto"/>
        <w:right w:val="none" w:sz="0" w:space="0" w:color="auto"/>
      </w:divBdr>
    </w:div>
    <w:div w:id="1110397562">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publications/european-structural-and-investment-funds-programme-guidanc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apprenticeships.org.uk"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D3498ED0-FA69-4782-8998-855777B30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C0A6D6A0-9570-47FD-9CEB-210C9E9B48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Learning and Skills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title of document here</dc:title>
  <dc:creator>Doc</dc:creator>
  <lastModifiedBy>Karen Price</lastModifiedBy>
  <revision>4</revision>
  <lastPrinted>2016-05-18T14:50:00.0000000Z</lastPrinted>
  <dcterms:created xsi:type="dcterms:W3CDTF">2016-06-02T11:07:00.0000000Z</dcterms:created>
  <dcterms:modified xsi:type="dcterms:W3CDTF">2016-06-03T08:50:46.1780411Z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