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0A13447" w:rsidR="00CA4BA2" w:rsidRPr="00EA529F" w:rsidRDefault="00467369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654D975" w14:textId="77777777" w:rsidR="00134658" w:rsidRPr="00134658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 xml:space="preserve">The Environment Agency acting on behalf of the Department for Environment, </w:t>
            </w:r>
          </w:p>
          <w:p w14:paraId="271A4682" w14:textId="4F76CF1E" w:rsidR="00CA4BA2" w:rsidRPr="00EA529F" w:rsidRDefault="00134658" w:rsidP="001346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134658">
              <w:rPr>
                <w:rFonts w:ascii="Arial" w:hAnsi="Arial" w:cs="Arial"/>
                <w:iCs/>
                <w:sz w:val="18"/>
                <w:szCs w:val="18"/>
              </w:rPr>
              <w:t>Food &amp; Rural Affairs (DEFRA).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C3B4438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registered)]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217B7FB0" w:rsidR="007E7D58" w:rsidRDefault="008D4530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6BCCB617" w:rsidR="007E7D58" w:rsidRPr="00986BD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7EF6B9D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3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FABC061" w14:textId="51747CD3" w:rsidR="007E7D58" w:rsidRPr="00B32900" w:rsidRDefault="005B1BD6" w:rsidP="00B32900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</w:t>
            </w:r>
            <w:r w:rsidR="00B32900" w:rsidRPr="00B32900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BAM Whatman Tapes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as set out in Appendix 2 – Specification / Description</w:t>
            </w: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656DF94" w14:textId="0C3B6F08" w:rsidR="007E7D58" w:rsidRPr="00B10E6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="00485A7F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As per address list</w:t>
            </w:r>
            <w:r w:rsidR="00DD5CF3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for the 33 sites/ LSOs</w:t>
            </w:r>
            <w:r w:rsidR="00B10E68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, details</w:t>
            </w:r>
            <w:r w:rsidR="00D516F6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provided </w:t>
            </w:r>
            <w:r w:rsidR="00B10E68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at point of</w:t>
            </w:r>
            <w:r w:rsidR="00DD5CF3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D516F6" w:rsidRPr="00DD5CF3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award.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26A6310E" w14:textId="4604B56F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09F7E68E" w:rsidR="007E7D58" w:rsidRPr="00B46D37" w:rsidRDefault="004A78E6" w:rsidP="00080F4C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  <w:bookmarkStart w:id="2" w:name="_DV_C144"/>
            <w:bookmarkStart w:id="3" w:name="_Ref377110627"/>
            <w:r w:rsidRPr="007A1EC5">
              <w:rPr>
                <w:rStyle w:val="cf21"/>
                <w:rFonts w:ascii="Arial" w:eastAsia="STZhongsong" w:hAnsi="Arial" w:cs="Arial"/>
              </w:rPr>
              <w:t>None</w:t>
            </w:r>
            <w:r w:rsidRPr="007A1EC5">
              <w:rPr>
                <w:rStyle w:val="cf31"/>
                <w:rFonts w:ascii="Arial" w:eastAsia="STZhongsong" w:hAnsi="Arial" w:cs="Arial"/>
              </w:rPr>
              <w:t>.</w:t>
            </w:r>
            <w:bookmarkEnd w:id="2"/>
            <w:bookmarkEnd w:id="3"/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BAE01C0" w:rsidR="003E0478" w:rsidRDefault="002C278A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B21941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08/07/2024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51E2BC8" w:rsidR="007E7D58" w:rsidRPr="00B46D37" w:rsidRDefault="00B21941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21941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12/08/2024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87333D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40D34B0D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42367D">
              <w:rPr>
                <w:rFonts w:ascii="Arial" w:hAnsi="Arial" w:cs="Arial"/>
                <w:sz w:val="18"/>
                <w:szCs w:val="18"/>
              </w:rPr>
              <w:t xml:space="preserve">The Authority’s preference is for all invoices to be sent electronically, quoting a valid </w:t>
            </w:r>
          </w:p>
          <w:p w14:paraId="04F30FFD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Purchase Order Number (PO Number), to:</w:t>
            </w:r>
          </w:p>
          <w:p w14:paraId="143E9E5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B8FD5A" w14:textId="71389AB0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APinvoices-ENV-U@gov.sscl.com</w:t>
              </w:r>
            </w:hyperlink>
            <w:r w:rsidRPr="0042367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F52CB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DC587D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Alternatively, you may post to: </w:t>
            </w:r>
          </w:p>
          <w:p w14:paraId="5A3B7160" w14:textId="786C86EA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SSCL (Environment Agency)</w:t>
            </w:r>
          </w:p>
          <w:p w14:paraId="35795209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PO Box 797</w:t>
            </w:r>
          </w:p>
          <w:p w14:paraId="0A4CEBCE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Newport</w:t>
            </w:r>
          </w:p>
          <w:p w14:paraId="43FEEAB8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Gwent</w:t>
            </w:r>
          </w:p>
          <w:p w14:paraId="257F671E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NP10 8FZ</w:t>
            </w:r>
          </w:p>
          <w:p w14:paraId="650ED754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3A3AE4F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Within 10 Working Days of receipt of your countersigned copy of this Order Form, we </w:t>
            </w:r>
          </w:p>
          <w:p w14:paraId="5962E051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will send you a unique PO Number. You must be in receipt of a valid PO Number </w:t>
            </w:r>
          </w:p>
          <w:p w14:paraId="4144788A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before submitting an invoice.</w:t>
            </w:r>
          </w:p>
          <w:p w14:paraId="42C73CB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AD11C4C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To avoid delay in payment it is important that the invoice is compliant with Annex 3 </w:t>
            </w:r>
          </w:p>
          <w:p w14:paraId="43378B77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Non-compliant invoices will be sent back to you, which may lead to a delay in </w:t>
            </w:r>
          </w:p>
          <w:p w14:paraId="44EE37CF" w14:textId="77777777" w:rsid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payment. </w:t>
            </w:r>
          </w:p>
          <w:p w14:paraId="3ABC3DC6" w14:textId="77777777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DFE967" w14:textId="0CB1EC0F" w:rsidR="0042367D" w:rsidRPr="0042367D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 xml:space="preserve">If you have a query regarding an outstanding </w:t>
            </w:r>
            <w:r w:rsidRPr="0042367D">
              <w:rPr>
                <w:rFonts w:ascii="Arial" w:hAnsi="Arial" w:cs="Arial"/>
                <w:sz w:val="18"/>
                <w:szCs w:val="18"/>
              </w:rPr>
              <w:t>payment,</w:t>
            </w:r>
            <w:r w:rsidRPr="0042367D">
              <w:rPr>
                <w:rFonts w:ascii="Arial" w:hAnsi="Arial" w:cs="Arial"/>
                <w:sz w:val="18"/>
                <w:szCs w:val="18"/>
              </w:rPr>
              <w:t xml:space="preserve"> please contact the Authority’s </w:t>
            </w:r>
          </w:p>
          <w:p w14:paraId="0C5F03F5" w14:textId="77777777" w:rsidR="007E7D58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2367D">
              <w:rPr>
                <w:rFonts w:ascii="Arial" w:hAnsi="Arial" w:cs="Arial"/>
                <w:sz w:val="18"/>
                <w:szCs w:val="18"/>
              </w:rPr>
              <w:t>Authorised Representative(s).</w:t>
            </w:r>
          </w:p>
          <w:p w14:paraId="5AEFA517" w14:textId="0609C8CC" w:rsidR="0042367D" w:rsidRPr="00B46D37" w:rsidRDefault="0042367D" w:rsidP="0042367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E8AA1BE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DD176F" w:rsidRPr="00B46D37" w:rsidRDefault="00DD176F" w:rsidP="00392B0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0172F97E" w:rsidR="007E7D58" w:rsidRPr="00B46D37" w:rsidRDefault="005A392D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Becki Cooke, </w:t>
            </w:r>
            <w:hyperlink r:id="rId15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becki.cooke@environment-agency.gov.uk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0C0897F" w14:textId="77777777" w:rsidR="007E7D58" w:rsidRDefault="007E7D58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1F6EA1" w14:textId="77777777" w:rsidR="005A392D" w:rsidRDefault="005A392D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 Jones, </w:t>
            </w:r>
            <w:hyperlink r:id="rId16" w:history="1">
              <w:r w:rsidRPr="00EF4896">
                <w:rPr>
                  <w:rStyle w:val="Hyperlink"/>
                  <w:rFonts w:ascii="Arial" w:hAnsi="Arial" w:cs="Arial"/>
                  <w:sz w:val="18"/>
                  <w:szCs w:val="18"/>
                </w:rPr>
                <w:t>robf.jones@environment-agency.gov.uk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E4CD59E" w14:textId="6A80FAB6" w:rsidR="00ED5D8E" w:rsidRPr="00B46D37" w:rsidRDefault="00ED5D8E" w:rsidP="005A392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699605EB" w14:textId="7D972382" w:rsidR="007E7D58" w:rsidRPr="00B46D37" w:rsidRDefault="00C63D9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166F47C8" w:rsidR="007E7D58" w:rsidRPr="00AF611B" w:rsidRDefault="007E7D58" w:rsidP="00AF611B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8"/>
              <w:gridCol w:w="2077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567F377A" w:rsidR="007E7D58" w:rsidRPr="00CA4BA2" w:rsidRDefault="004C02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Environment Agency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6F9E3454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04BBDA1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may require the Supplier to ensure that any person employed in the </w:t>
            </w:r>
          </w:p>
          <w:p w14:paraId="35AA6039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delivery of the Deliverables has undertaken a Disclosure and Barring Service check. </w:t>
            </w:r>
          </w:p>
          <w:p w14:paraId="643A4990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lastRenderedPageBreak/>
              <w:t xml:space="preserve">The Supplier shall ensure that no person who discloses that they have a conviction </w:t>
            </w:r>
          </w:p>
          <w:p w14:paraId="2B2517DE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that is relevant to the nature of the Contract, relevant to the work of the Authority, or </w:t>
            </w:r>
          </w:p>
          <w:p w14:paraId="4911717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is of a type otherwise advised by the Authority (each such conviction a "Relevant </w:t>
            </w:r>
          </w:p>
          <w:p w14:paraId="3D3AEFE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Conviction"), or is found by the Supplier to have a Relevant Conviction (whether as a </w:t>
            </w:r>
          </w:p>
          <w:p w14:paraId="1912F6B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result of a police check, a Disclosure and Barring Service check or otherwise) is </w:t>
            </w:r>
          </w:p>
          <w:p w14:paraId="078FBD59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employed or engaged in the provision of any part of the Deliverables.</w:t>
            </w:r>
          </w:p>
          <w:p w14:paraId="0A790A4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05FC444" w14:textId="757BD63E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security / data security requirements are contained </w:t>
            </w:r>
            <w:hyperlink r:id="rId17" w:history="1">
              <w:r w:rsidRPr="00A73F97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DBA49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F942BC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 has corporate commitments to meet Net Zero carbon by 2030 and can </w:t>
            </w:r>
          </w:p>
          <w:p w14:paraId="498224ED" w14:textId="2FC95416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be found </w:t>
            </w:r>
            <w:hyperlink r:id="rId18" w:history="1">
              <w:r w:rsidRPr="00B21FD2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B21FD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46AC80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CF70E4" w14:textId="7DAE6502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equality and diversity strategy can be found </w:t>
            </w:r>
            <w:hyperlink r:id="rId19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001A603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DDE1E3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2A97AB" w14:textId="7A68EA9D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Authority’s </w:t>
            </w:r>
            <w:hyperlink r:id="rId20" w:history="1">
              <w:r w:rsidRPr="001A603E">
                <w:rPr>
                  <w:rStyle w:val="Hyperlink"/>
                  <w:rFonts w:ascii="Arial" w:hAnsi="Arial" w:cs="Arial"/>
                  <w:sz w:val="18"/>
                  <w:szCs w:val="18"/>
                </w:rPr>
                <w:t>regulatory statement</w:t>
              </w:r>
            </w:hyperlink>
            <w:r w:rsidRPr="005625C5">
              <w:rPr>
                <w:rFonts w:ascii="Arial" w:hAnsi="Arial" w:cs="Arial"/>
                <w:sz w:val="18"/>
                <w:szCs w:val="18"/>
              </w:rPr>
              <w:t xml:space="preserve"> sets out the strategic regulatory goals and </w:t>
            </w:r>
          </w:p>
          <w:p w14:paraId="6A0967D7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describes the ambitious programme of improvements to the way regulation is</w:t>
            </w:r>
          </w:p>
          <w:p w14:paraId="05E19274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delivered.</w:t>
            </w:r>
          </w:p>
          <w:p w14:paraId="468B2F54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9BC1C78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The Supplier is required to familiarise themselves and comply with the Authority’s </w:t>
            </w:r>
          </w:p>
          <w:p w14:paraId="009D0782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health and safety policies which can be found in Appendix 7 UK Air Quality </w:t>
            </w:r>
          </w:p>
          <w:p w14:paraId="2335A686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Monitoring Networks Health and Safety Guidance and Appendix 8 Environment </w:t>
            </w:r>
          </w:p>
          <w:p w14:paraId="5C42212B" w14:textId="77777777" w:rsid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>Agency Code of Practice</w:t>
            </w:r>
          </w:p>
          <w:p w14:paraId="6D9A46C2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FFF66B1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For the avoidance of doubt, if other policies of the Authority are referenced in the </w:t>
            </w:r>
          </w:p>
          <w:p w14:paraId="34138465" w14:textId="77777777" w:rsidR="005625C5" w:rsidRPr="005625C5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Conditions and Annexes, those policies will also apply to the Contract on the basis </w:t>
            </w:r>
          </w:p>
          <w:p w14:paraId="17237311" w14:textId="77777777" w:rsidR="007E7D58" w:rsidRDefault="005625C5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625C5">
              <w:rPr>
                <w:rFonts w:ascii="Arial" w:hAnsi="Arial" w:cs="Arial"/>
                <w:sz w:val="18"/>
                <w:szCs w:val="18"/>
              </w:rPr>
              <w:t xml:space="preserve">described therein. </w:t>
            </w:r>
          </w:p>
          <w:p w14:paraId="00A1E155" w14:textId="6BCAE656" w:rsidR="00A73F97" w:rsidRPr="00060369" w:rsidRDefault="00A73F97" w:rsidP="005625C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AB2F94E" w:rsidR="007E7D58" w:rsidRPr="00B8223A" w:rsidRDefault="00B8223A" w:rsidP="00B8223A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 w:rsidRPr="00B8223A"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2BB2A11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D51269" w:rsidR="007E7D58" w:rsidRPr="00B8223A" w:rsidRDefault="007E7D58" w:rsidP="00B8223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23A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21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Default="0028704B" w:rsidP="00964799">
      <w:pPr>
        <w:jc w:val="center"/>
        <w:rPr>
          <w:rFonts w:ascii="Arial" w:eastAsia="Arial" w:hAnsi="Arial" w:cs="Arial"/>
          <w:sz w:val="18"/>
          <w:szCs w:val="18"/>
        </w:rPr>
      </w:pPr>
    </w:p>
    <w:p w14:paraId="207C6243" w14:textId="77777777" w:rsidR="00C979DE" w:rsidRPr="009D6BFB" w:rsidRDefault="00C979DE" w:rsidP="00C979DE">
      <w:pPr>
        <w:rPr>
          <w:b/>
          <w:bCs/>
        </w:rPr>
      </w:pPr>
    </w:p>
    <w:p w14:paraId="1F0A7A86" w14:textId="16C3A8AA" w:rsidR="00964799" w:rsidRPr="00C979DE" w:rsidRDefault="00C979DE">
      <w:r w:rsidRPr="00C979DE">
        <w:t xml:space="preserve">Supply and delivery to Local Site Operators of 580 BAM Whatman Tapes to comply with the tapes that are needed </w:t>
      </w:r>
      <w:r w:rsidR="001F3B9F">
        <w:t>on</w:t>
      </w:r>
      <w:r w:rsidRPr="00C979DE">
        <w:t xml:space="preserve"> the Instrument when it is operating within its MCERTS Certificate number CSA MC130237/05.</w:t>
      </w:r>
      <w:r w:rsidR="00964799" w:rsidRPr="00C979DE">
        <w:br w:type="page"/>
      </w:r>
    </w:p>
    <w:p w14:paraId="273CE394" w14:textId="3C11FE23" w:rsidR="004267D0" w:rsidRDefault="00964799" w:rsidP="00C9254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3B1844A4" w14:textId="77777777" w:rsidR="00C92544" w:rsidRDefault="00C92544" w:rsidP="00964799">
      <w:pPr>
        <w:jc w:val="center"/>
        <w:rPr>
          <w:b/>
          <w:bCs/>
        </w:rPr>
      </w:pPr>
    </w:p>
    <w:p w14:paraId="3DE3B298" w14:textId="61BE4D36" w:rsidR="00C92544" w:rsidRDefault="00C92544" w:rsidP="00C92544">
      <w:r w:rsidRPr="00C92544">
        <w:t>Defined terms within this A</w:t>
      </w:r>
      <w:r>
        <w:t>ppendix</w:t>
      </w:r>
      <w:r w:rsidRPr="00C92544">
        <w:t>:</w:t>
      </w:r>
    </w:p>
    <w:p w14:paraId="5FFB8AD2" w14:textId="77777777" w:rsidR="00C92544" w:rsidRPr="00C92544" w:rsidRDefault="00C92544" w:rsidP="00C92544"/>
    <w:p w14:paraId="40A74C2B" w14:textId="08B991FC" w:rsidR="00C92544" w:rsidRPr="00C92544" w:rsidRDefault="00C92544" w:rsidP="00C92544">
      <w:r w:rsidRPr="00C92544">
        <w:rPr>
          <w:b/>
          <w:bCs/>
        </w:rPr>
        <w:t>E-Invoicing:</w:t>
      </w:r>
      <w:r w:rsidRPr="00C92544">
        <w:t xml:space="preserve"> Means invoices created on or submitted to the Authority via the electronic marketplace service.</w:t>
      </w:r>
    </w:p>
    <w:p w14:paraId="045F39C0" w14:textId="77777777" w:rsidR="00C92544" w:rsidRDefault="00C92544" w:rsidP="00C92544">
      <w:pPr>
        <w:rPr>
          <w:b/>
          <w:bCs/>
        </w:rPr>
      </w:pPr>
    </w:p>
    <w:p w14:paraId="15C0243C" w14:textId="77777777" w:rsidR="002D005D" w:rsidRDefault="00C92544" w:rsidP="00C92544">
      <w:r w:rsidRPr="00C92544">
        <w:rPr>
          <w:b/>
          <w:bCs/>
        </w:rPr>
        <w:t>Electronic Invoice:</w:t>
      </w:r>
      <w:r w:rsidRPr="00C92544">
        <w:t xml:space="preserve"> Means an invoice (generally in PDF file format) issued by the Supplier and received by the Authority using electronic means, generally email.</w:t>
      </w:r>
      <w:r w:rsidRPr="00C92544">
        <w:cr/>
      </w:r>
    </w:p>
    <w:p w14:paraId="0FDA71EE" w14:textId="33DF39FB" w:rsidR="00C92544" w:rsidRPr="002D005D" w:rsidRDefault="002D005D" w:rsidP="00C92544">
      <w:pPr>
        <w:rPr>
          <w:b/>
          <w:bCs/>
        </w:rPr>
      </w:pPr>
      <w:r w:rsidRPr="002D005D">
        <w:rPr>
          <w:b/>
          <w:bCs/>
        </w:rPr>
        <w:t>1. Rates and Prices</w:t>
      </w:r>
    </w:p>
    <w:p w14:paraId="7376E940" w14:textId="77777777" w:rsidR="002D005D" w:rsidRPr="00C92544" w:rsidRDefault="002D005D" w:rsidP="00C92544"/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81"/>
        <w:gridCol w:w="2500"/>
        <w:gridCol w:w="2538"/>
        <w:gridCol w:w="2430"/>
      </w:tblGrid>
      <w:tr w:rsidR="005A002D" w:rsidRPr="00E177C1" w14:paraId="7B6BD064" w14:textId="77777777" w:rsidTr="00E17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</w:trPr>
        <w:tc>
          <w:tcPr>
            <w:tcW w:w="2681" w:type="dxa"/>
            <w:shd w:val="clear" w:color="auto" w:fill="A6A6A6" w:themeFill="background1" w:themeFillShade="A6"/>
          </w:tcPr>
          <w:p w14:paraId="2373966F" w14:textId="5ADB2ABB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5A002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Descriptions of Tasks and / or Products </w:t>
            </w:r>
          </w:p>
        </w:tc>
        <w:tc>
          <w:tcPr>
            <w:tcW w:w="2500" w:type="dxa"/>
            <w:shd w:val="clear" w:color="auto" w:fill="A6A6A6" w:themeFill="background1" w:themeFillShade="A6"/>
          </w:tcPr>
          <w:p w14:paraId="245EE928" w14:textId="4208B28E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5A002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Cost per product</w:t>
            </w:r>
          </w:p>
        </w:tc>
        <w:tc>
          <w:tcPr>
            <w:tcW w:w="2538" w:type="dxa"/>
            <w:shd w:val="clear" w:color="auto" w:fill="A6A6A6" w:themeFill="background1" w:themeFillShade="A6"/>
          </w:tcPr>
          <w:p w14:paraId="68236C49" w14:textId="1BDD2CCB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5A002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No of products</w:t>
            </w:r>
          </w:p>
        </w:tc>
        <w:tc>
          <w:tcPr>
            <w:tcW w:w="2430" w:type="dxa"/>
            <w:shd w:val="clear" w:color="auto" w:fill="A6A6A6" w:themeFill="background1" w:themeFillShade="A6"/>
          </w:tcPr>
          <w:p w14:paraId="31FE14AC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5A002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Total Cost per Task </w:t>
            </w:r>
          </w:p>
        </w:tc>
      </w:tr>
      <w:tr w:rsidR="005A002D" w:rsidRPr="005A002D" w14:paraId="45BB6B78" w14:textId="77777777" w:rsidTr="00E177C1">
        <w:tc>
          <w:tcPr>
            <w:tcW w:w="2681" w:type="dxa"/>
          </w:tcPr>
          <w:p w14:paraId="72267839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WHATMAN TYPE BAM TAPES</w:t>
            </w:r>
          </w:p>
          <w:p w14:paraId="48DF1220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Part No. 460180</w:t>
            </w:r>
          </w:p>
        </w:tc>
        <w:tc>
          <w:tcPr>
            <w:tcW w:w="2500" w:type="dxa"/>
          </w:tcPr>
          <w:p w14:paraId="30C7335D" w14:textId="388F397B" w:rsidR="005A002D" w:rsidRPr="005A002D" w:rsidRDefault="004267D0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  <w:tc>
          <w:tcPr>
            <w:tcW w:w="2538" w:type="dxa"/>
          </w:tcPr>
          <w:p w14:paraId="650A332D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572</w:t>
            </w:r>
          </w:p>
        </w:tc>
        <w:tc>
          <w:tcPr>
            <w:tcW w:w="2430" w:type="dxa"/>
          </w:tcPr>
          <w:p w14:paraId="535A2E9F" w14:textId="34A045AB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£</w:t>
            </w:r>
            <w:r w:rsidR="004267D0"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</w:tr>
      <w:tr w:rsidR="005A002D" w:rsidRPr="005A002D" w14:paraId="1CD81C65" w14:textId="77777777" w:rsidTr="00E177C1">
        <w:tc>
          <w:tcPr>
            <w:tcW w:w="2681" w:type="dxa"/>
          </w:tcPr>
          <w:p w14:paraId="4216AF0A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WHATMAN TYPE BAM TAPES SPARES</w:t>
            </w:r>
          </w:p>
          <w:p w14:paraId="7B45E14E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Part No. 460180</w:t>
            </w:r>
          </w:p>
        </w:tc>
        <w:tc>
          <w:tcPr>
            <w:tcW w:w="2500" w:type="dxa"/>
          </w:tcPr>
          <w:p w14:paraId="42E162E6" w14:textId="415FD9A9" w:rsidR="005A002D" w:rsidRPr="005A002D" w:rsidRDefault="004267D0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  <w:tc>
          <w:tcPr>
            <w:tcW w:w="2538" w:type="dxa"/>
          </w:tcPr>
          <w:p w14:paraId="5B9BEB3E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2430" w:type="dxa"/>
          </w:tcPr>
          <w:p w14:paraId="079C93A0" w14:textId="3D33BEB2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£</w:t>
            </w:r>
            <w:r w:rsidR="004267D0"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</w:tr>
      <w:tr w:rsidR="005A002D" w:rsidRPr="005A002D" w14:paraId="44BF4DD8" w14:textId="77777777" w:rsidTr="00E177C1">
        <w:tc>
          <w:tcPr>
            <w:tcW w:w="2681" w:type="dxa"/>
          </w:tcPr>
          <w:p w14:paraId="29C61C2B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SHIPPING TO EACH LSO (33 sites)</w:t>
            </w:r>
          </w:p>
        </w:tc>
        <w:tc>
          <w:tcPr>
            <w:tcW w:w="2500" w:type="dxa"/>
          </w:tcPr>
          <w:p w14:paraId="3033706B" w14:textId="6761FC7F" w:rsidR="005A002D" w:rsidRPr="005A002D" w:rsidRDefault="004267D0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  <w:tc>
          <w:tcPr>
            <w:tcW w:w="2538" w:type="dxa"/>
          </w:tcPr>
          <w:p w14:paraId="406C87B2" w14:textId="77777777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33</w:t>
            </w:r>
          </w:p>
        </w:tc>
        <w:tc>
          <w:tcPr>
            <w:tcW w:w="2430" w:type="dxa"/>
          </w:tcPr>
          <w:p w14:paraId="1E9E94CD" w14:textId="5D99CD8C" w:rsidR="005A002D" w:rsidRPr="005A002D" w:rsidRDefault="005A002D" w:rsidP="00E177C1">
            <w:pPr>
              <w:spacing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£</w:t>
            </w:r>
            <w:r w:rsidR="004267D0"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</w:tr>
      <w:tr w:rsidR="005A002D" w:rsidRPr="005A002D" w14:paraId="7B4C3510" w14:textId="77777777" w:rsidTr="00E177C1">
        <w:tc>
          <w:tcPr>
            <w:tcW w:w="7719" w:type="dxa"/>
            <w:gridSpan w:val="3"/>
          </w:tcPr>
          <w:p w14:paraId="3DDC5F6F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 xml:space="preserve">Total Costs                 </w:t>
            </w:r>
          </w:p>
        </w:tc>
        <w:tc>
          <w:tcPr>
            <w:tcW w:w="2430" w:type="dxa"/>
          </w:tcPr>
          <w:p w14:paraId="4A460575" w14:textId="1AF43C3A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  <w:highlight w:val="yellow"/>
              </w:rPr>
              <w:t>£</w:t>
            </w:r>
            <w:r w:rsidR="004267D0" w:rsidRPr="00E177C1">
              <w:rPr>
                <w:rFonts w:asciiTheme="minorHAnsi" w:eastAsia="Calibri" w:hAnsiTheme="minorHAnsi" w:cstheme="minorHAnsi"/>
                <w:highlight w:val="yellow"/>
              </w:rPr>
              <w:t>[xxx]</w:t>
            </w:r>
          </w:p>
        </w:tc>
      </w:tr>
      <w:tr w:rsidR="005A002D" w:rsidRPr="005A002D" w14:paraId="042D10DB" w14:textId="77777777" w:rsidTr="00E177C1">
        <w:tc>
          <w:tcPr>
            <w:tcW w:w="7719" w:type="dxa"/>
            <w:gridSpan w:val="3"/>
          </w:tcPr>
          <w:p w14:paraId="359CA5AB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Expenses or other costs (please detail type, e.g. travel, consumables</w:t>
            </w:r>
            <w:r w:rsidRPr="005A002D">
              <w:rPr>
                <w:rFonts w:asciiTheme="minorHAnsi" w:eastAsia="Calibri" w:hAnsiTheme="minorHAnsi" w:cstheme="minorHAnsi"/>
              </w:rPr>
              <w:tab/>
            </w:r>
          </w:p>
        </w:tc>
        <w:tc>
          <w:tcPr>
            <w:tcW w:w="2430" w:type="dxa"/>
          </w:tcPr>
          <w:p w14:paraId="558C5887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£0</w:t>
            </w:r>
          </w:p>
        </w:tc>
      </w:tr>
      <w:tr w:rsidR="005A002D" w:rsidRPr="005A002D" w14:paraId="0231A6C4" w14:textId="77777777" w:rsidTr="00E177C1">
        <w:tc>
          <w:tcPr>
            <w:tcW w:w="7719" w:type="dxa"/>
            <w:gridSpan w:val="3"/>
          </w:tcPr>
          <w:p w14:paraId="4FEC64EB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Discounts applied (please detail)</w:t>
            </w:r>
          </w:p>
        </w:tc>
        <w:tc>
          <w:tcPr>
            <w:tcW w:w="2430" w:type="dxa"/>
          </w:tcPr>
          <w:p w14:paraId="3AE87086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</w:rPr>
            </w:pPr>
            <w:r w:rsidRPr="005A002D">
              <w:rPr>
                <w:rFonts w:asciiTheme="minorHAnsi" w:eastAsia="Calibri" w:hAnsiTheme="minorHAnsi" w:cstheme="minorHAnsi"/>
              </w:rPr>
              <w:t>£0</w:t>
            </w:r>
          </w:p>
        </w:tc>
      </w:tr>
      <w:tr w:rsidR="005A002D" w:rsidRPr="005A002D" w14:paraId="7366C981" w14:textId="77777777" w:rsidTr="00E177C1">
        <w:tc>
          <w:tcPr>
            <w:tcW w:w="7719" w:type="dxa"/>
            <w:gridSpan w:val="3"/>
          </w:tcPr>
          <w:p w14:paraId="45D757C3" w14:textId="77777777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</w:rPr>
            </w:pPr>
            <w:r w:rsidRPr="005A002D">
              <w:rPr>
                <w:rFonts w:asciiTheme="minorHAnsi" w:eastAsia="Calibri" w:hAnsiTheme="minorHAnsi" w:cstheme="minorHAnsi"/>
                <w:b/>
              </w:rPr>
              <w:t xml:space="preserve">Total Overall Cost  </w:t>
            </w:r>
          </w:p>
        </w:tc>
        <w:tc>
          <w:tcPr>
            <w:tcW w:w="2430" w:type="dxa"/>
          </w:tcPr>
          <w:p w14:paraId="714EB446" w14:textId="2629AAFD" w:rsidR="005A002D" w:rsidRPr="005A002D" w:rsidRDefault="005A002D" w:rsidP="005A002D">
            <w:pPr>
              <w:spacing w:after="240" w:line="259" w:lineRule="auto"/>
              <w:rPr>
                <w:rFonts w:asciiTheme="minorHAnsi" w:eastAsia="Calibri" w:hAnsiTheme="minorHAnsi" w:cstheme="minorHAnsi"/>
                <w:b/>
              </w:rPr>
            </w:pPr>
            <w:r w:rsidRPr="005A002D">
              <w:rPr>
                <w:rFonts w:asciiTheme="minorHAnsi" w:eastAsia="Calibri" w:hAnsiTheme="minorHAnsi" w:cstheme="minorHAnsi"/>
                <w:b/>
                <w:highlight w:val="yellow"/>
              </w:rPr>
              <w:t>£</w:t>
            </w:r>
            <w:r w:rsidR="004267D0" w:rsidRPr="00E177C1">
              <w:rPr>
                <w:rFonts w:asciiTheme="minorHAnsi" w:eastAsia="Calibri" w:hAnsiTheme="minorHAnsi" w:cstheme="minorHAnsi"/>
                <w:b/>
                <w:highlight w:val="yellow"/>
              </w:rPr>
              <w:t>[xxx]</w:t>
            </w:r>
          </w:p>
        </w:tc>
      </w:tr>
    </w:tbl>
    <w:p w14:paraId="4F15FD70" w14:textId="4EB1691C" w:rsidR="00C110C4" w:rsidRDefault="00C110C4" w:rsidP="00C110C4">
      <w:pPr>
        <w:jc w:val="center"/>
        <w:rPr>
          <w:b/>
          <w:bCs/>
        </w:rPr>
      </w:pPr>
    </w:p>
    <w:p w14:paraId="4AB237C3" w14:textId="1934A31E" w:rsidR="006418F8" w:rsidRDefault="002D005D" w:rsidP="002D005D">
      <w:pPr>
        <w:rPr>
          <w:b/>
          <w:bCs/>
        </w:rPr>
      </w:pPr>
      <w:r>
        <w:rPr>
          <w:b/>
          <w:bCs/>
        </w:rPr>
        <w:t>2. Currency</w:t>
      </w:r>
    </w:p>
    <w:p w14:paraId="407744CC" w14:textId="77777777" w:rsidR="002D005D" w:rsidRDefault="002D005D" w:rsidP="002D005D">
      <w:pPr>
        <w:rPr>
          <w:b/>
          <w:bCs/>
        </w:rPr>
      </w:pPr>
    </w:p>
    <w:p w14:paraId="4C5A6620" w14:textId="1E39EA07" w:rsidR="001F0FAB" w:rsidRDefault="001F0FAB" w:rsidP="002D005D">
      <w:r>
        <w:t xml:space="preserve">All Supplier invoices shall be expressed in </w:t>
      </w:r>
      <w:r w:rsidR="007F2C06">
        <w:t>sterling,</w:t>
      </w:r>
      <w:r>
        <w:t xml:space="preserve"> or such other currency as shall be permitted by the Authority in writing.</w:t>
      </w:r>
    </w:p>
    <w:p w14:paraId="67F28318" w14:textId="77777777" w:rsidR="001F0FAB" w:rsidRDefault="001F0FAB" w:rsidP="002D005D">
      <w:pPr>
        <w:rPr>
          <w:b/>
          <w:bCs/>
        </w:rPr>
      </w:pPr>
    </w:p>
    <w:p w14:paraId="549D08D5" w14:textId="3725EDD7" w:rsidR="002D005D" w:rsidRPr="009D6BFB" w:rsidRDefault="001F0FAB" w:rsidP="002D005D">
      <w:pPr>
        <w:rPr>
          <w:b/>
          <w:bCs/>
        </w:rPr>
      </w:pPr>
      <w:r>
        <w:rPr>
          <w:b/>
          <w:bCs/>
        </w:rPr>
        <w:t>3. Electronic Invoicing</w:t>
      </w:r>
    </w:p>
    <w:p w14:paraId="52A51595" w14:textId="77777777" w:rsidR="004548CD" w:rsidRDefault="004548CD" w:rsidP="004548CD"/>
    <w:p w14:paraId="38D349AB" w14:textId="0627B76F" w:rsidR="004548CD" w:rsidRPr="004548CD" w:rsidRDefault="004548CD" w:rsidP="004548CD">
      <w:r w:rsidRPr="004548CD">
        <w:t>The Authority shall accept for processing any electronic invoice that it is valid, undisputed and complies with the requirements of the Authority’s e-invoicing system</w:t>
      </w:r>
      <w:r w:rsidR="00810F88">
        <w:t>.</w:t>
      </w:r>
      <w:r w:rsidRPr="004548CD">
        <w:t xml:space="preserve"> </w:t>
      </w:r>
    </w:p>
    <w:p w14:paraId="42E7E3CD" w14:textId="77777777" w:rsidR="00810F88" w:rsidRDefault="00810F88" w:rsidP="00810F88"/>
    <w:p w14:paraId="1CBDF73F" w14:textId="4F13BA88" w:rsidR="004548CD" w:rsidRPr="004548CD" w:rsidRDefault="004548CD" w:rsidP="00810F88">
      <w:r w:rsidRPr="004548CD">
        <w:t xml:space="preserve">The Supplier shall ensure that each invoice is submitted in a PDF format and </w:t>
      </w:r>
    </w:p>
    <w:p w14:paraId="3EC2E25C" w14:textId="77777777" w:rsidR="004548CD" w:rsidRPr="004548CD" w:rsidRDefault="004548CD" w:rsidP="004548CD">
      <w:r w:rsidRPr="004548CD">
        <w:t>contains the following information:</w:t>
      </w:r>
    </w:p>
    <w:p w14:paraId="5572BF48" w14:textId="02C830F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the date of the invoice </w:t>
      </w:r>
    </w:p>
    <w:p w14:paraId="2E212185" w14:textId="774E91FF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 xml:space="preserve">a unique invoice number </w:t>
      </w:r>
    </w:p>
    <w:p w14:paraId="480FC887" w14:textId="31CF20BC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period to which the relevant Charge(s) relate</w:t>
      </w:r>
    </w:p>
    <w:p w14:paraId="208CBB63" w14:textId="7A0BB476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the correct reference for the Contract</w:t>
      </w:r>
    </w:p>
    <w:p w14:paraId="51FD7E5C" w14:textId="17CE94A2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t>a valid Purchase Order Number</w:t>
      </w:r>
    </w:p>
    <w:p w14:paraId="0BE89DD4" w14:textId="66E9765B" w:rsidR="004548CD" w:rsidRPr="004548CD" w:rsidRDefault="004548CD" w:rsidP="000D7A48">
      <w:pPr>
        <w:pStyle w:val="ListParagraph"/>
        <w:numPr>
          <w:ilvl w:val="0"/>
          <w:numId w:val="14"/>
        </w:numPr>
      </w:pPr>
      <w:r w:rsidRPr="004548CD">
        <w:lastRenderedPageBreak/>
        <w:t>a description of the Deliverables</w:t>
      </w:r>
    </w:p>
    <w:p w14:paraId="0233DA91" w14:textId="6E8EE7D0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a contact name and telephone number of a responsible person in the Supplier's finance department and/or contract manager in the event of administrative queries; and</w:t>
      </w:r>
    </w:p>
    <w:p w14:paraId="66215D3A" w14:textId="076B3DD6" w:rsidR="004548CD" w:rsidRPr="004548CD" w:rsidRDefault="004548CD" w:rsidP="00FF5D96">
      <w:pPr>
        <w:pStyle w:val="ListParagraph"/>
        <w:numPr>
          <w:ilvl w:val="0"/>
          <w:numId w:val="14"/>
        </w:numPr>
      </w:pPr>
      <w:r w:rsidRPr="004548CD">
        <w:t>the banking details for payment to the Supplier via electronic transfer of funds (i.e. name and address of bank, sort code, account name and number).</w:t>
      </w:r>
    </w:p>
    <w:p w14:paraId="6A99F575" w14:textId="77777777" w:rsidR="00FF5D96" w:rsidRDefault="00FF5D96" w:rsidP="004548CD"/>
    <w:p w14:paraId="7124D496" w14:textId="37FF9E25" w:rsidR="004548CD" w:rsidRPr="004548CD" w:rsidRDefault="004548CD" w:rsidP="004548CD">
      <w:r w:rsidRPr="004548CD">
        <w:t xml:space="preserve">The Supplier shall submit all invoices and any requested supporting documentation through the Authority’s e-invoicing system or if that is not possible to: Shared Services Connected Ltd, PO Box 797, Newport, Gwent, NP10 8FZ with a copy (again including any supporting documentation) to such </w:t>
      </w:r>
    </w:p>
    <w:p w14:paraId="6C8CD04E" w14:textId="49997A48" w:rsidR="004548CD" w:rsidRPr="004548CD" w:rsidRDefault="004548CD" w:rsidP="004548CD">
      <w:r w:rsidRPr="004548CD">
        <w:t xml:space="preserve">other person and at such place as the Authority may notify to the Supplier from time to time. </w:t>
      </w:r>
    </w:p>
    <w:p w14:paraId="240BA163" w14:textId="77777777" w:rsidR="00FF5D96" w:rsidRDefault="00FF5D96" w:rsidP="004548CD"/>
    <w:p w14:paraId="7120428F" w14:textId="2A33E602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Invoices submitted electronically will not be processed if:</w:t>
      </w:r>
    </w:p>
    <w:p w14:paraId="7DA65C76" w14:textId="7D8EBA11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The electronic submission exceeds 4mb in size.</w:t>
      </w:r>
    </w:p>
    <w:p w14:paraId="72360616" w14:textId="682D95FE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Is not submitted in a PDF formatted document.</w:t>
      </w:r>
    </w:p>
    <w:p w14:paraId="1D947780" w14:textId="25F5CC5D" w:rsidR="004548CD" w:rsidRPr="004548CD" w:rsidRDefault="004548CD" w:rsidP="00FF5D96">
      <w:pPr>
        <w:pStyle w:val="ListParagraph"/>
        <w:numPr>
          <w:ilvl w:val="0"/>
          <w:numId w:val="15"/>
        </w:numPr>
      </w:pPr>
      <w:r w:rsidRPr="004548CD">
        <w:t>Multiple invoices are submitted in one PDF formatted document.</w:t>
      </w:r>
    </w:p>
    <w:p w14:paraId="7179A66C" w14:textId="0DA15B72" w:rsidR="00DF1F5A" w:rsidRPr="00A56A6A" w:rsidRDefault="00FF5D96" w:rsidP="00260BC4">
      <w:pPr>
        <w:pStyle w:val="ListParagraph"/>
        <w:numPr>
          <w:ilvl w:val="0"/>
          <w:numId w:val="15"/>
        </w:numPr>
        <w:rPr>
          <w:b/>
          <w:bCs/>
        </w:rPr>
      </w:pPr>
      <w:r>
        <w:t>T</w:t>
      </w:r>
      <w:r w:rsidR="004548CD" w:rsidRPr="004548CD">
        <w:t>he formatted PDF is “Password Protected”</w:t>
      </w:r>
    </w:p>
    <w:sectPr w:rsidR="00DF1F5A" w:rsidRPr="00A56A6A" w:rsidSect="00C30D6E">
      <w:footerReference w:type="default" r:id="rId22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15685" w14:textId="77777777" w:rsidR="00191411" w:rsidRDefault="00191411" w:rsidP="006D4D44">
      <w:r>
        <w:separator/>
      </w:r>
    </w:p>
  </w:endnote>
  <w:endnote w:type="continuationSeparator" w:id="0">
    <w:p w14:paraId="17D23622" w14:textId="77777777" w:rsidR="00191411" w:rsidRDefault="00191411" w:rsidP="006D4D44">
      <w:r>
        <w:continuationSeparator/>
      </w:r>
    </w:p>
  </w:endnote>
  <w:endnote w:type="continuationNotice" w:id="1">
    <w:p w14:paraId="5A88D398" w14:textId="77777777" w:rsidR="001D7DF2" w:rsidRDefault="001D7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DF132" w14:textId="77777777" w:rsidR="00191411" w:rsidRDefault="00191411" w:rsidP="006D4D44">
      <w:r>
        <w:separator/>
      </w:r>
    </w:p>
  </w:footnote>
  <w:footnote w:type="continuationSeparator" w:id="0">
    <w:p w14:paraId="2AD6D722" w14:textId="77777777" w:rsidR="00191411" w:rsidRDefault="00191411" w:rsidP="006D4D44">
      <w:r>
        <w:continuationSeparator/>
      </w:r>
    </w:p>
  </w:footnote>
  <w:footnote w:type="continuationNotice" w:id="1">
    <w:p w14:paraId="032512EB" w14:textId="77777777" w:rsidR="001D7DF2" w:rsidRDefault="001D7D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30E632F"/>
    <w:multiLevelType w:val="hybridMultilevel"/>
    <w:tmpl w:val="7FE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75F1A"/>
    <w:multiLevelType w:val="hybridMultilevel"/>
    <w:tmpl w:val="7460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73ADB"/>
    <w:multiLevelType w:val="hybridMultilevel"/>
    <w:tmpl w:val="2ECE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3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10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11"/>
  </w:num>
  <w:num w:numId="7" w16cid:durableId="57559465">
    <w:abstractNumId w:val="13"/>
  </w:num>
  <w:num w:numId="8" w16cid:durableId="1106075539">
    <w:abstractNumId w:val="12"/>
  </w:num>
  <w:num w:numId="9" w16cid:durableId="385764938">
    <w:abstractNumId w:val="0"/>
  </w:num>
  <w:num w:numId="10" w16cid:durableId="1917786695">
    <w:abstractNumId w:val="14"/>
  </w:num>
  <w:num w:numId="11" w16cid:durableId="2083286213">
    <w:abstractNumId w:val="4"/>
  </w:num>
  <w:num w:numId="12" w16cid:durableId="241069624">
    <w:abstractNumId w:val="6"/>
  </w:num>
  <w:num w:numId="13" w16cid:durableId="821502637">
    <w:abstractNumId w:val="1"/>
  </w:num>
  <w:num w:numId="14" w16cid:durableId="403264342">
    <w:abstractNumId w:val="8"/>
  </w:num>
  <w:num w:numId="15" w16cid:durableId="1394156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7FA0"/>
    <w:rsid w:val="00080F4C"/>
    <w:rsid w:val="00090B3C"/>
    <w:rsid w:val="00093053"/>
    <w:rsid w:val="00097664"/>
    <w:rsid w:val="000B50E0"/>
    <w:rsid w:val="000D3162"/>
    <w:rsid w:val="000D4BA5"/>
    <w:rsid w:val="000D6A64"/>
    <w:rsid w:val="000D7A48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4658"/>
    <w:rsid w:val="00137FF0"/>
    <w:rsid w:val="00140E15"/>
    <w:rsid w:val="00152BE0"/>
    <w:rsid w:val="00153E6E"/>
    <w:rsid w:val="0018116A"/>
    <w:rsid w:val="00184C46"/>
    <w:rsid w:val="00191411"/>
    <w:rsid w:val="001A5EE7"/>
    <w:rsid w:val="001A603E"/>
    <w:rsid w:val="001A7EE6"/>
    <w:rsid w:val="001B4F0A"/>
    <w:rsid w:val="001D7DF2"/>
    <w:rsid w:val="001E3F05"/>
    <w:rsid w:val="001E591E"/>
    <w:rsid w:val="001E7197"/>
    <w:rsid w:val="001E7201"/>
    <w:rsid w:val="001E774C"/>
    <w:rsid w:val="001F0FAB"/>
    <w:rsid w:val="001F3739"/>
    <w:rsid w:val="001F3B9F"/>
    <w:rsid w:val="001F43D2"/>
    <w:rsid w:val="001F56D9"/>
    <w:rsid w:val="001F7295"/>
    <w:rsid w:val="001F7939"/>
    <w:rsid w:val="0020641D"/>
    <w:rsid w:val="002312B7"/>
    <w:rsid w:val="002316D2"/>
    <w:rsid w:val="002437CA"/>
    <w:rsid w:val="00245322"/>
    <w:rsid w:val="00260BC4"/>
    <w:rsid w:val="00261E81"/>
    <w:rsid w:val="00280C77"/>
    <w:rsid w:val="0028352A"/>
    <w:rsid w:val="0028704B"/>
    <w:rsid w:val="0029726B"/>
    <w:rsid w:val="002C278A"/>
    <w:rsid w:val="002D005D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B08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833"/>
    <w:rsid w:val="0042367D"/>
    <w:rsid w:val="00425D5F"/>
    <w:rsid w:val="004267D0"/>
    <w:rsid w:val="00431E7C"/>
    <w:rsid w:val="004414FF"/>
    <w:rsid w:val="004548CD"/>
    <w:rsid w:val="0045719F"/>
    <w:rsid w:val="00460766"/>
    <w:rsid w:val="004653AC"/>
    <w:rsid w:val="00466581"/>
    <w:rsid w:val="00467369"/>
    <w:rsid w:val="0047390D"/>
    <w:rsid w:val="00485A7F"/>
    <w:rsid w:val="004A3885"/>
    <w:rsid w:val="004A5DDE"/>
    <w:rsid w:val="004A78E6"/>
    <w:rsid w:val="004C027C"/>
    <w:rsid w:val="004D6A40"/>
    <w:rsid w:val="004E3F6D"/>
    <w:rsid w:val="004E401D"/>
    <w:rsid w:val="00502C2A"/>
    <w:rsid w:val="005331C6"/>
    <w:rsid w:val="00561D0A"/>
    <w:rsid w:val="005625C5"/>
    <w:rsid w:val="0056575C"/>
    <w:rsid w:val="0056680F"/>
    <w:rsid w:val="00592833"/>
    <w:rsid w:val="005954B9"/>
    <w:rsid w:val="005A002D"/>
    <w:rsid w:val="005A392D"/>
    <w:rsid w:val="005A6439"/>
    <w:rsid w:val="005B1BD6"/>
    <w:rsid w:val="005B7BA0"/>
    <w:rsid w:val="005D7E88"/>
    <w:rsid w:val="005E3AB1"/>
    <w:rsid w:val="005F21B0"/>
    <w:rsid w:val="00607C0A"/>
    <w:rsid w:val="00622BBD"/>
    <w:rsid w:val="00623BC1"/>
    <w:rsid w:val="0062693F"/>
    <w:rsid w:val="006418F8"/>
    <w:rsid w:val="00643F0F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F3AA3"/>
    <w:rsid w:val="006F62EF"/>
    <w:rsid w:val="00714685"/>
    <w:rsid w:val="00720A44"/>
    <w:rsid w:val="007368D0"/>
    <w:rsid w:val="00755B7F"/>
    <w:rsid w:val="00772367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2C06"/>
    <w:rsid w:val="007F72FF"/>
    <w:rsid w:val="00810F88"/>
    <w:rsid w:val="0081473B"/>
    <w:rsid w:val="008162B1"/>
    <w:rsid w:val="0081639D"/>
    <w:rsid w:val="0082099A"/>
    <w:rsid w:val="00824FEA"/>
    <w:rsid w:val="0083401F"/>
    <w:rsid w:val="008373F3"/>
    <w:rsid w:val="00841C2B"/>
    <w:rsid w:val="00852203"/>
    <w:rsid w:val="008736A8"/>
    <w:rsid w:val="00876766"/>
    <w:rsid w:val="0089272A"/>
    <w:rsid w:val="0089641B"/>
    <w:rsid w:val="00897DEE"/>
    <w:rsid w:val="008A6193"/>
    <w:rsid w:val="008B397E"/>
    <w:rsid w:val="008C06F3"/>
    <w:rsid w:val="008C0AAD"/>
    <w:rsid w:val="008C6DE8"/>
    <w:rsid w:val="008D4530"/>
    <w:rsid w:val="008F21B2"/>
    <w:rsid w:val="008F26D3"/>
    <w:rsid w:val="008F6523"/>
    <w:rsid w:val="0090448C"/>
    <w:rsid w:val="00904553"/>
    <w:rsid w:val="009179C1"/>
    <w:rsid w:val="00937B12"/>
    <w:rsid w:val="0095605E"/>
    <w:rsid w:val="00957A9E"/>
    <w:rsid w:val="00964799"/>
    <w:rsid w:val="0096507B"/>
    <w:rsid w:val="00973FCF"/>
    <w:rsid w:val="00982134"/>
    <w:rsid w:val="00982F06"/>
    <w:rsid w:val="00983BD6"/>
    <w:rsid w:val="00986BDA"/>
    <w:rsid w:val="00987AD1"/>
    <w:rsid w:val="009C2213"/>
    <w:rsid w:val="009D51E3"/>
    <w:rsid w:val="009D5364"/>
    <w:rsid w:val="009D6BFB"/>
    <w:rsid w:val="009E4387"/>
    <w:rsid w:val="009F6829"/>
    <w:rsid w:val="009F7160"/>
    <w:rsid w:val="00A005B1"/>
    <w:rsid w:val="00A1327E"/>
    <w:rsid w:val="00A14AE1"/>
    <w:rsid w:val="00A242C1"/>
    <w:rsid w:val="00A348D3"/>
    <w:rsid w:val="00A56A6A"/>
    <w:rsid w:val="00A73F97"/>
    <w:rsid w:val="00A81221"/>
    <w:rsid w:val="00A81E57"/>
    <w:rsid w:val="00A82FE8"/>
    <w:rsid w:val="00A96A21"/>
    <w:rsid w:val="00AD73E4"/>
    <w:rsid w:val="00AE364D"/>
    <w:rsid w:val="00AE4917"/>
    <w:rsid w:val="00AE4BE3"/>
    <w:rsid w:val="00AF611B"/>
    <w:rsid w:val="00B10E68"/>
    <w:rsid w:val="00B16F5C"/>
    <w:rsid w:val="00B21941"/>
    <w:rsid w:val="00B21FD2"/>
    <w:rsid w:val="00B23851"/>
    <w:rsid w:val="00B32900"/>
    <w:rsid w:val="00B45454"/>
    <w:rsid w:val="00B46D37"/>
    <w:rsid w:val="00B632B0"/>
    <w:rsid w:val="00B660D0"/>
    <w:rsid w:val="00B76B73"/>
    <w:rsid w:val="00B8223A"/>
    <w:rsid w:val="00B9205B"/>
    <w:rsid w:val="00B95ED5"/>
    <w:rsid w:val="00BA1A16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3D97"/>
    <w:rsid w:val="00C66B2C"/>
    <w:rsid w:val="00C67A7F"/>
    <w:rsid w:val="00C8287E"/>
    <w:rsid w:val="00C92544"/>
    <w:rsid w:val="00C979DE"/>
    <w:rsid w:val="00CA4382"/>
    <w:rsid w:val="00CA4BA2"/>
    <w:rsid w:val="00CD0BC1"/>
    <w:rsid w:val="00CF313C"/>
    <w:rsid w:val="00CF44D8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37CE0"/>
    <w:rsid w:val="00D516F6"/>
    <w:rsid w:val="00D833E2"/>
    <w:rsid w:val="00D92643"/>
    <w:rsid w:val="00D929D8"/>
    <w:rsid w:val="00DA5CAA"/>
    <w:rsid w:val="00DC3186"/>
    <w:rsid w:val="00DD176F"/>
    <w:rsid w:val="00DD5B37"/>
    <w:rsid w:val="00DD5CF3"/>
    <w:rsid w:val="00DF1F5A"/>
    <w:rsid w:val="00E02BF7"/>
    <w:rsid w:val="00E177C1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5F0F"/>
    <w:rsid w:val="00EA529F"/>
    <w:rsid w:val="00EB5236"/>
    <w:rsid w:val="00ED3EB7"/>
    <w:rsid w:val="00ED5D8E"/>
    <w:rsid w:val="00ED7BB0"/>
    <w:rsid w:val="00ED7D8D"/>
    <w:rsid w:val="00EE40F2"/>
    <w:rsid w:val="00EE572A"/>
    <w:rsid w:val="00EF5104"/>
    <w:rsid w:val="00EF562A"/>
    <w:rsid w:val="00F315B1"/>
    <w:rsid w:val="00F31EED"/>
    <w:rsid w:val="00F336BA"/>
    <w:rsid w:val="00F34637"/>
    <w:rsid w:val="00F41BF3"/>
    <w:rsid w:val="00F476E9"/>
    <w:rsid w:val="00F5113F"/>
    <w:rsid w:val="00F52B8D"/>
    <w:rsid w:val="00F55C82"/>
    <w:rsid w:val="00F622CE"/>
    <w:rsid w:val="00F638C9"/>
    <w:rsid w:val="00F703C7"/>
    <w:rsid w:val="00F76444"/>
    <w:rsid w:val="00F77094"/>
    <w:rsid w:val="00F81522"/>
    <w:rsid w:val="00F8541A"/>
    <w:rsid w:val="00F8733D"/>
    <w:rsid w:val="00F90CE2"/>
    <w:rsid w:val="00FA2C69"/>
    <w:rsid w:val="00FA703D"/>
    <w:rsid w:val="00FB05DC"/>
    <w:rsid w:val="00FC1519"/>
    <w:rsid w:val="00FD57F2"/>
    <w:rsid w:val="00FF511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table" w:customStyle="1" w:styleId="Table">
    <w:name w:val="Table"/>
    <w:basedOn w:val="TableNormal"/>
    <w:uiPriority w:val="99"/>
    <w:rsid w:val="005A002D"/>
    <w:rPr>
      <w:rFonts w:ascii="Arial" w:hAnsi="Arial"/>
      <w:color w:val="000000"/>
      <w:lang w:val="en-GB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publications/environment-agency-reaching-net-zer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security-policy-framework/hmg-security-policy-framewor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bf.jones@environment-agency.gov.uk" TargetMode="External"/><Relationship Id="rId20" Type="http://schemas.openxmlformats.org/officeDocument/2006/relationships/hyperlink" Target="https://www.gov.uk/government/publications/environment-agency-regulatory-statement/environment-agency-regulatory-statem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becki.cooke@environment-agency.gov.uk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gov.uk/government/organisations/environment-agency/about/equality-and-diversity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Pinvoices-ENV-U@gov.sscl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E7B433FA52494180661DA619D1D45E" ma:contentTypeVersion="37" ma:contentTypeDescription="Create a new document." ma:contentTypeScope="" ma:versionID="4db5dc41b17c51d6601d36ac3b9e1889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82cd4b0c-8326-4f12-b0f2-5a6010da14d2" xmlns:ns4="5365c18e-ad1a-4372-9a06-99106379f235" targetNamespace="http://schemas.microsoft.com/office/2006/metadata/properties" ma:root="true" ma:fieldsID="500edd163579afc2c34989b348961461" ns1:_="" ns2:_="" ns3:_="" ns4:_="">
    <xsd:import namespace="http://schemas.microsoft.com/sharepoint/v3"/>
    <xsd:import namespace="662745e8-e224-48e8-a2e3-254862b8c2f5"/>
    <xsd:import namespace="82cd4b0c-8326-4f12-b0f2-5a6010da14d2"/>
    <xsd:import namespace="5365c18e-ad1a-4372-9a06-99106379f23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32008e3-508a-40f6-86c6-2a8f2cdc286a}" ma:internalName="TaxCatchAll" ma:showField="CatchAllData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2008e3-508a-40f6-86c6-2a8f2cdc286a}" ma:internalName="TaxCatchAllLabel" ma:readOnly="true" ma:showField="CatchAllDataLabel" ma:web="82cd4b0c-8326-4f12-b0f2-5a6010da1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ional Monitoring" ma:internalName="Team">
      <xsd:simpleType>
        <xsd:restriction base="dms:Text"/>
      </xsd:simpleType>
    </xsd:element>
    <xsd:element name="Topic" ma:index="20" nillable="true" ma:displayName="Topic" ma:default="Monitoring Contra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d4b0c-8326-4f12-b0f2-5a6010da14d2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c18e-ad1a-4372-9a06-99106379f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31</Value>
      <Value>9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5365c18e-ad1a-4372-9a06-99106379f23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3EF6D-CDDE-4ECA-88B8-1CBB57A5D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82cd4b0c-8326-4f12-b0f2-5a6010da14d2"/>
    <ds:schemaRef ds:uri="5365c18e-ad1a-4372-9a06-99106379f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D42C08-45E4-4DDE-A5FB-9B342DC4A9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5365c18e-ad1a-4372-9a06-99106379f23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Cooke, Becki</cp:lastModifiedBy>
  <cp:revision>55</cp:revision>
  <dcterms:created xsi:type="dcterms:W3CDTF">2024-07-01T12:54:00Z</dcterms:created>
  <dcterms:modified xsi:type="dcterms:W3CDTF">2024-07-01T15:08:00Z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ContentTypeId">
    <vt:lpwstr>0x010100A5BF1C78D9F64B679A5EBDE1C6598EBC010069E7B433FA52494180661DA619D1D45E</vt:lpwstr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31;#Community|144ac7d7-0b9a-42f9-9385-2935294b6de3</vt:lpwstr>
  </property>
  <property fmtid="{D5CDD505-2E9C-101B-9397-08002B2CF9AE}" pid="10" name="OrganisationalUnit">
    <vt:lpwstr>33;#Defra Group Commercial|88c065df-18f9-4530-b972-ea809b7dd96d</vt:lpwstr>
  </property>
</Properties>
</file>