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60400" cy="660400"/>
                <wp:effectExtent b="0" l="0" r="0" t="0"/>
                <wp:wrapNone/>
                <wp:docPr id="2"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60400" cy="6604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60400" cy="660400"/>
                        </a:xfrm>
                        <a:prstGeom prst="rect"/>
                        <a:ln/>
                      </pic:spPr>
                    </pic:pic>
                  </a:graphicData>
                </a:graphic>
              </wp:anchor>
            </w:drawing>
          </mc:Fallback>
        </mc:AlternateConten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6 (Order Form Template and Call-Off Schedules)</w:t>
      </w:r>
    </w:p>
    <w:p w:rsidR="00000000" w:rsidDel="00000000" w:rsidP="00000000" w:rsidRDefault="00000000" w:rsidRPr="00000000" w14:paraId="00000006">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7">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w:t>
      </w:r>
    </w:p>
    <w:p w:rsidR="00000000" w:rsidDel="00000000" w:rsidP="00000000" w:rsidRDefault="00000000" w:rsidRPr="00000000" w14:paraId="00000008">
      <w:pPr>
        <w:spacing w:after="0" w:line="259" w:lineRule="auto"/>
        <w:rPr>
          <w:rFonts w:ascii="Arial" w:cs="Arial" w:eastAsia="Arial" w:hAnsi="Arial"/>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t xml:space="preserve">CCFU24A19 – (HEL &amp; NTL)</w:t>
      </w:r>
    </w:p>
    <w:p w:rsidR="00000000" w:rsidDel="00000000" w:rsidP="00000000" w:rsidRDefault="00000000" w:rsidRPr="00000000" w14:paraId="0000000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w:t>
        <w:tab/>
        <w:tab/>
        <w:tab/>
        <w:t xml:space="preserve">Northern Trains Limited</w:t>
      </w:r>
    </w:p>
    <w:p w:rsidR="00000000" w:rsidDel="00000000" w:rsidP="00000000" w:rsidRDefault="00000000" w:rsidRPr="00000000" w14:paraId="0000000D">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spacing w:after="0" w:line="259" w:lineRule="auto"/>
        <w:ind w:left="3600" w:hanging="3600"/>
        <w:rPr>
          <w:rFonts w:ascii="Arial" w:cs="Arial" w:eastAsia="Arial" w:hAnsi="Arial"/>
          <w:b w:val="1"/>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BUYER ADDRESS</w:t>
        <w:tab/>
        <w:t xml:space="preserve">George Stephenson House, Toft Green, York, YO1 6JT</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0F">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t xml:space="preserve">HARVEST ENERGY LTD </w:t>
      </w:r>
    </w:p>
    <w:p w:rsidR="00000000" w:rsidDel="00000000" w:rsidP="00000000" w:rsidRDefault="00000000" w:rsidRPr="00000000" w14:paraId="00000011">
      <w:pPr>
        <w:spacing w:line="240" w:lineRule="auto"/>
        <w:ind w:left="3600" w:hanging="3600"/>
        <w:rPr>
          <w:rFonts w:ascii="Arial" w:cs="Arial" w:eastAsia="Arial" w:hAnsi="Arial"/>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rtl w:val="0"/>
        </w:rPr>
        <w:t xml:space="preserve">Harvest House, Horizon Business Village, 1 Brooklands Road, Weybridge, Surrey, KT1 0TJ</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2">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sz w:val="24"/>
          <w:szCs w:val="24"/>
          <w:rtl w:val="0"/>
        </w:rPr>
        <w:t xml:space="preserve">02999020</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3">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DUNS NUMBER:       </w:t>
        <w:tab/>
        <w:tab/>
        <w:t xml:space="preserve">775500945</w:t>
      </w:r>
    </w:p>
    <w:p w:rsidR="00000000" w:rsidDel="00000000" w:rsidP="00000000" w:rsidRDefault="00000000" w:rsidRPr="00000000" w14:paraId="00000014">
      <w:pPr>
        <w:spacing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Call-Off Deliverables and dated Tuesday 04 June 2024.</w:t>
      </w:r>
    </w:p>
    <w:p w:rsidR="00000000" w:rsidDel="00000000" w:rsidP="00000000" w:rsidRDefault="00000000" w:rsidRPr="00000000" w14:paraId="00000019">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A">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issued under the Framework Contract with the reference number RM6177 National Fuels (2) for the provision of Fuels and Associated Services.</w:t>
      </w:r>
    </w:p>
    <w:p w:rsidR="00000000" w:rsidDel="00000000" w:rsidP="00000000" w:rsidRDefault="00000000" w:rsidRPr="00000000" w14:paraId="0000001B">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tabs>
          <w:tab w:val="left" w:leader="none" w:pos="2257"/>
        </w:tabs>
        <w:spacing w:after="0" w:line="259" w:lineRule="auto"/>
        <w:ind w:left="2880" w:hanging="28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tabs>
          <w:tab w:val="left" w:leader="none"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CALL-OFF LOT(S):</w:t>
      </w:r>
    </w:p>
    <w:p w:rsidR="00000000" w:rsidDel="00000000" w:rsidP="00000000" w:rsidRDefault="00000000" w:rsidRPr="00000000" w14:paraId="0000002A">
      <w:pPr>
        <w:tabs>
          <w:tab w:val="left" w:leader="none" w:pos="2257"/>
        </w:tabs>
        <w:spacing w:after="0" w:line="259" w:lineRule="auto"/>
        <w:rPr>
          <w:rFonts w:ascii="Arial" w:cs="Arial" w:eastAsia="Arial" w:hAnsi="Arial"/>
          <w:b w:val="1"/>
          <w:i w:val="1"/>
          <w:sz w:val="24"/>
          <w:szCs w:val="24"/>
        </w:rPr>
      </w:pPr>
      <w:r w:rsidDel="00000000" w:rsidR="00000000" w:rsidRPr="00000000">
        <w:rPr>
          <w:rtl w:val="0"/>
        </w:rPr>
      </w:r>
    </w:p>
    <w:tbl>
      <w:tblPr>
        <w:tblStyle w:val="Table1"/>
        <w:tblW w:w="8772.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400"/>
      </w:tblPr>
      <w:tblGrid>
        <w:gridCol w:w="266"/>
        <w:gridCol w:w="1293"/>
        <w:gridCol w:w="4137"/>
        <w:gridCol w:w="2810"/>
        <w:gridCol w:w="266"/>
        <w:tblGridChange w:id="0">
          <w:tblGrid>
            <w:gridCol w:w="266"/>
            <w:gridCol w:w="1293"/>
            <w:gridCol w:w="4137"/>
            <w:gridCol w:w="2810"/>
            <w:gridCol w:w="266"/>
          </w:tblGrid>
        </w:tblGridChange>
      </w:tblGrid>
      <w:tr>
        <w:trPr>
          <w:cantSplit w:val="0"/>
          <w:trHeight w:val="144" w:hRule="atLeast"/>
          <w:tblHeader w:val="0"/>
        </w:trPr>
        <w:tc>
          <w:tcPr>
            <w:tcBorders>
              <w:top w:color="000000" w:space="0" w:sz="4" w:val="single"/>
              <w:left w:color="000000" w:space="0" w:sz="4" w:val="single"/>
              <w:bottom w:color="000000" w:space="0" w:sz="0" w:val="nil"/>
              <w:right w:color="000000" w:space="0" w:sz="0" w:val="nil"/>
            </w:tcBorders>
            <w:shd w:fill="auto" w:val="clear"/>
            <w:vAlign w:val="bottom"/>
          </w:tcPr>
          <w:p w:rsidR="00000000" w:rsidDel="00000000" w:rsidP="00000000" w:rsidRDefault="00000000" w:rsidRPr="00000000" w14:paraId="0000002B">
            <w:pPr>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C">
            <w:pPr>
              <w:jc w:val="center"/>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D">
            <w:pPr>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E">
            <w:pPr>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02F">
            <w:pPr>
              <w:rPr>
                <w:color w:val="000000"/>
              </w:rPr>
            </w:pPr>
            <w:r w:rsidDel="00000000" w:rsidR="00000000" w:rsidRPr="00000000">
              <w:rPr>
                <w:color w:val="000000"/>
                <w:rtl w:val="0"/>
              </w:rPr>
              <w:t xml:space="preserve"> </w:t>
            </w:r>
          </w:p>
        </w:tc>
      </w:tr>
      <w:tr>
        <w:trPr>
          <w:cantSplit w:val="0"/>
          <w:trHeight w:val="516"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30">
            <w:pPr>
              <w:jc w:val="center"/>
              <w:rPr>
                <w:b w:val="1"/>
                <w:color w:val="000000"/>
              </w:rPr>
            </w:pPr>
            <w:r w:rsidDel="00000000" w:rsidR="00000000" w:rsidRPr="00000000">
              <w:rPr>
                <w:b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jc w:val="center"/>
              <w:rPr>
                <w:b w:val="1"/>
                <w:color w:val="000000"/>
              </w:rPr>
            </w:pPr>
            <w:r w:rsidDel="00000000" w:rsidR="00000000" w:rsidRPr="00000000">
              <w:rPr>
                <w:b w:val="1"/>
                <w:color w:val="000000"/>
                <w:rtl w:val="0"/>
              </w:rPr>
              <w:t xml:space="preserve">Lot Number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2">
            <w:pPr>
              <w:jc w:val="center"/>
              <w:rPr>
                <w:b w:val="1"/>
                <w:color w:val="000000"/>
              </w:rPr>
            </w:pPr>
            <w:r w:rsidDel="00000000" w:rsidR="00000000" w:rsidRPr="00000000">
              <w:rPr>
                <w:b w:val="1"/>
                <w:color w:val="000000"/>
                <w:rtl w:val="0"/>
              </w:rPr>
              <w:t xml:space="preserve">Lot Description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3">
            <w:pPr>
              <w:jc w:val="center"/>
              <w:rPr>
                <w:b w:val="1"/>
                <w:color w:val="000000"/>
              </w:rPr>
            </w:pPr>
            <w:r w:rsidDel="00000000" w:rsidR="00000000" w:rsidRPr="00000000">
              <w:rPr>
                <w:b w:val="1"/>
                <w:color w:val="000000"/>
                <w:rtl w:val="0"/>
              </w:rPr>
              <w:t xml:space="preserve">Relevant (Yes/ No)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34">
            <w:pPr>
              <w:jc w:val="center"/>
              <w:rPr>
                <w:b w:val="1"/>
                <w:color w:val="000000"/>
              </w:rPr>
            </w:pPr>
            <w:r w:rsidDel="00000000" w:rsidR="00000000" w:rsidRPr="00000000">
              <w:rPr>
                <w:b w:val="1"/>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35">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jc w:val="center"/>
              <w:rPr>
                <w:color w:val="000000"/>
              </w:rPr>
            </w:pPr>
            <w:r w:rsidDel="00000000" w:rsidR="00000000" w:rsidRPr="00000000">
              <w:rPr>
                <w:color w:val="000000"/>
                <w:rtl w:val="0"/>
              </w:rPr>
              <w:t xml:space="preserve">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7">
            <w:pPr>
              <w:rPr>
                <w:color w:val="000000"/>
              </w:rPr>
            </w:pPr>
            <w:r w:rsidDel="00000000" w:rsidR="00000000" w:rsidRPr="00000000">
              <w:rPr>
                <w:color w:val="000000"/>
                <w:rtl w:val="0"/>
              </w:rPr>
              <w:t xml:space="preserve">Liquid Fuel - Scotland North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8">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39">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3A">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jc w:val="center"/>
              <w:rPr>
                <w:color w:val="000000"/>
              </w:rPr>
            </w:pPr>
            <w:r w:rsidDel="00000000" w:rsidR="00000000" w:rsidRPr="00000000">
              <w:rPr>
                <w:color w:val="000000"/>
                <w:rtl w:val="0"/>
              </w:rPr>
              <w:t xml:space="preserve">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C">
            <w:pPr>
              <w:rPr>
                <w:color w:val="000000"/>
              </w:rPr>
            </w:pPr>
            <w:r w:rsidDel="00000000" w:rsidR="00000000" w:rsidRPr="00000000">
              <w:rPr>
                <w:color w:val="000000"/>
                <w:rtl w:val="0"/>
              </w:rPr>
              <w:t xml:space="preserve">Liquid Fuel - Scotland West</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D">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3E">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3F">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jc w:val="center"/>
              <w:rPr>
                <w:color w:val="000000"/>
              </w:rPr>
            </w:pPr>
            <w:r w:rsidDel="00000000" w:rsidR="00000000" w:rsidRPr="00000000">
              <w:rPr>
                <w:color w:val="000000"/>
                <w:rtl w:val="0"/>
              </w:rPr>
              <w:t xml:space="preserve">103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1">
            <w:pPr>
              <w:rPr>
                <w:color w:val="000000"/>
              </w:rPr>
            </w:pPr>
            <w:r w:rsidDel="00000000" w:rsidR="00000000" w:rsidRPr="00000000">
              <w:rPr>
                <w:color w:val="000000"/>
                <w:rtl w:val="0"/>
              </w:rPr>
              <w:t xml:space="preserve">Liquid Fuel - Scotland Central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42">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43">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44">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jc w:val="center"/>
              <w:rPr>
                <w:color w:val="000000"/>
              </w:rPr>
            </w:pPr>
            <w:r w:rsidDel="00000000" w:rsidR="00000000" w:rsidRPr="00000000">
              <w:rPr>
                <w:color w:val="000000"/>
                <w:rtl w:val="0"/>
              </w:rPr>
              <w:t xml:space="preserve">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6">
            <w:pPr>
              <w:rPr>
                <w:color w:val="000000"/>
              </w:rPr>
            </w:pPr>
            <w:r w:rsidDel="00000000" w:rsidR="00000000" w:rsidRPr="00000000">
              <w:rPr>
                <w:color w:val="000000"/>
                <w:rtl w:val="0"/>
              </w:rPr>
              <w:t xml:space="preserve">Liquid Fuel - Scotland South</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47">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48">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49">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A">
            <w:pPr>
              <w:jc w:val="center"/>
              <w:rPr>
                <w:color w:val="000000"/>
              </w:rPr>
            </w:pPr>
            <w:r w:rsidDel="00000000" w:rsidR="00000000" w:rsidRPr="00000000">
              <w:rPr>
                <w:color w:val="000000"/>
                <w:rtl w:val="0"/>
              </w:rPr>
              <w:t xml:space="preserve">105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B">
            <w:pPr>
              <w:rPr>
                <w:color w:val="000000"/>
              </w:rPr>
            </w:pPr>
            <w:r w:rsidDel="00000000" w:rsidR="00000000" w:rsidRPr="00000000">
              <w:rPr>
                <w:color w:val="000000"/>
                <w:rtl w:val="0"/>
              </w:rPr>
              <w:t xml:space="preserve">Liquid Fuel - England North West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C">
            <w:pPr>
              <w:jc w:val="center"/>
              <w:rPr>
                <w:color w:val="000000"/>
              </w:rPr>
            </w:pPr>
            <w:r w:rsidDel="00000000" w:rsidR="00000000" w:rsidRPr="00000000">
              <w:rPr>
                <w:color w:val="000000"/>
                <w:rtl w:val="0"/>
              </w:rPr>
              <w:t xml:space="preserve">No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4D">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4E">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jc w:val="center"/>
              <w:rPr>
                <w:color w:val="000000"/>
              </w:rPr>
            </w:pPr>
            <w:r w:rsidDel="00000000" w:rsidR="00000000" w:rsidRPr="00000000">
              <w:rPr>
                <w:color w:val="000000"/>
                <w:rtl w:val="0"/>
              </w:rPr>
              <w:t xml:space="preserve">106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0">
            <w:pPr>
              <w:rPr>
                <w:color w:val="000000"/>
              </w:rPr>
            </w:pPr>
            <w:r w:rsidDel="00000000" w:rsidR="00000000" w:rsidRPr="00000000">
              <w:rPr>
                <w:color w:val="000000"/>
                <w:rtl w:val="0"/>
              </w:rPr>
              <w:t xml:space="preserve">Liquid Fuel - England North East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1">
            <w:pPr>
              <w:jc w:val="center"/>
              <w:rPr>
                <w:color w:val="000000"/>
              </w:rPr>
            </w:pPr>
            <w:r w:rsidDel="00000000" w:rsidR="00000000" w:rsidRPr="00000000">
              <w:rPr>
                <w:color w:val="000000"/>
                <w:rtl w:val="0"/>
              </w:rPr>
              <w:t xml:space="preserve">Yes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52">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53">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4">
            <w:pPr>
              <w:jc w:val="center"/>
              <w:rPr>
                <w:color w:val="000000"/>
              </w:rPr>
            </w:pPr>
            <w:r w:rsidDel="00000000" w:rsidR="00000000" w:rsidRPr="00000000">
              <w:rPr>
                <w:color w:val="000000"/>
                <w:rtl w:val="0"/>
              </w:rPr>
              <w:t xml:space="preserve">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5">
            <w:pPr>
              <w:rPr>
                <w:color w:val="000000"/>
              </w:rPr>
            </w:pPr>
            <w:r w:rsidDel="00000000" w:rsidR="00000000" w:rsidRPr="00000000">
              <w:rPr>
                <w:color w:val="000000"/>
                <w:rtl w:val="0"/>
              </w:rPr>
              <w:t xml:space="preserve">Liquid Fuel - England Midlands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56">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57">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58">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jc w:val="center"/>
              <w:rPr>
                <w:color w:val="000000"/>
              </w:rPr>
            </w:pPr>
            <w:r w:rsidDel="00000000" w:rsidR="00000000" w:rsidRPr="00000000">
              <w:rPr>
                <w:color w:val="000000"/>
                <w:rtl w:val="0"/>
              </w:rPr>
              <w:t xml:space="preserve">108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A">
            <w:pPr>
              <w:rPr>
                <w:color w:val="000000"/>
              </w:rPr>
            </w:pPr>
            <w:r w:rsidDel="00000000" w:rsidR="00000000" w:rsidRPr="00000000">
              <w:rPr>
                <w:color w:val="000000"/>
                <w:rtl w:val="0"/>
              </w:rPr>
              <w:t xml:space="preserve">Liquid Fuel - England East Anglia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5B">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5C">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5D">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jc w:val="center"/>
              <w:rPr>
                <w:color w:val="000000"/>
              </w:rPr>
            </w:pPr>
            <w:r w:rsidDel="00000000" w:rsidR="00000000" w:rsidRPr="00000000">
              <w:rPr>
                <w:color w:val="000000"/>
                <w:rtl w:val="0"/>
              </w:rPr>
              <w:t xml:space="preserve">109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F">
            <w:pPr>
              <w:rPr>
                <w:color w:val="000000"/>
              </w:rPr>
            </w:pPr>
            <w:r w:rsidDel="00000000" w:rsidR="00000000" w:rsidRPr="00000000">
              <w:rPr>
                <w:color w:val="000000"/>
                <w:rtl w:val="0"/>
              </w:rPr>
              <w:t xml:space="preserve">Liquid Fuel - England London &amp; South East</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0">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61">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62">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jc w:val="center"/>
              <w:rPr>
                <w:color w:val="000000"/>
              </w:rPr>
            </w:pPr>
            <w:r w:rsidDel="00000000" w:rsidR="00000000" w:rsidRPr="00000000">
              <w:rPr>
                <w:color w:val="000000"/>
                <w:rtl w:val="0"/>
              </w:rPr>
              <w:t xml:space="preserve">110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rPr>
                <w:color w:val="000000"/>
              </w:rPr>
            </w:pPr>
            <w:r w:rsidDel="00000000" w:rsidR="00000000" w:rsidRPr="00000000">
              <w:rPr>
                <w:color w:val="000000"/>
                <w:rtl w:val="0"/>
              </w:rPr>
              <w:t xml:space="preserve">Liquid Fuel - England South</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5">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66">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67">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jc w:val="center"/>
              <w:rPr>
                <w:color w:val="000000"/>
              </w:rPr>
            </w:pPr>
            <w:r w:rsidDel="00000000" w:rsidR="00000000" w:rsidRPr="00000000">
              <w:rPr>
                <w:color w:val="000000"/>
                <w:rtl w:val="0"/>
              </w:rPr>
              <w:t xml:space="preserve">111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rPr>
                <w:color w:val="000000"/>
              </w:rPr>
            </w:pPr>
            <w:r w:rsidDel="00000000" w:rsidR="00000000" w:rsidRPr="00000000">
              <w:rPr>
                <w:color w:val="000000"/>
                <w:rtl w:val="0"/>
              </w:rPr>
              <w:t xml:space="preserve">Liquid Fuel - England South West</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A">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6B">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6C">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jc w:val="center"/>
              <w:rPr>
                <w:color w:val="000000"/>
              </w:rPr>
            </w:pPr>
            <w:r w:rsidDel="00000000" w:rsidR="00000000" w:rsidRPr="00000000">
              <w:rPr>
                <w:color w:val="000000"/>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rPr>
                <w:color w:val="000000"/>
              </w:rPr>
            </w:pPr>
            <w:r w:rsidDel="00000000" w:rsidR="00000000" w:rsidRPr="00000000">
              <w:rPr>
                <w:color w:val="000000"/>
                <w:rtl w:val="0"/>
              </w:rPr>
              <w:t xml:space="preserve">Liquid Fuel - South Wales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6F">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70">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71">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jc w:val="center"/>
              <w:rPr>
                <w:color w:val="000000"/>
              </w:rPr>
            </w:pPr>
            <w:r w:rsidDel="00000000" w:rsidR="00000000" w:rsidRPr="00000000">
              <w:rPr>
                <w:color w:val="000000"/>
                <w:rtl w:val="0"/>
              </w:rPr>
              <w:t xml:space="preserve">113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rPr>
                <w:color w:val="000000"/>
              </w:rPr>
            </w:pPr>
            <w:r w:rsidDel="00000000" w:rsidR="00000000" w:rsidRPr="00000000">
              <w:rPr>
                <w:color w:val="000000"/>
                <w:rtl w:val="0"/>
              </w:rPr>
              <w:t xml:space="preserve">Liquid Fuel - North Wales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4">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75">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76">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jc w:val="center"/>
              <w:rPr>
                <w:color w:val="000000"/>
              </w:rPr>
            </w:pPr>
            <w:r w:rsidDel="00000000" w:rsidR="00000000" w:rsidRPr="00000000">
              <w:rPr>
                <w:color w:val="000000"/>
                <w:rtl w:val="0"/>
              </w:rPr>
              <w:t xml:space="preserve">114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8">
            <w:pPr>
              <w:rPr>
                <w:color w:val="000000"/>
              </w:rPr>
            </w:pPr>
            <w:r w:rsidDel="00000000" w:rsidR="00000000" w:rsidRPr="00000000">
              <w:rPr>
                <w:color w:val="000000"/>
                <w:rtl w:val="0"/>
              </w:rPr>
              <w:t xml:space="preserve">Liquid Fuel - Northern Ireland</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9">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7A">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7B">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rPr>
                <w:color w:val="000000"/>
              </w:rPr>
            </w:pPr>
            <w:r w:rsidDel="00000000" w:rsidR="00000000" w:rsidRPr="00000000">
              <w:rPr>
                <w:color w:val="000000"/>
                <w:rtl w:val="0"/>
              </w:rPr>
              <w:t xml:space="preserve">Liquified Gas (LPG) - National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E">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7F">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80">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2">
            <w:pPr>
              <w:rPr>
                <w:color w:val="000000"/>
              </w:rPr>
            </w:pPr>
            <w:r w:rsidDel="00000000" w:rsidR="00000000" w:rsidRPr="00000000">
              <w:rPr>
                <w:color w:val="000000"/>
                <w:rtl w:val="0"/>
              </w:rPr>
              <w:t xml:space="preserve">Solid Fuel &amp; Biomass - National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3">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84">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85">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rPr>
                <w:color w:val="000000"/>
              </w:rPr>
            </w:pPr>
            <w:r w:rsidDel="00000000" w:rsidR="00000000" w:rsidRPr="00000000">
              <w:rPr>
                <w:color w:val="000000"/>
                <w:rtl w:val="0"/>
              </w:rPr>
              <w:t xml:space="preserve">Grease, Lubricants &amp; Antifreeze - National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8">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89">
            <w:pPr>
              <w:rPr>
                <w:color w:val="000000"/>
              </w:rPr>
            </w:pPr>
            <w:r w:rsidDel="00000000" w:rsidR="00000000" w:rsidRPr="00000000">
              <w:rPr>
                <w:color w:val="000000"/>
                <w:rtl w:val="0"/>
              </w:rPr>
              <w:t xml:space="preserve"> </w:t>
            </w:r>
          </w:p>
        </w:tc>
      </w:tr>
      <w:tr>
        <w:trPr>
          <w:cantSplit w:val="0"/>
          <w:trHeight w:val="351" w:hRule="atLeast"/>
          <w:tblHeader w:val="0"/>
        </w:trPr>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8A">
            <w:pPr>
              <w:rPr>
                <w:color w:val="000000"/>
              </w:rPr>
            </w:pPr>
            <w:r w:rsidDel="00000000" w:rsidR="00000000" w:rsidRPr="00000000">
              <w:rPr>
                <w:color w:val="00000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jc w:val="center"/>
              <w:rPr>
                <w:color w:val="000000"/>
              </w:rPr>
            </w:pPr>
            <w:r w:rsidDel="00000000" w:rsidR="00000000" w:rsidRPr="00000000">
              <w:rPr>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rPr>
                <w:color w:val="000000"/>
              </w:rPr>
            </w:pPr>
            <w:r w:rsidDel="00000000" w:rsidR="00000000" w:rsidRPr="00000000">
              <w:rPr>
                <w:color w:val="000000"/>
                <w:rtl w:val="0"/>
              </w:rPr>
              <w:t xml:space="preserve">Associated Services - National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D">
            <w:pPr>
              <w:jc w:val="center"/>
              <w:rPr>
                <w:color w:val="000000"/>
              </w:rPr>
            </w:pPr>
            <w:r w:rsidDel="00000000" w:rsidR="00000000" w:rsidRPr="00000000">
              <w:rPr>
                <w:color w:val="000000"/>
                <w:rtl w:val="0"/>
              </w:rPr>
              <w:t xml:space="preserve">No</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8E">
            <w:pPr>
              <w:rPr>
                <w:color w:val="000000"/>
              </w:rPr>
            </w:pPr>
            <w:r w:rsidDel="00000000" w:rsidR="00000000" w:rsidRPr="00000000">
              <w:rPr>
                <w:color w:val="000000"/>
                <w:rtl w:val="0"/>
              </w:rPr>
              <w:t xml:space="preserve"> </w:t>
            </w:r>
          </w:p>
        </w:tc>
      </w:tr>
      <w:tr>
        <w:trPr>
          <w:cantSplit w:val="0"/>
          <w:trHeight w:val="144" w:hRule="atLeast"/>
          <w:tblHeader w:val="0"/>
        </w:trPr>
        <w:tc>
          <w:tcPr>
            <w:tcBorders>
              <w:top w:color="000000" w:space="0" w:sz="0" w:val="nil"/>
              <w:left w:color="000000" w:space="0" w:sz="4" w:val="single"/>
              <w:bottom w:color="000000" w:space="0" w:sz="4" w:val="single"/>
              <w:right w:color="000000" w:space="0" w:sz="0" w:val="nil"/>
            </w:tcBorders>
            <w:shd w:fill="auto" w:val="clear"/>
            <w:vAlign w:val="bottom"/>
          </w:tcPr>
          <w:p w:rsidR="00000000" w:rsidDel="00000000" w:rsidP="00000000" w:rsidRDefault="00000000" w:rsidRPr="00000000" w14:paraId="0000008F">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90">
            <w:pPr>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91">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92">
            <w:pP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3">
            <w:pPr>
              <w:rPr>
                <w:color w:val="000000"/>
              </w:rPr>
            </w:pPr>
            <w:r w:rsidDel="00000000" w:rsidR="00000000" w:rsidRPr="00000000">
              <w:rPr>
                <w:color w:val="000000"/>
                <w:rtl w:val="0"/>
              </w:rPr>
              <w:t xml:space="preserve"> </w:t>
            </w:r>
          </w:p>
        </w:tc>
      </w:tr>
    </w:tbl>
    <w:p w:rsidR="00000000" w:rsidDel="00000000" w:rsidP="00000000" w:rsidRDefault="00000000" w:rsidRPr="00000000" w14:paraId="00000094">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5">
      <w:pPr>
        <w:keepNext w:val="1"/>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INCORPORATED TERMS</w:t>
      </w:r>
    </w:p>
    <w:p w:rsidR="00000000" w:rsidDel="00000000" w:rsidP="00000000" w:rsidRDefault="00000000" w:rsidRPr="00000000" w14:paraId="00000096">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including the Call-Off Special Terms and Call-Off Special Schedules.</w:t>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1(Definitions and Interpretation) RM6177 National Fuels (2)</w:t>
      </w:r>
    </w:p>
    <w:p w:rsidR="00000000" w:rsidDel="00000000" w:rsidP="00000000" w:rsidRDefault="00000000" w:rsidRPr="00000000" w14:paraId="00000099">
      <w:pPr>
        <w:keepNext w:val="1"/>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9A">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RM617</w:t>
      </w:r>
      <w:r w:rsidDel="00000000" w:rsidR="00000000" w:rsidRPr="00000000">
        <w:rPr>
          <w:rFonts w:ascii="Arial" w:cs="Arial" w:eastAsia="Arial" w:hAnsi="Arial"/>
          <w:sz w:val="24"/>
          <w:szCs w:val="24"/>
          <w:rtl w:val="0"/>
        </w:rPr>
        <w:t xml:space="preserve">7 National Fuels </w:t>
      </w:r>
      <w:r w:rsidDel="00000000" w:rsidR="00000000" w:rsidRPr="00000000">
        <w:rPr>
          <w:rFonts w:ascii="Arial" w:cs="Arial" w:eastAsia="Arial" w:hAnsi="Arial"/>
          <w:color w:val="000000"/>
          <w:sz w:val="24"/>
          <w:szCs w:val="24"/>
          <w:rtl w:val="0"/>
        </w:rPr>
        <w:t xml:space="preserve">(2)</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ind w:left="10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 </w:t>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9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A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 </w:t>
        <w:tab/>
        <w:tab/>
        <w:tab/>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9 (Minimum Standards of Reliability)</w:t>
      </w:r>
    </w:p>
    <w:p w:rsidR="00000000" w:rsidDel="00000000" w:rsidP="00000000" w:rsidRDefault="00000000" w:rsidRPr="00000000" w14:paraId="000000A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A3">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tab/>
        <w:tab/>
        <w:tab/>
        <w:tab/>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color w:val="000000"/>
          <w:sz w:val="24"/>
          <w:szCs w:val="24"/>
          <w:rtl w:val="0"/>
        </w:rPr>
        <w:t xml:space="preserve">CCFU24A1</w:t>
      </w: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color w:val="000000"/>
          <w:sz w:val="24"/>
          <w:szCs w:val="24"/>
          <w:rtl w:val="0"/>
        </w:rPr>
        <w:tab/>
        <w:tab/>
        <w:tab/>
      </w:r>
    </w:p>
    <w:p w:rsidR="00000000" w:rsidDel="00000000" w:rsidP="00000000" w:rsidRDefault="00000000" w:rsidRPr="00000000" w14:paraId="000000A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A9">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5 (Pricing Details)</w:t>
        <w:tab/>
        <w:tab/>
        <w:tab/>
        <w:t xml:space="preserve"> </w:t>
      </w:r>
    </w:p>
    <w:p w:rsidR="00000000" w:rsidDel="00000000" w:rsidP="00000000" w:rsidRDefault="00000000" w:rsidRPr="00000000" w14:paraId="000000AA">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7 (Key Supplier Staff)</w:t>
        <w:tab/>
        <w:tab/>
        <w:t xml:space="preserve"> </w:t>
        <w:tab/>
        <w:tab/>
        <w:t xml:space="preserve"> </w:t>
      </w:r>
    </w:p>
    <w:p w:rsidR="00000000" w:rsidDel="00000000" w:rsidP="00000000" w:rsidRDefault="00000000" w:rsidRPr="00000000" w14:paraId="000000AB">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8 (Business Continuity and Disaster Recovery)</w:t>
      </w:r>
    </w:p>
    <w:p w:rsidR="00000000" w:rsidDel="00000000" w:rsidP="00000000" w:rsidRDefault="00000000" w:rsidRPr="00000000" w14:paraId="000000AC">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9 (Security)</w:t>
        <w:tab/>
        <w:tab/>
        <w:t xml:space="preserve"> </w:t>
        <w:tab/>
        <w:tab/>
        <w:t xml:space="preserve">  </w:t>
        <w:tab/>
        <w:t xml:space="preserve">  </w:t>
      </w:r>
    </w:p>
    <w:p w:rsidR="00000000" w:rsidDel="00000000" w:rsidP="00000000" w:rsidRDefault="00000000" w:rsidRPr="00000000" w14:paraId="000000AD">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10 (Exit Management) </w:t>
        <w:tab/>
        <w:tab/>
        <w:tab/>
        <w:t xml:space="preserve"> </w:t>
        <w:tab/>
        <w:t xml:space="preserve"> </w:t>
      </w:r>
    </w:p>
    <w:p w:rsidR="00000000" w:rsidDel="00000000" w:rsidP="00000000" w:rsidRDefault="00000000" w:rsidRPr="00000000" w14:paraId="000000AE">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11 (Installation Works) </w:t>
        <w:tab/>
        <w:tab/>
        <w:tab/>
        <w:t xml:space="preserve">  </w:t>
        <w:tab/>
        <w:t xml:space="preserve"> </w:t>
      </w:r>
    </w:p>
    <w:p w:rsidR="00000000" w:rsidDel="00000000" w:rsidP="00000000" w:rsidRDefault="00000000" w:rsidRPr="00000000" w14:paraId="000000A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13 (Implementation Plan and Testing)</w:t>
      </w:r>
    </w:p>
    <w:p w:rsidR="00000000" w:rsidDel="00000000" w:rsidP="00000000" w:rsidRDefault="00000000" w:rsidRPr="00000000" w14:paraId="000000B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14 (Service Levels) </w:t>
        <w:tab/>
        <w:tab/>
        <w:tab/>
        <w:tab/>
        <w:t xml:space="preserve"> </w:t>
      </w:r>
    </w:p>
    <w:p w:rsidR="00000000" w:rsidDel="00000000" w:rsidP="00000000" w:rsidRDefault="00000000" w:rsidRPr="00000000" w14:paraId="000000B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15 (Call-Off Contract Management) </w:t>
        <w:tab/>
        <w:tab/>
        <w:t xml:space="preserve"> </w:t>
      </w:r>
    </w:p>
    <w:p w:rsidR="00000000" w:rsidDel="00000000" w:rsidP="00000000" w:rsidRDefault="00000000" w:rsidRPr="00000000" w14:paraId="000000B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20 (Call-Off Specification)</w:t>
        <w:tab/>
        <w:tab/>
        <w:tab/>
        <w:t xml:space="preserve"> </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3.0.8)</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bookmarkStart w:colFirst="0" w:colLast="0" w:name="_heading=h.2et92p0" w:id="2"/>
      <w:bookmarkEnd w:id="2"/>
      <w:r w:rsidDel="00000000" w:rsidR="00000000" w:rsidRPr="00000000">
        <w:rPr>
          <w:rFonts w:ascii="Arial" w:cs="Arial" w:eastAsia="Arial" w:hAnsi="Arial"/>
          <w:color w:val="000000"/>
          <w:sz w:val="24"/>
          <w:szCs w:val="24"/>
          <w:rtl w:val="0"/>
        </w:rPr>
        <w:t xml:space="preserve">Joint Schedule 5 (Corporate Social Responsibility) RM6177 National Fuels (2)</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4 (Supplier Response) as long as any parts of the Call-Off Tender that offer a better commercial position for the Buyer (as decided by the Buyer) take precedence over the documents above.</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B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B8">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SPECIAL TERMS</w:t>
      </w:r>
    </w:p>
    <w:p w:rsidR="00000000" w:rsidDel="00000000" w:rsidP="00000000" w:rsidRDefault="00000000" w:rsidRPr="00000000" w14:paraId="000000BB">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Special Terms are incorporated into this Call-Off Contract:</w:t>
      </w:r>
    </w:p>
    <w:p w:rsidR="00000000" w:rsidDel="00000000" w:rsidP="00000000" w:rsidRDefault="00000000" w:rsidRPr="00000000" w14:paraId="000000BD">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tabs>
          <w:tab w:val="left" w:leader="none" w:pos="2115"/>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1.</w:t>
        <w:tab/>
        <w:t xml:space="preserve">Delivery within 2 days of receipt of order</w:t>
      </w:r>
    </w:p>
    <w:p w:rsidR="00000000" w:rsidDel="00000000" w:rsidP="00000000" w:rsidRDefault="00000000" w:rsidRPr="00000000" w14:paraId="000000BF">
      <w:pPr>
        <w:tabs>
          <w:tab w:val="left" w:leader="none" w:pos="2115"/>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tabs>
          <w:tab w:val="left" w:leader="none" w:pos="2257"/>
        </w:tabs>
        <w:spacing w:after="0" w:line="259" w:lineRule="auto"/>
        <w:ind w:left="2160" w:hanging="2160"/>
        <w:rPr>
          <w:rFonts w:ascii="Arial" w:cs="Arial" w:eastAsia="Arial" w:hAnsi="Arial"/>
          <w:sz w:val="24"/>
          <w:szCs w:val="24"/>
        </w:rPr>
      </w:pPr>
      <w:r w:rsidDel="00000000" w:rsidR="00000000" w:rsidRPr="00000000">
        <w:rPr>
          <w:rFonts w:ascii="Arial" w:cs="Arial" w:eastAsia="Arial" w:hAnsi="Arial"/>
          <w:sz w:val="24"/>
          <w:szCs w:val="24"/>
          <w:rtl w:val="0"/>
        </w:rPr>
        <w:t xml:space="preserve">Special Term 2.</w:t>
        <w:tab/>
        <w:t xml:space="preserve">In case of emergencies delivery can be arranged within 24 hours.</w:t>
      </w:r>
    </w:p>
    <w:p w:rsidR="00000000" w:rsidDel="00000000" w:rsidP="00000000" w:rsidRDefault="00000000" w:rsidRPr="00000000" w14:paraId="000000C1">
      <w:pPr>
        <w:tabs>
          <w:tab w:val="left" w:leader="none" w:pos="2257"/>
        </w:tabs>
        <w:spacing w:after="0" w:line="259"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tabs>
          <w:tab w:val="left" w:leader="none" w:pos="2257"/>
        </w:tabs>
        <w:spacing w:after="0" w:line="259" w:lineRule="auto"/>
        <w:ind w:left="2160" w:hanging="216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Special Term 3.</w:t>
        <w:tab/>
        <w:t xml:space="preserve">1.1</w:t>
        <w:tab/>
      </w:r>
      <w:r w:rsidDel="00000000" w:rsidR="00000000" w:rsidRPr="00000000">
        <w:rPr>
          <w:rFonts w:ascii="Arial" w:cs="Arial" w:eastAsia="Arial" w:hAnsi="Arial"/>
          <w:color w:val="500050"/>
          <w:sz w:val="24"/>
          <w:szCs w:val="24"/>
          <w:highlight w:val="white"/>
          <w:rtl w:val="0"/>
        </w:rPr>
        <w:t xml:space="preserve">I</w:t>
      </w:r>
      <w:r w:rsidDel="00000000" w:rsidR="00000000" w:rsidRPr="00000000">
        <w:rPr>
          <w:rFonts w:ascii="Arial" w:cs="Arial" w:eastAsia="Arial" w:hAnsi="Arial"/>
          <w:sz w:val="24"/>
          <w:szCs w:val="24"/>
          <w:highlight w:val="white"/>
          <w:rtl w:val="0"/>
        </w:rPr>
        <w:t xml:space="preserve">f any Goods are not delivered within the service level, then the Customer shall be entitled to:</w:t>
      </w:r>
    </w:p>
    <w:p w:rsidR="00000000" w:rsidDel="00000000" w:rsidP="00000000" w:rsidRDefault="00000000" w:rsidRPr="00000000" w14:paraId="000000C3">
      <w:pPr>
        <w:tabs>
          <w:tab w:val="left" w:leader="none" w:pos="2257"/>
        </w:tabs>
        <w:spacing w:after="0" w:line="259" w:lineRule="auto"/>
        <w:ind w:left="2160" w:hanging="216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C4">
      <w:pPr>
        <w:shd w:fill="ffffff" w:val="clear"/>
        <w:tabs>
          <w:tab w:val="left" w:leader="none" w:pos="2257"/>
        </w:tabs>
        <w:spacing w:after="240" w:line="259" w:lineRule="auto"/>
        <w:ind w:left="158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1.1.1</w:t>
        <w:tab/>
        <w:t xml:space="preserve"> cancel the Order (or any part) without liability to the </w:t>
        <w:tab/>
        <w:tab/>
        <w:t xml:space="preserve">Supplier;</w:t>
      </w:r>
    </w:p>
    <w:p w:rsidR="00000000" w:rsidDel="00000000" w:rsidP="00000000" w:rsidRDefault="00000000" w:rsidRPr="00000000" w14:paraId="000000C5">
      <w:pPr>
        <w:tabs>
          <w:tab w:val="left" w:leader="none" w:pos="2257"/>
        </w:tabs>
        <w:spacing w:after="240" w:line="259" w:lineRule="auto"/>
        <w:ind w:left="158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1.1.2 </w:t>
        <w:tab/>
        <w:t xml:space="preserve">purchase the Goods contained in the relevant Order </w:t>
        <w:tab/>
        <w:tab/>
        <w:t xml:space="preserve">elsewhere or appoint a third party to do so.</w:t>
      </w:r>
    </w:p>
    <w:p w:rsidR="00000000" w:rsidDel="00000000" w:rsidP="00000000" w:rsidRDefault="00000000" w:rsidRPr="00000000" w14:paraId="000000C6">
      <w:pPr>
        <w:shd w:fill="ffffff" w:val="clear"/>
        <w:tabs>
          <w:tab w:val="left" w:leader="none" w:pos="2257"/>
        </w:tabs>
        <w:spacing w:after="240" w:line="259" w:lineRule="auto"/>
        <w:ind w:left="2160" w:hanging="120"/>
        <w:jc w:val="both"/>
        <w:rPr/>
      </w:pPr>
      <w:r w:rsidDel="00000000" w:rsidR="00000000" w:rsidRPr="00000000">
        <w:rPr>
          <w:rFonts w:ascii="Arial" w:cs="Arial" w:eastAsia="Arial" w:hAnsi="Arial"/>
          <w:sz w:val="24"/>
          <w:szCs w:val="24"/>
          <w:rtl w:val="0"/>
        </w:rPr>
        <w:tab/>
        <w:tab/>
        <w:t xml:space="preserve">(a)</w:t>
        <w:tab/>
        <w:t xml:space="preserve">If the Customer purchases the Order elsewhere, the Customer shall be entitled to claim recover from the Supplier for the costs incurred for the Order. The recovery of these costs shall be on an open book basis. The Supplier shall either pay such costs on demand by the Customer or the customer may deduct the costs from any payments to the supplier, subject to agreement between the parties.</w:t>
      </w:r>
      <w:r w:rsidDel="00000000" w:rsidR="00000000" w:rsidRPr="00000000">
        <w:rPr>
          <w:rtl w:val="0"/>
        </w:rPr>
      </w:r>
    </w:p>
    <w:p w:rsidR="00000000" w:rsidDel="00000000" w:rsidP="00000000" w:rsidRDefault="00000000" w:rsidRPr="00000000" w14:paraId="000000C7">
      <w:pPr>
        <w:tabs>
          <w:tab w:val="left" w:leader="none" w:pos="2257"/>
        </w:tabs>
        <w:spacing w:after="240" w:line="259" w:lineRule="auto"/>
        <w:ind w:left="68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1.2      The Parties acknowledge that the Supplier shall not be </w:t>
        <w:tab/>
        <w:t xml:space="preserve">liable in line </w:t>
        <w:tab/>
        <w:t xml:space="preserve">with 1.1 where the inability to deliver within the </w:t>
        <w:tab/>
        <w:tab/>
        <w:t xml:space="preserve">service level is due to:</w:t>
      </w:r>
    </w:p>
    <w:p w:rsidR="00000000" w:rsidDel="00000000" w:rsidP="00000000" w:rsidRDefault="00000000" w:rsidRPr="00000000" w14:paraId="000000C8">
      <w:pPr>
        <w:tabs>
          <w:tab w:val="left" w:leader="none" w:pos="2257"/>
        </w:tabs>
        <w:spacing w:after="240" w:line="259" w:lineRule="auto"/>
        <w:ind w:left="158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1.2.1</w:t>
        <w:tab/>
        <w:t xml:space="preserve">The customer is not providing access to the site.</w:t>
      </w:r>
    </w:p>
    <w:p w:rsidR="00000000" w:rsidDel="00000000" w:rsidP="00000000" w:rsidRDefault="00000000" w:rsidRPr="00000000" w14:paraId="000000C9">
      <w:pPr>
        <w:tabs>
          <w:tab w:val="left" w:leader="none" w:pos="2257"/>
        </w:tabs>
        <w:spacing w:after="240" w:line="259" w:lineRule="auto"/>
        <w:ind w:left="158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1.2.2 </w:t>
        <w:tab/>
        <w:t xml:space="preserve">A Force Majeure event, which has been notified by the </w:t>
        <w:tab/>
        <w:t xml:space="preserve">Supplier to the Customer.</w:t>
      </w:r>
    </w:p>
    <w:p w:rsidR="00000000" w:rsidDel="00000000" w:rsidP="00000000" w:rsidRDefault="00000000" w:rsidRPr="00000000" w14:paraId="000000CA">
      <w:pPr>
        <w:tabs>
          <w:tab w:val="left" w:leader="none" w:pos="2257"/>
        </w:tabs>
        <w:spacing w:after="0" w:line="259" w:lineRule="auto"/>
        <w:ind w:left="2160" w:hanging="2160"/>
        <w:rPr>
          <w:rFonts w:ascii="Arial" w:cs="Arial" w:eastAsia="Arial" w:hAnsi="Arial"/>
          <w:b w:val="1"/>
          <w:sz w:val="24"/>
          <w:szCs w:val="24"/>
        </w:rPr>
      </w:pP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CB">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START DATE:</w:t>
        <w:tab/>
        <w:tab/>
        <w:tab/>
        <w:t xml:space="preserve">Monday 01 July 2024</w:t>
      </w:r>
    </w:p>
    <w:p w:rsidR="00000000" w:rsidDel="00000000" w:rsidP="00000000" w:rsidRDefault="00000000" w:rsidRPr="00000000" w14:paraId="000000CC">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spacing w:after="0" w:line="259" w:lineRule="auto"/>
        <w:ind w:left="4320" w:hanging="4320"/>
        <w:rPr>
          <w:rFonts w:ascii="Arial" w:cs="Arial" w:eastAsia="Arial" w:hAnsi="Arial"/>
          <w:sz w:val="24"/>
          <w:szCs w:val="24"/>
        </w:rPr>
      </w:pPr>
      <w:r w:rsidDel="00000000" w:rsidR="00000000" w:rsidRPr="00000000">
        <w:rPr>
          <w:rFonts w:ascii="Arial" w:cs="Arial" w:eastAsia="Arial" w:hAnsi="Arial"/>
          <w:sz w:val="24"/>
          <w:szCs w:val="24"/>
          <w:rtl w:val="0"/>
        </w:rPr>
        <w:t xml:space="preserve">CALL-OFF EXPIRY DATE: </w:t>
        <w:tab/>
        <w:t xml:space="preserve">Tuesday 30 June 2026</w:t>
      </w:r>
    </w:p>
    <w:p w:rsidR="00000000" w:rsidDel="00000000" w:rsidP="00000000" w:rsidRDefault="00000000" w:rsidRPr="00000000" w14:paraId="000000CE">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INITIAL PERIOD:</w:t>
        <w:tab/>
        <w:tab/>
        <w:t xml:space="preserve">2 Years </w:t>
      </w:r>
    </w:p>
    <w:p w:rsidR="00000000" w:rsidDel="00000000" w:rsidP="00000000" w:rsidRDefault="00000000" w:rsidRPr="00000000" w14:paraId="000000D0">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EXTENSION START DATE:    N/A</w:t>
      </w:r>
    </w:p>
    <w:p w:rsidR="00000000" w:rsidDel="00000000" w:rsidP="00000000" w:rsidRDefault="00000000" w:rsidRPr="00000000" w14:paraId="000000D2">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EXTENSION EXPIRY DATE:   N/A</w:t>
      </w:r>
    </w:p>
    <w:p w:rsidR="00000000" w:rsidDel="00000000" w:rsidP="00000000" w:rsidRDefault="00000000" w:rsidRPr="00000000" w14:paraId="000000D4">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EXTENSION PERIOD:             N/A </w:t>
      </w:r>
    </w:p>
    <w:p w:rsidR="00000000" w:rsidDel="00000000" w:rsidP="00000000" w:rsidRDefault="00000000" w:rsidRPr="00000000" w14:paraId="000000D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DELIVERABLES </w:t>
      </w:r>
    </w:p>
    <w:p w:rsidR="00000000" w:rsidDel="00000000" w:rsidP="00000000" w:rsidRDefault="00000000" w:rsidRPr="00000000" w14:paraId="000000D8">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See details in Call-Off Schedule 20 (Call-Off Specification)</w:t>
      </w:r>
      <w:r w:rsidDel="00000000" w:rsidR="00000000" w:rsidRPr="00000000">
        <w:rPr>
          <w:rtl w:val="0"/>
        </w:rPr>
      </w:r>
    </w:p>
    <w:p w:rsidR="00000000" w:rsidDel="00000000" w:rsidP="00000000" w:rsidRDefault="00000000" w:rsidRPr="00000000" w14:paraId="000000D9">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D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11.2 of the Core Terms.</w:t>
      </w:r>
    </w:p>
    <w:p w:rsidR="00000000" w:rsidDel="00000000" w:rsidP="00000000" w:rsidRDefault="00000000" w:rsidRPr="00000000" w14:paraId="000000D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yellow"/>
          <w:rtl w:val="0"/>
        </w:rPr>
        <w:t xml:space="preserve"> </w:t>
      </w:r>
      <w:r w:rsidDel="00000000" w:rsidR="00000000" w:rsidRPr="00000000">
        <w:rPr>
          <w:rFonts w:ascii="Arial" w:cs="Arial" w:eastAsia="Arial" w:hAnsi="Arial"/>
          <w:b w:val="1"/>
          <w:sz w:val="24"/>
          <w:szCs w:val="24"/>
          <w:rtl w:val="0"/>
        </w:rPr>
        <w:t xml:space="preserve">£40,000,000 </w:t>
      </w:r>
    </w:p>
    <w:p w:rsidR="00000000" w:rsidDel="00000000" w:rsidP="00000000" w:rsidRDefault="00000000" w:rsidRPr="00000000" w14:paraId="000000DE">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CHARGES</w:t>
      </w:r>
    </w:p>
    <w:p w:rsidR="00000000" w:rsidDel="00000000" w:rsidP="00000000" w:rsidRDefault="00000000" w:rsidRPr="00000000" w14:paraId="000000E0">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See details in Call-Off Schedule 5 (Pricing Details).</w:t>
      </w:r>
      <w:r w:rsidDel="00000000" w:rsidR="00000000" w:rsidRPr="00000000">
        <w:rPr>
          <w:rtl w:val="0"/>
        </w:rPr>
      </w:r>
    </w:p>
    <w:p w:rsidR="00000000" w:rsidDel="00000000" w:rsidP="00000000" w:rsidRDefault="00000000" w:rsidRPr="00000000" w14:paraId="000000E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changes to the Charges must use procedures that are equivalent to those in Paragraphs 4, 5 and 6 (if used) in Framework Schedule 3 (Framework Prices).</w:t>
      </w:r>
    </w:p>
    <w:p w:rsidR="00000000" w:rsidDel="00000000" w:rsidP="00000000" w:rsidRDefault="00000000" w:rsidRPr="00000000" w14:paraId="000000E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Charges will not be impacted by any change to the Framework Prices. The Charges can only be changed by agreement in writing between the Buyer and the Supplier because of:</w:t>
      </w:r>
    </w:p>
    <w:p w:rsidR="00000000" w:rsidDel="00000000" w:rsidP="00000000" w:rsidRDefault="00000000" w:rsidRPr="00000000" w14:paraId="000000E3">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Specific Change in Law</w:t>
      </w:r>
    </w:p>
    <w:p w:rsidR="00000000" w:rsidDel="00000000" w:rsidP="00000000" w:rsidRDefault="00000000" w:rsidRPr="00000000" w14:paraId="000000E4">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E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E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E7">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E9">
      <w:pPr>
        <w:rPr>
          <w:rFonts w:ascii="Arial" w:cs="Arial" w:eastAsia="Arial" w:hAnsi="Arial"/>
          <w:sz w:val="24"/>
          <w:szCs w:val="24"/>
        </w:rPr>
      </w:pPr>
      <w:r w:rsidDel="00000000" w:rsidR="00000000" w:rsidRPr="00000000">
        <w:rPr>
          <w:rFonts w:ascii="Arial" w:cs="Arial" w:eastAsia="Arial" w:hAnsi="Arial"/>
          <w:sz w:val="24"/>
          <w:szCs w:val="24"/>
          <w:rtl w:val="0"/>
        </w:rPr>
        <w:t xml:space="preserve">10 days after delivery by Direct Debit</w:t>
      </w:r>
    </w:p>
    <w:p w:rsidR="00000000" w:rsidDel="00000000" w:rsidP="00000000" w:rsidRDefault="00000000" w:rsidRPr="00000000" w14:paraId="000000EA">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EC">
      <w:pPr>
        <w:spacing w:after="53" w:line="259" w:lineRule="auto"/>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40, Personal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0ED">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 </w:t>
      </w:r>
    </w:p>
    <w:p w:rsidR="00000000" w:rsidDel="00000000" w:rsidP="00000000" w:rsidRDefault="00000000" w:rsidRPr="00000000" w14:paraId="000000EF">
      <w:pPr>
        <w:spacing w:after="53" w:line="259" w:lineRule="auto"/>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40, Personal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0F0">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0F2">
      <w:pPr>
        <w:tabs>
          <w:tab w:val="left" w:leader="none" w:pos="2257"/>
        </w:tabs>
        <w:spacing w:after="0" w:line="259" w:lineRule="auto"/>
        <w:rPr/>
      </w:pPr>
      <w:bookmarkStart w:colFirst="0" w:colLast="0" w:name="_heading=h.1fob9te" w:id="3"/>
      <w:bookmarkEnd w:id="3"/>
      <w:r w:rsidDel="00000000" w:rsidR="00000000" w:rsidRPr="00000000">
        <w:rPr>
          <w:rtl w:val="0"/>
        </w:rPr>
      </w:r>
    </w:p>
    <w:p w:rsidR="00000000" w:rsidDel="00000000" w:rsidP="00000000" w:rsidRDefault="00000000" w:rsidRPr="00000000" w14:paraId="000000F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“SOR Annex E - Supply Chain Code of Conduct, issue 1.0 dated 14/03/2022.”</w:t>
      </w:r>
    </w:p>
    <w:p w:rsidR="00000000" w:rsidDel="00000000" w:rsidP="00000000" w:rsidRDefault="00000000" w:rsidRPr="00000000" w14:paraId="000000F4">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w:t>
      </w:r>
    </w:p>
    <w:p w:rsidR="00000000" w:rsidDel="00000000" w:rsidP="00000000" w:rsidRDefault="00000000" w:rsidRPr="00000000" w14:paraId="000000F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“SOR Annex A - Cyber Security Policy dated 01/02/2023.”</w:t>
      </w:r>
    </w:p>
    <w:p w:rsidR="00000000" w:rsidDel="00000000" w:rsidP="00000000" w:rsidRDefault="00000000" w:rsidRPr="00000000" w14:paraId="000000F8">
      <w:pPr>
        <w:tabs>
          <w:tab w:val="left" w:leader="none" w:pos="2257"/>
        </w:tabs>
        <w:spacing w:after="0" w:line="259" w:lineRule="auto"/>
        <w:rPr>
          <w:rFonts w:ascii="Arial" w:cs="Arial" w:eastAsia="Arial" w:hAnsi="Arial"/>
          <w:sz w:val="24"/>
          <w:szCs w:val="24"/>
        </w:rPr>
      </w:pPr>
      <w:bookmarkStart w:colFirst="0" w:colLast="0" w:name="_heading=h.3znysh7" w:id="4"/>
      <w:bookmarkEnd w:id="4"/>
      <w:r w:rsidDel="00000000" w:rsidR="00000000" w:rsidRPr="00000000">
        <w:rPr>
          <w:rtl w:val="0"/>
        </w:rPr>
      </w:r>
    </w:p>
    <w:p w:rsidR="00000000" w:rsidDel="00000000" w:rsidP="00000000" w:rsidRDefault="00000000" w:rsidRPr="00000000" w14:paraId="000000F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FA">
      <w:pPr>
        <w:spacing w:after="53" w:line="259" w:lineRule="auto"/>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40, Personal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0FB">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0FD">
      <w:pPr>
        <w:spacing w:after="53" w:line="259" w:lineRule="auto"/>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40, Personal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0FE">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p>
    <w:p w:rsidR="00000000" w:rsidDel="00000000" w:rsidP="00000000" w:rsidRDefault="00000000" w:rsidRPr="00000000" w14:paraId="0000010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Weekly during mobilisation, with a view to moving to monthly: </w:t>
      </w:r>
      <w:r w:rsidDel="00000000" w:rsidR="00000000" w:rsidRPr="00000000">
        <w:rPr>
          <w:rFonts w:ascii="Arial" w:cs="Arial" w:eastAsia="Arial" w:hAnsi="Arial"/>
          <w:sz w:val="24"/>
          <w:szCs w:val="24"/>
          <w:rtl w:val="0"/>
        </w:rPr>
        <w:t xml:space="preserve">On the first Working Day of each calendar month</w:t>
      </w:r>
    </w:p>
    <w:p w:rsidR="00000000" w:rsidDel="00000000" w:rsidP="00000000" w:rsidRDefault="00000000" w:rsidRPr="00000000" w14:paraId="00000101">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MEETING FREQUENCY</w:t>
      </w:r>
    </w:p>
    <w:p w:rsidR="00000000" w:rsidDel="00000000" w:rsidP="00000000" w:rsidRDefault="00000000" w:rsidRPr="00000000" w14:paraId="0000010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Weekly during mobilisation, with a view to moving to Monthly: </w:t>
      </w:r>
      <w:r w:rsidDel="00000000" w:rsidR="00000000" w:rsidRPr="00000000">
        <w:rPr>
          <w:rFonts w:ascii="Arial" w:cs="Arial" w:eastAsia="Arial" w:hAnsi="Arial"/>
          <w:sz w:val="24"/>
          <w:szCs w:val="24"/>
          <w:rtl w:val="0"/>
        </w:rPr>
        <w:t xml:space="preserve">on the first Working Day of each quarter</w:t>
      </w:r>
    </w:p>
    <w:p w:rsidR="00000000" w:rsidDel="00000000" w:rsidP="00000000" w:rsidRDefault="00000000" w:rsidRPr="00000000" w14:paraId="00000104">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STAFF</w:t>
      </w:r>
    </w:p>
    <w:p w:rsidR="00000000" w:rsidDel="00000000" w:rsidP="00000000" w:rsidRDefault="00000000" w:rsidRPr="00000000" w14:paraId="00000106">
      <w:pPr>
        <w:spacing w:after="53" w:line="259" w:lineRule="auto"/>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40, Personal Information</w:t>
      </w:r>
      <w:r w:rsidDel="00000000" w:rsidR="00000000" w:rsidRPr="00000000">
        <w:rPr>
          <w:rFonts w:ascii="Arial" w:cs="Arial" w:eastAsia="Arial" w:hAnsi="Arial"/>
          <w:rtl w:val="0"/>
        </w:rPr>
        <w:t xml:space="preserve"> </w:t>
      </w:r>
    </w:p>
    <w:p w:rsidR="00000000" w:rsidDel="00000000" w:rsidP="00000000" w:rsidRDefault="00000000" w:rsidRPr="00000000" w14:paraId="0000010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109">
      <w:pPr>
        <w:ind w:left="-5" w:right="5" w:firstLine="0"/>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43, Commercial Interests</w:t>
      </w:r>
      <w:r w:rsidDel="00000000" w:rsidR="00000000" w:rsidRPr="00000000">
        <w:rPr>
          <w:rFonts w:ascii="Arial" w:cs="Arial" w:eastAsia="Arial" w:hAnsi="Arial"/>
          <w:rtl w:val="0"/>
        </w:rPr>
        <w:t xml:space="preserve"> </w:t>
      </w:r>
    </w:p>
    <w:p w:rsidR="00000000" w:rsidDel="00000000" w:rsidP="00000000" w:rsidRDefault="00000000" w:rsidRPr="00000000" w14:paraId="0000010A">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p>
    <w:p w:rsidR="00000000" w:rsidDel="00000000" w:rsidP="00000000" w:rsidRDefault="00000000" w:rsidRPr="00000000" w14:paraId="0000010C">
      <w:pPr>
        <w:ind w:left="-5" w:right="5" w:firstLine="0"/>
        <w:rPr>
          <w:rFonts w:ascii="Arial" w:cs="Arial" w:eastAsia="Arial" w:hAnsi="Arial"/>
        </w:rPr>
      </w:pPr>
      <w:r w:rsidDel="00000000" w:rsidR="00000000" w:rsidRPr="00000000">
        <w:rPr>
          <w:rFonts w:ascii="Arial" w:cs="Arial" w:eastAsia="Arial" w:hAnsi="Arial"/>
          <w:highlight w:val="yellow"/>
          <w:rtl w:val="0"/>
        </w:rPr>
        <w:t xml:space="preserve">Redacted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ffff"/>
          <w:highlight w:val="black"/>
          <w:rtl w:val="0"/>
        </w:rPr>
        <w:t xml:space="preserve">Under FOIA, Section 43, Commercial Interests</w:t>
      </w:r>
      <w:r w:rsidDel="00000000" w:rsidR="00000000" w:rsidRPr="00000000">
        <w:rPr>
          <w:rFonts w:ascii="Arial" w:cs="Arial" w:eastAsia="Arial" w:hAnsi="Arial"/>
          <w:rtl w:val="0"/>
        </w:rPr>
        <w:t xml:space="preserve"> </w:t>
      </w:r>
    </w:p>
    <w:p w:rsidR="00000000" w:rsidDel="00000000" w:rsidP="00000000" w:rsidRDefault="00000000" w:rsidRPr="00000000" w14:paraId="0000010D">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w:t>
      </w:r>
    </w:p>
    <w:p w:rsidR="00000000" w:rsidDel="00000000" w:rsidP="00000000" w:rsidRDefault="00000000" w:rsidRPr="00000000" w14:paraId="0000010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110">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112">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11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11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There’s a guarantee of the Supplier's performance provided for all Call-Off Contracts entered under the Framework Contract</w:t>
      </w:r>
    </w:p>
    <w:p w:rsidR="00000000" w:rsidDel="00000000" w:rsidP="00000000" w:rsidRDefault="00000000" w:rsidRPr="00000000" w14:paraId="00000116">
      <w:pPr>
        <w:spacing w:after="0" w:line="25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11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11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agrees, in providing the Deliverables and performing its obligations under the Call-Off Contract, that it will comply with the social value commitments in Call-Off Schedule 4 (Call-Off Tender)]</w:t>
      </w:r>
    </w:p>
    <w:p w:rsidR="00000000" w:rsidDel="00000000" w:rsidP="00000000" w:rsidRDefault="00000000" w:rsidRPr="00000000" w14:paraId="00000119">
      <w:pPr>
        <w:spacing w:after="240" w:lineRule="auto"/>
        <w:jc w:val="both"/>
        <w:rPr>
          <w:rFonts w:ascii="Arial" w:cs="Arial" w:eastAsia="Arial" w:hAnsi="Arial"/>
          <w:sz w:val="24"/>
          <w:szCs w:val="24"/>
        </w:rPr>
      </w:pPr>
      <w:r w:rsidDel="00000000" w:rsidR="00000000" w:rsidRPr="00000000">
        <w:rPr>
          <w:rtl w:val="0"/>
        </w:rPr>
      </w:r>
    </w:p>
    <w:tbl>
      <w:tblPr>
        <w:tblStyle w:val="Table2"/>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11A">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11C">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11E">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1F">
            <w:pPr>
              <w:spacing w:after="53"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12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21">
            <w:pPr>
              <w:spacing w:after="53"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Fonts w:ascii="Arial" w:cs="Arial" w:eastAsia="Arial" w:hAnsi="Arial"/>
                <w:sz w:val="24"/>
                <w:szCs w:val="24"/>
                <w:rtl w:val="0"/>
              </w:rPr>
              <w:t xml:space="preserve"> </w:t>
            </w:r>
          </w:p>
        </w:tc>
      </w:tr>
      <w:tr>
        <w:trPr>
          <w:cantSplit w:val="0"/>
          <w:trHeight w:val="635" w:hRule="atLeast"/>
          <w:tblHeader w:val="0"/>
        </w:trPr>
        <w:tc>
          <w:tcPr/>
          <w:p w:rsidR="00000000" w:rsidDel="00000000" w:rsidP="00000000" w:rsidRDefault="00000000" w:rsidRPr="00000000" w14:paraId="00000122">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23">
            <w:pPr>
              <w:spacing w:after="53"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124">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25">
            <w:pPr>
              <w:spacing w:after="53"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Fonts w:ascii="Arial" w:cs="Arial" w:eastAsia="Arial" w:hAnsi="Arial"/>
                <w:sz w:val="24"/>
                <w:szCs w:val="24"/>
                <w:rtl w:val="0"/>
              </w:rPr>
              <w:t xml:space="preserve"> </w:t>
            </w:r>
          </w:p>
        </w:tc>
      </w:tr>
      <w:tr>
        <w:trPr>
          <w:cantSplit w:val="0"/>
          <w:trHeight w:val="635" w:hRule="atLeast"/>
          <w:tblHeader w:val="0"/>
        </w:trPr>
        <w:tc>
          <w:tcPr/>
          <w:p w:rsidR="00000000" w:rsidDel="00000000" w:rsidP="00000000" w:rsidRDefault="00000000" w:rsidRPr="00000000" w14:paraId="00000126">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27">
            <w:pPr>
              <w:spacing w:after="53" w:line="259" w:lineRule="auto"/>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Fonts w:ascii="Arial" w:cs="Arial" w:eastAsia="Arial" w:hAnsi="Arial"/>
                <w:sz w:val="24"/>
                <w:szCs w:val="24"/>
                <w:rtl w:val="0"/>
              </w:rPr>
              <w:t xml:space="preserve"> </w:t>
            </w:r>
          </w:p>
        </w:tc>
        <w:tc>
          <w:tcPr/>
          <w:p w:rsidR="00000000" w:rsidDel="00000000" w:rsidP="00000000" w:rsidRDefault="00000000" w:rsidRPr="00000000" w14:paraId="00000128">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29">
            <w:pPr>
              <w:spacing w:after="53" w:line="259" w:lineRule="auto"/>
              <w:rPr>
                <w:rFonts w:ascii="Arial" w:cs="Arial" w:eastAsia="Arial" w:hAnsi="Arial"/>
                <w:sz w:val="24"/>
                <w:szCs w:val="24"/>
              </w:rPr>
            </w:pPr>
            <w:bookmarkStart w:colFirst="0" w:colLast="0" w:name="_heading=h.3dy6vkm" w:id="5"/>
            <w:bookmarkEnd w:id="5"/>
            <w:r w:rsidDel="00000000" w:rsidR="00000000" w:rsidRPr="00000000">
              <w:rPr>
                <w:rFonts w:ascii="Arial" w:cs="Arial" w:eastAsia="Arial" w:hAnsi="Arial"/>
                <w:sz w:val="24"/>
                <w:szCs w:val="24"/>
                <w:highlight w:val="yellow"/>
                <w:rtl w:val="0"/>
              </w:rPr>
              <w:t xml:space="preserve">Redacted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ffff"/>
                <w:sz w:val="24"/>
                <w:szCs w:val="24"/>
                <w:highlight w:val="black"/>
                <w:rtl w:val="0"/>
              </w:rPr>
              <w:t xml:space="preserve">Under FOIA, Section 40, Personal Information</w:t>
            </w:r>
            <w:r w:rsidDel="00000000" w:rsidR="00000000" w:rsidRPr="00000000">
              <w:rPr>
                <w:rFonts w:ascii="Arial" w:cs="Arial" w:eastAsia="Arial" w:hAnsi="Arial"/>
                <w:sz w:val="24"/>
                <w:szCs w:val="24"/>
                <w:rtl w:val="0"/>
              </w:rPr>
              <w:t xml:space="preserve"> </w:t>
            </w:r>
          </w:p>
        </w:tc>
      </w:tr>
      <w:tr>
        <w:trPr>
          <w:cantSplit w:val="0"/>
          <w:trHeight w:val="863" w:hRule="atLeast"/>
          <w:tblHeader w:val="0"/>
        </w:trPr>
        <w:tc>
          <w:tcPr/>
          <w:p w:rsidR="00000000" w:rsidDel="00000000" w:rsidP="00000000" w:rsidRDefault="00000000" w:rsidRPr="00000000" w14:paraId="0000012A">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2B">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2C">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2D">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2E">
      <w:pPr>
        <w:rPr>
          <w:rFonts w:ascii="Arial" w:cs="Arial" w:eastAsia="Arial" w:hAnsi="Arial"/>
          <w:sz w:val="24"/>
          <w:szCs w:val="24"/>
        </w:rPr>
      </w:pPr>
      <w:bookmarkStart w:colFirst="0" w:colLast="0" w:name="_heading=h.tyjcwt" w:id="6"/>
      <w:bookmarkEnd w:id="6"/>
      <w:r w:rsidDel="00000000" w:rsidR="00000000" w:rsidRPr="00000000">
        <w:rPr>
          <w:rtl w:val="0"/>
        </w:rPr>
      </w:r>
    </w:p>
    <w:p w:rsidR="00000000" w:rsidDel="00000000" w:rsidP="00000000" w:rsidRDefault="00000000" w:rsidRPr="00000000" w14:paraId="0000012F">
      <w:pPr>
        <w:tabs>
          <w:tab w:val="left" w:leader="none" w:pos="5600"/>
        </w:tabs>
        <w:rPr>
          <w:rFonts w:ascii="Arial" w:cs="Arial" w:eastAsia="Arial" w:hAnsi="Arial"/>
        </w:rPr>
      </w:pPr>
      <w:r w:rsidDel="00000000" w:rsidR="00000000" w:rsidRPr="00000000">
        <w:rPr>
          <w:rFonts w:ascii="Arial" w:cs="Arial" w:eastAsia="Arial" w:hAnsi="Arial"/>
          <w:sz w:val="24"/>
          <w:szCs w:val="24"/>
          <w:rtl w:val="0"/>
        </w:rPr>
        <w:tab/>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RM6177 National Fuels (2)</w:t>
      <w:tab/>
      <w:t xml:space="preserve">                                           </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v1.1</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v3.6</w:t>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13A">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2020</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shd w:fill="auto" w:val="clear"/>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334E1"/>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4"/>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4"/>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4" w:customStyle="1">
    <w:name w:val="4"/>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character" w:styleId="Hyperlink">
    <w:name w:val="Hyperlink"/>
    <w:basedOn w:val="DefaultParagraphFont"/>
    <w:uiPriority w:val="99"/>
    <w:unhideWhenUsed w:val="1"/>
    <w:rsid w:val="00F07DE6"/>
    <w:rPr>
      <w:color w:val="0000ff" w:themeColor="hyperlink"/>
      <w:u w:val="single"/>
    </w:rPr>
  </w:style>
  <w:style w:type="character" w:styleId="UnresolvedMention">
    <w:name w:val="Unresolved Mention"/>
    <w:basedOn w:val="DefaultParagraphFont"/>
    <w:uiPriority w:val="99"/>
    <w:semiHidden w:val="1"/>
    <w:unhideWhenUsed w:val="1"/>
    <w:rsid w:val="00F07DE6"/>
    <w:rPr>
      <w:color w:val="605e5c"/>
      <w:shd w:color="auto" w:fill="e1dfdd" w:val="clear"/>
    </w:rPr>
  </w:style>
  <w:style w:type="table" w:styleId="3" w:customStyle="1">
    <w:name w:val="3"/>
    <w:basedOn w:val="TableNormal"/>
    <w:tblPr>
      <w:tblStyleRowBandSize w:val="1"/>
      <w:tblStyleColBandSize w:val="1"/>
      <w:tblCellMar>
        <w:left w:w="115.0" w:type="dxa"/>
        <w:right w:w="115.0" w:type="dxa"/>
      </w:tblCellMar>
    </w:tblPr>
  </w:style>
  <w:style w:type="table" w:styleId="2" w:customStyle="1">
    <w:name w:val="2"/>
    <w:basedOn w:val="TableNormal"/>
    <w:pPr>
      <w:spacing w:after="0" w:line="240" w:lineRule="auto"/>
    </w:pPr>
    <w:rPr>
      <w:sz w:val="20"/>
      <w:szCs w:val="20"/>
    </w:rPr>
    <w:tblPr>
      <w:tblStyleRowBandSize w:val="1"/>
      <w:tblStyleColBandSize w:val="1"/>
    </w:tblPr>
  </w:style>
  <w:style w:type="table" w:styleId="1" w:customStyle="1">
    <w:name w:val="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8" w:customStyle="1">
    <w:name w:val="8"/>
    <w:basedOn w:val="TableNormal"/>
    <w:pPr>
      <w:spacing w:after="0" w:line="240" w:lineRule="auto"/>
    </w:pPr>
    <w:rPr>
      <w:sz w:val="20"/>
      <w:szCs w:val="20"/>
    </w:rPr>
    <w:tblPr>
      <w:tblStyleRowBandSize w:val="1"/>
      <w:tblStyleColBandSize w:val="1"/>
      <w:tblCellMar>
        <w:left w:w="115.0" w:type="dxa"/>
        <w:right w:w="115.0" w:type="dxa"/>
      </w:tblCellMar>
    </w:tblPr>
  </w:style>
  <w:style w:type="table" w:styleId="7" w:customStyle="1">
    <w:name w:val="7"/>
    <w:basedOn w:val="TableNormal"/>
    <w:pPr>
      <w:spacing w:after="0" w:line="240" w:lineRule="auto"/>
    </w:pPr>
    <w:rPr>
      <w:sz w:val="20"/>
      <w:szCs w:val="20"/>
    </w:rPr>
    <w:tblPr>
      <w:tblStyleRowBandSize w:val="1"/>
      <w:tblStyleColBandSize w:val="1"/>
      <w:tblCellMar>
        <w:left w:w="115.0" w:type="dxa"/>
        <w:right w:w="1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6" w:customStyle="1">
    <w:name w:val="6"/>
    <w:basedOn w:val="TableNormal"/>
    <w:pPr>
      <w:spacing w:after="0" w:line="240" w:lineRule="auto"/>
    </w:pPr>
    <w:rPr>
      <w:sz w:val="20"/>
      <w:szCs w:val="20"/>
    </w:rPr>
    <w:tblPr>
      <w:tblStyleRowBandSize w:val="1"/>
      <w:tblStyleColBandSize w:val="1"/>
      <w:tblCellMar>
        <w:left w:w="115.0" w:type="dxa"/>
        <w:right w:w="115.0" w:type="dxa"/>
      </w:tblCellMar>
    </w:tblPr>
  </w:style>
  <w:style w:type="table" w:styleId="5" w:customStyle="1">
    <w:name w:val="5"/>
    <w:basedOn w:val="TableNormal"/>
    <w:pPr>
      <w:spacing w:after="0" w:line="240" w:lineRule="auto"/>
    </w:pPr>
    <w:rPr>
      <w:sz w:val="20"/>
      <w:szCs w:val="20"/>
    </w:rPr>
    <w:tblPr>
      <w:tblStyleRowBandSize w:val="1"/>
      <w:tblStyleColBandSize w:val="1"/>
      <w:tblCellMar>
        <w:left w:w="115.0" w:type="dxa"/>
        <w:right w:w="1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 w:customStyle="1">
    <w:basedOn w:val="TableNormal"/>
    <w:pPr>
      <w:spacing w:after="0" w:line="240" w:lineRule="auto"/>
    </w:pPr>
    <w:rPr>
      <w:sz w:val="20"/>
      <w:szCs w:val="20"/>
    </w:rPr>
    <w:tblPr>
      <w:tblStyleRowBandSize w:val="1"/>
      <w:tblStyleColBandSize w:val="1"/>
      <w:tblCellMar>
        <w:left w:w="115.0" w:type="dxa"/>
        <w:right w:w="115.0" w:type="dxa"/>
      </w:tblCellMar>
    </w:tblPr>
  </w:style>
  <w:style w:type="table" w:styleId="a0" w:customStyle="1">
    <w:basedOn w:val="TableNormal"/>
    <w:pPr>
      <w:spacing w:after="0" w:line="240" w:lineRule="auto"/>
    </w:pPr>
    <w:rPr>
      <w:sz w:val="20"/>
      <w:szCs w:val="20"/>
    </w:rPr>
    <w:tblPr>
      <w:tblStyleRowBandSize w:val="1"/>
      <w:tblStyleColBandSize w:val="1"/>
      <w:tblCellMar>
        <w:left w:w="115.0" w:type="dxa"/>
        <w:right w:w="115.0" w:type="dxa"/>
      </w:tblCellMar>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RA0qscl+smTaoDf/42cBVswTw==">CgMxLjAyCGguZ2pkZ3hzMgloLjMwajB6bGwyCWguMmV0OTJwMDIJaC4xZm9iOXRlMgloLjN6bnlzaDcyCWguM2R5NnZrbTIIaC50eWpjd3Q4AHIhMTNlTUNZX2U0cUtVN3Z5dmdSenlxRThMWElUNks1VVBJ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2024-05-07T08:02:00Z</dcterms:created>
  <dc:creator>Stephen Eamer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