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300" w:before="100" w:lineRule="auto"/>
        <w:rPr>
          <w:color w:val="000000"/>
        </w:rPr>
      </w:pPr>
      <w:r w:rsidDel="00000000" w:rsidR="00000000" w:rsidRPr="00000000">
        <w:rPr>
          <w:b w:val="1"/>
          <w:color w:val="000000"/>
          <w:sz w:val="36"/>
          <w:szCs w:val="36"/>
          <w:rtl w:val="0"/>
        </w:rPr>
        <w:t xml:space="preserve">Schedule </w:t>
      </w:r>
      <w:bookmarkStart w:colFirst="0" w:colLast="0" w:name="bookmark=id.gjdgxs" w:id="0"/>
      <w:bookmarkEnd w:id="0"/>
      <w:r w:rsidDel="00000000" w:rsidR="00000000" w:rsidRPr="00000000">
        <w:rPr>
          <w:b w:val="1"/>
          <w:color w:val="000000"/>
          <w:sz w:val="36"/>
          <w:szCs w:val="36"/>
          <w:rtl w:val="0"/>
        </w:rPr>
        <w:t xml:space="preserve">37 (Corporate Resolution Planning)</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Accounting Reference Date</w:t>
            </w:r>
            <w:r w:rsidDel="00000000" w:rsidR="00000000" w:rsidRPr="00000000">
              <w:rPr>
                <w:b w:val="1"/>
                <w:color w:val="000000"/>
                <w:rtl w:val="0"/>
              </w:rPr>
              <w:t xml:space="preserv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rPr>
            </w:pPr>
            <w:r w:rsidDel="00000000" w:rsidR="00000000" w:rsidRPr="00000000">
              <w:rPr>
                <w:b w:val="1"/>
                <w:color w:val="000000"/>
                <w:rtl w:val="0"/>
              </w:rPr>
              <w:t xml:space="preserve">"</w:t>
            </w:r>
            <w:r w:rsidDel="00000000" w:rsidR="00000000" w:rsidRPr="00000000">
              <w:rPr>
                <w:b w:val="1"/>
                <w:rtl w:val="0"/>
              </w:rPr>
              <w:t xml:space="preserve">Annual Revenue</w:t>
            </w:r>
            <w:r w:rsidDel="00000000" w:rsidR="00000000" w:rsidRPr="00000000">
              <w:rPr>
                <w:b w:val="1"/>
                <w:color w:val="000000"/>
                <w:rtl w:val="0"/>
              </w:rPr>
              <w:t xml:space="preserve">"</w:t>
            </w:r>
            <w:r w:rsidDel="00000000" w:rsidR="00000000" w:rsidRPr="00000000">
              <w:rPr>
                <w:rtl w:val="0"/>
              </w:rPr>
            </w:r>
          </w:p>
        </w:tc>
        <w:tc>
          <w:tcPr/>
          <w:p w:rsidR="00000000" w:rsidDel="00000000" w:rsidP="00000000" w:rsidRDefault="00000000" w:rsidRPr="00000000" w14:paraId="00000007">
            <w:pPr>
              <w:tabs>
                <w:tab w:val="left" w:leader="none" w:pos="-9"/>
              </w:tabs>
              <w:spacing w:after="120" w:lineRule="auto"/>
              <w:rPr/>
            </w:pPr>
            <w:r w:rsidDel="00000000" w:rsidR="00000000" w:rsidRPr="00000000">
              <w:rPr>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accounting periods of other than twelve (12) months should be scaled pro rata to produce a proforma figure for a twelve (12) month period; and</w:t>
            </w:r>
          </w:p>
          <w:p w:rsidR="00000000" w:rsidDel="00000000" w:rsidP="00000000" w:rsidRDefault="00000000" w:rsidRPr="00000000" w14:paraId="0000000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"Assurance"</w:t>
            </w:r>
          </w:p>
        </w:tc>
        <w:tc>
          <w:tcPr/>
          <w:p w:rsidR="00000000" w:rsidDel="00000000" w:rsidP="00000000" w:rsidRDefault="00000000" w:rsidRPr="00000000" w14:paraId="0000000B">
            <w:pPr>
              <w:tabs>
                <w:tab w:val="left" w:leader="none" w:pos="-9"/>
              </w:tabs>
              <w:spacing w:after="120" w:lineRule="auto"/>
              <w:rPr/>
            </w:pPr>
            <w:r w:rsidDel="00000000" w:rsidR="00000000" w:rsidRPr="00000000">
              <w:rPr>
                <w:rtl w:val="0"/>
              </w:rPr>
              <w:t xml:space="preserve">means written confirmation from a Relevant Buyer to the Supplier that the CRP Information is approved by the Relevant Buyer;</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rPr>
            </w:pPr>
            <w:r w:rsidDel="00000000" w:rsidR="00000000" w:rsidRPr="00000000">
              <w:rPr>
                <w:b w:val="1"/>
                <w:color w:val="000000"/>
                <w:rtl w:val="0"/>
              </w:rPr>
              <w:t xml:space="preserve">"Cabinet Office Markets and Suppliers Team"</w:t>
            </w:r>
            <w:r w:rsidDel="00000000" w:rsidR="00000000" w:rsidRPr="00000000">
              <w:rPr>
                <w:rtl w:val="0"/>
              </w:rPr>
            </w:r>
          </w:p>
        </w:tc>
        <w:tc>
          <w:tcPr/>
          <w:p w:rsidR="00000000" w:rsidDel="00000000" w:rsidP="00000000" w:rsidRDefault="00000000" w:rsidRPr="00000000" w14:paraId="0000000D">
            <w:pPr>
              <w:tabs>
                <w:tab w:val="left" w:leader="none" w:pos="-9"/>
              </w:tabs>
              <w:spacing w:after="120" w:lineRule="auto"/>
              <w:rPr/>
            </w:pPr>
            <w:r w:rsidDel="00000000" w:rsidR="00000000" w:rsidRPr="00000000">
              <w:rPr>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Corporate Change Event</w:t>
            </w:r>
            <w:r w:rsidDel="00000000" w:rsidR="00000000" w:rsidRPr="00000000">
              <w:rPr>
                <w:b w:val="1"/>
                <w:color w:val="000000"/>
                <w:rtl w:val="0"/>
              </w:rPr>
              <w:t xml:space="preserve">"</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0">
            <w:pPr>
              <w:numPr>
                <w:ilvl w:val="0"/>
                <w:numId w:val="16"/>
              </w:numPr>
              <w:ind w:left="720" w:hanging="720"/>
              <w:rPr/>
            </w:pPr>
            <w:r w:rsidDel="00000000" w:rsidR="00000000" w:rsidRPr="00000000">
              <w:rPr>
                <w:rtl w:val="0"/>
              </w:rPr>
              <w:t xml:space="preserve">any change of Control of the Supplier or a Parent Undertaking of the Supplier;</w:t>
            </w:r>
          </w:p>
          <w:p w:rsidR="00000000" w:rsidDel="00000000" w:rsidP="00000000" w:rsidRDefault="00000000" w:rsidRPr="00000000" w14:paraId="0000001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Services; </w:t>
            </w:r>
          </w:p>
          <w:p w:rsidR="00000000" w:rsidDel="00000000" w:rsidP="00000000" w:rsidRDefault="00000000" w:rsidRPr="00000000" w14:paraId="0000001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Services;</w:t>
            </w:r>
          </w:p>
          <w:p w:rsidR="00000000" w:rsidDel="00000000" w:rsidP="00000000" w:rsidRDefault="00000000" w:rsidRPr="00000000" w14:paraId="0000001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twenty five percent (25%) of the Net Asset Value of the Supplier or the ultimate Parent Undertaking of the Supplier Group respectively in any twelve (12) month period;</w:t>
            </w:r>
          </w:p>
          <w:p w:rsidR="00000000" w:rsidDel="00000000" w:rsidP="00000000" w:rsidRDefault="00000000" w:rsidRPr="00000000" w14:paraId="0000001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puj5n"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Corporate Change Event Grace Period</w:t>
            </w:r>
            <w:r w:rsidDel="00000000" w:rsidR="00000000" w:rsidRPr="00000000">
              <w:rPr>
                <w:b w:val="1"/>
                <w:color w:val="000000"/>
                <w:rtl w:val="0"/>
              </w:rPr>
              <w:t xml:space="preserve">"</w:t>
            </w:r>
          </w:p>
        </w:tc>
        <w:tc>
          <w:tcPr/>
          <w:p w:rsidR="00000000" w:rsidDel="00000000" w:rsidP="00000000" w:rsidRDefault="00000000" w:rsidRPr="00000000" w14:paraId="0000001B">
            <w:pPr>
              <w:tabs>
                <w:tab w:val="left" w:leader="none" w:pos="-9"/>
              </w:tabs>
              <w:spacing w:after="120" w:lineRule="auto"/>
              <w:rPr/>
            </w:pPr>
            <w:r w:rsidDel="00000000" w:rsidR="00000000" w:rsidRPr="00000000">
              <w:rPr>
                <w:rtl w:val="0"/>
              </w:rPr>
              <w:t xml:space="preserve">means a grace period agreed to by the Relevant Buyer for providing CRP Information and/or updates to Service Continuity Plan after a Corporate Change Event</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Corporate Resolvability Assessment (Structural Review)</w:t>
            </w:r>
            <w:r w:rsidDel="00000000" w:rsidR="00000000" w:rsidRPr="00000000">
              <w:rPr>
                <w:b w:val="1"/>
                <w:color w:val="000000"/>
                <w:rtl w:val="0"/>
              </w:rPr>
              <w:t xml:space="preserve">"</w:t>
            </w:r>
          </w:p>
        </w:tc>
        <w:tc>
          <w:tcPr/>
          <w:p w:rsidR="00000000" w:rsidDel="00000000" w:rsidP="00000000" w:rsidRDefault="00000000" w:rsidRPr="00000000" w14:paraId="0000001D">
            <w:pPr>
              <w:tabs>
                <w:tab w:val="left" w:leader="none" w:pos="-9"/>
              </w:tabs>
              <w:spacing w:after="120" w:lineRule="auto"/>
              <w:rPr/>
            </w:pPr>
            <w:r w:rsidDel="00000000" w:rsidR="00000000" w:rsidRPr="00000000">
              <w:rPr>
                <w:rtl w:val="0"/>
              </w:rPr>
              <w:t xml:space="preserve">means part of the CRP Information relating to the Supplier Group to be provided by the Supplier in accordance with Paragraph 3 and Annex 2 of this Schedule </w:t>
            </w:r>
            <w:r w:rsidDel="00000000" w:rsidR="00000000" w:rsidRPr="00000000">
              <w:rPr>
                <w:color w:val="000000"/>
                <w:rtl w:val="0"/>
              </w:rPr>
              <w:t xml:space="preserve">37</w:t>
            </w:r>
            <w:r w:rsidDel="00000000" w:rsidR="00000000" w:rsidRPr="00000000">
              <w:rPr>
                <w:rtl w:val="0"/>
              </w:rPr>
              <w:t xml:space="preserv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"Critical National Infrastructure"</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"Critical Service Contract"</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rPr/>
            </w:pPr>
            <w:bookmarkStart w:colFirst="0" w:colLast="0" w:name="_heading=h.48pi1tg" w:id="5"/>
            <w:bookmarkEnd w:id="5"/>
            <w:r w:rsidDel="00000000" w:rsidR="00000000" w:rsidRPr="00000000">
              <w:rPr>
                <w:rtl w:val="0"/>
              </w:rPr>
              <w:t xml:space="preserve">means the overall status of the Services provided under this Contract as determined by the Buyer and specified in Paragraph 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"CRP Information"</w:t>
            </w:r>
          </w:p>
        </w:tc>
        <w:tc>
          <w:tcPr/>
          <w:p w:rsidR="00000000" w:rsidDel="00000000" w:rsidP="00000000" w:rsidRDefault="00000000" w:rsidRPr="00000000" w14:paraId="00000025">
            <w:pPr>
              <w:tabs>
                <w:tab w:val="left" w:leader="none" w:pos="-9"/>
              </w:tabs>
              <w:spacing w:after="120" w:lineRule="auto"/>
              <w:rPr/>
            </w:pPr>
            <w:r w:rsidDel="00000000" w:rsidR="00000000" w:rsidRPr="00000000">
              <w:rPr>
                <w:rtl w:val="0"/>
              </w:rPr>
              <w:t xml:space="preserve">means the corporate resolution planning information, together, the:</w:t>
            </w:r>
          </w:p>
          <w:p w:rsidR="00000000" w:rsidDel="00000000" w:rsidP="00000000" w:rsidRDefault="00000000" w:rsidRPr="00000000" w14:paraId="0000002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Exposure Information (Contracts List);</w:t>
            </w:r>
          </w:p>
          <w:p w:rsidR="00000000" w:rsidDel="00000000" w:rsidP="00000000" w:rsidRDefault="00000000" w:rsidRPr="00000000" w14:paraId="0000002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Resolvability Assessment (Structural Review); and</w:t>
            </w:r>
          </w:p>
          <w:p w:rsidR="00000000" w:rsidDel="00000000" w:rsidP="00000000" w:rsidRDefault="00000000" w:rsidRPr="00000000" w14:paraId="0000002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Information and Commentary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Exposure Information (Contracts List)</w:t>
            </w:r>
            <w:r w:rsidDel="00000000" w:rsidR="00000000" w:rsidRPr="00000000">
              <w:rPr>
                <w:b w:val="1"/>
                <w:color w:val="000000"/>
                <w:rtl w:val="0"/>
              </w:rPr>
              <w:t xml:space="preserve">"</w:t>
            </w:r>
          </w:p>
        </w:tc>
        <w:tc>
          <w:tcPr/>
          <w:p w:rsidR="00000000" w:rsidDel="00000000" w:rsidP="00000000" w:rsidRDefault="00000000" w:rsidRPr="00000000" w14:paraId="0000002A">
            <w:pPr>
              <w:tabs>
                <w:tab w:val="left" w:leader="none" w:pos="-9"/>
              </w:tabs>
              <w:spacing w:after="120" w:lineRule="auto"/>
              <w:rPr/>
            </w:pPr>
            <w:r w:rsidDel="00000000" w:rsidR="00000000" w:rsidRPr="00000000">
              <w:rPr>
                <w:rtl w:val="0"/>
              </w:rPr>
              <w:t xml:space="preserve">means part of the CRP Information relating to the Supplier Group to be provided by the Supplier in accordance with Paragraph 3 and Annex </w:t>
            </w:r>
            <w:r w:rsidDel="00000000" w:rsidR="00000000" w:rsidRPr="00000000">
              <w:rPr>
                <w:smallCaps w:val="1"/>
                <w:rtl w:val="0"/>
              </w:rPr>
              <w:t xml:space="preserve">1</w:t>
            </w:r>
            <w:r w:rsidDel="00000000" w:rsidR="00000000" w:rsidRPr="00000000">
              <w:rPr>
                <w:rtl w:val="0"/>
              </w:rPr>
              <w:t xml:space="preserve"> of this Schedule;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Financial Information and Commentary</w:t>
            </w:r>
            <w:r w:rsidDel="00000000" w:rsidR="00000000" w:rsidRPr="00000000">
              <w:rPr>
                <w:b w:val="1"/>
                <w:color w:val="000000"/>
                <w:rtl w:val="0"/>
              </w:rPr>
              <w:t xml:space="preserve">"</w:t>
            </w:r>
          </w:p>
        </w:tc>
        <w:tc>
          <w:tcPr/>
          <w:p w:rsidR="00000000" w:rsidDel="00000000" w:rsidP="00000000" w:rsidRDefault="00000000" w:rsidRPr="00000000" w14:paraId="0000002C">
            <w:pPr>
              <w:tabs>
                <w:tab w:val="left" w:leader="none" w:pos="-9"/>
              </w:tabs>
              <w:spacing w:after="120" w:lineRule="auto"/>
              <w:rPr/>
            </w:pPr>
            <w:r w:rsidDel="00000000" w:rsidR="00000000" w:rsidRPr="00000000">
              <w:rPr>
                <w:rtl w:val="0"/>
              </w:rPr>
              <w:t xml:space="preserve">means part of the CRP Information relating to the Supplier Group to be provided by the Supplier in accordance with Paragraph 3 and Annex 3 of this Schedule;</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"Public Sector Dependant Supplier"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rPr/>
            </w:pPr>
            <w:r w:rsidDel="00000000" w:rsidR="00000000" w:rsidRPr="00000000">
              <w:rPr>
                <w:rtl w:val="0"/>
              </w:rPr>
              <w:t xml:space="preserve">means a supplier where that supplier, or that supplier’s group has Annual Revenue of £50 million or more of which over fifty percent (50%) is generated from UK Public Sector Business;</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Relevant Buyer</w:t>
            </w:r>
            <w:r w:rsidDel="00000000" w:rsidR="00000000" w:rsidRPr="00000000">
              <w:rPr>
                <w:b w:val="1"/>
                <w:color w:val="000000"/>
                <w:rtl w:val="0"/>
              </w:rPr>
              <w:t xml:space="preserve">"</w:t>
            </w:r>
            <w:r w:rsidDel="00000000" w:rsidR="00000000" w:rsidRPr="00000000">
              <w:rPr>
                <w:b w:val="1"/>
                <w:rtl w:val="0"/>
              </w:rPr>
              <w:t xml:space="preserve"> or </w:t>
            </w:r>
            <w:r w:rsidDel="00000000" w:rsidR="00000000" w:rsidRPr="00000000">
              <w:rPr>
                <w:b w:val="1"/>
                <w:color w:val="000000"/>
                <w:rtl w:val="0"/>
              </w:rPr>
              <w:t xml:space="preserve">"</w:t>
            </w:r>
            <w:r w:rsidDel="00000000" w:rsidR="00000000" w:rsidRPr="00000000">
              <w:rPr>
                <w:b w:val="1"/>
                <w:rtl w:val="0"/>
              </w:rPr>
              <w:t xml:space="preserve">Relevant Buyers</w:t>
            </w:r>
            <w:r w:rsidDel="00000000" w:rsidR="00000000" w:rsidRPr="00000000">
              <w:rPr>
                <w:b w:val="1"/>
                <w:color w:val="000000"/>
                <w:rtl w:val="0"/>
              </w:rPr>
              <w:t xml:space="preserve">"</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s>
              <w:spacing w:after="120" w:lineRule="auto"/>
              <w:rPr/>
            </w:pPr>
            <w:bookmarkStart w:colFirst="0" w:colLast="0" w:name="_heading=h.2nusc19" w:id="6"/>
            <w:bookmarkEnd w:id="6"/>
            <w:r w:rsidDel="00000000" w:rsidR="00000000" w:rsidRPr="00000000">
              <w:rPr>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"Strategic Suppliers"</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rPr/>
            </w:pPr>
            <w:r w:rsidDel="00000000" w:rsidR="00000000" w:rsidRPr="00000000">
              <w:rPr>
                <w:rtl w:val="0"/>
              </w:rPr>
              <w:t xml:space="preserve">means those suppliers to government listed at </w:t>
            </w:r>
            <w:hyperlink r:id="rId7">
              <w:r w:rsidDel="00000000" w:rsidR="00000000" w:rsidRPr="00000000">
                <w:rPr>
                  <w:rtl w:val="0"/>
                </w:rPr>
                <w:t xml:space="preserve">https://www.gov.uk/government/publications/strategic-suppliers</w:t>
              </w:r>
            </w:hyperlink>
            <w:r w:rsidDel="00000000" w:rsidR="00000000" w:rsidRPr="00000000">
              <w:rPr>
                <w:rtl w:val="0"/>
              </w:rPr>
              <w:t xml:space="preserv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w:t>
            </w:r>
            <w:r w:rsidDel="00000000" w:rsidR="00000000" w:rsidRPr="00000000">
              <w:rPr>
                <w:b w:val="1"/>
                <w:rtl w:val="0"/>
              </w:rPr>
              <w:t xml:space="preserve">UK Public Sector Business</w:t>
            </w:r>
            <w:r w:rsidDel="00000000" w:rsidR="00000000" w:rsidRPr="00000000">
              <w:rPr>
                <w:b w:val="1"/>
                <w:color w:val="000000"/>
                <w:rtl w:val="0"/>
              </w:rPr>
              <w:t xml:space="preserve">"</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rPr/>
            </w:pPr>
            <w:bookmarkStart w:colFirst="0" w:colLast="0" w:name="_heading=h.1302m92" w:id="7"/>
            <w:bookmarkEnd w:id="7"/>
            <w:r w:rsidDel="00000000" w:rsidR="00000000" w:rsidRPr="00000000">
              <w:rPr>
                <w:rtl w:val="0"/>
              </w:rPr>
              <w:t xml:space="preserve">means any goods, service or works provision to UK public sector bodies, including Crown Bodies and their arm's length bodies and agencies, non-departmental public bodies, NHS bodies, local authorities, health bodies, police, fire and rescue, education bodies and devolved administrations;</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"Valid"</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rPr/>
            </w:pPr>
            <w:bookmarkStart w:colFirst="0" w:colLast="0" w:name="_heading=h.3mzq4wv" w:id="8"/>
            <w:bookmarkEnd w:id="8"/>
            <w:r w:rsidDel="00000000" w:rsidR="00000000" w:rsidRPr="00000000">
              <w:rPr>
                <w:rtl w:val="0"/>
              </w:rPr>
              <w:t xml:space="preserve">in respect of an Assurance, has the meaning given to it in Paragraph 3.7 of this Schedule;</w:t>
            </w:r>
          </w:p>
        </w:tc>
      </w:tr>
    </w:tbl>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200" w:before="100" w:lineRule="auto"/>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CORPORATE RESOLUTION PLANNING </w:t>
      </w:r>
    </w:p>
    <w:p w:rsidR="00000000" w:rsidDel="00000000" w:rsidP="00000000" w:rsidRDefault="00000000" w:rsidRPr="00000000" w14:paraId="0000003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vx1227" w:id="9"/>
      <w:bookmarkEnd w:id="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Status and Supplier Status</w:t>
      </w:r>
    </w:p>
    <w:p w:rsidR="00000000" w:rsidDel="00000000" w:rsidP="00000000" w:rsidRDefault="00000000" w:rsidRPr="00000000" w14:paraId="0000003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fwokq0"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Contrac</w:t>
      </w:r>
      <w:r w:rsidDel="00000000" w:rsidR="00000000" w:rsidRPr="00000000">
        <w:rPr>
          <w:rtl w:val="0"/>
        </w:rPr>
        <w:t xml:space="preserve">t is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Contract. </w:t>
      </w:r>
      <w:r w:rsidDel="00000000" w:rsidR="00000000" w:rsidRPr="00000000">
        <w:rPr>
          <w:rtl w:val="0"/>
        </w:rPr>
      </w:r>
    </w:p>
    <w:p w:rsidR="00000000" w:rsidDel="00000000" w:rsidP="00000000" w:rsidRDefault="00000000" w:rsidRPr="00000000" w14:paraId="0000003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and the Cabinet Office Markets and Suppliers Team, in writing within five (5) Working Days of the Effective Date and throughout the Term within one hundred and twenty (120) days after each Accounting Reference Date as to whether or not it is a Public Sector Dependent Supplier. The contact email address for the Markets and Suppliers Team is resolution.planning@cabinetoffice.gov.uk.</w:t>
      </w:r>
    </w:p>
    <w:p w:rsidR="00000000" w:rsidDel="00000000" w:rsidP="00000000" w:rsidRDefault="00000000" w:rsidRPr="00000000" w14:paraId="0000003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1v1yuxt"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Provision of Corporate Resolution Planning (CRP) Information</w:t>
      </w: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3 to 5 shall apply if this Contract has been specified as a Critical Service Contract under Paragraph 2.1 of this Schedule or the Supplier is or becomes a Public Sector Dependent Supplier.</w:t>
      </w:r>
    </w:p>
    <w:p w:rsidR="00000000" w:rsidDel="00000000" w:rsidP="00000000" w:rsidRDefault="00000000" w:rsidRPr="00000000" w14:paraId="0000003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3.6, 3.10 and 3.11 of this Schedule:</w:t>
      </w:r>
    </w:p>
    <w:p w:rsidR="00000000" w:rsidDel="00000000" w:rsidP="00000000" w:rsidRDefault="00000000" w:rsidRPr="00000000" w14:paraId="0000003F">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19c6y18" w:id="14"/>
      <w:bookmarkEnd w:id="14"/>
      <w:r w:rsidDel="00000000" w:rsidR="00000000" w:rsidRPr="00000000">
        <w:rPr>
          <w:color w:val="000000"/>
          <w:rtl w:val="0"/>
        </w:rPr>
        <w:t xml:space="preserve">where this Contract is a Critical Service Contract, the Supplier shall provide the Relevant Buyer or Relevant Buyers with the CRP Information within sixty (60) days of the Effective Date; and</w:t>
      </w:r>
    </w:p>
    <w:p w:rsidR="00000000" w:rsidDel="00000000" w:rsidP="00000000" w:rsidRDefault="00000000" w:rsidRPr="00000000" w14:paraId="00000040">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3tbugp1" w:id="15"/>
      <w:bookmarkEnd w:id="15"/>
      <w:r w:rsidDel="00000000" w:rsidR="00000000" w:rsidRPr="00000000">
        <w:rPr>
          <w:color w:val="000000"/>
          <w:rtl w:val="0"/>
        </w:rPr>
        <w:t xml:space="preserve">except where it has already been provided in accordance with Paragraph 3.2(a) where the Supplier is a Public Sector Dependent Supplier, it shall provide the Relevant Buyer or Relevant Buyers with the CRP Information within sixty (60) days of the date of the Relevant Buyer’s or Relevant Buyers’ request.</w:t>
      </w:r>
    </w:p>
    <w:p w:rsidR="00000000" w:rsidDel="00000000" w:rsidP="00000000" w:rsidRDefault="00000000" w:rsidRPr="00000000" w14:paraId="00000041">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CRP Information provided pursuant to Paragraphs 3.2,3.8 and 3.9 of this Schedule:</w:t>
      </w:r>
    </w:p>
    <w:p w:rsidR="00000000" w:rsidDel="00000000" w:rsidP="00000000" w:rsidRDefault="00000000" w:rsidRPr="00000000" w14:paraId="00000042">
      <w:pPr>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is full, comprehensive, accurate and up to date;</w:t>
      </w:r>
    </w:p>
    <w:p w:rsidR="00000000" w:rsidDel="00000000" w:rsidP="00000000" w:rsidRDefault="00000000" w:rsidRPr="00000000" w14:paraId="00000043">
      <w:pPr>
        <w:keepNext w:val="1"/>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is split into three parts:</w:t>
      </w:r>
    </w:p>
    <w:p w:rsidR="00000000" w:rsidDel="00000000" w:rsidP="00000000" w:rsidRDefault="00000000" w:rsidRPr="00000000" w14:paraId="00000044">
      <w:pPr>
        <w:numPr>
          <w:ilvl w:val="4"/>
          <w:numId w:val="12"/>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Exposure Information (Contracts List)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5">
      <w:pPr>
        <w:numPr>
          <w:ilvl w:val="4"/>
          <w:numId w:val="12"/>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Corporate Resolvability Assessment (Structural Review);</w:t>
      </w:r>
    </w:p>
    <w:p w:rsidR="00000000" w:rsidDel="00000000" w:rsidP="00000000" w:rsidRDefault="00000000" w:rsidRPr="00000000" w14:paraId="00000046">
      <w:pPr>
        <w:numPr>
          <w:ilvl w:val="4"/>
          <w:numId w:val="12"/>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Financial Information and Commentary</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00" w:before="100" w:lineRule="auto"/>
        <w:ind w:left="1803" w:firstLine="0"/>
        <w:rPr>
          <w:color w:val="000000"/>
        </w:rPr>
      </w:pPr>
      <w:bookmarkStart w:colFirst="0" w:colLast="0" w:name="_heading=h.nmf14n" w:id="17"/>
      <w:bookmarkEnd w:id="17"/>
      <w:r w:rsidDel="00000000" w:rsidR="00000000" w:rsidRPr="00000000">
        <w:rPr>
          <w:color w:val="000000"/>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color w:val="0563c1"/>
            <w:u w:val="single"/>
            <w:rtl w:val="0"/>
          </w:rPr>
          <w:t xml:space="preserve">https://www.gov.uk/government/publications/the-sourcing-and-consultancy-playbooks</w:t>
        </w:r>
      </w:hyperlink>
      <w:r w:rsidDel="00000000" w:rsidR="00000000" w:rsidRPr="00000000">
        <w:rPr>
          <w:rtl w:val="0"/>
        </w:rPr>
        <w:t xml:space="preserve"> </w:t>
      </w:r>
      <w:r w:rsidDel="00000000" w:rsidR="00000000" w:rsidRPr="00000000">
        <w:rPr>
          <w:color w:val="000000"/>
          <w:rtl w:val="0"/>
        </w:rPr>
        <w:t xml:space="preserve">and contains the level of detail required (adapted as necessary to the Supplier’s circumstances);</w:t>
      </w:r>
    </w:p>
    <w:p w:rsidR="00000000" w:rsidDel="00000000" w:rsidP="00000000" w:rsidRDefault="00000000" w:rsidRPr="00000000" w14:paraId="00000048">
      <w:pPr>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incorporates any additional commentary, supporting documents and evidence which would reasonably be required by the Relevant Buyer or Relevant Buyers to understand and consider the information for approval;</w:t>
      </w:r>
    </w:p>
    <w:p w:rsidR="00000000" w:rsidDel="00000000" w:rsidP="00000000" w:rsidRDefault="00000000" w:rsidRPr="00000000" w14:paraId="00000049">
      <w:pPr>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A">
      <w:pPr>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37m2jsg" w:id="18"/>
      <w:bookmarkEnd w:id="18"/>
      <w:r w:rsidDel="00000000" w:rsidR="00000000" w:rsidRPr="00000000">
        <w:rPr>
          <w:color w:val="000000"/>
          <w:rtl w:val="0"/>
        </w:rPr>
        <w:t xml:space="preserve">complies with the requirements set out at Annex 1 (Exposure Information (Contracts List)), Annex 2 (Corporate Resolvability Assessment (Structural Review)) and Annex 3 (Financial Information and Commentary) respectively.</w:t>
      </w:r>
    </w:p>
    <w:p w:rsidR="00000000" w:rsidDel="00000000" w:rsidP="00000000" w:rsidRDefault="00000000" w:rsidRPr="00000000" w14:paraId="0000004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by the Relevant Buyer or Relevant Buyers of the CRP Information pursuant to Paragraphs 3.2, 3.8 and 3.9 of this Schedule, the Buyer shall procure that the Relevant Buyer or Relevant Buyers discuss in good faith the contents of the CRP Information with the Supplier and no later than 60 days after the date on which the CRP Information was delivered by the Supplier and either provide an Assurance to the Supplier that Relevant Buyer or Relevant Buyers approve the CRP Information or that Relevant Buyer or Relevant Buyers reject the CRP Information.</w:t>
      </w:r>
    </w:p>
    <w:p w:rsidR="00000000" w:rsidDel="00000000" w:rsidP="00000000" w:rsidRDefault="00000000" w:rsidRPr="00000000" w14:paraId="0000004C">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Buyer or Relevant Buyers reject the CRP Information:</w:t>
      </w:r>
    </w:p>
    <w:p w:rsidR="00000000" w:rsidDel="00000000" w:rsidP="00000000" w:rsidRDefault="00000000" w:rsidRPr="00000000" w14:paraId="0000004D">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4E">
      <w:pPr>
        <w:numPr>
          <w:ilvl w:val="3"/>
          <w:numId w:val="1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2lwamvv" w:id="21"/>
      <w:bookmarkEnd w:id="21"/>
      <w:r w:rsidDel="00000000" w:rsidR="00000000" w:rsidRPr="00000000">
        <w:rPr>
          <w:color w:val="000000"/>
          <w:rtl w:val="0"/>
        </w:rPr>
        <w:t xml:space="preserve">the Supplier shall revise the CRP Information, taking reasonable account of the Relevant Buyer’s or Relevant Buyers’ comments, and shall re-submit the CRP Information to the Relevant Buyer or Relevant Buyers for approval within thirty (30) days of the date of the Relevant Buyer’s or Relevant Buyers’ rejection. The provisions of Paragraphs 3.3 to 3.5 of this Schedule shall apply again to any resubmitted CRP Information provided that either Party may refer any disputed matters for resolution by the Dispute Resolution Procedure at any time.</w:t>
      </w:r>
    </w:p>
    <w:p w:rsidR="00000000" w:rsidDel="00000000" w:rsidP="00000000" w:rsidRDefault="00000000" w:rsidRPr="00000000" w14:paraId="0000004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a member of the Supplier Group has already provided CRP Information to a Crown Body or the Cabinet Office Markets and Suppliers Team (or, in the case of a Strategic Supplier, solely to the Cabinet Office Markets and Suppliers Team) and has received an Assurance of its CRP Information from that Crown Body and the Cabinet Office Markets and Suppliers Team (or, in the case of a Strategic Supplier, solely from the Cabinet Office Markets and Suppliers Team), then provided that the Assurance remains Valid on the date by which the CRP Information would otherwise be required, the Supplier shall not be required to provide the CRP Information under Paragraph 3.2 if it provides a copy of the Valid Assurance to the Relevant Buyer or Relevant Buyers on or before the date on which the CRP Information would otherwise have been required.</w:t>
      </w:r>
    </w:p>
    <w:p w:rsidR="00000000" w:rsidDel="00000000" w:rsidP="00000000" w:rsidRDefault="00000000" w:rsidRPr="00000000" w14:paraId="000000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Assurance shall be deemed Valid for the purposes of Paragraph 3.6 of this Schedule if:</w:t>
      </w:r>
    </w:p>
    <w:p w:rsidR="00000000" w:rsidDel="00000000" w:rsidP="00000000" w:rsidRDefault="00000000" w:rsidRPr="00000000" w14:paraId="00000051">
      <w:pPr>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the Assurance is within the validity period stated in the Assurance (or, if no validity period is stated, no more than twelve (12) months has elapsed since it was issued and no more than eighteen (18) months has elapsed since the Accounting Reference Date on which the CRP Information was based); and </w:t>
      </w:r>
    </w:p>
    <w:p w:rsidR="00000000" w:rsidDel="00000000" w:rsidP="00000000" w:rsidRDefault="00000000" w:rsidRPr="00000000" w14:paraId="00000052">
      <w:pPr>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no Corporate Change Events or Financial Distress Events (or events which would be deemed to be Corporate Change Events or Financial Distress Events if this Contract had then been in force) have occurred since the date of issue of the Assurance.</w:t>
      </w:r>
    </w:p>
    <w:p w:rsidR="00000000" w:rsidDel="00000000" w:rsidP="00000000" w:rsidRDefault="00000000" w:rsidRPr="00000000" w14:paraId="0000005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this Contract is a Critical Service Contract, the Supplier shall provide an updated version of the CRP Information (or, in the case of Paragraph 3.8(c) of this Schedule its initial CRP Information) to the Relevant Buyer or Relevant Buyers:</w:t>
      </w:r>
    </w:p>
    <w:p w:rsidR="00000000" w:rsidDel="00000000" w:rsidP="00000000" w:rsidRDefault="00000000" w:rsidRPr="00000000" w14:paraId="00000054">
      <w:pPr>
        <w:numPr>
          <w:ilvl w:val="3"/>
          <w:numId w:val="15"/>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4k668n3" w:id="25"/>
      <w:bookmarkEnd w:id="25"/>
      <w:r w:rsidDel="00000000" w:rsidR="00000000" w:rsidRPr="00000000">
        <w:rPr>
          <w:color w:val="000000"/>
          <w:rtl w:val="0"/>
        </w:rPr>
        <w:t xml:space="preserve">Within fourteen (14) days of the occurrence of a Financial Distress Event (along with any additional highly confidential information no longer exempted from disclosure under Paragraph 3.11 of this Schedule) unless the Supplier is relieved of the consequences of the Financial Distress Event (Schedule 24 Financial Difficulties)</w:t>
      </w:r>
    </w:p>
    <w:p w:rsidR="00000000" w:rsidDel="00000000" w:rsidP="00000000" w:rsidRDefault="00000000" w:rsidRPr="00000000" w14:paraId="00000055">
      <w:pPr>
        <w:keepNext w:val="1"/>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2zbgiuw" w:id="26"/>
      <w:bookmarkEnd w:id="26"/>
      <w:r w:rsidDel="00000000" w:rsidR="00000000" w:rsidRPr="00000000">
        <w:rPr>
          <w:color w:val="000000"/>
          <w:rtl w:val="0"/>
        </w:rPr>
        <w:t xml:space="preserve">Within thirty (30) days of a Corporate Change Event unless:</w:t>
      </w:r>
    </w:p>
    <w:p w:rsidR="00000000" w:rsidDel="00000000" w:rsidP="00000000" w:rsidRDefault="00000000" w:rsidRPr="00000000" w14:paraId="00000056">
      <w:pPr>
        <w:keepNext w:val="0"/>
        <w:keepLines w:val="0"/>
        <w:pageBreakBefore w:val="0"/>
        <w:widowControl w:val="1"/>
        <w:numPr>
          <w:ilvl w:val="4"/>
          <w:numId w:val="14"/>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requests and the Relevant Buyer (acting reasonably) agrees to a Corporate Change Event Grace Period, in the event of which the time period for the Supplier to comply with this Paragraph shall be extended as determined by the Relevant Buyer (acting reasonably) but shall in any case be no longer than six (6) months after the Corporate Change Event. During a Corporate Change Event Grace Period the Supplier shall regularly and fully engage with the Relevant Buyer to enable it to understand the nature of the Corporate Change Event and the Relevant Buyer shall reserve the right to terminate a Corporate Change Event Grace Period at any time if the Supplier fails to comply with this Paragraph; or</w:t>
      </w:r>
    </w:p>
    <w:p w:rsidR="00000000" w:rsidDel="00000000" w:rsidP="00000000" w:rsidRDefault="00000000" w:rsidRPr="00000000" w14:paraId="00000057">
      <w:pPr>
        <w:keepNext w:val="0"/>
        <w:keepLines w:val="0"/>
        <w:pageBreakBefore w:val="0"/>
        <w:widowControl w:val="1"/>
        <w:numPr>
          <w:ilvl w:val="4"/>
          <w:numId w:val="14"/>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00" w:before="100" w:line="240" w:lineRule="auto"/>
        <w:ind w:left="252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required pursuant to Paragraph 3.10;</w:t>
      </w:r>
    </w:p>
    <w:p w:rsidR="00000000" w:rsidDel="00000000" w:rsidP="00000000" w:rsidRDefault="00000000" w:rsidRPr="00000000" w14:paraId="00000058">
      <w:pPr>
        <w:keepNext w:val="1"/>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1egqt2p" w:id="27"/>
      <w:bookmarkEnd w:id="27"/>
      <w:r w:rsidDel="00000000" w:rsidR="00000000" w:rsidRPr="00000000">
        <w:rPr>
          <w:color w:val="000000"/>
          <w:rtl w:val="0"/>
        </w:rPr>
        <w:t xml:space="preserve">within thirty (30) days of the date that:</w:t>
      </w:r>
    </w:p>
    <w:p w:rsidR="00000000" w:rsidDel="00000000" w:rsidP="00000000" w:rsidRDefault="00000000" w:rsidRPr="00000000" w14:paraId="00000059">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bookmarkStart w:colFirst="0" w:colLast="0" w:name="_heading=h.3ygebqi" w:id="28"/>
      <w:bookmarkEnd w:id="28"/>
      <w:r w:rsidDel="00000000" w:rsidR="00000000" w:rsidRPr="00000000">
        <w:rPr>
          <w:color w:val="000000"/>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A">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bookmarkStart w:colFirst="0" w:colLast="0" w:name="_heading=h.2dlolyb" w:id="29"/>
      <w:bookmarkEnd w:id="29"/>
      <w:r w:rsidDel="00000000" w:rsidR="00000000" w:rsidRPr="00000000">
        <w:rPr>
          <w:color w:val="000000"/>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5B">
      <w:pPr>
        <w:keepNext w:val="1"/>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sqyw64" w:id="30"/>
      <w:bookmarkEnd w:id="30"/>
      <w:r w:rsidDel="00000000" w:rsidR="00000000" w:rsidRPr="00000000">
        <w:rPr>
          <w:color w:val="000000"/>
          <w:rtl w:val="0"/>
        </w:rPr>
        <w:t xml:space="preserve">in any event, within six (6) months after each Accounting Reference Date or within fifteen (15) months of the date of the previous Assurance received from the Relevant Buyer (whichever is the earlier), unless:</w:t>
      </w:r>
    </w:p>
    <w:p w:rsidR="00000000" w:rsidDel="00000000" w:rsidP="00000000" w:rsidRDefault="00000000" w:rsidRPr="00000000" w14:paraId="0000005C">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bookmarkStart w:colFirst="0" w:colLast="0" w:name="_heading=h.3cqmetx" w:id="31"/>
      <w:bookmarkEnd w:id="31"/>
      <w:r w:rsidDel="00000000" w:rsidR="00000000" w:rsidRPr="00000000">
        <w:rPr>
          <w:color w:val="000000"/>
          <w:rtl w:val="0"/>
        </w:rPr>
        <w:t xml:space="preserve">updated CRP Information has been provided under any of Paragraphs 3.8(a), 3.8(b) or 3.8(c) since the most recent Accounting Reference Date (being no more than twelve (12) months previously) within the timescales that would ordinarily be required for the provision of that information under this Paragraph 3.8(d); or</w:t>
      </w:r>
    </w:p>
    <w:p w:rsidR="00000000" w:rsidDel="00000000" w:rsidP="00000000" w:rsidRDefault="00000000" w:rsidRPr="00000000" w14:paraId="0000005D">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bookmarkStart w:colFirst="0" w:colLast="0" w:name="_heading=h.1rvwp1q" w:id="32"/>
      <w:bookmarkEnd w:id="32"/>
      <w:r w:rsidDel="00000000" w:rsidR="00000000" w:rsidRPr="00000000">
        <w:rPr>
          <w:color w:val="000000"/>
          <w:rtl w:val="0"/>
        </w:rPr>
        <w:t xml:space="preserve">not required pursuant to Paragraph 3.10.</w:t>
      </w:r>
    </w:p>
    <w:p w:rsidR="00000000" w:rsidDel="00000000" w:rsidP="00000000" w:rsidRDefault="00000000" w:rsidRPr="00000000" w14:paraId="0000005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a Public Sector Dependent Supplier and this Contract is not a Critical Service Contract, then on the occurrence of any of the events specified in Paragraphs 3.8(a) to 3.8(d) of this Schedule, the Supplier shall provide at the request of the Relevant Buyer or Relevant Buyers and within the applicable timescales for each event as set out in Paragraph 3.8 (or such longer timescales as may be notified to the Supplier by the Buyer), the CRP Information to the Relevant Buyer or Relevant Buyers.</w:t>
      </w:r>
    </w:p>
    <w:p w:rsidR="00000000" w:rsidDel="00000000" w:rsidP="00000000" w:rsidRDefault="00000000" w:rsidRPr="00000000" w14:paraId="0000005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a Parent Undertaking of the Supplier has a credit rating of either:</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Aa3 or better from Moody’s; </w:t>
      </w:r>
    </w:p>
    <w:p w:rsidR="00000000" w:rsidDel="00000000" w:rsidP="00000000" w:rsidRDefault="00000000" w:rsidRPr="00000000" w14:paraId="00000061">
      <w:pPr>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AA- or better from Standard and Poor’s; </w:t>
      </w:r>
    </w:p>
    <w:p w:rsidR="00000000" w:rsidDel="00000000" w:rsidP="00000000" w:rsidRDefault="00000000" w:rsidRPr="00000000" w14:paraId="00000062">
      <w:pPr>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bookmarkStart w:colFirst="0" w:colLast="0" w:name="_heading=h.2250f4o" w:id="35"/>
      <w:bookmarkEnd w:id="35"/>
      <w:r w:rsidDel="00000000" w:rsidR="00000000" w:rsidRPr="00000000">
        <w:rPr>
          <w:color w:val="000000"/>
          <w:rtl w:val="0"/>
        </w:rPr>
        <w:t xml:space="preserve">AA- or better from Fitch;</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ind w:left="851" w:firstLine="0"/>
        <w:rPr>
          <w:color w:val="000000"/>
        </w:rPr>
      </w:pPr>
      <w:bookmarkStart w:colFirst="0" w:colLast="0" w:name="_heading=h.1664s55" w:id="36"/>
      <w:bookmarkEnd w:id="36"/>
      <w:r w:rsidDel="00000000" w:rsidR="00000000" w:rsidRPr="00000000">
        <w:rPr>
          <w:color w:val="000000"/>
          <w:rtl w:val="0"/>
        </w:rPr>
        <w:t xml:space="preserve">the Supplier will not be required to provide any CRP Information unless or until either (i) a Financial Distress Event occurs (</w:t>
      </w:r>
      <w:r w:rsidDel="00000000" w:rsidR="00000000" w:rsidRPr="00000000">
        <w:rPr>
          <w:rtl w:val="0"/>
        </w:rPr>
        <w:t xml:space="preserve">unless the Supplier is relieved of the consequences of the Financial Distress Event under Paragraph 6 of Schedule 24 (</w:t>
      </w:r>
      <w:r w:rsidDel="00000000" w:rsidR="00000000" w:rsidRPr="00000000">
        <w:rPr>
          <w:i w:val="1"/>
          <w:rtl w:val="0"/>
        </w:rPr>
        <w:t xml:space="preserve">Financial Difficulties</w:t>
      </w:r>
      <w:r w:rsidDel="00000000" w:rsidR="00000000" w:rsidRPr="00000000">
        <w:rPr>
          <w:rtl w:val="0"/>
        </w:rPr>
        <w:t xml:space="preserve">))</w:t>
      </w:r>
      <w:r w:rsidDel="00000000" w:rsidR="00000000" w:rsidRPr="00000000">
        <w:rPr>
          <w:color w:val="000000"/>
          <w:rtl w:val="0"/>
        </w:rPr>
        <w:t xml:space="preserve"> (as defined in Schedule 24 (</w:t>
      </w:r>
      <w:r w:rsidDel="00000000" w:rsidR="00000000" w:rsidRPr="00000000">
        <w:rPr>
          <w:i w:val="1"/>
          <w:color w:val="000000"/>
          <w:rtl w:val="0"/>
        </w:rPr>
        <w:t xml:space="preserve">Financial Difficulties</w:t>
      </w:r>
      <w:r w:rsidDel="00000000" w:rsidR="00000000" w:rsidRPr="00000000">
        <w:rPr>
          <w:color w:val="000000"/>
          <w:rtl w:val="0"/>
        </w:rPr>
        <w:t xml:space="preserv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where the Supplier demonstrates to the reasonable satisfaction of the Relevant Buyer or Relevant Buyers that a particular item of CRP Information is highly confidential, the Supplier may, having orally disclosed and discussed that information with the Relevant Buyer or Relevant Buyers, redact or omit that information from the CRP Information provided that if a Financial Distress Event occurs, this exemption shall no longer apply and the Supplier shall promptly provide the relevant information to the Relevant Buyer or Relevant Buyers to the extent required under Paragraph 3.8.</w:t>
      </w:r>
    </w:p>
    <w:p w:rsidR="00000000" w:rsidDel="00000000" w:rsidP="00000000" w:rsidRDefault="00000000" w:rsidRPr="00000000" w14:paraId="0000006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25b2l0r" w:id="38"/>
      <w:bookmarkEnd w:id="3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terminate this Contract under Clause 14.4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Ending this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Supplier is required to provide CRP Information under Paragraph 3 of this Schedule and either:</w:t>
      </w:r>
    </w:p>
    <w:p w:rsidR="00000000" w:rsidDel="00000000" w:rsidP="00000000" w:rsidRDefault="00000000" w:rsidRPr="00000000" w14:paraId="00000067">
      <w:pPr>
        <w:numPr>
          <w:ilvl w:val="3"/>
          <w:numId w:val="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the Supplier fails to provide the CRP Information within 4 months of the Effective Date if this is a Critical Service Contract or otherwise within four (4) months of the Relevant Buyer’s or Relevant Buyers’ request; or</w:t>
      </w:r>
    </w:p>
    <w:p w:rsidR="00000000" w:rsidDel="00000000" w:rsidP="00000000" w:rsidRDefault="00000000" w:rsidRPr="00000000" w14:paraId="00000068">
      <w:pPr>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the Supplier fails to obtain an Assurance from the Relevant Buyer or Relevant Buyers within four (4) months of the date that it was first required to provide the CRP Information under this Contract.</w:t>
      </w:r>
    </w:p>
    <w:p w:rsidR="00000000" w:rsidDel="00000000" w:rsidP="00000000" w:rsidRDefault="00000000" w:rsidRPr="00000000" w14:paraId="0000006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4g0dwd" w:id="40"/>
      <w:bookmarkEnd w:id="4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Confidentiality and usage of CRP Information</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to keep the CRP Information confidential and use it only to understand the implications of an Insolvency Event of the Supplier and/or Supplier Group members on its UK Public Sector Business and/or services in respect of Critical National Infrastructure and to enable contingency planning to maintain service continuity for end users and protect Critical National Infrastructure in such eventuality.</w:t>
      </w:r>
    </w:p>
    <w:p w:rsidR="00000000" w:rsidDel="00000000" w:rsidP="00000000" w:rsidRDefault="00000000" w:rsidRPr="00000000" w14:paraId="0000006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Buyer is the Cabinet Office Markets and Suppliers Team, at the Supplier’s request, the Buyer shall use reasonable endeavours to procure that the Cabinet Office enters into a confidentiality and usage Contract with the Supplier containing terms no less stringent than those placed on the Buyer under Paragraph 5.1 of this Schedule and Clause 19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What you must keep 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obtain consent from any third party which has restricted the disclosure of the CRP Information to enable disclosure of that information to the Relevant Buyer or Relevant Buyers pursuant to Paragraph 3 of this Schedule subject, where necessary, to the Relevant Buyer or Relevant Buyers entering into an appropriate confidentiality Contract in the form required by the third party.</w:t>
      </w:r>
    </w:p>
    <w:p w:rsidR="00000000" w:rsidDel="00000000" w:rsidP="00000000" w:rsidRDefault="00000000" w:rsidRPr="00000000" w14:paraId="0000006D">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6E">
      <w:pPr>
        <w:numPr>
          <w:ilvl w:val="3"/>
          <w:numId w:val="6"/>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redacting only those parts of the information which are subject to such obligations of confidentiality;</w:t>
      </w:r>
    </w:p>
    <w:p w:rsidR="00000000" w:rsidDel="00000000" w:rsidP="00000000" w:rsidRDefault="00000000" w:rsidRPr="00000000" w14:paraId="0000006F">
      <w:pPr>
        <w:keepNext w:val="1"/>
        <w:numPr>
          <w:ilvl w:val="3"/>
          <w:numId w:val="14"/>
        </w:numPr>
        <w:pBdr>
          <w:top w:space="0" w:sz="0" w:val="nil"/>
          <w:left w:space="0" w:sz="0" w:val="nil"/>
          <w:bottom w:space="0" w:sz="0" w:val="nil"/>
          <w:right w:space="0" w:sz="0" w:val="nil"/>
          <w:between w:space="0" w:sz="0" w:val="nil"/>
        </w:pBdr>
        <w:tabs>
          <w:tab w:val="left" w:leader="none" w:pos="1803"/>
        </w:tabs>
        <w:spacing w:after="200" w:before="100" w:lineRule="auto"/>
        <w:ind w:left="1803" w:hanging="952"/>
        <w:rPr>
          <w:color w:val="000000"/>
        </w:rPr>
      </w:pPr>
      <w:r w:rsidDel="00000000" w:rsidR="00000000" w:rsidRPr="00000000">
        <w:rPr>
          <w:color w:val="000000"/>
          <w:rtl w:val="0"/>
        </w:rPr>
        <w:t xml:space="preserve">providing the information in a form that does not breach its obligations of confidentiality including (where possible) by:</w:t>
      </w:r>
    </w:p>
    <w:p w:rsidR="00000000" w:rsidDel="00000000" w:rsidP="00000000" w:rsidRDefault="00000000" w:rsidRPr="00000000" w14:paraId="00000070">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summarising the information;</w:t>
      </w:r>
    </w:p>
    <w:p w:rsidR="00000000" w:rsidDel="00000000" w:rsidP="00000000" w:rsidRDefault="00000000" w:rsidRPr="00000000" w14:paraId="00000071">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grouping the information;</w:t>
      </w:r>
    </w:p>
    <w:p w:rsidR="00000000" w:rsidDel="00000000" w:rsidP="00000000" w:rsidRDefault="00000000" w:rsidRPr="00000000" w14:paraId="00000072">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anonymising the information; and</w:t>
      </w:r>
    </w:p>
    <w:p w:rsidR="00000000" w:rsidDel="00000000" w:rsidP="00000000" w:rsidRDefault="00000000" w:rsidRPr="00000000" w14:paraId="00000073">
      <w:pPr>
        <w:numPr>
          <w:ilvl w:val="4"/>
          <w:numId w:val="14"/>
        </w:numPr>
        <w:pBdr>
          <w:top w:space="0" w:sz="0" w:val="nil"/>
          <w:left w:space="0" w:sz="0" w:val="nil"/>
          <w:bottom w:space="0" w:sz="0" w:val="nil"/>
          <w:right w:space="0" w:sz="0" w:val="nil"/>
          <w:between w:space="0" w:sz="0" w:val="nil"/>
        </w:pBdr>
        <w:tabs>
          <w:tab w:val="left" w:leader="none" w:pos="720"/>
          <w:tab w:val="left" w:leader="none" w:pos="2523"/>
        </w:tabs>
        <w:spacing w:after="200" w:before="100" w:lineRule="auto"/>
        <w:ind w:left="2523" w:hanging="720"/>
        <w:rPr>
          <w:color w:val="000000"/>
        </w:rPr>
      </w:pPr>
      <w:r w:rsidDel="00000000" w:rsidR="00000000" w:rsidRPr="00000000">
        <w:rPr>
          <w:color w:val="000000"/>
          <w:rtl w:val="0"/>
        </w:rPr>
        <w:t xml:space="preserve">presenting the information in general terms.</w:t>
      </w:r>
    </w:p>
    <w:p w:rsidR="00000000" w:rsidDel="00000000" w:rsidP="00000000" w:rsidRDefault="00000000" w:rsidRPr="00000000" w14:paraId="0000007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Relevant Buyer or Relevant Buyers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h042r0" w:id="45"/>
      <w:bookmarkEnd w:id="45"/>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300" w:before="100" w:lineRule="auto"/>
        <w:jc w:val="center"/>
        <w:rPr>
          <w:b w:val="1"/>
          <w:smallCaps w:val="1"/>
          <w:color w:val="000000"/>
        </w:rPr>
      </w:pPr>
      <w:bookmarkStart w:colFirst="0" w:colLast="0" w:name="_heading=h.2w5ecyt" w:id="47"/>
      <w:bookmarkEnd w:id="47"/>
      <w:r w:rsidDel="00000000" w:rsidR="00000000" w:rsidRPr="00000000">
        <w:rPr>
          <w:b w:val="1"/>
          <w:smallCaps w:val="1"/>
          <w:rtl w:val="0"/>
        </w:rPr>
        <w:t xml:space="preserve">ANNEX </w:t>
      </w:r>
      <w:bookmarkStart w:colFirst="0" w:colLast="0" w:name="bookmark=id.haapch" w:id="46"/>
      <w:bookmarkEnd w:id="46"/>
      <w:r w:rsidDel="00000000" w:rsidR="00000000" w:rsidRPr="00000000">
        <w:rPr>
          <w:b w:val="1"/>
          <w:smallCaps w:val="1"/>
          <w:rtl w:val="0"/>
        </w:rPr>
        <w:t xml:space="preserve">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77">
      <w:pPr>
        <w:keepNext w:val="1"/>
        <w:numPr>
          <w:ilvl w:val="0"/>
          <w:numId w:val="1"/>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The Supplier shall:</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color w:val="000000"/>
        </w:rPr>
      </w:pPr>
      <w:bookmarkStart w:colFirst="0" w:colLast="0" w:name="_heading=h.1baon6m" w:id="48"/>
      <w:bookmarkEnd w:id="48"/>
      <w:r w:rsidDel="00000000" w:rsidR="00000000" w:rsidRPr="00000000">
        <w:rPr>
          <w:color w:val="000000"/>
          <w:rtl w:val="0"/>
        </w:rPr>
        <w:t xml:space="preserve">are with any UK public sector bodies including: Crown Bodies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color w:val="000000"/>
        </w:rPr>
      </w:pPr>
      <w:bookmarkStart w:colFirst="0" w:colLast="0" w:name="_heading=h.3vac5uf" w:id="49"/>
      <w:bookmarkEnd w:id="49"/>
      <w:r w:rsidDel="00000000" w:rsidR="00000000" w:rsidRPr="00000000">
        <w:rPr>
          <w:color w:val="000000"/>
          <w:rtl w:val="0"/>
        </w:rPr>
        <w:t xml:space="preserve">are with any private sector entities where the end recipient of the service, goods or works provision is any of the bodies set out in Paragraph 1.1(a) of this Annex </w:t>
      </w:r>
      <w:r w:rsidDel="00000000" w:rsidR="00000000" w:rsidRPr="00000000">
        <w:rPr>
          <w:smallCaps w:val="1"/>
          <w:rtl w:val="0"/>
        </w:rPr>
        <w:t xml:space="preserve">1</w:t>
      </w:r>
      <w:r w:rsidDel="00000000" w:rsidR="00000000" w:rsidRPr="00000000">
        <w:rPr>
          <w:color w:val="000000"/>
          <w:rtl w:val="0"/>
        </w:rPr>
        <w:t xml:space="preserve"> and where the member of the Supplier Group is acting as a key sub-contractor under this Contract with the end recipient; or</w:t>
      </w:r>
    </w:p>
    <w:p w:rsidR="00000000" w:rsidDel="00000000" w:rsidP="00000000" w:rsidRDefault="00000000" w:rsidRPr="00000000" w14:paraId="0000007B">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color w:val="000000"/>
        </w:rPr>
      </w:pPr>
      <w:r w:rsidDel="00000000" w:rsidR="00000000" w:rsidRPr="00000000">
        <w:rPr>
          <w:color w:val="000000"/>
          <w:rtl w:val="0"/>
        </w:rPr>
        <w:t xml:space="preserve">involve or could reasonably be considered to involve Critical National Infrastructure;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provide the Relevant Buyer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jc w:val="center"/>
        <w:rPr>
          <w:b w:val="1"/>
        </w:rPr>
      </w:pPr>
      <w:r w:rsidDel="00000000" w:rsidR="00000000" w:rsidRPr="00000000">
        <w:rPr>
          <w:b w:val="1"/>
          <w:rtl w:val="0"/>
        </w:rPr>
        <w:t xml:space="preserve">ANNEX </w:t>
      </w:r>
      <w:bookmarkStart w:colFirst="0" w:colLast="0" w:name="bookmark=id.319y80a" w:id="50"/>
      <w:bookmarkEnd w:id="50"/>
      <w:r w:rsidDel="00000000" w:rsidR="00000000" w:rsidRPr="00000000">
        <w:rPr>
          <w:b w:val="1"/>
          <w:rtl w:val="0"/>
        </w:rPr>
        <w:t xml:space="preserve">2: CORPORATE RESOLVABILITY ASSESSMENT (STRUCTURAL REVIEW)</w:t>
      </w:r>
    </w:p>
    <w:p w:rsidR="00000000" w:rsidDel="00000000" w:rsidP="00000000" w:rsidRDefault="00000000" w:rsidRPr="00000000" w14:paraId="0000007F">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gf8i83"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8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Relevant Buyer to understand the implications on the Supplier Group’s UK Public Sector Business and Critical National Infrastructure agreements listed pursuant to Annex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Supplier or another member of the Supplier Group is subject to an Insolvency Event.</w:t>
      </w:r>
    </w:p>
    <w:p w:rsidR="00000000" w:rsidDel="00000000" w:rsidP="00000000" w:rsidRDefault="00000000" w:rsidRPr="00000000" w14:paraId="0000008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Critical National Infrastructure agreements listed pursuant to Annex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dependencies between each.</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1146" w:right="0" w:hanging="720"/>
        <w:jc w:val="center"/>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w:t>
      </w:r>
      <w:bookmarkStart w:colFirst="0" w:colLast="0" w:name="bookmark=id.40ew0vw" w:id="52"/>
      <w:bookmarkEnd w:id="52"/>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3: Financial information AND COMMENTARY</w:t>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fk6b3p"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Relevant Buyer to understand the current financial interconnectedness of the Supplier Group and the current performance of the Supplier as a standalone entity; and</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Relevant Buyer remains protected by confidentiality).</w:t>
      </w:r>
    </w:p>
    <w:p w:rsidR="00000000" w:rsidDel="00000000" w:rsidP="00000000" w:rsidRDefault="00000000" w:rsidRPr="00000000" w14:paraId="00000089">
      <w:pPr>
        <w:rPr>
          <w:color w:val="000000"/>
          <w:sz w:val="22"/>
          <w:szCs w:val="22"/>
        </w:rPr>
      </w:pPr>
      <w:r w:rsidDel="00000000" w:rsidR="00000000" w:rsidRPr="00000000">
        <w:rPr>
          <w:rtl w:val="0"/>
        </w:rPr>
        <w:t xml:space="preserve">     </w:t>
      </w:r>
      <w:r w:rsidDel="00000000" w:rsidR="00000000" w:rsidRPr="00000000">
        <w:rPr>
          <w:rtl w:val="0"/>
        </w:rPr>
      </w:r>
    </w:p>
    <w:sectPr>
      <w:type w:val="nextPage"/>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rPr>
        <w:color w:val="bfbfbf"/>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color="000000" w:space="10" w:sz="4" w:val="single"/>
      </w:pBdr>
      <w:jc w:val="center"/>
      <w:rPr>
        <w:sz w:val="16"/>
        <w:szCs w:val="16"/>
      </w:rPr>
    </w:pPr>
    <w:r w:rsidDel="00000000" w:rsidR="00000000" w:rsidRPr="00000000">
      <w:rPr>
        <w:sz w:val="16"/>
        <w:szCs w:val="16"/>
        <w:rtl w:val="0"/>
      </w:rPr>
      <w:t xml:space="preserve">Model Services Contract Combined Schedules v1.09 – Schedule 8.6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680"/>
        <w:tab w:val="right" w:leader="none" w:pos="9360"/>
      </w:tabs>
      <w:rPr>
        <w:color w:val="000000"/>
        <w:sz w:val="22"/>
        <w:szCs w:val="22"/>
      </w:rPr>
    </w:pPr>
    <w:r w:rsidDel="00000000" w:rsidR="00000000" w:rsidRPr="00000000">
      <w:rPr>
        <w:color w:val="000000"/>
        <w:sz w:val="22"/>
        <w:szCs w:val="22"/>
        <w:rtl w:val="0"/>
      </w:rPr>
      <w:t xml:space="preserve">Schedule 37 (Corporate Resolution Planning), Crown copyright 2023,[Subject to Contract]</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680"/>
        <w:tab w:val="right" w:leader="none" w:pos="9360"/>
      </w:tabs>
      <w:rPr>
        <w:color w:val="000000"/>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680"/>
        <w:tab w:val="right" w:leader="none" w:pos="9360"/>
      </w:tabs>
      <w:rPr>
        <w:b w:val="1"/>
        <w:color w:val="000000"/>
        <w:sz w:val="22"/>
        <w:szCs w:val="22"/>
      </w:rPr>
    </w:pPr>
    <w:r w:rsidDel="00000000" w:rsidR="00000000" w:rsidRPr="00000000">
      <w:rPr>
        <w:b w:val="1"/>
        <w:color w:val="000000"/>
        <w:sz w:val="22"/>
        <w:szCs w:val="22"/>
        <w:rtl w:val="0"/>
      </w:rPr>
      <w:t xml:space="preserve">Schedule 26 (Service Continuity Plan and Corporate Resolution Planning)</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680"/>
        <w:tab w:val="right" w:leader="none" w:pos="9360"/>
      </w:tabs>
      <w:rPr>
        <w:color w:val="000000"/>
        <w:sz w:val="22"/>
        <w:szCs w:val="22"/>
      </w:rPr>
    </w:pPr>
    <w:r w:rsidDel="00000000" w:rsidR="00000000" w:rsidRPr="00000000">
      <w:rPr>
        <w:color w:val="000000"/>
        <w:sz w:val="22"/>
        <w:szCs w:val="22"/>
        <w:rtl w:val="0"/>
      </w:rPr>
      <w:t xml:space="preserve">Crown copyright 2021</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7">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8">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9">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2">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3">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4">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5">
    <w:lvl w:ilvl="0">
      <w:start w:val="1"/>
      <w:numFmt w:val="decimal"/>
      <w:lvlText w:val="%1"/>
      <w:lvlJc w:val="left"/>
      <w:pPr>
        <w:ind w:left="1146"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Pr>
      <w:szCs w:val="20"/>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AnnexHeading" w:customStyle="1">
    <w:name w:val="Annex Heading"/>
    <w:basedOn w:val="Normal"/>
    <w:next w:val="Normal"/>
    <w:pPr>
      <w:numPr>
        <w:numId w:val="26"/>
      </w:numPr>
      <w:spacing w:after="300" w:before="100"/>
      <w:jc w:val="center"/>
    </w:pPr>
    <w:rPr>
      <w:rFonts w:ascii="Arial Bold" w:cs="Times New Roman" w:eastAsia="Times New Roman" w:hAnsi="Arial Bold"/>
      <w:b w:val="1"/>
      <w:caps w:val="1"/>
      <w:szCs w:val="24"/>
    </w:rPr>
  </w:style>
  <w:style w:type="paragraph" w:styleId="AppendixText1" w:customStyle="1">
    <w:name w:val="Appendix Text 1"/>
    <w:basedOn w:val="Normal"/>
    <w:next w:val="StdBodyText1"/>
    <w:pPr>
      <w:numPr>
        <w:numId w:val="5"/>
      </w:numPr>
      <w:spacing w:after="200" w:before="100"/>
    </w:pPr>
    <w:rPr>
      <w:rFonts w:cs="Times New Roman" w:eastAsia="Times New Roman"/>
      <w:b w:val="1"/>
      <w:szCs w:val="24"/>
    </w:rPr>
  </w:style>
  <w:style w:type="paragraph" w:styleId="AppendixText2" w:customStyle="1">
    <w:name w:val="Appendix Text 2"/>
    <w:basedOn w:val="AppendixText1"/>
    <w:next w:val="StdBodyText2"/>
    <w:pPr>
      <w:numPr>
        <w:ilvl w:val="1"/>
      </w:numPr>
    </w:pPr>
    <w:rPr>
      <w:b w:val="0"/>
    </w:rPr>
  </w:style>
  <w:style w:type="paragraph" w:styleId="AppendixText3" w:customStyle="1">
    <w:name w:val="Appendix Text 3"/>
    <w:basedOn w:val="Normal"/>
    <w:next w:val="Normal"/>
    <w:pPr>
      <w:numPr>
        <w:ilvl w:val="2"/>
        <w:numId w:val="5"/>
      </w:numPr>
      <w:tabs>
        <w:tab w:val="left" w:pos="720"/>
        <w:tab w:val="left" w:pos="1803"/>
      </w:tabs>
      <w:spacing w:after="200" w:before="100"/>
    </w:pPr>
    <w:rPr>
      <w:rFonts w:cs="Times New Roman" w:eastAsia="Times New Roman"/>
      <w:szCs w:val="24"/>
    </w:rPr>
  </w:style>
  <w:style w:type="paragraph" w:styleId="AppendixText4" w:customStyle="1">
    <w:name w:val="Appendix Text 4"/>
    <w:basedOn w:val="Normal"/>
    <w:next w:val="StdBodyText4"/>
    <w:pPr>
      <w:numPr>
        <w:ilvl w:val="3"/>
        <w:numId w:val="5"/>
      </w:numPr>
      <w:tabs>
        <w:tab w:val="left" w:pos="720"/>
        <w:tab w:val="left" w:pos="1803"/>
      </w:tabs>
      <w:spacing w:after="200" w:before="100"/>
    </w:pPr>
    <w:rPr>
      <w:rFonts w:cs="Times New Roman" w:eastAsia="Times New Roman"/>
      <w:szCs w:val="24"/>
    </w:rPr>
  </w:style>
  <w:style w:type="paragraph" w:styleId="AppendixText5" w:customStyle="1">
    <w:name w:val="Appendix Text 5"/>
    <w:basedOn w:val="Normal"/>
    <w:next w:val="Normal"/>
    <w:pPr>
      <w:numPr>
        <w:ilvl w:val="4"/>
        <w:numId w:val="5"/>
      </w:numPr>
      <w:tabs>
        <w:tab w:val="left" w:pos="720"/>
        <w:tab w:val="left" w:pos="2523"/>
      </w:tabs>
      <w:spacing w:after="200" w:before="100"/>
    </w:pPr>
    <w:rPr>
      <w:rFonts w:cs="Times New Roman" w:eastAsia="Times New Roman"/>
      <w:szCs w:val="24"/>
    </w:rPr>
  </w:style>
  <w:style w:type="paragraph" w:styleId="StdBodyText" w:customStyle="1">
    <w:name w:val="Std Body Text"/>
    <w:basedOn w:val="Normal"/>
    <w:qFormat w:val="1"/>
    <w:pPr>
      <w:spacing w:after="200" w:before="100"/>
    </w:pPr>
    <w:rPr>
      <w:rFonts w:cs="Times New Roman" w:eastAsia="Times New Roman"/>
      <w:szCs w:val="24"/>
    </w:rPr>
  </w:style>
  <w:style w:type="paragraph" w:styleId="StdBodyText1" w:customStyle="1">
    <w:name w:val="Std Body Text 1"/>
    <w:basedOn w:val="StdBodyText"/>
    <w:pPr>
      <w:ind w:left="720"/>
    </w:pPr>
  </w:style>
  <w:style w:type="paragraph" w:styleId="StdBodyText2" w:customStyle="1">
    <w:name w:val="Std Body Text 2"/>
    <w:basedOn w:val="StdBodyText1"/>
  </w:style>
  <w:style w:type="paragraph" w:styleId="StdBodyText4" w:customStyle="1">
    <w:name w:val="Std Body Text 4"/>
    <w:basedOn w:val="Normal"/>
    <w:pPr>
      <w:spacing w:after="200" w:before="100"/>
      <w:ind w:left="1803"/>
    </w:pPr>
    <w:rPr>
      <w:rFonts w:cs="Times New Roman" w:eastAsia="Times New Roman"/>
      <w:szCs w:val="24"/>
    </w:rPr>
  </w:style>
  <w:style w:type="paragraph" w:styleId="StdBodyTextBold" w:customStyle="1">
    <w:name w:val="Std Body Text Bold"/>
    <w:basedOn w:val="Normal"/>
    <w:next w:val="StdBodyText"/>
    <w:link w:val="StdBodyTextBoldChar"/>
    <w:qFormat w:val="1"/>
    <w:pPr>
      <w:spacing w:after="200" w:before="100"/>
    </w:pPr>
    <w:rPr>
      <w:rFonts w:cs="Times New Roman" w:eastAsia="Times New Roman"/>
      <w:b w:val="1"/>
      <w:szCs w:val="24"/>
    </w:rPr>
  </w:style>
  <w:style w:type="character" w:styleId="StdBodyTextBoldChar" w:customStyle="1">
    <w:name w:val="Std Body Text Bold Char"/>
    <w:basedOn w:val="DefaultParagraphFont"/>
    <w:link w:val="StdBodyTextBold"/>
    <w:rPr>
      <w:rFonts w:ascii="Arial" w:cs="Times New Roman" w:eastAsia="Times New Roman" w:hAnsi="Arial"/>
      <w:b w:val="1"/>
      <w:lang w:eastAsia="en-GB"/>
    </w:rPr>
  </w:style>
  <w:style w:type="paragraph" w:styleId="DefinitionList" w:customStyle="1">
    <w:name w:val="Definition List"/>
    <w:basedOn w:val="Normal"/>
    <w:pPr>
      <w:numPr>
        <w:numId w:val="3"/>
      </w:numPr>
      <w:spacing w:after="200" w:before="100"/>
    </w:pPr>
    <w:rPr>
      <w:rFonts w:cs="Times New Roman" w:eastAsia="Times New Roman"/>
      <w:szCs w:val="24"/>
    </w:rPr>
  </w:style>
  <w:style w:type="paragraph" w:styleId="PartHeading" w:customStyle="1">
    <w:name w:val="Part Heading"/>
    <w:basedOn w:val="Normal"/>
    <w:next w:val="StdBodyText"/>
    <w:pPr>
      <w:tabs>
        <w:tab w:val="num" w:pos="720"/>
      </w:tabs>
      <w:spacing w:after="200" w:before="100"/>
      <w:ind w:left="720" w:hanging="720"/>
      <w:jc w:val="center"/>
    </w:pPr>
    <w:rPr>
      <w:rFonts w:ascii="Arial Bold" w:cs="Times New Roman" w:eastAsia="Times New Roman" w:hAnsi="Arial Bold"/>
      <w:b w:val="1"/>
      <w:caps w:val="1"/>
      <w:szCs w:val="24"/>
    </w:rPr>
  </w:style>
  <w:style w:type="paragraph" w:styleId="ScheduleSubHeading" w:customStyle="1">
    <w:name w:val="Schedule Sub Heading"/>
    <w:basedOn w:val="Normal"/>
    <w:next w:val="PartHeading"/>
    <w:pPr>
      <w:spacing w:after="300" w:before="100"/>
      <w:jc w:val="center"/>
    </w:pPr>
    <w:rPr>
      <w:rFonts w:cs="Times New Roman" w:eastAsia="Times New Roman"/>
      <w:b w:val="1"/>
      <w:szCs w:val="24"/>
    </w:rPr>
  </w:style>
  <w:style w:type="paragraph" w:styleId="ScheduleText1" w:customStyle="1">
    <w:name w:val="Schedule Text 1"/>
    <w:basedOn w:val="Normal"/>
    <w:next w:val="StdBodyText1"/>
    <w:pPr>
      <w:numPr>
        <w:numId w:val="2"/>
      </w:numPr>
      <w:spacing w:after="200" w:before="100"/>
    </w:pPr>
    <w:rPr>
      <w:rFonts w:cs="Times New Roman" w:eastAsia="Times New Roman"/>
      <w:b w:val="1"/>
      <w:szCs w:val="24"/>
    </w:rPr>
  </w:style>
  <w:style w:type="paragraph" w:styleId="ScheduleText2" w:customStyle="1">
    <w:name w:val="Schedule Text 2"/>
    <w:basedOn w:val="ScheduleText1"/>
    <w:next w:val="StdBodyText2"/>
    <w:pPr>
      <w:numPr>
        <w:ilvl w:val="1"/>
      </w:numPr>
    </w:pPr>
    <w:rPr>
      <w:b w:val="0"/>
    </w:rPr>
  </w:style>
  <w:style w:type="paragraph" w:styleId="ScheduleText3" w:customStyle="1">
    <w:name w:val="Schedule Text 3"/>
    <w:basedOn w:val="Normal"/>
    <w:next w:val="Normal"/>
    <w:pPr>
      <w:numPr>
        <w:ilvl w:val="2"/>
        <w:numId w:val="2"/>
      </w:numPr>
      <w:tabs>
        <w:tab w:val="left" w:pos="720"/>
        <w:tab w:val="left" w:pos="1803"/>
      </w:tabs>
      <w:spacing w:after="200" w:before="100"/>
    </w:pPr>
    <w:rPr>
      <w:rFonts w:cs="Times New Roman" w:eastAsia="Times New Roman"/>
      <w:szCs w:val="24"/>
    </w:rPr>
  </w:style>
  <w:style w:type="paragraph" w:styleId="ScheduleText4" w:customStyle="1">
    <w:name w:val="Schedule Text 4"/>
    <w:basedOn w:val="Normal"/>
    <w:next w:val="StdBodyText4"/>
    <w:pPr>
      <w:numPr>
        <w:ilvl w:val="3"/>
        <w:numId w:val="2"/>
      </w:numPr>
      <w:tabs>
        <w:tab w:val="left" w:pos="720"/>
        <w:tab w:val="left" w:pos="1803"/>
      </w:tabs>
      <w:spacing w:after="200" w:before="100"/>
    </w:pPr>
    <w:rPr>
      <w:rFonts w:cs="Times New Roman" w:eastAsia="Times New Roman"/>
      <w:szCs w:val="24"/>
    </w:rPr>
  </w:style>
  <w:style w:type="paragraph" w:styleId="ScheduleText5" w:customStyle="1">
    <w:name w:val="Schedule Text 5"/>
    <w:basedOn w:val="Normal"/>
    <w:next w:val="Normal"/>
    <w:pPr>
      <w:numPr>
        <w:ilvl w:val="4"/>
        <w:numId w:val="2"/>
      </w:numPr>
      <w:tabs>
        <w:tab w:val="left" w:pos="720"/>
        <w:tab w:val="left" w:pos="2523"/>
      </w:tabs>
      <w:spacing w:after="200" w:before="100"/>
    </w:pPr>
    <w:rPr>
      <w:rFonts w:cs="Times New Roman" w:eastAsia="Times New Roman"/>
      <w:szCs w:val="24"/>
    </w:rPr>
  </w:style>
  <w:style w:type="table" w:styleId="TableGrid">
    <w:name w:val="Table Grid"/>
    <w:basedOn w:val="TableNormal"/>
    <w:uiPriority w:val="5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pPr>
      <w:numPr>
        <w:ilvl w:val="1"/>
      </w:numPr>
    </w:pPr>
  </w:style>
  <w:style w:type="paragraph" w:styleId="ScheduleText6" w:customStyle="1">
    <w:name w:val="Schedule Text 6"/>
    <w:basedOn w:val="ScheduleText5"/>
    <w:pPr>
      <w:numPr>
        <w:ilvl w:val="5"/>
      </w:numPr>
    </w:pPr>
  </w:style>
  <w:style w:type="paragraph" w:styleId="DefinitionListLevel2" w:customStyle="1">
    <w:name w:val="Definition List Level 2"/>
    <w:basedOn w:val="DefinitionListLevel1"/>
    <w:pPr>
      <w:numPr>
        <w:ilvl w:val="2"/>
      </w:numPr>
    </w:pPr>
  </w:style>
  <w:style w:type="paragraph" w:styleId="AnnextoPart" w:customStyle="1">
    <w:name w:val="Annex to Part"/>
    <w:basedOn w:val="PartHeading"/>
    <w:pPr>
      <w:numPr>
        <w:ilvl w:val="1"/>
      </w:numPr>
      <w:tabs>
        <w:tab w:val="num" w:pos="720"/>
      </w:tabs>
      <w:ind w:left="720" w:hanging="720"/>
    </w:pPr>
    <w:rPr>
      <w:caps w:val="0"/>
    </w:rPr>
  </w:style>
  <w:style w:type="paragraph" w:styleId="AppendixText6" w:customStyle="1">
    <w:name w:val="Appendix Text 6"/>
    <w:basedOn w:val="AppendixText5"/>
    <w:pPr>
      <w:numPr>
        <w:ilvl w:val="5"/>
      </w:numPr>
    </w:pPr>
  </w:style>
  <w:style w:type="paragraph" w:styleId="ScheduleText7" w:customStyle="1">
    <w:name w:val="Schedule Text 7"/>
    <w:basedOn w:val="ScheduleText6"/>
    <w:pPr>
      <w:numPr>
        <w:ilvl w:val="6"/>
      </w:numPr>
    </w:pPr>
  </w:style>
  <w:style w:type="numbering" w:styleId="Scheduleheading" w:customStyle="1">
    <w:name w:val="Schedule heading"/>
    <w:uiPriority w:val="99"/>
  </w:style>
  <w:style w:type="paragraph" w:styleId="Header">
    <w:name w:val="header"/>
    <w:basedOn w:val="Normal"/>
    <w:link w:val="HeaderChar"/>
    <w:uiPriority w:val="99"/>
    <w:unhideWhenUsed w:val="1"/>
    <w:pPr>
      <w:tabs>
        <w:tab w:val="center" w:pos="4680"/>
        <w:tab w:val="right" w:pos="9360"/>
      </w:tabs>
    </w:pPr>
  </w:style>
  <w:style w:type="character" w:styleId="HeaderChar" w:customStyle="1">
    <w:name w:val="Header Char"/>
    <w:basedOn w:val="DefaultParagraphFont"/>
    <w:link w:val="Header"/>
    <w:uiPriority w:val="99"/>
    <w:rPr>
      <w:rFonts w:ascii="Arial" w:hAnsi="Arial"/>
      <w:szCs w:val="20"/>
    </w:rPr>
  </w:style>
  <w:style w:type="paragraph" w:styleId="Footer">
    <w:name w:val="footer"/>
    <w:basedOn w:val="Normal"/>
    <w:link w:val="FooterChar"/>
    <w:uiPriority w:val="99"/>
    <w:unhideWhenUsed w:val="1"/>
    <w:pPr>
      <w:tabs>
        <w:tab w:val="center" w:pos="4680"/>
        <w:tab w:val="right" w:pos="9360"/>
      </w:tabs>
    </w:pPr>
  </w:style>
  <w:style w:type="character" w:styleId="FooterChar" w:customStyle="1">
    <w:name w:val="Footer Char"/>
    <w:basedOn w:val="DefaultParagraphFont"/>
    <w:link w:val="Footer"/>
    <w:uiPriority w:val="99"/>
    <w:rPr>
      <w:rFonts w:ascii="Arial" w:hAnsi="Arial"/>
      <w:szCs w:val="20"/>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rPr>
  </w:style>
  <w:style w:type="character" w:styleId="CommentTextChar" w:customStyle="1">
    <w:name w:val="Comment Text Char"/>
    <w:basedOn w:val="DefaultParagraphFont"/>
    <w:link w:val="CommentText"/>
    <w:uiPriority w:val="99"/>
    <w:rPr>
      <w:rFonts w:ascii="Arial"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hAnsi="Arial"/>
      <w:b w:val="1"/>
      <w:bCs w:val="1"/>
      <w:sz w:val="20"/>
      <w:szCs w:val="20"/>
    </w:rPr>
  </w:style>
  <w:style w:type="paragraph" w:styleId="BalloonText">
    <w:name w:val="Balloon Text"/>
    <w:basedOn w:val="Normal"/>
    <w:link w:val="BalloonTextChar"/>
    <w:uiPriority w:val="99"/>
    <w:semiHidden w:val="1"/>
    <w:unhideWhenUsed w:val="1"/>
    <w:rPr>
      <w:rFonts w:ascii="Segoe UI" w:cs="Segoe UI" w:hAnsi="Segoe UI"/>
      <w:sz w:val="18"/>
      <w:szCs w:val="18"/>
    </w:rPr>
  </w:style>
  <w:style w:type="character" w:styleId="BalloonTextChar" w:customStyle="1">
    <w:name w:val="Balloon Text Char"/>
    <w:basedOn w:val="DefaultParagraphFont"/>
    <w:link w:val="BalloonText"/>
    <w:uiPriority w:val="99"/>
    <w:semiHidden w:val="1"/>
    <w:rPr>
      <w:rFonts w:ascii="Segoe UI" w:cs="Segoe UI" w:hAnsi="Segoe UI"/>
      <w:sz w:val="18"/>
      <w:szCs w:val="1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sz w:val="20"/>
      <w:szCs w:val="20"/>
    </w:rPr>
    <w:tblPr>
      <w:tblStyleRowBandSize w:val="1"/>
      <w:tblStyleColBandSize w:val="1"/>
    </w:tblPr>
  </w:style>
  <w:style w:type="character" w:styleId="Hyperlink">
    <w:name w:val="Hyperlink"/>
    <w:basedOn w:val="DefaultParagraphFont"/>
    <w:uiPriority w:val="99"/>
    <w:unhideWhenUsed w:val="1"/>
    <w:rPr>
      <w:color w:val="0563c1" w:themeColor="hyperlink"/>
      <w:u w:val="single"/>
    </w:rPr>
  </w:style>
  <w:style w:type="character" w:styleId="FollowedHyperlink">
    <w:name w:val="FollowedHyperlink"/>
    <w:basedOn w:val="DefaultParagraphFont"/>
    <w:uiPriority w:val="99"/>
    <w:semiHidden w:val="1"/>
    <w:unhideWhenUsed w:val="1"/>
    <w:rPr>
      <w:color w:val="954f72" w:themeColor="followedHyperlink"/>
      <w:u w:val="single"/>
    </w:rPr>
  </w:style>
  <w:style w:type="paragraph" w:styleId="ListParagraph">
    <w:name w:val="List Paragraph"/>
    <w:basedOn w:val="Normal"/>
    <w:uiPriority w:val="34"/>
    <w:qFormat w:val="1"/>
    <w:pPr>
      <w:ind w:left="720"/>
      <w:contextualSpacing w:val="1"/>
    </w:pPr>
  </w:style>
  <w:style w:type="paragraph" w:styleId="GPSL1CLAUSEHEADING" w:customStyle="1">
    <w:name w:val="GPS L1 CLAUSE HEADING"/>
    <w:basedOn w:val="Normal"/>
    <w:next w:val="Normal"/>
    <w:qFormat w:val="1"/>
    <w:pPr>
      <w:keepNext w:val="1"/>
      <w:numPr>
        <w:numId w:val="9"/>
      </w:numPr>
      <w:tabs>
        <w:tab w:val="left" w:pos="0"/>
      </w:tabs>
      <w:adjustRightInd w:val="0"/>
      <w:spacing w:after="240" w:before="120"/>
      <w:outlineLvl w:val="1"/>
    </w:pPr>
    <w:rPr>
      <w:rFonts w:ascii="Arial Bold" w:eastAsia="STZhongsong" w:hAnsi="Arial Bold"/>
      <w:b w:val="1"/>
      <w:szCs w:val="22"/>
      <w:lang w:eastAsia="zh-CN"/>
    </w:rPr>
  </w:style>
  <w:style w:type="paragraph" w:styleId="GPSL2numberedclause" w:customStyle="1">
    <w:name w:val="GPS L2 numbered clause"/>
    <w:basedOn w:val="Normal"/>
    <w:link w:val="GPSL2numberedclauseChar1"/>
    <w:qFormat w:val="1"/>
    <w:pPr>
      <w:numPr>
        <w:ilvl w:val="1"/>
        <w:numId w:val="9"/>
      </w:numPr>
      <w:adjustRightInd w:val="0"/>
      <w:spacing w:after="120" w:before="120"/>
    </w:pPr>
    <w:rPr>
      <w:rFonts w:eastAsia="Times New Roman"/>
      <w:szCs w:val="22"/>
      <w:lang w:eastAsia="zh-CN"/>
    </w:rPr>
  </w:style>
  <w:style w:type="paragraph" w:styleId="GPSL3numberedclause" w:customStyle="1">
    <w:name w:val="GPS L3 numbered clause"/>
    <w:basedOn w:val="GPSL2numberedclause"/>
    <w:qFormat w:val="1"/>
    <w:pPr>
      <w:numPr>
        <w:ilvl w:val="2"/>
      </w:numPr>
      <w:tabs>
        <w:tab w:val="clear" w:pos="1757"/>
        <w:tab w:val="left" w:pos="1985"/>
        <w:tab w:val="left" w:pos="2127"/>
      </w:tabs>
      <w:ind w:left="1803" w:hanging="1083"/>
    </w:pPr>
  </w:style>
  <w:style w:type="paragraph" w:styleId="GPSL4numberedclause" w:customStyle="1">
    <w:name w:val="GPS L4 numbered clause"/>
    <w:basedOn w:val="GPSL3numberedclause"/>
    <w:qFormat w:val="1"/>
    <w:pPr>
      <w:numPr>
        <w:ilvl w:val="3"/>
      </w:numPr>
      <w:tabs>
        <w:tab w:val="clear" w:pos="1985"/>
        <w:tab w:val="clear" w:pos="2127"/>
        <w:tab w:val="clear" w:pos="2606"/>
      </w:tabs>
      <w:ind w:left="1803" w:hanging="1083"/>
    </w:pPr>
    <w:rPr>
      <w:szCs w:val="20"/>
    </w:rPr>
  </w:style>
  <w:style w:type="character" w:styleId="GPSL2numberedclauseChar1" w:customStyle="1">
    <w:name w:val="GPS L2 numbered clause Char1"/>
    <w:link w:val="GPSL2numberedclause"/>
    <w:rPr>
      <w:rFonts w:eastAsia="Times New Roman"/>
      <w:szCs w:val="22"/>
      <w:lang w:eastAsia="zh-CN"/>
    </w:rPr>
  </w:style>
  <w:style w:type="paragraph" w:styleId="GPSL5numberedclause" w:customStyle="1">
    <w:name w:val="GPS L5 numbered clause"/>
    <w:basedOn w:val="GPSL4numberedclause"/>
    <w:qFormat w:val="1"/>
    <w:pPr>
      <w:numPr>
        <w:ilvl w:val="4"/>
      </w:numPr>
      <w:tabs>
        <w:tab w:val="left" w:pos="3402"/>
      </w:tabs>
      <w:ind w:left="2523" w:hanging="720"/>
    </w:pPr>
  </w:style>
  <w:style w:type="paragraph" w:styleId="GPSL6numbered" w:customStyle="1">
    <w:name w:val="GPS L6 numbered"/>
    <w:basedOn w:val="GPSL5numberedclause"/>
    <w:qFormat w:val="1"/>
    <w:pPr>
      <w:numPr>
        <w:ilvl w:val="5"/>
      </w:numPr>
      <w:tabs>
        <w:tab w:val="num" w:pos="360"/>
        <w:tab w:val="left" w:pos="4253"/>
      </w:tabs>
      <w:ind w:left="3243" w:hanging="720"/>
    </w:pPr>
  </w:style>
  <w:style w:type="character" w:styleId="UnresolvedMention1" w:customStyle="1">
    <w:name w:val="Unresolved Mention1"/>
    <w:basedOn w:val="DefaultParagraphFont"/>
    <w:uiPriority w:val="99"/>
    <w:semiHidden w:val="1"/>
    <w:unhideWhenUsed w:val="1"/>
    <w:rPr>
      <w:color w:val="605e5c"/>
      <w:shd w:color="auto" w:fill="e1dfdd" w:val="clear"/>
    </w:rPr>
  </w:style>
  <w:style w:type="character" w:styleId="UnresolvedMention">
    <w:name w:val="Unresolved Mention"/>
    <w:basedOn w:val="DefaultParagraphFont"/>
    <w:uiPriority w:val="99"/>
    <w:semiHidden w:val="1"/>
    <w:unhideWhenUsed w:val="1"/>
    <w:rPr>
      <w:color w:val="605e5c"/>
      <w:shd w:color="auto" w:fill="e1dfdd" w:val="clear"/>
    </w:rPr>
  </w:style>
  <w:style w:type="paragraph" w:styleId="Revision">
    <w:name w:val="Revision"/>
    <w:hidden w:val="1"/>
    <w:uiPriority w:val="99"/>
    <w:semiHidden w:val="1"/>
    <w:rPr>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qEn9/ZtQjM0+eRZc6x9HZ+Mhog==">CgMxLjAyCWlkLmdqZGd4czIJaC4yYWZtZzI4MghoLnBrd3FhMTIJaC4zOWtrOHh1MgloLjFvcHVqNW4yCWguNDhwaTF0ZzIJaC4ybnVzYzE5MgloLjEzMDJtOTIyCWguM216cTR3dj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jI1MGY0bzIJaC4xNjY0czU1MgloLjNxNXNhc3kyCWguMjViMmwwcjIIaC5rZ2N2OGsyCWguMzRnMGR3ZDIJaC4xamxhbzQ2MgloLjQza3k2cnoyCWguMmlxOGd6czIIaC54dmlyN2wyCWguNGgwNDJyMDIJaWQuaGFhcGNoMgloLjJ3NWVjeXQyCWguMWJhb242bTIJaC4zdmFjNXVmMgppZC4zMTl5ODBhMgloLjFnZjhpODMyCmlkLjQwZXcwdncyCWguMmZrNmIzcDgAciExTUI2QWVEZ2E4RksydGljZVgwTXFlVmo3ODl5VzNEb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2023-07-27T03:40:00Z</dcterms:created>
  <dc:creator>revs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a5fa76fd-03d0-45a3-89b5-fd2248771b38</vt:lpwstr>
  </property>
</Properties>
</file>