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18 (Supply Chain Visibility)</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hd w:fill="auto" w:val="clear"/>
        </w:rPr>
      </w:pPr>
      <w:bookmarkStart w:colFirst="0" w:colLast="0" w:name="_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p>
    <w:tbl>
      <w:tblPr>
        <w:tblStyle w:val="Table1"/>
        <w:tblW w:w="8198.0" w:type="dxa"/>
        <w:jc w:val="left"/>
        <w:tblInd w:w="528.0" w:type="dxa"/>
        <w:tblLayout w:type="fixed"/>
        <w:tblLook w:val="0000"/>
      </w:tblPr>
      <w:tblGrid>
        <w:gridCol w:w="3342"/>
        <w:gridCol w:w="4856"/>
        <w:tblGridChange w:id="0">
          <w:tblGrid>
            <w:gridCol w:w="3342"/>
            <w:gridCol w:w="4856"/>
          </w:tblGrid>
        </w:tblGridChange>
      </w:tblGrid>
      <w:tr>
        <w:trPr>
          <w:cantSplit w:val="0"/>
          <w:trHeight w:val="20" w:hRule="atLeast"/>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18; and</w:t>
            </w: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“Unconnected Sub-contract”</w:t>
            </w:r>
          </w:p>
        </w:tc>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contract or agreement which is not a Sub-contract and is between the Supplier and a third party (which is not an Affiliate of the Supplier) and is a qualifying contract under regulation 6 of The Reporting on Payment Practices and Performance Regulations 2017</w:t>
            </w:r>
          </w:p>
        </w:tc>
      </w:tr>
      <w:tr>
        <w:trPr>
          <w:cantSplit w:val="0"/>
          <w:trHeight w:val="20"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“Unconnected Sub-contractor”</w:t>
            </w:r>
          </w:p>
        </w:tc>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with whom the Supplier enters into an Unconnected Sub-contract</w:t>
            </w:r>
          </w:p>
        </w:tc>
      </w:tr>
    </w:tbl>
    <w:p w:rsidR="00000000" w:rsidDel="00000000" w:rsidP="00000000" w:rsidRDefault="00000000" w:rsidRPr="00000000" w14:paraId="0000000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w:t>
      </w:r>
    </w:p>
    <w:p w:rsidR="00000000" w:rsidDel="00000000" w:rsidP="00000000" w:rsidRDefault="00000000" w:rsidRPr="00000000" w14:paraId="0000000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The obligations on the Supplier set out at Paragraph 2.1 shall only apply in respect of Sub-Contract opportunities arising after the Effective Date.,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monitor the number, type and value of the Sub-Contract opportunities placed on Contracts Finder advertised and awarded in its supply chain during the Contract Period; to the Buyer in the format and frequency as reasonably specified by the Buyer;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subject to Paragraph 2.3, advertise on Contracts Finder all Sub-Contract opportunities arising from or in connection with the provision of the Deliverables above a minimum threshold of £25,000 that arise during the Contract Period; of this Schedule 18 shall provide a full and detailed description of the Sub-Contract opportunity with each of the mandatory fields being completed on Contracts Finder by the Supplier.</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obligations on the Supplier set out at Paragraph The Supplier shall: shall only apply in respect of Sub-Contract opportunities arising after the Effective Date.</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The Supplier shall:, the Buyer may by giving its prior Approval, agree that a Sub-Contract opportunity is not required to be advertised by the Supplier on Contracts Finder.</w:t>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1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this Contract, the Supplier agrees and acknowledges that it shall, at no charge, provide timely, full, accurate and complete SME management information reports (the “SME Management Information Reports”) to the Buyer which incorporates the data described in the Supply Chain Information Report Template which is:</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shd w:fill="auto" w:val="clear"/>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this Contract;</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this Contract (including revenues for non-SMEs/non-VCSEs); and</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shd w:fill="auto" w:val="clear"/>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Buyer from time to time. The Supplier agrees that it shall use the Supply Chain Information Report Template to provide the information detailed at Paragraph the total contract revenue received directly on this Contract; – the total value of sub-contracted revenues to SMEs and VCSEs. and acknowledges that the template may be changed from time to time (including the data required and/or format) by the Buyer issuing a replacement version. The Buyer agrees to give at least thirty (30) days’ notice in writing of any such change and shall specify the date from which it must be used.</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Buyer.</w:t>
      </w:r>
    </w:p>
    <w:p w:rsidR="00000000" w:rsidDel="00000000" w:rsidP="00000000" w:rsidRDefault="00000000" w:rsidRPr="00000000" w14:paraId="0000001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4d34og8" w:id="8"/>
      <w:bookmarkEnd w:id="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Payment Practice</w:t>
      </w:r>
    </w:p>
    <w:p w:rsidR="00000000" w:rsidDel="00000000" w:rsidP="00000000" w:rsidRDefault="00000000" w:rsidRPr="00000000" w14:paraId="0000002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this Contract has at the Effective Date an anticipated contract value in excess of £5 million per annum (excluding VAT) averaged over this Contract Period and without prejudice to Clause 4.6, Clause 8.2.1(b) and 8.2.2(b), the Supplier shall:</w:t>
      </w:r>
    </w:p>
    <w:p w:rsidR="00000000" w:rsidDel="00000000" w:rsidP="00000000" w:rsidRDefault="00000000" w:rsidRPr="00000000" w14:paraId="00000021">
      <w:pPr>
        <w:keepNext w:val="1"/>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083"/>
          <w:tab w:val="left" w:leader="none" w:pos="0"/>
        </w:tabs>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 any sums which are due from it to any Sub-contractor or Unconnected Sub-contractor pursuant to any invoice (or other notice of an amount for payment) on the earlier of:</w:t>
      </w:r>
    </w:p>
    <w:p w:rsidR="00000000" w:rsidDel="00000000" w:rsidP="00000000" w:rsidRDefault="00000000" w:rsidRPr="00000000" w14:paraId="00000022">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1803"/>
          <w:tab w:val="left" w:leader="none" w:pos="-720"/>
          <w:tab w:val="left" w:leader="none" w:pos="0"/>
        </w:tabs>
        <w:spacing w:after="200" w:before="100" w:line="240" w:lineRule="auto"/>
        <w:ind w:left="252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set out for payment in the relevant Sub-contract or Unconnected Sub-contract; or</w:t>
      </w:r>
    </w:p>
    <w:p w:rsidR="00000000" w:rsidDel="00000000" w:rsidP="00000000" w:rsidRDefault="00000000" w:rsidRPr="00000000" w14:paraId="00000023">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1803"/>
          <w:tab w:val="left" w:leader="none" w:pos="-720"/>
          <w:tab w:val="left" w:leader="none" w:pos="0"/>
        </w:tabs>
        <w:spacing w:after="200" w:before="100" w:line="240" w:lineRule="auto"/>
        <w:ind w:left="252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that falls sixty (60) days after the day on which the Supplier receives an invoice (or otherwise has notice of an amount for payment); and</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083"/>
          <w:tab w:val="left" w:leader="none" w:pos="0"/>
        </w:tabs>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within the Supply Chain Information Report a summary of its compliance with this Paragraph Visibility of Payment Practice, such data to be certified every six months by a director of the Supplier as being accurate and not misleading.</w:t>
      </w:r>
    </w:p>
    <w:p w:rsidR="00000000" w:rsidDel="00000000" w:rsidP="00000000" w:rsidRDefault="00000000" w:rsidRPr="00000000" w14:paraId="0000002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Supply Chain Information Report shows that in either of the last two six month periods the Supplier failed to pay 95% or above of all Sub-contractor or Unconnected Sub-contractor invoices (or other notice of an amount for payment) within sixty (60) days of receipt, the Supplier shall provide to the Bu</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yer within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[15]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orking Days of submission of the latest Supply Chain Information Report an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improvement. The Action Plan shall include, but not be limited to, the following:</w:t>
      </w:r>
    </w:p>
    <w:p w:rsidR="00000000" w:rsidDel="00000000" w:rsidP="00000000" w:rsidRDefault="00000000" w:rsidRPr="00000000" w14:paraId="0000002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083"/>
          <w:tab w:val="left" w:leader="none" w:pos="0"/>
        </w:tabs>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primary causes of failure to pay 95% or above of all Sub-contractor or Unconnected Sub-contractor invoices (or other notice of an amount for payment) within sixty (60) days of receipt;</w:t>
      </w:r>
    </w:p>
    <w:p w:rsidR="00000000" w:rsidDel="00000000" w:rsidP="00000000" w:rsidRDefault="00000000" w:rsidRPr="00000000" w14:paraId="0000002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083"/>
          <w:tab w:val="left" w:leader="none" w:pos="0"/>
        </w:tabs>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actions to address each of the causes set out in Sub-Paragraph identification of the primary causes of failure to pay 95% or above of all Sub-contractor or Unconnected Sub-contractor invoices (or other notice of an amount for payment) within sixty (60) days of receipt;; and</w:t>
      </w:r>
    </w:p>
    <w:p w:rsidR="00000000" w:rsidDel="00000000" w:rsidP="00000000" w:rsidRDefault="00000000" w:rsidRPr="00000000" w14:paraId="0000002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083"/>
          <w:tab w:val="left" w:leader="none" w:pos="0"/>
        </w:tabs>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mechanism for and commitment to regular reporting on progress to the Supplier’s Board.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fails to pay any sums due to any Sub-contractor or Unconnected Sub-contractor in accordance with the terms set out in the relevant Sub-contract or Unconnected Sub-contract, the Action Plan shall include details of the steps the Supplier will take to address this.</w:t>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Action Plan or any similar action plan connected to the payment of Sub-contractors or Unconnected Sub-contractors which is required to be submitted to the Authority as part of the procurement process and such action plan shall be included as part of the Supplier’s Solution (to the extent it is not already included).</w:t>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notifies the Buyer (whether in a Supply Chain Report or otherwise) that the Supplier has failed to pay 95% or above of its Unconnected Sub-contractors within sixty (60) days after the day on which the Supplier receives an invoice or otherwise has notice of an amount for payment, or the Buyer otherwise discovers the same, the Buyer shall be entitled to publish the details of the late or non-payment (including on government websites and in the press).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sectPr>
          <w:headerReference r:id="rId6" w:type="default"/>
          <w:footerReference r:id="rId7" w:type="default"/>
          <w:pgSz w:h="16838" w:w="11906" w:orient="portrait"/>
          <w:pgMar w:bottom="1440" w:top="1440" w:left="1440" w:right="1440"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w:t>
      </w:r>
      <w:bookmarkStart w:colFirst="0" w:colLast="0" w:name="35nkun2" w:id="14"/>
      <w:bookmarkEnd w:id="14"/>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1 - Supply Chain Information Report template</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13988.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0"/>
        <w:gridCol w:w="2399"/>
        <w:gridCol w:w="2400"/>
        <w:gridCol w:w="2399"/>
        <w:gridCol w:w="2400"/>
        <w:tblGridChange w:id="0">
          <w:tblGrid>
            <w:gridCol w:w="4390"/>
            <w:gridCol w:w="2399"/>
            <w:gridCol w:w="2400"/>
            <w:gridCol w:w="2399"/>
            <w:gridCol w:w="2400"/>
          </w:tblGrid>
        </w:tblGridChange>
      </w:tblGrid>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Year 20</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 this Contract</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as a whole</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Estimated total contract revenue (£) to be received in this Contract Year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100%</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Total value of Sub-contracted revenues (£) in this Contract Year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Total value of Sub-contracted revenues to SMEs (£) in this Contract Year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Total value of Sub-contracted revenues to VCSEs (£) in this Contract Year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bl>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8" w:type="default"/>
      <w:footerReference r:id="rId9" w:type="default"/>
      <w:type w:val="nextPage"/>
      <w:pgSz w:h="11906" w:w="16838" w:orient="landscape"/>
      <w:pgMar w:bottom="2282" w:top="1962" w:left="1440" w:right="1440" w:header="1440" w:footer="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Schedule 18 (Supply Chain Visibility), Crown Copyright 2023, [Subject to Contract]</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Schedule 18 (Supply Chain Visibility), Crown Copyright 2023, [Subject to Contract]</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sz w:val="22"/>
        <w:szCs w:val="22"/>
        <w:u w:val="none"/>
        <w:vertAlign w:val="baseline"/>
      </w:rPr>
    </w:lvl>
    <w:lvl w:ilvl="1">
      <w:start w:val="1"/>
      <w:numFmt w:val="decimal"/>
      <w:lvlText w:val="%1.%2"/>
      <w:lvlJc w:val="left"/>
      <w:pPr>
        <w:ind w:left="907" w:hanging="547"/>
      </w:pPr>
      <w:rPr>
        <w:rFonts w:ascii="Arial" w:cs="Arial" w:eastAsia="Arial" w:hAnsi="Arial"/>
        <w:i w:val="0"/>
        <w:smallCaps w:val="0"/>
        <w:strike w:val="0"/>
        <w:color w:val="000000"/>
        <w:sz w:val="22"/>
        <w:szCs w:val="22"/>
        <w:u w:val="none"/>
        <w:vertAlign w:val="baseline"/>
      </w:rPr>
    </w:lvl>
    <w:lvl w:ilvl="2">
      <w:start w:val="1"/>
      <w:numFmt w:val="decimal"/>
      <w:lvlText w:val="%1.%2.%3"/>
      <w:lvlJc w:val="left"/>
      <w:pPr>
        <w:ind w:left="1757" w:hanging="850.0000000000001"/>
      </w:pPr>
      <w:rPr>
        <w:b w:val="0"/>
        <w:i w:val="0"/>
        <w:smallCaps w:val="0"/>
        <w:strike w:val="0"/>
        <w:color w:val="000000"/>
        <w:sz w:val="22"/>
        <w:szCs w:val="22"/>
        <w:u w:val="none"/>
        <w:vertAlign w:val="baseline"/>
      </w:rPr>
    </w:lvl>
    <w:lvl w:ilvl="3">
      <w:start w:val="1"/>
      <w:numFmt w:val="lowerLetter"/>
      <w:lvlText w:val="%4)"/>
      <w:lvlJc w:val="left"/>
      <w:pPr>
        <w:ind w:left="2606" w:hanging="848.9999999999998"/>
      </w:pPr>
      <w:rPr>
        <w:rFonts w:ascii="Arial" w:cs="Arial" w:eastAsia="Arial" w:hAnsi="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lvl>
    <w:lvl w:ilvl="1">
      <w:start w:val="1"/>
      <w:numFmt w:val="decimal"/>
      <w:lvlText w:val="4.%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4."/>
      <w:lvlJc w:val="left"/>
      <w:pPr>
        <w:ind w:left="720" w:hanging="720"/>
      </w:pPr>
      <w:rPr/>
    </w:lvl>
    <w:lvl w:ilvl="1">
      <w:start w:val="1"/>
      <w:numFmt w:val="decimal"/>
      <w:lvlText w:val="4"/>
      <w:lvlJc w:val="left"/>
      <w:pPr>
        <w:ind w:left="720" w:hanging="720"/>
      </w:pPr>
      <w:rPr/>
    </w:lvl>
    <w:lvl w:ilvl="2">
      <w:start w:val="1"/>
      <w:numFmt w:val="decimal"/>
      <w:lvlText w:val="%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630f625f-3ead-4743-9dd0-1d021a688e24</vt:lpwstr>
  </property>
</Properties>
</file>