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9 (Installation Works)</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shd w:fill="auto" w:val="clear"/>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Deliverables requiring installation by the Supplier.</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shd w:fill="auto" w:val="clear"/>
        </w:rPr>
      </w:pPr>
      <w:bookmarkStart w:colFirst="0" w:colLast="0" w:name="_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things must be installed</w:t>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907" w:right="0" w:hanging="547"/>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0"/>
          <w:tab w:val="left" w:leader="none" w:pos="228"/>
        </w:tabs>
        <w:spacing w:after="120" w:before="120" w:line="240" w:lineRule="auto"/>
        <w:ind w:left="1757" w:right="0" w:hanging="85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Award Form (or elsewhere in this Contract).</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907" w:right="0" w:hanging="547"/>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reject the Installation Works and provide reasons to the Supplier if, in the Buyer’s reasonable opinion, the Installation Works do not meet the requirements set out in the Award Form (or elsewhere in this Contract)., the Supplier shall immediately rectify or remedy any defects and if, in the Buyer’s reasonable opinion, the Installation Works do not, within five (5) Working Days of such rectification or remedy, meet the requirements set out in the Award Form (or elsewhere in this Contract), the Buyer may terminate this Contract for material Default.</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Where the Supplier reasonably believes, it has completed the Installation Works it shall notify the Buyer in writing. Following receipt of such notice, the Buyer shall inspect the Installation Works and shall, by giving written notice to the Supplier: Notwithstanding the acceptance of any Installation Works in accordance with Paragraph 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Award Form (or elsewhere in this Contract), the Buyer may terminate this Contract for material Default.), the Supplier shall remain solely responsible for ensuring that the Goods and the Installation Works conform to the specification in the Award Form (or elsewhere in this Contract). No rights of estoppel or waiver shall arise as a result of the acceptance by the Buyer of the Installation Works.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sectPr>
      <w:headerReference r:id="rId6" w:type="default"/>
      <w:footerReference r:id="rId7"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9 (Installation Works), Crown Copyright 2023, [Subject to Contract]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36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1699" w:firstLine="58.0000000000002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8e026e93-7e19-444d-9837-00e0896502da</vt:lpwstr>
  </property>
</Properties>
</file>