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28"/>
          <w:szCs w:val="28"/>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Lot 1c (Tactical Radio systems)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8"/>
          <w:szCs w:val="28"/>
          <w:rtl w:val="0"/>
        </w:rPr>
        <w:t xml:space="preserve">Certificate of Technical and Professional Ability</w:t>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6"/>
      <w:bookmarkEnd w:id="6"/>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7"/>
      <w:bookmarkEnd w:id="7"/>
      <w:r w:rsidDel="00000000" w:rsidR="00000000" w:rsidRPr="00000000">
        <w:rPr>
          <w:rtl w:val="0"/>
        </w:rPr>
      </w:r>
    </w:p>
    <w:p w:rsidR="00000000" w:rsidDel="00000000" w:rsidP="00000000" w:rsidRDefault="00000000" w:rsidRPr="00000000" w14:paraId="00000009">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1c. For the assessment of Technical and Professional ability the relevant Services are listed within</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Certificates of Technical and Professional ability (COTPA).</w:t>
      </w:r>
    </w:p>
    <w:p w:rsidR="00000000" w:rsidDel="00000000" w:rsidP="00000000" w:rsidRDefault="00000000" w:rsidRPr="00000000" w14:paraId="0000000D">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0F">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2">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4">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1c by uploading this file to question 1.52.4</w:t>
      </w:r>
    </w:p>
    <w:p w:rsidR="00000000" w:rsidDel="00000000" w:rsidP="00000000" w:rsidRDefault="00000000" w:rsidRPr="00000000" w14:paraId="0000001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7">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8">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w:t>
      </w:r>
      <w:r w:rsidDel="00000000" w:rsidR="00000000" w:rsidRPr="00000000">
        <w:rPr>
          <w:rFonts w:ascii="Arial" w:cs="Arial" w:eastAsia="Arial" w:hAnsi="Arial"/>
          <w:b w:val="1"/>
          <w:i w:val="1"/>
          <w:rtl w:val="0"/>
        </w:rPr>
        <w:t xml:space="preserve"> organisation name_Lot 1cCOTPA</w:t>
      </w:r>
    </w:p>
    <w:p w:rsidR="00000000" w:rsidDel="00000000" w:rsidP="00000000" w:rsidRDefault="00000000" w:rsidRPr="00000000" w14:paraId="00000019">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D">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E">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F">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0">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3">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each contract must evidence the Services being delivered from any of the following            </w:t>
      </w:r>
    </w:p>
    <w:p w:rsidR="00000000" w:rsidDel="00000000" w:rsidP="00000000" w:rsidRDefault="00000000" w:rsidRPr="00000000" w14:paraId="00000025">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 xml:space="preserve">            regions:</w:t>
      </w:r>
      <w:r w:rsidDel="00000000" w:rsidR="00000000" w:rsidRPr="00000000">
        <w:rPr>
          <w:rFonts w:ascii="Arial" w:cs="Arial" w:eastAsia="Arial" w:hAnsi="Arial"/>
          <w:b w:val="1"/>
          <w:rtl w:val="0"/>
        </w:rPr>
        <w:t xml:space="preserve"> the United Kingdom, the European Union, the Americas</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31">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2">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E">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3F">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1">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4">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1c</w:t>
      </w:r>
    </w:p>
    <w:p w:rsidR="00000000" w:rsidDel="00000000" w:rsidP="00000000" w:rsidRDefault="00000000" w:rsidRPr="00000000" w14:paraId="00000065">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Lot </w:t>
            </w:r>
            <w:r w:rsidDel="00000000" w:rsidR="00000000" w:rsidRPr="00000000">
              <w:rPr>
                <w:rFonts w:ascii="Arial" w:cs="Arial" w:eastAsia="Arial" w:hAnsi="Arial"/>
                <w:b w:val="1"/>
                <w:highlight w:val="white"/>
                <w:rtl w:val="0"/>
              </w:rPr>
              <w:t xml:space="preserve">1c </w:t>
            </w:r>
            <w:r w:rsidDel="00000000" w:rsidR="00000000" w:rsidRPr="00000000">
              <w:rPr>
                <w:rFonts w:ascii="Arial" w:cs="Arial" w:eastAsia="Arial" w:hAnsi="Arial"/>
                <w:b w:val="1"/>
                <w:sz w:val="24"/>
                <w:szCs w:val="24"/>
                <w:rtl w:val="0"/>
              </w:rPr>
              <w:t xml:space="preserve">Tactical Radio systems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Network Services 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1c (</w:t>
            </w:r>
            <w:r w:rsidDel="00000000" w:rsidR="00000000" w:rsidRPr="00000000">
              <w:rPr>
                <w:rFonts w:ascii="Arial" w:cs="Arial" w:eastAsia="Arial" w:hAnsi="Arial"/>
                <w:rtl w:val="0"/>
              </w:rPr>
              <w:t xml:space="preserve">Tactical Radio systems</w:t>
            </w:r>
            <w:r w:rsidDel="00000000" w:rsidR="00000000" w:rsidRPr="00000000">
              <w:rPr>
                <w:rFonts w:ascii="Arial" w:cs="Arial" w:eastAsia="Arial" w:hAnsi="Arial"/>
                <w:rtl w:val="0"/>
              </w:rPr>
              <w:t xml:space="preserve">), which are listed below, further descriptions on these component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Service Elements are detailed within Lot 1c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B">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C">
            <w:pPr>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1c Tactical Radio Systems or the following services as outlined in the specification;</w:t>
            </w:r>
          </w:p>
          <w:p w:rsidR="00000000" w:rsidDel="00000000" w:rsidP="00000000" w:rsidRDefault="00000000" w:rsidRPr="00000000" w14:paraId="0000009E">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9F">
            <w:pPr>
              <w:widowControl w:val="1"/>
              <w:rPr>
                <w:rFonts w:ascii="Arial" w:cs="Arial" w:eastAsia="Arial" w:hAnsi="Arial"/>
              </w:rPr>
            </w:pPr>
            <w:r w:rsidDel="00000000" w:rsidR="00000000" w:rsidRPr="00000000">
              <w:rPr>
                <w:rFonts w:ascii="Arial" w:cs="Arial" w:eastAsia="Arial" w:hAnsi="Arial"/>
                <w:rtl w:val="0"/>
              </w:rPr>
              <w:t xml:space="preserve">Provision of a radio solution that enables the exchange of secure[1] voice &amp; amp; data communications over a tactical radio communications system, utilising Line of Sight (LOS) C Band, S Band, L Band, Ultra High Frequency (UHF), Very High Frequency (VHF) and/or High Frequency (HF) radio frequency bands[2]. The ability to transmit and receive, using push to talk to a personal, manpack or platform device, using point to point and/or point to multipoint. The tactical radio system is not reliant on any fixed communications and power infrastructure[3] to operate and may need to be intrinsically safe to operate around electrically initiated munitions. </w:t>
            </w:r>
          </w:p>
          <w:p w:rsidR="00000000" w:rsidDel="00000000" w:rsidP="00000000" w:rsidRDefault="00000000" w:rsidRPr="00000000" w14:paraId="000000A0">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1">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1"/>
              <w:rPr>
                <w:rFonts w:ascii="Arial" w:cs="Arial" w:eastAsia="Arial" w:hAnsi="Arial"/>
              </w:rPr>
            </w:pPr>
            <w:r w:rsidDel="00000000" w:rsidR="00000000" w:rsidRPr="00000000">
              <w:rPr>
                <w:rFonts w:ascii="Arial" w:cs="Arial" w:eastAsia="Arial" w:hAnsi="Arial"/>
                <w:b w:val="1"/>
                <w:rtl w:val="0"/>
              </w:rPr>
              <w:t xml:space="preserve">The COPTA would need to evidence at least one of the systems below to pass</w:t>
            </w:r>
            <w:r w:rsidDel="00000000" w:rsidR="00000000" w:rsidRPr="00000000">
              <w:rPr>
                <w:rFonts w:ascii="Arial" w:cs="Arial" w:eastAsia="Arial" w:hAnsi="Arial"/>
                <w:rtl w:val="0"/>
              </w:rPr>
              <w:t xml:space="preserve">.</w:t>
            </w:r>
          </w:p>
          <w:p w:rsidR="00000000" w:rsidDel="00000000" w:rsidP="00000000" w:rsidRDefault="00000000" w:rsidRPr="00000000" w14:paraId="000000A3">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4">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6">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Personal Radio System, for use by a person, on foot, in various operational environments and climates (urban, rural, desert, maritime/littoral, low and high temperature).</w:t>
            </w:r>
          </w:p>
          <w:p w:rsidR="00000000" w:rsidDel="00000000" w:rsidP="00000000" w:rsidRDefault="00000000" w:rsidRPr="00000000" w14:paraId="000000A7">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Manpack Radio System, for use by a person, carried in a bergen, for use in various operational environments and climates (urban, rural, desert, maritime/littoral, low and high temperature).</w:t>
            </w:r>
          </w:p>
          <w:p w:rsidR="00000000" w:rsidDel="00000000" w:rsidP="00000000" w:rsidRDefault="00000000" w:rsidRPr="00000000" w14:paraId="000000A9">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Platform Radio System, for use in land/air/maritime/littoral platforms.</w:t>
            </w:r>
          </w:p>
          <w:p w:rsidR="00000000" w:rsidDel="00000000" w:rsidP="00000000" w:rsidRDefault="00000000" w:rsidRPr="00000000" w14:paraId="000000AB">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C">
            <w:pPr>
              <w:widowControl w:val="1"/>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AD">
            <w:pPr>
              <w:widowControl w:val="1"/>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AE">
            <w:pPr>
              <w:widowControl w:val="1"/>
              <w:rPr>
                <w:rFonts w:ascii="Arial" w:cs="Arial" w:eastAsia="Arial" w:hAnsi="Arial"/>
              </w:rPr>
            </w:pPr>
            <w:r w:rsidDel="00000000" w:rsidR="00000000" w:rsidRPr="00000000">
              <w:rPr>
                <w:rFonts w:ascii="Arial" w:cs="Arial" w:eastAsia="Arial" w:hAnsi="Arial"/>
                <w:rtl w:val="0"/>
              </w:rPr>
              <w:t xml:space="preserve">Product/Service specific definitions:</w:t>
            </w:r>
          </w:p>
          <w:p w:rsidR="00000000" w:rsidDel="00000000" w:rsidP="00000000" w:rsidRDefault="00000000" w:rsidRPr="00000000" w14:paraId="000000AF">
            <w:pPr>
              <w:widowControl w:val="1"/>
              <w:rPr>
                <w:rFonts w:ascii="Arial" w:cs="Arial" w:eastAsia="Arial" w:hAnsi="Arial"/>
                <w:u w:val="single"/>
              </w:rPr>
            </w:pPr>
            <w:r w:rsidDel="00000000" w:rsidR="00000000" w:rsidRPr="00000000">
              <w:rPr>
                <w:rtl w:val="0"/>
              </w:rPr>
            </w:r>
          </w:p>
          <w:p w:rsidR="00000000" w:rsidDel="00000000" w:rsidP="00000000" w:rsidRDefault="00000000" w:rsidRPr="00000000" w14:paraId="000000B0">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1">
            <w:pPr>
              <w:widowControl w:val="1"/>
              <w:rPr>
                <w:rFonts w:ascii="Arial" w:cs="Arial" w:eastAsia="Arial" w:hAnsi="Arial"/>
              </w:rPr>
            </w:pPr>
            <w:r w:rsidDel="00000000" w:rsidR="00000000" w:rsidRPr="00000000">
              <w:rPr>
                <w:rFonts w:ascii="Arial" w:cs="Arial" w:eastAsia="Arial" w:hAnsi="Arial"/>
                <w:rtl w:val="0"/>
              </w:rPr>
              <w:t xml:space="preserve">[1]    At OFFICIAL and OFFICIAL SENSITIVE classifications but potentially up to SECRET for some call-off requirements.</w:t>
            </w:r>
          </w:p>
          <w:p w:rsidR="00000000" w:rsidDel="00000000" w:rsidP="00000000" w:rsidRDefault="00000000" w:rsidRPr="00000000" w14:paraId="000000B2">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3">
            <w:pPr>
              <w:widowControl w:val="1"/>
              <w:rPr>
                <w:rFonts w:ascii="Arial" w:cs="Arial" w:eastAsia="Arial" w:hAnsi="Arial"/>
              </w:rPr>
            </w:pPr>
            <w:r w:rsidDel="00000000" w:rsidR="00000000" w:rsidRPr="00000000">
              <w:rPr>
                <w:rFonts w:ascii="Arial" w:cs="Arial" w:eastAsia="Arial" w:hAnsi="Arial"/>
                <w:rtl w:val="0"/>
              </w:rPr>
              <w:t xml:space="preserve">[2]    The International Telecommunications Union (ITU) designates VHF as 30 to 300 megahertz (MHz) and UHF as 300 MHz to 3 gigahertz (GHz). The Institute of Electrical and Electronics Engineers (IEEE) designates C Band as 4-8 gigahertz (GHz), S Band as 2-4 GHz and L Band as 1-2 GHz.</w:t>
            </w:r>
          </w:p>
          <w:p w:rsidR="00000000" w:rsidDel="00000000" w:rsidP="00000000" w:rsidRDefault="00000000" w:rsidRPr="00000000" w14:paraId="000000B4">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1"/>
              <w:rPr>
                <w:rFonts w:ascii="Arial" w:cs="Arial" w:eastAsia="Arial" w:hAnsi="Arial"/>
              </w:rPr>
            </w:pPr>
            <w:r w:rsidDel="00000000" w:rsidR="00000000" w:rsidRPr="00000000">
              <w:rPr>
                <w:rFonts w:ascii="Arial" w:cs="Arial" w:eastAsia="Arial" w:hAnsi="Arial"/>
                <w:rtl w:val="0"/>
              </w:rPr>
              <w:t xml:space="preserve">[3]    Within a specific length of time, which will be detailed in the call-off contract(s).</w:t>
            </w:r>
          </w:p>
          <w:p w:rsidR="00000000" w:rsidDel="00000000" w:rsidP="00000000" w:rsidRDefault="00000000" w:rsidRPr="00000000" w14:paraId="000000B6">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8">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B9">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E">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3">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C4">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C5">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7">
            <w:pPr>
              <w:rPr>
                <w:rFonts w:ascii="Arial" w:cs="Arial" w:eastAsia="Arial" w:hAnsi="Arial"/>
                <w:b w:val="1"/>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A">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CB">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E">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CF">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0">
            <w:pPr>
              <w:rPr>
                <w:rFonts w:ascii="Arial" w:cs="Arial" w:eastAsia="Arial" w:hAnsi="Arial"/>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4">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8">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9">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A">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D">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E">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DF">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0">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1">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E2">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E3">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9">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EA">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EB">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0F6">
      <w:pPr>
        <w:rPr/>
      </w:pPr>
      <w:bookmarkStart w:colFirst="0" w:colLast="0" w:name="_heading=h.1fob9te" w:id="8"/>
      <w:bookmarkEnd w:id="8"/>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tab/>
      <w:tab/>
      <w:tab/>
      <w:tab/>
      <w:tab/>
      <w:tab/>
    </w:r>
  </w:p>
  <w:p w:rsidR="00000000" w:rsidDel="00000000" w:rsidP="00000000" w:rsidRDefault="00000000" w:rsidRPr="00000000" w14:paraId="000000F8">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1c Certificate of Technical and Professional Ability</w:t>
    </w:r>
  </w:p>
  <w:p w:rsidR="00000000" w:rsidDel="00000000" w:rsidP="00000000" w:rsidRDefault="00000000" w:rsidRPr="00000000" w14:paraId="000000F9">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FA">
    <w:pPr>
      <w:rPr/>
    </w:pPr>
    <w:r w:rsidDel="00000000" w:rsidR="00000000" w:rsidRPr="00000000">
      <w:rPr>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tqjsds9QdgKTWIrBMr5xSTTrw==">AMUW2mWRwaP7nXInpr9fSdIQ9aCQLgD4uPNFVTwcETMbZOklp8nt/M3CGQMPNzLW7q7G5YkgEY+4PxJLjWQnbr1t+Y3wiEcYCm4YP1Vjssd2FTHjVq5hNFqQXrHeSxWVz15ez01JhWCBt4qmpL7wJ6UzbiqN+wLyZAGSNeRT9ld0+3CR7xslMmNxXgPnbIQguVUuFp4UEK5/pto6zojPy8iTTlfR1nxKqW5VbYfdlTuaS29tFafj6PMBgGbSxJWc99pg4YqjiNcO2TU0K5IPdxg3Td0wumPkrLMYjsfEdxgmCpNntlGBg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