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84165" w14:textId="77777777" w:rsidR="002C34D4" w:rsidRDefault="002C34D4" w:rsidP="002C34D4">
      <w:pPr>
        <w:pStyle w:val="Logos"/>
        <w:tabs>
          <w:tab w:val="right" w:pos="9498"/>
        </w:tabs>
      </w:pPr>
      <w:r>
        <w:drawing>
          <wp:inline distT="0" distB="0" distL="0" distR="0" wp14:anchorId="4FD24EB9" wp14:editId="5222FF7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2F16E60" w14:textId="77777777" w:rsidR="005C0B41" w:rsidRPr="00B818C3" w:rsidRDefault="00A57128" w:rsidP="00B818C3">
      <w:pPr>
        <w:pStyle w:val="Heading1"/>
        <w:jc w:val="center"/>
        <w:rPr>
          <w:sz w:val="44"/>
          <w:szCs w:val="44"/>
        </w:rPr>
      </w:pPr>
      <w:r w:rsidRPr="00B818C3">
        <w:rPr>
          <w:sz w:val="44"/>
          <w:szCs w:val="44"/>
        </w:rPr>
        <w:t>Expression of interest</w:t>
      </w:r>
    </w:p>
    <w:p w14:paraId="53241292" w14:textId="77777777" w:rsidR="00A57128" w:rsidRPr="007E0083" w:rsidRDefault="00A57128" w:rsidP="00EE71A2">
      <w:pPr>
        <w:pStyle w:val="Heading1"/>
      </w:pPr>
      <w:r w:rsidRPr="007E0083">
        <w:t>Title:</w:t>
      </w:r>
      <w:r w:rsidR="00197CEA">
        <w:t xml:space="preserve"> </w:t>
      </w:r>
      <w:r w:rsidR="00197CEA" w:rsidRPr="00DB4469">
        <w:rPr>
          <w:rFonts w:cs="Arial"/>
          <w:bCs/>
          <w:kern w:val="32"/>
        </w:rPr>
        <w:t>Evaluation of early roll</w:t>
      </w:r>
      <w:r w:rsidR="00197CEA">
        <w:rPr>
          <w:rFonts w:cs="Arial"/>
          <w:bCs/>
          <w:kern w:val="32"/>
        </w:rPr>
        <w:t>-</w:t>
      </w:r>
      <w:r w:rsidR="00197CEA" w:rsidRPr="00DB4469">
        <w:rPr>
          <w:rFonts w:cs="Arial"/>
          <w:bCs/>
          <w:kern w:val="32"/>
        </w:rPr>
        <w:t xml:space="preserve">out of the </w:t>
      </w:r>
      <w:r w:rsidR="00197CEA">
        <w:rPr>
          <w:rFonts w:cs="Arial"/>
          <w:bCs/>
          <w:kern w:val="32"/>
        </w:rPr>
        <w:t>Early Career Framework full-induction programme</w:t>
      </w:r>
    </w:p>
    <w:p w14:paraId="29E93FA3" w14:textId="768E30E7" w:rsidR="00A57128" w:rsidRPr="007E0083" w:rsidRDefault="00A57128" w:rsidP="00A57128">
      <w:pPr>
        <w:rPr>
          <w:b/>
        </w:rPr>
      </w:pPr>
      <w:r w:rsidRPr="007E0083">
        <w:rPr>
          <w:b/>
        </w:rPr>
        <w:t xml:space="preserve">Project reference: </w:t>
      </w:r>
      <w:bookmarkStart w:id="0" w:name="_Hlk22213249"/>
      <w:r w:rsidR="00B667DE" w:rsidRPr="00B368D0">
        <w:t>DFE/RPPU</w:t>
      </w:r>
      <w:r w:rsidR="00B667DE">
        <w:t>/</w:t>
      </w:r>
      <w:r w:rsidR="006503A6" w:rsidRPr="00B368D0">
        <w:t>2019/005</w:t>
      </w:r>
      <w:bookmarkEnd w:id="0"/>
    </w:p>
    <w:p w14:paraId="743B0676" w14:textId="3F56FBAC" w:rsidR="00A57128" w:rsidRPr="007E0083" w:rsidRDefault="00A57128" w:rsidP="00A57128">
      <w:pPr>
        <w:rPr>
          <w:b/>
        </w:rPr>
      </w:pPr>
      <w:r w:rsidRPr="007E0083">
        <w:rPr>
          <w:b/>
        </w:rPr>
        <w:t>Deadline for expressions of interest:</w:t>
      </w:r>
      <w:r w:rsidR="00484F42">
        <w:rPr>
          <w:b/>
        </w:rPr>
        <w:t xml:space="preserve"> </w:t>
      </w:r>
      <w:bookmarkStart w:id="1" w:name="_Hlk22212740"/>
      <w:r w:rsidR="006E1B0B" w:rsidRPr="006E1B0B">
        <w:t>23.59 on</w:t>
      </w:r>
      <w:r w:rsidR="006E1B0B">
        <w:rPr>
          <w:b/>
        </w:rPr>
        <w:t xml:space="preserve"> </w:t>
      </w:r>
      <w:r w:rsidR="00FE31C0" w:rsidRPr="00B368D0">
        <w:rPr>
          <w:bCs/>
        </w:rPr>
        <w:t>18</w:t>
      </w:r>
      <w:r w:rsidR="00FE31C0" w:rsidRPr="00B368D0">
        <w:rPr>
          <w:bCs/>
          <w:vertAlign w:val="superscript"/>
        </w:rPr>
        <w:t>th</w:t>
      </w:r>
      <w:r w:rsidR="00FE31C0" w:rsidRPr="00B368D0">
        <w:rPr>
          <w:bCs/>
        </w:rPr>
        <w:t xml:space="preserve"> November 2019</w:t>
      </w:r>
      <w:bookmarkEnd w:id="1"/>
    </w:p>
    <w:p w14:paraId="1773CA31" w14:textId="77777777" w:rsidR="00A57128" w:rsidRPr="001F2CE2" w:rsidRDefault="00A57128" w:rsidP="00777ED9">
      <w:pPr>
        <w:pStyle w:val="Heading2"/>
        <w:spacing w:before="240" w:after="120"/>
      </w:pPr>
      <w:r w:rsidRPr="001F2CE2">
        <w:t>Summary</w:t>
      </w:r>
      <w:bookmarkStart w:id="2" w:name="_GoBack"/>
      <w:bookmarkEnd w:id="2"/>
    </w:p>
    <w:p w14:paraId="50206DE0" w14:textId="4F272E7E" w:rsidR="000D300E" w:rsidRPr="00770200" w:rsidRDefault="000D300E" w:rsidP="00770200">
      <w:r w:rsidRPr="00770200">
        <w:t xml:space="preserve">Expressions of interest are sought to carry out an </w:t>
      </w:r>
      <w:r w:rsidR="009E22D0" w:rsidRPr="00770200">
        <w:t>evaluation</w:t>
      </w:r>
      <w:r w:rsidRPr="00770200">
        <w:t xml:space="preserve"> of early roll-out of the Early Career Framework</w:t>
      </w:r>
      <w:r w:rsidR="003B36C3">
        <w:t>. The evaluation will inform continuous</w:t>
      </w:r>
      <w:r w:rsidR="003B36C3" w:rsidRPr="00770200">
        <w:t xml:space="preserve"> improvement of earl</w:t>
      </w:r>
      <w:r w:rsidR="003B36C3">
        <w:t>y</w:t>
      </w:r>
      <w:r w:rsidR="003B36C3" w:rsidRPr="00770200">
        <w:t xml:space="preserve"> roll-out and</w:t>
      </w:r>
      <w:r w:rsidR="00582F51">
        <w:t xml:space="preserve"> the</w:t>
      </w:r>
      <w:r w:rsidR="00582F51" w:rsidRPr="00770200">
        <w:t xml:space="preserve"> </w:t>
      </w:r>
      <w:r w:rsidR="003B36C3">
        <w:t>planning and</w:t>
      </w:r>
      <w:r w:rsidR="003B36C3" w:rsidRPr="00770200">
        <w:t xml:space="preserve"> implementation of national roll-out</w:t>
      </w:r>
      <w:r w:rsidRPr="00770200">
        <w:t>.</w:t>
      </w:r>
      <w:r w:rsidR="00321BD7" w:rsidRPr="00770200">
        <w:t xml:space="preserve"> It is anticipated that</w:t>
      </w:r>
      <w:r w:rsidR="003B36C3">
        <w:t xml:space="preserve"> </w:t>
      </w:r>
      <w:r w:rsidR="00321BD7" w:rsidRPr="00770200">
        <w:t xml:space="preserve">a mixed-method </w:t>
      </w:r>
      <w:r w:rsidR="00582F51">
        <w:t xml:space="preserve">design </w:t>
      </w:r>
      <w:r w:rsidR="003B36C3">
        <w:t xml:space="preserve">will be adopted </w:t>
      </w:r>
      <w:r w:rsidR="00321BD7" w:rsidRPr="00770200">
        <w:t xml:space="preserve">to deliver a process </w:t>
      </w:r>
      <w:r w:rsidR="009E22D0" w:rsidRPr="00770200">
        <w:t>evaluation</w:t>
      </w:r>
      <w:r w:rsidR="00321BD7" w:rsidRPr="00770200">
        <w:t>, case studies and near real-time</w:t>
      </w:r>
      <w:r w:rsidR="001F1E3C">
        <w:t xml:space="preserve"> insights</w:t>
      </w:r>
      <w:r w:rsidR="00321BD7" w:rsidRPr="00770200">
        <w:t xml:space="preserve"> </w:t>
      </w:r>
      <w:r w:rsidR="003B36C3">
        <w:t>and</w:t>
      </w:r>
      <w:r w:rsidR="00683ECB">
        <w:t xml:space="preserve"> feedback loops</w:t>
      </w:r>
      <w:r w:rsidR="003B36C3">
        <w:t>.</w:t>
      </w:r>
      <w:r w:rsidR="00683ECB">
        <w:t xml:space="preserve"> </w:t>
      </w:r>
    </w:p>
    <w:p w14:paraId="07240D6F" w14:textId="77777777" w:rsidR="00A57128" w:rsidRDefault="00A57128" w:rsidP="00777ED9">
      <w:pPr>
        <w:pStyle w:val="Heading2"/>
        <w:spacing w:before="240" w:after="120"/>
      </w:pPr>
      <w:r>
        <w:t>Background</w:t>
      </w:r>
    </w:p>
    <w:p w14:paraId="0D2413C0" w14:textId="0BD48FEC" w:rsidR="001F1E3C" w:rsidRDefault="00C748BB" w:rsidP="00CF31B2">
      <w:pPr>
        <w:spacing w:after="0" w:line="264" w:lineRule="auto"/>
      </w:pPr>
      <w:r w:rsidRPr="00402E6F">
        <w:rPr>
          <w:rFonts w:cs="Arial"/>
          <w:szCs w:val="22"/>
        </w:rPr>
        <w:t xml:space="preserve">The </w:t>
      </w:r>
      <w:hyperlink r:id="rId13" w:history="1">
        <w:r w:rsidRPr="00611855">
          <w:rPr>
            <w:rStyle w:val="Hyperlink"/>
            <w:rFonts w:cs="Arial"/>
            <w:b/>
            <w:sz w:val="22"/>
            <w:szCs w:val="22"/>
          </w:rPr>
          <w:t>Early Career Framework (ECF)</w:t>
        </w:r>
      </w:hyperlink>
      <w:r w:rsidRPr="00402E6F">
        <w:rPr>
          <w:rFonts w:cs="Arial"/>
          <w:szCs w:val="22"/>
        </w:rPr>
        <w:t xml:space="preserve"> sits at the centre of the </w:t>
      </w:r>
      <w:hyperlink r:id="rId14" w:history="1">
        <w:r w:rsidRPr="00611855">
          <w:rPr>
            <w:rStyle w:val="Hyperlink"/>
            <w:rFonts w:cs="Arial"/>
            <w:b/>
            <w:sz w:val="22"/>
            <w:szCs w:val="22"/>
          </w:rPr>
          <w:t>Recruitment and Retention Strategy</w:t>
        </w:r>
      </w:hyperlink>
      <w:r w:rsidRPr="00402E6F">
        <w:rPr>
          <w:rFonts w:cs="Arial"/>
          <w:szCs w:val="22"/>
        </w:rPr>
        <w:t xml:space="preserve"> (DfE, 2019) and is considered one of the most significant reforms to teaching in a generation. Based on evidence</w:t>
      </w:r>
      <w:r w:rsidR="004158A0">
        <w:rPr>
          <w:rFonts w:cs="Arial"/>
          <w:szCs w:val="22"/>
        </w:rPr>
        <w:t>,</w:t>
      </w:r>
      <w:r w:rsidRPr="00402E6F">
        <w:rPr>
          <w:rFonts w:cs="Arial"/>
          <w:szCs w:val="22"/>
        </w:rPr>
        <w:t xml:space="preserve"> and developed in conjunction with the</w:t>
      </w:r>
      <w:r w:rsidR="00F65D25">
        <w:rPr>
          <w:rFonts w:cs="Arial"/>
          <w:szCs w:val="22"/>
        </w:rPr>
        <w:t xml:space="preserve"> profession and the</w:t>
      </w:r>
      <w:r w:rsidRPr="00402E6F">
        <w:rPr>
          <w:rFonts w:cs="Arial"/>
          <w:szCs w:val="22"/>
        </w:rPr>
        <w:t xml:space="preserve"> </w:t>
      </w:r>
      <w:hyperlink r:id="rId15" w:history="1">
        <w:r w:rsidRPr="00F65D25">
          <w:rPr>
            <w:rStyle w:val="Hyperlink"/>
            <w:rFonts w:cs="Arial"/>
            <w:b/>
            <w:bCs/>
            <w:sz w:val="22"/>
            <w:szCs w:val="22"/>
          </w:rPr>
          <w:t xml:space="preserve">Education </w:t>
        </w:r>
        <w:r w:rsidR="009E22D0" w:rsidRPr="00F65D25">
          <w:rPr>
            <w:rStyle w:val="Hyperlink"/>
            <w:rFonts w:cs="Arial"/>
            <w:b/>
            <w:bCs/>
            <w:sz w:val="22"/>
            <w:szCs w:val="22"/>
          </w:rPr>
          <w:t>Endowment</w:t>
        </w:r>
        <w:r w:rsidRPr="00F65D25">
          <w:rPr>
            <w:rStyle w:val="Hyperlink"/>
            <w:rFonts w:cs="Arial"/>
            <w:b/>
            <w:bCs/>
            <w:sz w:val="22"/>
            <w:szCs w:val="22"/>
          </w:rPr>
          <w:t xml:space="preserve"> </w:t>
        </w:r>
        <w:r w:rsidR="009E22D0" w:rsidRPr="00F65D25">
          <w:rPr>
            <w:rStyle w:val="Hyperlink"/>
            <w:rFonts w:cs="Arial"/>
            <w:b/>
            <w:bCs/>
            <w:sz w:val="22"/>
            <w:szCs w:val="22"/>
          </w:rPr>
          <w:t>Foundation</w:t>
        </w:r>
      </w:hyperlink>
      <w:r>
        <w:rPr>
          <w:rFonts w:cs="Arial"/>
          <w:szCs w:val="22"/>
        </w:rPr>
        <w:t xml:space="preserve"> (</w:t>
      </w:r>
      <w:r w:rsidRPr="00402E6F">
        <w:rPr>
          <w:rFonts w:cs="Arial"/>
          <w:szCs w:val="22"/>
        </w:rPr>
        <w:t>EEF</w:t>
      </w:r>
      <w:r>
        <w:rPr>
          <w:rFonts w:cs="Arial"/>
          <w:szCs w:val="22"/>
        </w:rPr>
        <w:t>)</w:t>
      </w:r>
      <w:r w:rsidRPr="00402E6F">
        <w:rPr>
          <w:rFonts w:cs="Arial"/>
          <w:szCs w:val="22"/>
        </w:rPr>
        <w:t>, the framework sets out what early career teachers</w:t>
      </w:r>
      <w:r w:rsidR="00007F62">
        <w:rPr>
          <w:rFonts w:cs="Arial"/>
          <w:szCs w:val="22"/>
        </w:rPr>
        <w:t xml:space="preserve"> (ECTs)</w:t>
      </w:r>
      <w:r w:rsidR="00007F62">
        <w:rPr>
          <w:rStyle w:val="FootnoteReference"/>
          <w:rFonts w:cs="Arial"/>
          <w:szCs w:val="22"/>
        </w:rPr>
        <w:footnoteReference w:id="2"/>
      </w:r>
      <w:r w:rsidRPr="00402E6F">
        <w:rPr>
          <w:rFonts w:cs="Arial"/>
          <w:szCs w:val="22"/>
        </w:rPr>
        <w:t xml:space="preserve"> should be expected to know and learn about. </w:t>
      </w:r>
      <w:r w:rsidR="00EB6927" w:rsidRPr="006C4D58">
        <w:t>The ECF and broader induction reforms will fundamentally change the way schools support and induct new</w:t>
      </w:r>
      <w:r w:rsidR="00582F51">
        <w:t>ly qualified</w:t>
      </w:r>
      <w:r w:rsidR="00EB6927" w:rsidRPr="006C4D58">
        <w:t xml:space="preserve"> teachers to the profession</w:t>
      </w:r>
      <w:r w:rsidR="00582F51">
        <w:rPr>
          <w:rStyle w:val="FootnoteReference"/>
        </w:rPr>
        <w:footnoteReference w:id="3"/>
      </w:r>
      <w:r w:rsidR="00EB6927" w:rsidRPr="006C4D58">
        <w:t xml:space="preserve">. </w:t>
      </w:r>
      <w:r w:rsidRPr="00402E6F">
        <w:rPr>
          <w:rFonts w:cs="Arial"/>
          <w:szCs w:val="22"/>
        </w:rPr>
        <w:t>The package of reforms, funded by DfE, will ensure new teachers have dedicated time set aside</w:t>
      </w:r>
      <w:r>
        <w:rPr>
          <w:rFonts w:cs="Arial"/>
          <w:szCs w:val="22"/>
        </w:rPr>
        <w:t xml:space="preserve"> to focus on their development.</w:t>
      </w:r>
      <w:r w:rsidRPr="00402E6F">
        <w:rPr>
          <w:rFonts w:cs="Arial"/>
          <w:szCs w:val="22"/>
        </w:rPr>
        <w:t xml:space="preserve"> The overarching aim of the policy is to address some of the key drivers that lead early career teachers to leave the profession early, and to improve teacher retention. </w:t>
      </w:r>
    </w:p>
    <w:p w14:paraId="3C16579C" w14:textId="77777777" w:rsidR="00CF31B2" w:rsidRDefault="00CF31B2" w:rsidP="00CF31B2">
      <w:pPr>
        <w:spacing w:after="0" w:line="264" w:lineRule="auto"/>
      </w:pPr>
    </w:p>
    <w:p w14:paraId="402BD19D" w14:textId="6D97524A" w:rsidR="00CF31B2" w:rsidRDefault="003D3766" w:rsidP="00CF31B2">
      <w:pPr>
        <w:pStyle w:val="Default"/>
        <w:rPr>
          <w:rFonts w:eastAsia="Times New Roman"/>
          <w:color w:val="auto"/>
          <w:sz w:val="22"/>
          <w:szCs w:val="22"/>
          <w:lang w:eastAsia="en-GB"/>
        </w:rPr>
      </w:pPr>
      <w:r w:rsidRPr="00CF31B2">
        <w:rPr>
          <w:rFonts w:eastAsia="Times New Roman" w:cs="Times New Roman"/>
          <w:color w:val="auto"/>
          <w:sz w:val="22"/>
          <w:lang w:eastAsia="en-GB"/>
        </w:rPr>
        <w:t xml:space="preserve">In the proposed induction reforms, the Early Career Framework (ECF) will underpin an entitlement to a </w:t>
      </w:r>
      <w:r w:rsidR="009E22D0" w:rsidRPr="00CF31B2">
        <w:rPr>
          <w:rFonts w:eastAsia="Times New Roman" w:cs="Times New Roman"/>
          <w:color w:val="auto"/>
          <w:sz w:val="22"/>
          <w:lang w:eastAsia="en-GB"/>
        </w:rPr>
        <w:t>fully funded</w:t>
      </w:r>
      <w:r w:rsidRPr="00CF31B2">
        <w:rPr>
          <w:rFonts w:eastAsia="Times New Roman" w:cs="Times New Roman"/>
          <w:color w:val="auto"/>
          <w:sz w:val="22"/>
          <w:lang w:eastAsia="en-GB"/>
        </w:rPr>
        <w:t xml:space="preserve">, </w:t>
      </w:r>
      <w:r w:rsidR="008643A6" w:rsidRPr="00CF31B2">
        <w:rPr>
          <w:rFonts w:eastAsia="Times New Roman" w:cs="Times New Roman"/>
          <w:color w:val="auto"/>
          <w:sz w:val="22"/>
          <w:lang w:eastAsia="en-GB"/>
        </w:rPr>
        <w:t>2-year</w:t>
      </w:r>
      <w:r w:rsidRPr="00CF31B2">
        <w:rPr>
          <w:rFonts w:eastAsia="Times New Roman" w:cs="Times New Roman"/>
          <w:color w:val="auto"/>
          <w:sz w:val="22"/>
          <w:lang w:eastAsia="en-GB"/>
        </w:rPr>
        <w:t xml:space="preserve"> package of structured training and support for early career teachers</w:t>
      </w:r>
      <w:r w:rsidR="00CF31B2" w:rsidRPr="00CF31B2">
        <w:rPr>
          <w:rFonts w:eastAsia="Times New Roman" w:cs="Times New Roman"/>
          <w:color w:val="auto"/>
          <w:sz w:val="22"/>
          <w:lang w:eastAsia="en-GB"/>
        </w:rPr>
        <w:t xml:space="preserve">. </w:t>
      </w:r>
      <w:r w:rsidRPr="00CF31B2">
        <w:rPr>
          <w:rFonts w:eastAsia="Times New Roman" w:cs="Times New Roman"/>
          <w:color w:val="auto"/>
          <w:sz w:val="22"/>
          <w:lang w:eastAsia="en-GB"/>
        </w:rPr>
        <w:t>DfE are introducing ECF in a phased way commencing with early roll-out in the North East, Bradford and Doncaster and Greater Manchester from September 2020, before a national roll-out the following year.</w:t>
      </w:r>
      <w:r w:rsidR="001F1E3C" w:rsidRPr="00CF31B2">
        <w:rPr>
          <w:rFonts w:eastAsia="Times New Roman" w:cs="Times New Roman"/>
          <w:color w:val="auto"/>
          <w:sz w:val="22"/>
          <w:lang w:eastAsia="en-GB"/>
        </w:rPr>
        <w:t xml:space="preserve"> </w:t>
      </w:r>
      <w:r w:rsidR="00CF31B2" w:rsidRPr="00CF31B2">
        <w:rPr>
          <w:rFonts w:eastAsia="Times New Roman" w:cs="Times New Roman"/>
          <w:color w:val="auto"/>
          <w:sz w:val="22"/>
          <w:lang w:eastAsia="en-GB"/>
        </w:rPr>
        <w:t xml:space="preserve">Suppliers will develop a) </w:t>
      </w:r>
      <w:r w:rsidR="004158A0">
        <w:rPr>
          <w:rFonts w:eastAsia="Times New Roman" w:cs="Times New Roman"/>
          <w:color w:val="auto"/>
          <w:sz w:val="22"/>
          <w:lang w:eastAsia="en-GB"/>
        </w:rPr>
        <w:t xml:space="preserve">a </w:t>
      </w:r>
      <w:r w:rsidR="00CF31B2" w:rsidRPr="00CF31B2">
        <w:rPr>
          <w:rFonts w:eastAsia="Times New Roman" w:cs="Times New Roman"/>
          <w:color w:val="auto"/>
          <w:sz w:val="22"/>
          <w:lang w:eastAsia="en-GB"/>
        </w:rPr>
        <w:t xml:space="preserve">standalone </w:t>
      </w:r>
      <w:r w:rsidR="004158A0">
        <w:rPr>
          <w:rFonts w:eastAsia="Times New Roman" w:cs="Times New Roman"/>
          <w:color w:val="auto"/>
          <w:sz w:val="22"/>
          <w:lang w:eastAsia="en-GB"/>
        </w:rPr>
        <w:t>B</w:t>
      </w:r>
      <w:r w:rsidR="00CF31B2" w:rsidRPr="00CF31B2">
        <w:rPr>
          <w:rFonts w:eastAsia="Times New Roman" w:cs="Times New Roman"/>
          <w:color w:val="auto"/>
          <w:sz w:val="22"/>
          <w:lang w:eastAsia="en-GB"/>
        </w:rPr>
        <w:t>asic</w:t>
      </w:r>
      <w:r w:rsidR="004158A0">
        <w:rPr>
          <w:rFonts w:eastAsia="Times New Roman" w:cs="Times New Roman"/>
          <w:color w:val="auto"/>
          <w:sz w:val="22"/>
          <w:lang w:eastAsia="en-GB"/>
        </w:rPr>
        <w:t xml:space="preserve"> </w:t>
      </w:r>
      <w:r w:rsidR="004158A0">
        <w:rPr>
          <w:rFonts w:eastAsia="Times New Roman"/>
          <w:color w:val="auto"/>
          <w:sz w:val="22"/>
          <w:szCs w:val="22"/>
          <w:lang w:eastAsia="en-GB"/>
        </w:rPr>
        <w:t>I</w:t>
      </w:r>
      <w:r w:rsidR="00CF31B2" w:rsidRPr="00CF31B2">
        <w:rPr>
          <w:rFonts w:eastAsia="Times New Roman"/>
          <w:color w:val="auto"/>
          <w:sz w:val="22"/>
          <w:szCs w:val="22"/>
          <w:lang w:eastAsia="en-GB"/>
        </w:rPr>
        <w:t xml:space="preserve">nduction </w:t>
      </w:r>
      <w:r w:rsidR="004158A0">
        <w:rPr>
          <w:rFonts w:eastAsia="Times New Roman"/>
          <w:color w:val="auto"/>
          <w:sz w:val="22"/>
          <w:szCs w:val="22"/>
          <w:lang w:eastAsia="en-GB"/>
        </w:rPr>
        <w:t>P</w:t>
      </w:r>
      <w:r w:rsidR="00CF31B2" w:rsidRPr="00CF31B2">
        <w:rPr>
          <w:rFonts w:eastAsia="Times New Roman"/>
          <w:color w:val="auto"/>
          <w:sz w:val="22"/>
          <w:szCs w:val="22"/>
          <w:lang w:eastAsia="en-GB"/>
        </w:rPr>
        <w:t>rogramme</w:t>
      </w:r>
      <w:r w:rsidR="00CF31B2">
        <w:rPr>
          <w:rStyle w:val="FootnoteReference"/>
          <w:rFonts w:eastAsia="Times New Roman"/>
          <w:color w:val="auto"/>
          <w:sz w:val="22"/>
          <w:szCs w:val="22"/>
          <w:lang w:eastAsia="en-GB"/>
        </w:rPr>
        <w:footnoteReference w:id="4"/>
      </w:r>
      <w:r w:rsidR="00CF31B2" w:rsidRPr="00CF31B2">
        <w:rPr>
          <w:rFonts w:eastAsia="Times New Roman"/>
          <w:color w:val="auto"/>
          <w:sz w:val="22"/>
          <w:szCs w:val="22"/>
          <w:lang w:eastAsia="en-GB"/>
        </w:rPr>
        <w:t xml:space="preserve"> that supports schools to design and deliver a two-year induction for ECTs, underpinned by the ECF</w:t>
      </w:r>
      <w:r w:rsidR="00CF31B2">
        <w:rPr>
          <w:rFonts w:eastAsia="Times New Roman"/>
          <w:color w:val="auto"/>
          <w:sz w:val="22"/>
          <w:szCs w:val="22"/>
          <w:lang w:eastAsia="en-GB"/>
        </w:rPr>
        <w:t xml:space="preserve"> and b) deliver the </w:t>
      </w:r>
      <w:r w:rsidR="004158A0">
        <w:rPr>
          <w:rFonts w:eastAsia="Times New Roman"/>
          <w:color w:val="auto"/>
          <w:sz w:val="22"/>
          <w:szCs w:val="22"/>
          <w:lang w:eastAsia="en-GB"/>
        </w:rPr>
        <w:t>F</w:t>
      </w:r>
      <w:r w:rsidR="00CF31B2">
        <w:rPr>
          <w:rFonts w:eastAsia="Times New Roman"/>
          <w:color w:val="auto"/>
          <w:sz w:val="22"/>
          <w:szCs w:val="22"/>
          <w:lang w:eastAsia="en-GB"/>
        </w:rPr>
        <w:t>ull</w:t>
      </w:r>
      <w:r w:rsidR="004158A0">
        <w:rPr>
          <w:rFonts w:eastAsia="Times New Roman"/>
          <w:color w:val="auto"/>
          <w:sz w:val="22"/>
          <w:szCs w:val="22"/>
          <w:lang w:eastAsia="en-GB"/>
        </w:rPr>
        <w:t xml:space="preserve"> I</w:t>
      </w:r>
      <w:r w:rsidR="00CF31B2">
        <w:rPr>
          <w:rFonts w:eastAsia="Times New Roman"/>
          <w:color w:val="auto"/>
          <w:sz w:val="22"/>
          <w:szCs w:val="22"/>
          <w:lang w:eastAsia="en-GB"/>
        </w:rPr>
        <w:t xml:space="preserve">nduction </w:t>
      </w:r>
      <w:r w:rsidR="004158A0">
        <w:rPr>
          <w:rFonts w:eastAsia="Times New Roman"/>
          <w:color w:val="auto"/>
          <w:sz w:val="22"/>
          <w:szCs w:val="22"/>
          <w:lang w:eastAsia="en-GB"/>
        </w:rPr>
        <w:t>P</w:t>
      </w:r>
      <w:r w:rsidR="00CF31B2">
        <w:rPr>
          <w:rFonts w:eastAsia="Times New Roman"/>
          <w:color w:val="auto"/>
          <w:sz w:val="22"/>
          <w:szCs w:val="22"/>
          <w:lang w:eastAsia="en-GB"/>
        </w:rPr>
        <w:t>rogramme</w:t>
      </w:r>
      <w:r w:rsidR="00CF31B2">
        <w:rPr>
          <w:rStyle w:val="FootnoteReference"/>
          <w:rFonts w:eastAsia="Times New Roman"/>
          <w:color w:val="auto"/>
          <w:sz w:val="22"/>
          <w:szCs w:val="22"/>
          <w:lang w:eastAsia="en-GB"/>
        </w:rPr>
        <w:footnoteReference w:id="5"/>
      </w:r>
      <w:r w:rsidR="00CF31B2">
        <w:rPr>
          <w:rFonts w:eastAsia="Times New Roman"/>
          <w:color w:val="auto"/>
          <w:sz w:val="22"/>
          <w:szCs w:val="22"/>
          <w:lang w:eastAsia="en-GB"/>
        </w:rPr>
        <w:t xml:space="preserve"> </w:t>
      </w:r>
      <w:r w:rsidR="004158A0">
        <w:rPr>
          <w:rFonts w:eastAsia="Times New Roman"/>
          <w:color w:val="auto"/>
          <w:sz w:val="22"/>
          <w:szCs w:val="22"/>
          <w:lang w:eastAsia="en-GB"/>
        </w:rPr>
        <w:t>- a package of training and support</w:t>
      </w:r>
      <w:r w:rsidR="008352D9">
        <w:rPr>
          <w:rFonts w:eastAsia="Times New Roman"/>
          <w:color w:val="auto"/>
          <w:sz w:val="22"/>
          <w:szCs w:val="22"/>
          <w:lang w:eastAsia="en-GB"/>
        </w:rPr>
        <w:t xml:space="preserve"> underpinned by the ECF</w:t>
      </w:r>
      <w:r w:rsidR="004158A0">
        <w:rPr>
          <w:rFonts w:eastAsia="Times New Roman"/>
          <w:color w:val="auto"/>
          <w:sz w:val="22"/>
          <w:szCs w:val="22"/>
          <w:lang w:eastAsia="en-GB"/>
        </w:rPr>
        <w:t xml:space="preserve"> </w:t>
      </w:r>
      <w:r w:rsidR="008352D9">
        <w:rPr>
          <w:rFonts w:eastAsia="Times New Roman"/>
          <w:color w:val="auto"/>
          <w:sz w:val="22"/>
          <w:szCs w:val="22"/>
          <w:lang w:eastAsia="en-GB"/>
        </w:rPr>
        <w:t xml:space="preserve">for </w:t>
      </w:r>
      <w:r w:rsidR="00CF31B2">
        <w:rPr>
          <w:rFonts w:eastAsia="Times New Roman"/>
          <w:color w:val="auto"/>
          <w:sz w:val="22"/>
          <w:szCs w:val="22"/>
          <w:lang w:eastAsia="en-GB"/>
        </w:rPr>
        <w:t xml:space="preserve">mentors and ECTs. </w:t>
      </w:r>
    </w:p>
    <w:p w14:paraId="6C155AFC" w14:textId="77777777" w:rsidR="00CF31B2" w:rsidRDefault="00CF31B2" w:rsidP="00CF31B2">
      <w:pPr>
        <w:pStyle w:val="Default"/>
        <w:rPr>
          <w:rFonts w:eastAsia="Times New Roman"/>
          <w:color w:val="auto"/>
          <w:sz w:val="22"/>
          <w:szCs w:val="22"/>
          <w:lang w:eastAsia="en-GB"/>
        </w:rPr>
      </w:pPr>
    </w:p>
    <w:p w14:paraId="0A50656B" w14:textId="77777777" w:rsidR="00F65D25" w:rsidRPr="00CF31B2" w:rsidRDefault="001F1E3C" w:rsidP="00CF31B2">
      <w:pPr>
        <w:pStyle w:val="Default"/>
        <w:rPr>
          <w:rFonts w:eastAsia="Times New Roman"/>
          <w:color w:val="auto"/>
          <w:sz w:val="22"/>
          <w:szCs w:val="22"/>
          <w:lang w:eastAsia="en-GB"/>
        </w:rPr>
      </w:pPr>
      <w:r w:rsidRPr="00CF31B2">
        <w:rPr>
          <w:rFonts w:eastAsia="Times New Roman"/>
          <w:color w:val="auto"/>
          <w:sz w:val="22"/>
          <w:szCs w:val="22"/>
          <w:lang w:eastAsia="en-GB"/>
        </w:rPr>
        <w:t xml:space="preserve">For national implementation to be successful, it is important to continue to work closely with the profession and to implement </w:t>
      </w:r>
      <w:r w:rsidR="00CF293E" w:rsidRPr="00CF31B2">
        <w:rPr>
          <w:rFonts w:eastAsia="Times New Roman"/>
          <w:color w:val="auto"/>
          <w:sz w:val="22"/>
          <w:szCs w:val="22"/>
          <w:lang w:eastAsia="en-GB"/>
        </w:rPr>
        <w:t xml:space="preserve">any </w:t>
      </w:r>
      <w:r w:rsidRPr="00CF31B2">
        <w:rPr>
          <w:rFonts w:eastAsia="Times New Roman"/>
          <w:color w:val="auto"/>
          <w:sz w:val="22"/>
          <w:szCs w:val="22"/>
          <w:lang w:eastAsia="en-GB"/>
        </w:rPr>
        <w:t>learning from the early roll-out</w:t>
      </w:r>
      <w:r w:rsidR="00CF31B2" w:rsidRPr="00CF31B2">
        <w:rPr>
          <w:rFonts w:eastAsia="Times New Roman"/>
          <w:color w:val="auto"/>
          <w:sz w:val="22"/>
          <w:szCs w:val="22"/>
          <w:lang w:eastAsia="en-GB"/>
        </w:rPr>
        <w:t xml:space="preserve"> of the Full-Induction Programme</w:t>
      </w:r>
      <w:r w:rsidRPr="00CF31B2">
        <w:rPr>
          <w:rFonts w:eastAsia="Times New Roman"/>
          <w:color w:val="auto"/>
          <w:sz w:val="22"/>
          <w:szCs w:val="22"/>
          <w:lang w:eastAsia="en-GB"/>
        </w:rPr>
        <w:t>.</w:t>
      </w:r>
    </w:p>
    <w:p w14:paraId="1247A60A" w14:textId="77777777" w:rsidR="00C748BB" w:rsidRPr="00C748BB" w:rsidRDefault="00C748BB" w:rsidP="00C748BB">
      <w:pPr>
        <w:spacing w:before="60" w:after="60"/>
        <w:rPr>
          <w:rFonts w:cs="Arial"/>
          <w:b/>
          <w:bCs/>
          <w:szCs w:val="22"/>
        </w:rPr>
      </w:pPr>
      <w:r w:rsidRPr="00C748BB">
        <w:rPr>
          <w:rFonts w:cs="Arial"/>
          <w:b/>
          <w:bCs/>
          <w:szCs w:val="22"/>
        </w:rPr>
        <w:lastRenderedPageBreak/>
        <w:t>The implementation timetable is as follows:</w:t>
      </w:r>
    </w:p>
    <w:p w14:paraId="61B99A35" w14:textId="047C1EFE" w:rsidR="00C748BB" w:rsidRPr="00535228" w:rsidRDefault="00C748BB" w:rsidP="00C748BB">
      <w:pPr>
        <w:pStyle w:val="ListParagraph"/>
        <w:numPr>
          <w:ilvl w:val="0"/>
          <w:numId w:val="19"/>
        </w:numPr>
        <w:spacing w:after="120" w:line="264" w:lineRule="auto"/>
        <w:rPr>
          <w:rFonts w:cs="Arial"/>
          <w:szCs w:val="22"/>
        </w:rPr>
      </w:pPr>
      <w:r>
        <w:rPr>
          <w:rFonts w:cs="Arial"/>
          <w:szCs w:val="22"/>
        </w:rPr>
        <w:t xml:space="preserve">The Education Endowment Foundation (EEF) </w:t>
      </w:r>
      <w:r w:rsidRPr="00CC6EB5">
        <w:rPr>
          <w:rFonts w:cs="Arial"/>
        </w:rPr>
        <w:t>are delivering a forerunn</w:t>
      </w:r>
      <w:r>
        <w:rPr>
          <w:rFonts w:cs="Arial"/>
        </w:rPr>
        <w:t xml:space="preserve">er pilot and process evaluation. Follow these links for details of the pilots and research protocols for each: </w:t>
      </w:r>
      <w:hyperlink r:id="rId16" w:history="1">
        <w:r w:rsidRPr="002677C4">
          <w:rPr>
            <w:rStyle w:val="Hyperlink"/>
            <w:rFonts w:cs="Arial"/>
            <w:b/>
            <w:sz w:val="22"/>
          </w:rPr>
          <w:t>Early-career support</w:t>
        </w:r>
      </w:hyperlink>
      <w:r>
        <w:rPr>
          <w:rFonts w:cs="Arial"/>
        </w:rPr>
        <w:t xml:space="preserve"> and </w:t>
      </w:r>
      <w:hyperlink r:id="rId17" w:history="1">
        <w:r w:rsidRPr="00535228">
          <w:rPr>
            <w:rStyle w:val="Hyperlink"/>
            <w:rFonts w:cs="Arial"/>
            <w:b/>
            <w:sz w:val="22"/>
          </w:rPr>
          <w:t>Early-career support: online teacher development</w:t>
        </w:r>
      </w:hyperlink>
      <w:r w:rsidRPr="00443CB8">
        <w:rPr>
          <w:rFonts w:cs="Arial"/>
          <w:b/>
        </w:rPr>
        <w:t>.</w:t>
      </w:r>
      <w:r w:rsidR="00EB6927" w:rsidRPr="00535228">
        <w:rPr>
          <w:rFonts w:cs="Arial"/>
          <w:b/>
        </w:rPr>
        <w:t xml:space="preserve"> </w:t>
      </w:r>
      <w:r w:rsidR="00EB6927" w:rsidRPr="00535228">
        <w:rPr>
          <w:rFonts w:cs="Arial"/>
          <w:bCs/>
        </w:rPr>
        <w:t>Publ</w:t>
      </w:r>
      <w:r w:rsidR="00396DBC" w:rsidRPr="00535228">
        <w:rPr>
          <w:rFonts w:cs="Arial"/>
          <w:bCs/>
        </w:rPr>
        <w:t>ica</w:t>
      </w:r>
      <w:r w:rsidR="00EB6927" w:rsidRPr="00535228">
        <w:rPr>
          <w:rFonts w:cs="Arial"/>
          <w:bCs/>
        </w:rPr>
        <w:t xml:space="preserve">tion of the process </w:t>
      </w:r>
      <w:r w:rsidR="009E22D0" w:rsidRPr="00535228">
        <w:rPr>
          <w:rFonts w:cs="Arial"/>
          <w:bCs/>
        </w:rPr>
        <w:t>evaluation</w:t>
      </w:r>
      <w:r w:rsidR="00397716" w:rsidRPr="00535228">
        <w:rPr>
          <w:rFonts w:cs="Arial"/>
          <w:bCs/>
        </w:rPr>
        <w:t xml:space="preserve"> of the pilots</w:t>
      </w:r>
      <w:r w:rsidR="00EB6927" w:rsidRPr="00535228">
        <w:rPr>
          <w:rFonts w:cs="Arial"/>
          <w:bCs/>
        </w:rPr>
        <w:t xml:space="preserve"> is expected </w:t>
      </w:r>
      <w:r w:rsidR="00396DBC" w:rsidRPr="00535228">
        <w:rPr>
          <w:rFonts w:cs="Arial"/>
          <w:bCs/>
        </w:rPr>
        <w:t xml:space="preserve">in </w:t>
      </w:r>
      <w:r w:rsidR="00397716" w:rsidRPr="00535228">
        <w:rPr>
          <w:rFonts w:cs="Arial"/>
          <w:bCs/>
        </w:rPr>
        <w:t>Summer</w:t>
      </w:r>
      <w:r w:rsidR="00396DBC" w:rsidRPr="00535228">
        <w:rPr>
          <w:rFonts w:cs="Arial"/>
          <w:bCs/>
        </w:rPr>
        <w:t xml:space="preserve"> 2020.</w:t>
      </w:r>
      <w:r w:rsidR="006503A6" w:rsidRPr="00443CB8">
        <w:rPr>
          <w:rFonts w:cs="Arial"/>
          <w:bCs/>
        </w:rPr>
        <w:t xml:space="preserve"> </w:t>
      </w:r>
    </w:p>
    <w:p w14:paraId="285DD585" w14:textId="77777777" w:rsidR="00EB6927" w:rsidRPr="00535228" w:rsidRDefault="00EB6927" w:rsidP="00EB6927">
      <w:pPr>
        <w:pStyle w:val="ListParagraph"/>
        <w:numPr>
          <w:ilvl w:val="0"/>
          <w:numId w:val="0"/>
        </w:numPr>
        <w:spacing w:after="120" w:line="264" w:lineRule="auto"/>
        <w:ind w:left="360"/>
        <w:rPr>
          <w:rFonts w:cs="Arial"/>
          <w:sz w:val="12"/>
          <w:szCs w:val="12"/>
        </w:rPr>
      </w:pPr>
    </w:p>
    <w:p w14:paraId="32D5293B" w14:textId="2AA72C36" w:rsidR="00C748BB" w:rsidRPr="00535228" w:rsidRDefault="00C748BB" w:rsidP="00C748BB">
      <w:pPr>
        <w:pStyle w:val="ListParagraph"/>
        <w:numPr>
          <w:ilvl w:val="0"/>
          <w:numId w:val="19"/>
        </w:numPr>
        <w:spacing w:after="120" w:line="264" w:lineRule="auto"/>
        <w:rPr>
          <w:rFonts w:cs="Arial"/>
          <w:szCs w:val="22"/>
        </w:rPr>
      </w:pPr>
      <w:r w:rsidRPr="00535228">
        <w:rPr>
          <w:rFonts w:cs="Arial"/>
          <w:szCs w:val="22"/>
        </w:rPr>
        <w:t xml:space="preserve">In </w:t>
      </w:r>
      <w:r w:rsidR="002A4FE1" w:rsidRPr="00535228">
        <w:rPr>
          <w:rFonts w:cs="Arial"/>
        </w:rPr>
        <w:t>early roll-out</w:t>
      </w:r>
      <w:r w:rsidR="004158A0" w:rsidRPr="00535228">
        <w:rPr>
          <w:rFonts w:cs="Arial"/>
          <w:szCs w:val="22"/>
        </w:rPr>
        <w:t xml:space="preserve"> areas</w:t>
      </w:r>
      <w:r w:rsidR="004158A0" w:rsidRPr="00535228">
        <w:rPr>
          <w:rStyle w:val="CommentReference"/>
        </w:rPr>
        <w:t xml:space="preserve">, </w:t>
      </w:r>
      <w:r w:rsidR="004158A0" w:rsidRPr="00535228">
        <w:rPr>
          <w:rFonts w:cs="Arial"/>
          <w:szCs w:val="22"/>
        </w:rPr>
        <w:t>s</w:t>
      </w:r>
      <w:r w:rsidRPr="00535228">
        <w:rPr>
          <w:rFonts w:cs="Arial"/>
          <w:szCs w:val="22"/>
        </w:rPr>
        <w:t>chools will be able to opt-in to receive the Full Induction Programme</w:t>
      </w:r>
      <w:r w:rsidRPr="00443CB8">
        <w:rPr>
          <w:rStyle w:val="FootnoteReference"/>
          <w:rFonts w:cs="Arial"/>
          <w:szCs w:val="22"/>
        </w:rPr>
        <w:footnoteReference w:id="6"/>
      </w:r>
      <w:r w:rsidRPr="00443CB8">
        <w:rPr>
          <w:rFonts w:cs="Arial"/>
          <w:szCs w:val="22"/>
        </w:rPr>
        <w:t xml:space="preserve">, ahead of national rollout. From September 2020, </w:t>
      </w:r>
      <w:r w:rsidR="00EB6927" w:rsidRPr="00535228">
        <w:rPr>
          <w:rFonts w:cs="Arial"/>
          <w:szCs w:val="22"/>
        </w:rPr>
        <w:t>four</w:t>
      </w:r>
      <w:r w:rsidRPr="00535228">
        <w:rPr>
          <w:rFonts w:cs="Arial"/>
          <w:szCs w:val="22"/>
        </w:rPr>
        <w:t xml:space="preserve"> providers</w:t>
      </w:r>
      <w:r w:rsidRPr="00443CB8">
        <w:rPr>
          <w:rFonts w:cs="Arial"/>
          <w:szCs w:val="22"/>
        </w:rPr>
        <w:t xml:space="preserve"> will </w:t>
      </w:r>
      <w:r w:rsidR="004158A0" w:rsidRPr="00535228">
        <w:rPr>
          <w:rFonts w:cs="Arial"/>
          <w:szCs w:val="22"/>
        </w:rPr>
        <w:t>deliver</w:t>
      </w:r>
      <w:r w:rsidRPr="00535228">
        <w:rPr>
          <w:rFonts w:cs="Arial"/>
          <w:szCs w:val="22"/>
        </w:rPr>
        <w:t xml:space="preserve"> variations of the</w:t>
      </w:r>
      <w:r w:rsidR="003D3766" w:rsidRPr="00535228">
        <w:rPr>
          <w:rFonts w:cs="Arial"/>
          <w:szCs w:val="22"/>
        </w:rPr>
        <w:t xml:space="preserve"> Full-</w:t>
      </w:r>
      <w:r w:rsidR="009E22D0" w:rsidRPr="00535228">
        <w:rPr>
          <w:rFonts w:cs="Arial"/>
          <w:szCs w:val="22"/>
        </w:rPr>
        <w:t>Induction</w:t>
      </w:r>
      <w:r w:rsidR="003D3766" w:rsidRPr="00535228">
        <w:rPr>
          <w:rFonts w:cs="Arial"/>
          <w:szCs w:val="22"/>
        </w:rPr>
        <w:t xml:space="preserve"> programme.</w:t>
      </w:r>
      <w:r w:rsidRPr="00535228">
        <w:rPr>
          <w:rFonts w:cs="Arial"/>
          <w:szCs w:val="22"/>
        </w:rPr>
        <w:t xml:space="preserve"> Details of the early rollout delivery invitation to tender are available following the link</w:t>
      </w:r>
      <w:r w:rsidR="00397716" w:rsidRPr="00535228">
        <w:rPr>
          <w:rFonts w:cs="Arial"/>
          <w:szCs w:val="22"/>
        </w:rPr>
        <w:t xml:space="preserve"> to past tenders</w:t>
      </w:r>
      <w:r w:rsidRPr="00535228">
        <w:rPr>
          <w:rFonts w:cs="Arial"/>
          <w:szCs w:val="22"/>
        </w:rPr>
        <w:t xml:space="preserve"> </w:t>
      </w:r>
      <w:hyperlink r:id="rId18" w:history="1">
        <w:r w:rsidRPr="00535228">
          <w:rPr>
            <w:rStyle w:val="Hyperlink"/>
            <w:rFonts w:cs="Arial"/>
            <w:b/>
            <w:sz w:val="22"/>
            <w:szCs w:val="22"/>
          </w:rPr>
          <w:t>HERE</w:t>
        </w:r>
      </w:hyperlink>
      <w:r w:rsidR="00007F62" w:rsidRPr="00007F62">
        <w:rPr>
          <w:rStyle w:val="Hyperlink"/>
          <w:rFonts w:cs="Arial"/>
          <w:bCs/>
          <w:sz w:val="22"/>
          <w:szCs w:val="22"/>
        </w:rPr>
        <w:t xml:space="preserve"> </w:t>
      </w:r>
      <w:r w:rsidR="00007F62" w:rsidRPr="00007F62">
        <w:t>(select view opportunities, past opportunities)</w:t>
      </w:r>
      <w:r w:rsidRPr="00007F62">
        <w:rPr>
          <w:rFonts w:cs="Arial"/>
          <w:szCs w:val="22"/>
        </w:rPr>
        <w:t xml:space="preserve">. </w:t>
      </w:r>
      <w:r w:rsidR="004158A0" w:rsidRPr="00535228">
        <w:rPr>
          <w:rFonts w:cs="Arial"/>
          <w:szCs w:val="22"/>
        </w:rPr>
        <w:t xml:space="preserve">During </w:t>
      </w:r>
      <w:r w:rsidR="002A4FE1" w:rsidRPr="00535228">
        <w:rPr>
          <w:rFonts w:cs="Arial"/>
        </w:rPr>
        <w:t>early roll-out</w:t>
      </w:r>
      <w:r w:rsidRPr="00535228">
        <w:rPr>
          <w:rFonts w:cs="Arial"/>
          <w:szCs w:val="22"/>
        </w:rPr>
        <w:t xml:space="preserve">, whilst the Full-Induction Programme will last two years, formal induction will continue to be one year long, at which point ECTs will be assessed against the Teachers’ Standards to determine whether they have passed induction, as is the present arrangement. Schools participating in </w:t>
      </w:r>
      <w:r w:rsidR="002A4FE1" w:rsidRPr="00535228">
        <w:rPr>
          <w:rFonts w:cs="Arial"/>
        </w:rPr>
        <w:t xml:space="preserve">early roll-out </w:t>
      </w:r>
      <w:r w:rsidRPr="00535228">
        <w:rPr>
          <w:rFonts w:cs="Arial"/>
          <w:szCs w:val="22"/>
        </w:rPr>
        <w:t xml:space="preserve">will receive an additional 5% off-timetable funding for ECTs in the second year and additional funding for mentors to support the early career teacher in the second year of induction. Further details of the ERO </w:t>
      </w:r>
      <w:r w:rsidR="00007F62">
        <w:rPr>
          <w:rFonts w:cs="Arial"/>
          <w:szCs w:val="22"/>
        </w:rPr>
        <w:t>support package, suppliers</w:t>
      </w:r>
      <w:r w:rsidRPr="00535228">
        <w:rPr>
          <w:rFonts w:cs="Arial"/>
          <w:szCs w:val="22"/>
        </w:rPr>
        <w:t xml:space="preserve"> and delivery offer can be found </w:t>
      </w:r>
      <w:hyperlink r:id="rId19" w:history="1">
        <w:r w:rsidRPr="00535228">
          <w:rPr>
            <w:rStyle w:val="Hyperlink"/>
            <w:rFonts w:cs="Arial"/>
            <w:b/>
            <w:bCs/>
            <w:sz w:val="22"/>
            <w:szCs w:val="22"/>
          </w:rPr>
          <w:t>HERE</w:t>
        </w:r>
      </w:hyperlink>
      <w:r w:rsidR="00007F62">
        <w:rPr>
          <w:rFonts w:cs="Arial"/>
          <w:szCs w:val="22"/>
        </w:rPr>
        <w:t>.</w:t>
      </w:r>
    </w:p>
    <w:p w14:paraId="369B9513" w14:textId="77777777" w:rsidR="00C748BB" w:rsidRPr="00CF31B2" w:rsidRDefault="00C748BB" w:rsidP="00C748BB">
      <w:pPr>
        <w:pStyle w:val="ListParagraph"/>
        <w:numPr>
          <w:ilvl w:val="0"/>
          <w:numId w:val="0"/>
        </w:numPr>
        <w:spacing w:after="120" w:line="264" w:lineRule="auto"/>
        <w:ind w:left="360"/>
        <w:rPr>
          <w:rFonts w:cs="Arial"/>
          <w:sz w:val="12"/>
          <w:szCs w:val="12"/>
        </w:rPr>
      </w:pPr>
    </w:p>
    <w:p w14:paraId="09B2CF2D" w14:textId="77777777" w:rsidR="00EB6927" w:rsidRDefault="00C748BB" w:rsidP="00EB6927">
      <w:pPr>
        <w:pStyle w:val="ListParagraph"/>
        <w:numPr>
          <w:ilvl w:val="0"/>
          <w:numId w:val="19"/>
        </w:numPr>
        <w:spacing w:after="0" w:line="264" w:lineRule="auto"/>
        <w:ind w:left="357" w:hanging="357"/>
        <w:contextualSpacing w:val="0"/>
        <w:rPr>
          <w:rFonts w:cs="Arial"/>
          <w:szCs w:val="22"/>
        </w:rPr>
      </w:pPr>
      <w:r w:rsidRPr="0070260D">
        <w:rPr>
          <w:rFonts w:cs="Arial"/>
          <w:szCs w:val="22"/>
        </w:rPr>
        <w:t xml:space="preserve">In National Rollout, from September 2021 all ECTs undertaking statutory induction will be required to have a two-year induction programme, at the end of which they will be assessed against the Teachers’ Standards. Schools will be able to access the freely available Basic Induction Programme developed during ERO to inform their own induction provision or access fully funded training. </w:t>
      </w:r>
    </w:p>
    <w:p w14:paraId="638AD7B9" w14:textId="77777777" w:rsidR="00535228" w:rsidRPr="00007F62" w:rsidRDefault="00535228" w:rsidP="00007F62">
      <w:pPr>
        <w:spacing w:after="0" w:line="264" w:lineRule="auto"/>
        <w:rPr>
          <w:rFonts w:cs="Arial"/>
          <w:szCs w:val="22"/>
        </w:rPr>
      </w:pPr>
    </w:p>
    <w:p w14:paraId="6082B1F1" w14:textId="77777777" w:rsidR="00A57128" w:rsidRDefault="00A57128" w:rsidP="00777ED9">
      <w:pPr>
        <w:pStyle w:val="Heading2"/>
        <w:spacing w:before="240" w:after="120"/>
      </w:pPr>
      <w:r w:rsidRPr="003E05F9">
        <w:t>Evaluation aims</w:t>
      </w:r>
    </w:p>
    <w:p w14:paraId="10F14D4F" w14:textId="77777777" w:rsidR="00484F42" w:rsidRDefault="00484F42" w:rsidP="00484F42">
      <w:pPr>
        <w:spacing w:after="0"/>
        <w:rPr>
          <w:rFonts w:cs="Arial"/>
        </w:rPr>
      </w:pPr>
      <w:r w:rsidRPr="00C1516C">
        <w:rPr>
          <w:rFonts w:cs="Arial"/>
          <w:b/>
          <w:bCs/>
        </w:rPr>
        <w:t xml:space="preserve">Aim:  </w:t>
      </w:r>
      <w:r w:rsidRPr="00C1516C">
        <w:rPr>
          <w:rFonts w:cs="Arial"/>
        </w:rPr>
        <w:t>To increase the potential for the Full-Induction Programme to meet the needs of early career teachers (ECTs), mentors and schools, by informing continuous improvement during early roll-out and, planning and implementation of national roll-out.</w:t>
      </w:r>
    </w:p>
    <w:p w14:paraId="142F929D" w14:textId="77777777" w:rsidR="00484F42" w:rsidRPr="002A7B6D" w:rsidRDefault="00484F42" w:rsidP="00484F42">
      <w:pPr>
        <w:spacing w:after="0"/>
        <w:rPr>
          <w:rFonts w:cs="Arial"/>
          <w:sz w:val="12"/>
          <w:szCs w:val="12"/>
        </w:rPr>
      </w:pPr>
    </w:p>
    <w:p w14:paraId="00184C62" w14:textId="77777777" w:rsidR="00484F42" w:rsidRPr="004F6D24" w:rsidRDefault="00484F42" w:rsidP="00484F42">
      <w:pPr>
        <w:pStyle w:val="NumberedNormal"/>
        <w:numPr>
          <w:ilvl w:val="0"/>
          <w:numId w:val="0"/>
        </w:numPr>
        <w:spacing w:after="120" w:line="288" w:lineRule="auto"/>
        <w:rPr>
          <w:rFonts w:ascii="Arial" w:hAnsi="Arial" w:cs="Arial"/>
          <w:b/>
          <w:sz w:val="22"/>
          <w:szCs w:val="22"/>
        </w:rPr>
      </w:pPr>
      <w:r w:rsidRPr="004F6D24">
        <w:rPr>
          <w:rFonts w:ascii="Arial" w:hAnsi="Arial" w:cs="Arial"/>
          <w:b/>
          <w:sz w:val="22"/>
          <w:szCs w:val="22"/>
        </w:rPr>
        <w:t>In order to deliver on this, the research objectives are to:</w:t>
      </w:r>
    </w:p>
    <w:p w14:paraId="3F36F9AF" w14:textId="77777777" w:rsidR="00484F42" w:rsidRPr="00C1516C" w:rsidRDefault="00484F42" w:rsidP="00484F42">
      <w:pPr>
        <w:pStyle w:val="ListParagraph"/>
        <w:numPr>
          <w:ilvl w:val="0"/>
          <w:numId w:val="25"/>
        </w:numPr>
        <w:spacing w:after="0"/>
        <w:ind w:left="397" w:hanging="227"/>
        <w:contextualSpacing w:val="0"/>
        <w:rPr>
          <w:rFonts w:cs="Arial"/>
        </w:rPr>
      </w:pPr>
      <w:r w:rsidRPr="00C1516C">
        <w:rPr>
          <w:rFonts w:cs="Arial"/>
        </w:rPr>
        <w:t>Evaluate approaches used to deliver the Full-Induction Programme by each provider, and what works (or not) and why.</w:t>
      </w:r>
    </w:p>
    <w:p w14:paraId="3B157D40" w14:textId="77777777" w:rsidR="00484F42" w:rsidRPr="00C1516C" w:rsidRDefault="00484F42" w:rsidP="00484F42">
      <w:pPr>
        <w:pStyle w:val="ListParagraph"/>
        <w:numPr>
          <w:ilvl w:val="0"/>
          <w:numId w:val="25"/>
        </w:numPr>
        <w:spacing w:after="0"/>
        <w:ind w:left="397" w:hanging="227"/>
        <w:contextualSpacing w:val="0"/>
        <w:rPr>
          <w:rFonts w:cs="Arial"/>
        </w:rPr>
      </w:pPr>
      <w:r w:rsidRPr="00C1516C">
        <w:rPr>
          <w:rFonts w:cs="Arial"/>
        </w:rPr>
        <w:t xml:space="preserve">Evaluate the characteristics, awareness, choices and motivations of eligible schools that engage / do not engage with the Full-Induction Programme during early roll-out. </w:t>
      </w:r>
    </w:p>
    <w:p w14:paraId="4272DD16" w14:textId="77777777" w:rsidR="00484F42" w:rsidRPr="00C1516C" w:rsidRDefault="00484F42" w:rsidP="00484F42">
      <w:pPr>
        <w:pStyle w:val="ListParagraph"/>
        <w:numPr>
          <w:ilvl w:val="0"/>
          <w:numId w:val="25"/>
        </w:numPr>
        <w:spacing w:after="0"/>
        <w:ind w:left="397" w:hanging="227"/>
        <w:contextualSpacing w:val="0"/>
        <w:rPr>
          <w:rFonts w:cs="Arial"/>
        </w:rPr>
      </w:pPr>
      <w:r w:rsidRPr="00C1516C">
        <w:rPr>
          <w:rFonts w:cs="Arial"/>
        </w:rPr>
        <w:t>Evaluate the experience and satisfaction of schools, mentors and ECTs who engage with the full-induction programme, contributory factors, and what works well/ less well.</w:t>
      </w:r>
    </w:p>
    <w:p w14:paraId="4B9870DB" w14:textId="77777777" w:rsidR="00484F42" w:rsidRPr="00C1516C" w:rsidRDefault="00484F42" w:rsidP="00683ECB">
      <w:pPr>
        <w:pStyle w:val="ListParagraph"/>
        <w:numPr>
          <w:ilvl w:val="0"/>
          <w:numId w:val="25"/>
        </w:numPr>
        <w:spacing w:after="0"/>
        <w:ind w:left="397" w:hanging="227"/>
        <w:contextualSpacing w:val="0"/>
        <w:rPr>
          <w:rFonts w:cs="Arial"/>
        </w:rPr>
      </w:pPr>
      <w:r w:rsidRPr="00C1516C">
        <w:rPr>
          <w:rFonts w:cs="Arial"/>
        </w:rPr>
        <w:t>Understand emerging outcomes for schools, mentors and ECTs and track leading indicators of potential for longer-term retention outcomes for ECTs (self-reported data).</w:t>
      </w:r>
    </w:p>
    <w:p w14:paraId="322E4F8F" w14:textId="77777777" w:rsidR="00484F42" w:rsidRDefault="00484F42" w:rsidP="00484F42">
      <w:pPr>
        <w:pStyle w:val="ListParagraph"/>
        <w:numPr>
          <w:ilvl w:val="0"/>
          <w:numId w:val="25"/>
        </w:numPr>
        <w:spacing w:after="0"/>
        <w:ind w:left="397" w:hanging="227"/>
        <w:contextualSpacing w:val="0"/>
        <w:rPr>
          <w:rFonts w:cs="Arial"/>
        </w:rPr>
      </w:pPr>
      <w:r w:rsidRPr="00C1516C">
        <w:rPr>
          <w:rFonts w:cs="Arial"/>
        </w:rPr>
        <w:t>Provide feedback loops to inform the continuous improvement of delivery of early rollout and inform planning, risk management and delivery of national roll-out, and case-stories to communicate operational insights.</w:t>
      </w:r>
    </w:p>
    <w:p w14:paraId="35AEFE29" w14:textId="2D610488" w:rsidR="00535228" w:rsidRDefault="00535228" w:rsidP="00535228">
      <w:pPr>
        <w:pStyle w:val="ListParagraph"/>
        <w:numPr>
          <w:ilvl w:val="0"/>
          <w:numId w:val="0"/>
        </w:numPr>
        <w:spacing w:after="0"/>
        <w:ind w:left="397"/>
        <w:contextualSpacing w:val="0"/>
        <w:rPr>
          <w:rFonts w:cs="Arial"/>
        </w:rPr>
      </w:pPr>
    </w:p>
    <w:p w14:paraId="7DF79A1D" w14:textId="77777777" w:rsidR="008352D9" w:rsidRDefault="008352D9" w:rsidP="00535228">
      <w:pPr>
        <w:pStyle w:val="ListParagraph"/>
        <w:numPr>
          <w:ilvl w:val="0"/>
          <w:numId w:val="0"/>
        </w:numPr>
        <w:spacing w:after="0"/>
        <w:ind w:left="397"/>
        <w:contextualSpacing w:val="0"/>
        <w:rPr>
          <w:rFonts w:cs="Arial"/>
        </w:rPr>
      </w:pPr>
    </w:p>
    <w:p w14:paraId="1559433D" w14:textId="056040C1" w:rsidR="004A600B" w:rsidRPr="004A600B" w:rsidRDefault="004A600B" w:rsidP="00777ED9">
      <w:pPr>
        <w:pStyle w:val="Heading2"/>
        <w:spacing w:before="240" w:after="120"/>
      </w:pPr>
      <w:r>
        <w:lastRenderedPageBreak/>
        <w:t>Methodology</w:t>
      </w:r>
    </w:p>
    <w:p w14:paraId="1C75348F" w14:textId="77777777" w:rsidR="00E45BAB" w:rsidRDefault="00397716" w:rsidP="001E1790">
      <w:pPr>
        <w:spacing w:after="120" w:line="264" w:lineRule="auto"/>
        <w:rPr>
          <w:rFonts w:cs="Arial"/>
          <w:szCs w:val="22"/>
        </w:rPr>
      </w:pPr>
      <w:r>
        <w:rPr>
          <w:rFonts w:cs="Arial"/>
          <w:szCs w:val="22"/>
        </w:rPr>
        <w:t xml:space="preserve">DfE </w:t>
      </w:r>
      <w:r w:rsidR="00E45BAB" w:rsidRPr="00402E6F">
        <w:rPr>
          <w:rFonts w:cs="Arial"/>
          <w:szCs w:val="22"/>
        </w:rPr>
        <w:t>require a package of activity</w:t>
      </w:r>
      <w:r w:rsidR="00E45BAB">
        <w:rPr>
          <w:rFonts w:cs="Arial"/>
          <w:szCs w:val="22"/>
        </w:rPr>
        <w:t xml:space="preserve"> </w:t>
      </w:r>
      <w:r>
        <w:rPr>
          <w:rFonts w:cs="Arial"/>
          <w:szCs w:val="22"/>
        </w:rPr>
        <w:t>that</w:t>
      </w:r>
      <w:r w:rsidR="00E45BAB" w:rsidRPr="00402E6F">
        <w:rPr>
          <w:rFonts w:cs="Arial"/>
          <w:szCs w:val="22"/>
        </w:rPr>
        <w:t xml:space="preserve"> </w:t>
      </w:r>
      <w:r w:rsidR="00CD33B1">
        <w:rPr>
          <w:rFonts w:cs="Arial"/>
          <w:szCs w:val="22"/>
        </w:rPr>
        <w:t>delivers a</w:t>
      </w:r>
      <w:r w:rsidR="00E45BAB" w:rsidRPr="00402E6F">
        <w:rPr>
          <w:rFonts w:cs="Arial"/>
          <w:szCs w:val="22"/>
        </w:rPr>
        <w:t xml:space="preserve"> robust </w:t>
      </w:r>
      <w:r w:rsidR="00CD33B1">
        <w:rPr>
          <w:rFonts w:cs="Arial"/>
          <w:szCs w:val="22"/>
        </w:rPr>
        <w:t xml:space="preserve">process </w:t>
      </w:r>
      <w:r w:rsidR="00E45BAB" w:rsidRPr="00402E6F">
        <w:rPr>
          <w:rFonts w:cs="Arial"/>
          <w:szCs w:val="22"/>
        </w:rPr>
        <w:t>evaluation</w:t>
      </w:r>
      <w:r w:rsidR="00CD33B1">
        <w:rPr>
          <w:rFonts w:cs="Arial"/>
          <w:szCs w:val="22"/>
        </w:rPr>
        <w:t xml:space="preserve">, </w:t>
      </w:r>
      <w:r w:rsidR="003B36C3">
        <w:rPr>
          <w:rFonts w:cs="Arial"/>
          <w:szCs w:val="22"/>
        </w:rPr>
        <w:t xml:space="preserve">rich understanding of implementation challenges and successes, </w:t>
      </w:r>
      <w:r>
        <w:rPr>
          <w:rFonts w:cs="Arial"/>
          <w:szCs w:val="22"/>
        </w:rPr>
        <w:t>near real-time</w:t>
      </w:r>
      <w:r w:rsidR="006234A5">
        <w:rPr>
          <w:rFonts w:cs="Arial"/>
          <w:szCs w:val="22"/>
        </w:rPr>
        <w:t xml:space="preserve"> </w:t>
      </w:r>
      <w:r w:rsidR="00CD33B1">
        <w:rPr>
          <w:rFonts w:cs="Arial"/>
          <w:szCs w:val="22"/>
        </w:rPr>
        <w:t xml:space="preserve">insights about </w:t>
      </w:r>
      <w:r>
        <w:rPr>
          <w:rFonts w:cs="Arial"/>
          <w:szCs w:val="22"/>
        </w:rPr>
        <w:t>how the full-induction programme is implemented and experienced</w:t>
      </w:r>
      <w:r w:rsidR="00CD33B1">
        <w:rPr>
          <w:rFonts w:cs="Arial"/>
          <w:szCs w:val="22"/>
        </w:rPr>
        <w:t xml:space="preserve">, </w:t>
      </w:r>
      <w:r w:rsidR="006234A5">
        <w:rPr>
          <w:rFonts w:cs="Arial"/>
          <w:szCs w:val="22"/>
        </w:rPr>
        <w:t xml:space="preserve">and </w:t>
      </w:r>
      <w:r w:rsidR="003B36C3">
        <w:rPr>
          <w:rFonts w:cs="Arial"/>
          <w:szCs w:val="22"/>
        </w:rPr>
        <w:t>input to the tracking of</w:t>
      </w:r>
      <w:r w:rsidR="006234A5">
        <w:rPr>
          <w:rFonts w:cs="Arial"/>
          <w:szCs w:val="22"/>
        </w:rPr>
        <w:t xml:space="preserve"> leading indicators for retention and teacher quality. </w:t>
      </w:r>
      <w:r>
        <w:rPr>
          <w:rFonts w:cs="Arial"/>
          <w:szCs w:val="22"/>
        </w:rPr>
        <w:t>T</w:t>
      </w:r>
      <w:r w:rsidR="006234A5">
        <w:rPr>
          <w:rFonts w:cs="Arial"/>
          <w:szCs w:val="22"/>
        </w:rPr>
        <w:t xml:space="preserve">he </w:t>
      </w:r>
      <w:r w:rsidR="003B36C3">
        <w:rPr>
          <w:rFonts w:cs="Arial"/>
          <w:szCs w:val="22"/>
        </w:rPr>
        <w:t xml:space="preserve">ultimate role of the </w:t>
      </w:r>
      <w:r w:rsidR="006234A5">
        <w:rPr>
          <w:rFonts w:cs="Arial"/>
          <w:szCs w:val="22"/>
        </w:rPr>
        <w:t xml:space="preserve">evaluation </w:t>
      </w:r>
      <w:r w:rsidR="003B36C3">
        <w:rPr>
          <w:rFonts w:cs="Arial"/>
          <w:szCs w:val="22"/>
        </w:rPr>
        <w:t>is to be</w:t>
      </w:r>
      <w:r w:rsidR="006234A5">
        <w:rPr>
          <w:rFonts w:cs="Arial"/>
          <w:szCs w:val="22"/>
        </w:rPr>
        <w:t xml:space="preserve"> a </w:t>
      </w:r>
      <w:r w:rsidR="00E45BAB" w:rsidRPr="00402E6F">
        <w:rPr>
          <w:rFonts w:cs="Arial"/>
          <w:szCs w:val="22"/>
        </w:rPr>
        <w:t>catalyst for continuous improvement</w:t>
      </w:r>
      <w:r w:rsidR="004B7F70">
        <w:rPr>
          <w:rFonts w:cs="Arial"/>
          <w:szCs w:val="22"/>
        </w:rPr>
        <w:t xml:space="preserve"> during early roll-out</w:t>
      </w:r>
      <w:r w:rsidR="00E45BAB">
        <w:rPr>
          <w:rFonts w:cs="Arial"/>
          <w:szCs w:val="22"/>
        </w:rPr>
        <w:t xml:space="preserve"> </w:t>
      </w:r>
      <w:r w:rsidR="006234A5">
        <w:rPr>
          <w:rFonts w:cs="Arial"/>
          <w:szCs w:val="22"/>
        </w:rPr>
        <w:t>and</w:t>
      </w:r>
      <w:r w:rsidR="00CD33B1">
        <w:rPr>
          <w:rFonts w:cs="Arial"/>
          <w:szCs w:val="22"/>
        </w:rPr>
        <w:t xml:space="preserve"> facilitate the</w:t>
      </w:r>
      <w:r w:rsidR="00E45BAB">
        <w:rPr>
          <w:rFonts w:cs="Arial"/>
          <w:szCs w:val="22"/>
        </w:rPr>
        <w:t xml:space="preserve"> planning and </w:t>
      </w:r>
      <w:r w:rsidR="00CD33B1">
        <w:rPr>
          <w:rFonts w:cs="Arial"/>
          <w:szCs w:val="22"/>
        </w:rPr>
        <w:t>implementation</w:t>
      </w:r>
      <w:r w:rsidR="00E45BAB">
        <w:rPr>
          <w:rFonts w:cs="Arial"/>
          <w:szCs w:val="22"/>
        </w:rPr>
        <w:t xml:space="preserve"> of national roll</w:t>
      </w:r>
      <w:r w:rsidR="003B36C3">
        <w:rPr>
          <w:rFonts w:cs="Arial"/>
          <w:szCs w:val="22"/>
        </w:rPr>
        <w:t>-</w:t>
      </w:r>
      <w:r w:rsidR="00E45BAB">
        <w:rPr>
          <w:rFonts w:cs="Arial"/>
          <w:szCs w:val="22"/>
        </w:rPr>
        <w:t>ou</w:t>
      </w:r>
      <w:r w:rsidR="004B7F70">
        <w:rPr>
          <w:rFonts w:cs="Arial"/>
          <w:szCs w:val="22"/>
        </w:rPr>
        <w:t>t</w:t>
      </w:r>
      <w:r w:rsidR="00CD33B1">
        <w:rPr>
          <w:rFonts w:cs="Arial"/>
          <w:szCs w:val="22"/>
        </w:rPr>
        <w:t>.</w:t>
      </w:r>
      <w:r w:rsidR="003D3766">
        <w:rPr>
          <w:rFonts w:cs="Arial"/>
          <w:szCs w:val="22"/>
        </w:rPr>
        <w:t xml:space="preserve"> </w:t>
      </w:r>
    </w:p>
    <w:p w14:paraId="576E0AAB" w14:textId="77777777" w:rsidR="009F7391" w:rsidRPr="009F7391" w:rsidRDefault="009F7391" w:rsidP="001E1790">
      <w:pPr>
        <w:spacing w:after="120" w:line="264" w:lineRule="auto"/>
        <w:rPr>
          <w:rFonts w:eastAsia="Calibri" w:cs="Arial"/>
          <w:szCs w:val="22"/>
          <w:lang w:eastAsia="en-US"/>
        </w:rPr>
      </w:pPr>
      <w:r>
        <w:rPr>
          <w:rFonts w:cs="Arial"/>
          <w:szCs w:val="22"/>
        </w:rPr>
        <w:t xml:space="preserve">We envisage that the research will be </w:t>
      </w:r>
      <w:r w:rsidR="009E22D0">
        <w:rPr>
          <w:rFonts w:cs="Arial"/>
          <w:szCs w:val="22"/>
        </w:rPr>
        <w:t>mixed method</w:t>
      </w:r>
      <w:r w:rsidR="003B36C3">
        <w:rPr>
          <w:rFonts w:cs="Arial"/>
          <w:szCs w:val="22"/>
        </w:rPr>
        <w:t xml:space="preserve">. </w:t>
      </w:r>
      <w:r w:rsidR="00915AF5">
        <w:rPr>
          <w:rFonts w:cs="Arial"/>
          <w:szCs w:val="22"/>
        </w:rPr>
        <w:t>Flexibility and potential for tailoring, pursuit and relay of</w:t>
      </w:r>
      <w:r w:rsidR="00915AF5" w:rsidRPr="00784489">
        <w:rPr>
          <w:rFonts w:cs="Arial"/>
          <w:szCs w:val="22"/>
        </w:rPr>
        <w:t xml:space="preserve"> learning about ‘what works’, why </w:t>
      </w:r>
      <w:r w:rsidR="00915AF5">
        <w:rPr>
          <w:rFonts w:cs="Arial"/>
          <w:szCs w:val="22"/>
        </w:rPr>
        <w:t xml:space="preserve">/ </w:t>
      </w:r>
      <w:r w:rsidR="00915AF5" w:rsidRPr="00784489">
        <w:rPr>
          <w:rFonts w:cs="Arial"/>
          <w:szCs w:val="22"/>
        </w:rPr>
        <w:t>why not</w:t>
      </w:r>
      <w:r w:rsidR="00915AF5">
        <w:rPr>
          <w:rFonts w:cs="Arial"/>
          <w:szCs w:val="22"/>
        </w:rPr>
        <w:t>, will need to be</w:t>
      </w:r>
      <w:r w:rsidR="00915AF5" w:rsidRPr="00784489">
        <w:rPr>
          <w:rFonts w:cs="Arial"/>
          <w:szCs w:val="22"/>
        </w:rPr>
        <w:t xml:space="preserve"> inbuilt</w:t>
      </w:r>
      <w:r w:rsidR="00915AF5">
        <w:rPr>
          <w:rFonts w:cs="Arial"/>
          <w:szCs w:val="22"/>
        </w:rPr>
        <w:t xml:space="preserve"> in the design. It will be important to strike a balance between maximising </w:t>
      </w:r>
      <w:r w:rsidRPr="00784489">
        <w:rPr>
          <w:rFonts w:cs="Arial"/>
          <w:szCs w:val="22"/>
        </w:rPr>
        <w:t>learning</w:t>
      </w:r>
      <w:r w:rsidR="00683ECB">
        <w:rPr>
          <w:rFonts w:cs="Arial"/>
          <w:szCs w:val="22"/>
        </w:rPr>
        <w:t xml:space="preserve"> and impact</w:t>
      </w:r>
      <w:r>
        <w:rPr>
          <w:rFonts w:cs="Arial"/>
          <w:szCs w:val="22"/>
        </w:rPr>
        <w:t>,</w:t>
      </w:r>
      <w:r w:rsidR="003B36C3">
        <w:rPr>
          <w:rFonts w:cs="Arial"/>
          <w:szCs w:val="22"/>
        </w:rPr>
        <w:t xml:space="preserve"> guarding against </w:t>
      </w:r>
      <w:r w:rsidRPr="00784489">
        <w:rPr>
          <w:rFonts w:cs="Arial"/>
          <w:szCs w:val="22"/>
        </w:rPr>
        <w:t>burden</w:t>
      </w:r>
      <w:r w:rsidR="003B36C3">
        <w:rPr>
          <w:rFonts w:cs="Arial"/>
          <w:szCs w:val="22"/>
        </w:rPr>
        <w:t xml:space="preserve"> </w:t>
      </w:r>
      <w:r w:rsidRPr="00784489">
        <w:rPr>
          <w:rFonts w:cs="Arial"/>
          <w:szCs w:val="22"/>
        </w:rPr>
        <w:t>and cost</w:t>
      </w:r>
      <w:r w:rsidR="004B7F70">
        <w:rPr>
          <w:rFonts w:cs="Arial"/>
          <w:szCs w:val="22"/>
        </w:rPr>
        <w:t>-</w:t>
      </w:r>
      <w:r w:rsidRPr="00784489">
        <w:rPr>
          <w:rFonts w:cs="Arial"/>
          <w:szCs w:val="22"/>
        </w:rPr>
        <w:t xml:space="preserve">efficiency. </w:t>
      </w:r>
      <w:r w:rsidR="00915AF5">
        <w:rPr>
          <w:rFonts w:cs="Arial"/>
          <w:szCs w:val="22"/>
        </w:rPr>
        <w:t>And w</w:t>
      </w:r>
      <w:r>
        <w:rPr>
          <w:rFonts w:cs="Arial"/>
          <w:szCs w:val="22"/>
        </w:rPr>
        <w:t xml:space="preserve">here possible, engagement in the </w:t>
      </w:r>
      <w:r w:rsidR="009E22D0">
        <w:rPr>
          <w:rFonts w:cs="Arial"/>
          <w:szCs w:val="22"/>
        </w:rPr>
        <w:t>evaluation</w:t>
      </w:r>
      <w:r>
        <w:rPr>
          <w:rFonts w:cs="Arial"/>
          <w:szCs w:val="22"/>
        </w:rPr>
        <w:t xml:space="preserve"> </w:t>
      </w:r>
      <w:r w:rsidR="00915AF5">
        <w:rPr>
          <w:rFonts w:cs="Arial"/>
          <w:szCs w:val="22"/>
        </w:rPr>
        <w:t xml:space="preserve">should </w:t>
      </w:r>
      <w:r>
        <w:rPr>
          <w:rFonts w:cs="Arial"/>
          <w:szCs w:val="22"/>
        </w:rPr>
        <w:t>offer reciprocal benefit</w:t>
      </w:r>
      <w:r w:rsidR="004B7F70">
        <w:rPr>
          <w:rFonts w:cs="Arial"/>
          <w:szCs w:val="22"/>
        </w:rPr>
        <w:t>s</w:t>
      </w:r>
      <w:r w:rsidR="00BF61E4">
        <w:rPr>
          <w:rFonts w:cs="Arial"/>
          <w:szCs w:val="22"/>
        </w:rPr>
        <w:t xml:space="preserve"> to providers, schools and teachers</w:t>
      </w:r>
      <w:r>
        <w:rPr>
          <w:rFonts w:cs="Arial"/>
          <w:szCs w:val="22"/>
        </w:rPr>
        <w:t xml:space="preserve">. </w:t>
      </w:r>
    </w:p>
    <w:p w14:paraId="339C2F38" w14:textId="1F07A543" w:rsidR="00E45BAB" w:rsidRDefault="00E45BAB" w:rsidP="001E1790">
      <w:pPr>
        <w:spacing w:after="120" w:line="264" w:lineRule="auto"/>
        <w:rPr>
          <w:rFonts w:cs="Arial"/>
          <w:szCs w:val="22"/>
        </w:rPr>
      </w:pPr>
      <w:r>
        <w:rPr>
          <w:rFonts w:cs="Arial"/>
          <w:szCs w:val="22"/>
        </w:rPr>
        <w:t xml:space="preserve">The </w:t>
      </w:r>
      <w:r w:rsidR="003D3766">
        <w:rPr>
          <w:rFonts w:cs="Arial"/>
          <w:szCs w:val="22"/>
        </w:rPr>
        <w:t>full specification</w:t>
      </w:r>
      <w:r>
        <w:rPr>
          <w:rFonts w:cs="Arial"/>
          <w:szCs w:val="22"/>
        </w:rPr>
        <w:t xml:space="preserve"> will consist of</w:t>
      </w:r>
      <w:r w:rsidR="004B7F70">
        <w:rPr>
          <w:rFonts w:cs="Arial"/>
          <w:szCs w:val="22"/>
        </w:rPr>
        <w:t xml:space="preserve"> some</w:t>
      </w:r>
      <w:r>
        <w:rPr>
          <w:rFonts w:cs="Arial"/>
          <w:szCs w:val="22"/>
        </w:rPr>
        <w:t xml:space="preserve"> prescribed </w:t>
      </w:r>
      <w:r w:rsidR="004B7F70">
        <w:rPr>
          <w:rFonts w:cs="Arial"/>
          <w:szCs w:val="22"/>
        </w:rPr>
        <w:t>method and reporting requirements;</w:t>
      </w:r>
      <w:r w:rsidR="00683ECB">
        <w:rPr>
          <w:rFonts w:cs="Arial"/>
          <w:szCs w:val="22"/>
        </w:rPr>
        <w:t xml:space="preserve"> </w:t>
      </w:r>
      <w:r>
        <w:rPr>
          <w:rFonts w:cs="Arial"/>
          <w:szCs w:val="22"/>
        </w:rPr>
        <w:t>and</w:t>
      </w:r>
      <w:r w:rsidR="004B7F70">
        <w:rPr>
          <w:rFonts w:cs="Arial"/>
          <w:szCs w:val="22"/>
        </w:rPr>
        <w:t>, to complete the package of research,</w:t>
      </w:r>
      <w:r>
        <w:rPr>
          <w:rFonts w:cs="Arial"/>
          <w:szCs w:val="22"/>
        </w:rPr>
        <w:t xml:space="preserve"> an </w:t>
      </w:r>
      <w:r w:rsidR="00683ECB">
        <w:rPr>
          <w:rFonts w:cs="Arial"/>
          <w:szCs w:val="22"/>
        </w:rPr>
        <w:t>invitation to</w:t>
      </w:r>
      <w:r>
        <w:rPr>
          <w:rFonts w:cs="Arial"/>
          <w:szCs w:val="22"/>
        </w:rPr>
        <w:t xml:space="preserve"> bidder</w:t>
      </w:r>
      <w:r w:rsidR="00683ECB">
        <w:rPr>
          <w:rFonts w:cs="Arial"/>
          <w:szCs w:val="22"/>
        </w:rPr>
        <w:t>s</w:t>
      </w:r>
      <w:r>
        <w:rPr>
          <w:rFonts w:cs="Arial"/>
          <w:szCs w:val="22"/>
        </w:rPr>
        <w:t xml:space="preserve"> to suggest </w:t>
      </w:r>
      <w:r w:rsidR="00683ECB">
        <w:rPr>
          <w:rFonts w:cs="Arial"/>
          <w:szCs w:val="22"/>
        </w:rPr>
        <w:t xml:space="preserve">supplementary and </w:t>
      </w:r>
      <w:r w:rsidR="004B7F70">
        <w:rPr>
          <w:rFonts w:cs="Arial"/>
          <w:szCs w:val="22"/>
        </w:rPr>
        <w:t xml:space="preserve">/ or </w:t>
      </w:r>
      <w:r>
        <w:rPr>
          <w:rFonts w:cs="Arial"/>
          <w:szCs w:val="22"/>
        </w:rPr>
        <w:t>complementary data collection approaches and reporting</w:t>
      </w:r>
      <w:r w:rsidR="00683ECB">
        <w:rPr>
          <w:rFonts w:cs="Arial"/>
          <w:szCs w:val="22"/>
        </w:rPr>
        <w:t>.</w:t>
      </w:r>
      <w:r w:rsidR="009E22D0">
        <w:rPr>
          <w:rFonts w:cs="Arial"/>
          <w:szCs w:val="22"/>
        </w:rPr>
        <w:t xml:space="preserve"> </w:t>
      </w:r>
      <w:r w:rsidR="00236838" w:rsidRPr="00236838">
        <w:rPr>
          <w:rFonts w:cs="Arial"/>
          <w:b/>
          <w:bCs/>
          <w:szCs w:val="22"/>
        </w:rPr>
        <w:t>I</w:t>
      </w:r>
      <w:r w:rsidR="001E1790" w:rsidRPr="00236838">
        <w:rPr>
          <w:rFonts w:cs="Arial"/>
          <w:b/>
          <w:bCs/>
          <w:szCs w:val="22"/>
        </w:rPr>
        <w:t>ndicative methods</w:t>
      </w:r>
      <w:r w:rsidR="00236838" w:rsidRPr="00236838">
        <w:rPr>
          <w:rFonts w:cs="Arial"/>
          <w:b/>
          <w:bCs/>
          <w:szCs w:val="22"/>
        </w:rPr>
        <w:t xml:space="preserve"> are</w:t>
      </w:r>
      <w:r w:rsidR="00236838">
        <w:rPr>
          <w:rFonts w:cs="Arial"/>
          <w:b/>
          <w:bCs/>
          <w:szCs w:val="22"/>
        </w:rPr>
        <w:t xml:space="preserve"> outlined here, </w:t>
      </w:r>
      <w:r w:rsidR="00236838" w:rsidRPr="00236838">
        <w:rPr>
          <w:rFonts w:cs="Arial"/>
          <w:b/>
          <w:bCs/>
          <w:szCs w:val="22"/>
        </w:rPr>
        <w:t>ahead of full ITT stage</w:t>
      </w:r>
      <w:r w:rsidR="00236838">
        <w:rPr>
          <w:rFonts w:cs="Arial"/>
          <w:b/>
          <w:bCs/>
          <w:szCs w:val="22"/>
        </w:rPr>
        <w:t xml:space="preserve">, </w:t>
      </w:r>
      <w:r w:rsidR="001E1790" w:rsidRPr="00236838">
        <w:rPr>
          <w:rFonts w:cs="Arial"/>
          <w:b/>
          <w:bCs/>
          <w:szCs w:val="22"/>
        </w:rPr>
        <w:t>to</w:t>
      </w:r>
      <w:r w:rsidR="00236838" w:rsidRPr="00236838">
        <w:rPr>
          <w:rFonts w:cs="Arial"/>
          <w:b/>
          <w:bCs/>
          <w:szCs w:val="22"/>
        </w:rPr>
        <w:t xml:space="preserve"> give </w:t>
      </w:r>
      <w:r w:rsidR="004B7F70" w:rsidRPr="00236838">
        <w:rPr>
          <w:rFonts w:cs="Arial"/>
          <w:b/>
          <w:bCs/>
          <w:szCs w:val="22"/>
        </w:rPr>
        <w:t xml:space="preserve">prospective bidders </w:t>
      </w:r>
      <w:r w:rsidR="00236838" w:rsidRPr="00236838">
        <w:rPr>
          <w:rFonts w:cs="Arial"/>
          <w:b/>
          <w:bCs/>
          <w:szCs w:val="22"/>
        </w:rPr>
        <w:t xml:space="preserve">time to </w:t>
      </w:r>
      <w:r w:rsidR="004B7F70" w:rsidRPr="00236838">
        <w:rPr>
          <w:rFonts w:cs="Arial"/>
          <w:b/>
          <w:bCs/>
          <w:szCs w:val="22"/>
        </w:rPr>
        <w:t>consider</w:t>
      </w:r>
      <w:r w:rsidR="00236838" w:rsidRPr="00236838">
        <w:rPr>
          <w:rFonts w:cs="Arial"/>
          <w:b/>
          <w:bCs/>
          <w:szCs w:val="22"/>
        </w:rPr>
        <w:t xml:space="preserve"> these</w:t>
      </w:r>
      <w:r w:rsidR="00915AF5" w:rsidRPr="00236838">
        <w:rPr>
          <w:rFonts w:cs="Arial"/>
          <w:b/>
          <w:bCs/>
          <w:szCs w:val="22"/>
        </w:rPr>
        <w:t xml:space="preserve"> </w:t>
      </w:r>
      <w:r w:rsidR="00236838" w:rsidRPr="00236838">
        <w:rPr>
          <w:rFonts w:cs="Arial"/>
          <w:b/>
          <w:bCs/>
          <w:szCs w:val="22"/>
        </w:rPr>
        <w:t>and</w:t>
      </w:r>
      <w:r w:rsidR="00236838">
        <w:rPr>
          <w:rFonts w:cs="Arial"/>
          <w:b/>
          <w:bCs/>
          <w:szCs w:val="22"/>
        </w:rPr>
        <w:t xml:space="preserve"> decide whether to work as a consortium</w:t>
      </w:r>
      <w:r w:rsidR="001E1790" w:rsidRPr="00236838">
        <w:rPr>
          <w:rFonts w:cs="Arial"/>
          <w:b/>
          <w:bCs/>
          <w:szCs w:val="22"/>
        </w:rPr>
        <w:t>.</w:t>
      </w:r>
      <w:r w:rsidR="004B7F70">
        <w:rPr>
          <w:rFonts w:cs="Arial"/>
          <w:szCs w:val="22"/>
        </w:rPr>
        <w:t xml:space="preserve"> </w:t>
      </w:r>
      <w:r w:rsidR="004B7F70" w:rsidRPr="004B7F70">
        <w:rPr>
          <w:rFonts w:cs="Arial"/>
          <w:b/>
          <w:bCs/>
          <w:szCs w:val="22"/>
          <w:u w:val="single"/>
        </w:rPr>
        <w:t xml:space="preserve">The EOI </w:t>
      </w:r>
      <w:r w:rsidR="00915AF5">
        <w:rPr>
          <w:rFonts w:cs="Arial"/>
          <w:b/>
          <w:bCs/>
          <w:szCs w:val="22"/>
          <w:u w:val="single"/>
        </w:rPr>
        <w:t xml:space="preserve">response </w:t>
      </w:r>
      <w:r w:rsidR="004B7F70" w:rsidRPr="004B7F70">
        <w:rPr>
          <w:rFonts w:cs="Arial"/>
          <w:b/>
          <w:bCs/>
          <w:szCs w:val="22"/>
          <w:u w:val="single"/>
        </w:rPr>
        <w:t xml:space="preserve">does NOT require </w:t>
      </w:r>
      <w:r w:rsidR="00E27305">
        <w:rPr>
          <w:rFonts w:cs="Arial"/>
          <w:b/>
          <w:bCs/>
          <w:szCs w:val="22"/>
          <w:u w:val="single"/>
        </w:rPr>
        <w:t xml:space="preserve">development of </w:t>
      </w:r>
      <w:r w:rsidR="00915AF5">
        <w:rPr>
          <w:rFonts w:cs="Arial"/>
          <w:b/>
          <w:bCs/>
          <w:szCs w:val="22"/>
          <w:u w:val="single"/>
        </w:rPr>
        <w:t>a</w:t>
      </w:r>
      <w:r w:rsidR="00E27305">
        <w:rPr>
          <w:rFonts w:cs="Arial"/>
          <w:b/>
          <w:bCs/>
          <w:szCs w:val="22"/>
          <w:u w:val="single"/>
        </w:rPr>
        <w:t xml:space="preserve"> </w:t>
      </w:r>
      <w:r w:rsidR="004B7F70" w:rsidRPr="004B7F70">
        <w:rPr>
          <w:rFonts w:cs="Arial"/>
          <w:b/>
          <w:bCs/>
          <w:szCs w:val="22"/>
          <w:u w:val="single"/>
        </w:rPr>
        <w:t>method.</w:t>
      </w:r>
      <w:r w:rsidR="004B7F70" w:rsidRPr="004B7F70">
        <w:rPr>
          <w:rFonts w:cs="Arial"/>
          <w:szCs w:val="22"/>
        </w:rPr>
        <w:t xml:space="preserve"> </w:t>
      </w:r>
    </w:p>
    <w:p w14:paraId="09CC3CCE" w14:textId="77777777" w:rsidR="009F3626" w:rsidRDefault="003D3766" w:rsidP="001E1790">
      <w:pPr>
        <w:spacing w:after="120" w:line="264" w:lineRule="auto"/>
      </w:pPr>
      <w:r>
        <w:t xml:space="preserve">Indicatively, </w:t>
      </w:r>
      <w:r w:rsidR="00250A9B">
        <w:t xml:space="preserve">at ITT stage </w:t>
      </w:r>
      <w:r>
        <w:t>the</w:t>
      </w:r>
      <w:r w:rsidR="000D300E">
        <w:t xml:space="preserve"> package of evaluation </w:t>
      </w:r>
      <w:r w:rsidR="00250A9B">
        <w:t xml:space="preserve">bidders will be asked to develop will </w:t>
      </w:r>
      <w:r w:rsidR="00915AF5">
        <w:t>request</w:t>
      </w:r>
      <w:r w:rsidR="000D300E">
        <w:t>:</w:t>
      </w:r>
    </w:p>
    <w:p w14:paraId="7B456CEB" w14:textId="77777777" w:rsidR="00250A9B" w:rsidRDefault="00250A9B" w:rsidP="00915AF5">
      <w:pPr>
        <w:pStyle w:val="ListParagraph"/>
        <w:numPr>
          <w:ilvl w:val="0"/>
          <w:numId w:val="31"/>
        </w:numPr>
        <w:spacing w:after="120" w:line="264" w:lineRule="auto"/>
        <w:ind w:left="357" w:hanging="357"/>
      </w:pPr>
      <w:r>
        <w:t>Core / prescribed components, with the option to propose supplementary activity</w:t>
      </w:r>
      <w:r w:rsidR="004B7F70">
        <w:t>:</w:t>
      </w:r>
    </w:p>
    <w:p w14:paraId="31707B84" w14:textId="77777777" w:rsidR="000D300E" w:rsidRDefault="000D300E" w:rsidP="002D4F09">
      <w:pPr>
        <w:pStyle w:val="ListParagraph"/>
        <w:numPr>
          <w:ilvl w:val="0"/>
          <w:numId w:val="33"/>
        </w:numPr>
        <w:spacing w:after="120" w:line="264" w:lineRule="auto"/>
      </w:pPr>
      <w:r>
        <w:t>Baseline, mid-point and end-point online surveys with engaged schools, mentor and early career teachers (potentially, with line managers and colleagues);</w:t>
      </w:r>
    </w:p>
    <w:p w14:paraId="433F5271" w14:textId="77777777" w:rsidR="000D300E" w:rsidRDefault="000D300E" w:rsidP="002D4F09">
      <w:pPr>
        <w:pStyle w:val="ListParagraph"/>
        <w:numPr>
          <w:ilvl w:val="0"/>
          <w:numId w:val="33"/>
        </w:numPr>
        <w:spacing w:after="120" w:line="264" w:lineRule="auto"/>
      </w:pPr>
      <w:r>
        <w:t>Case studies;</w:t>
      </w:r>
    </w:p>
    <w:p w14:paraId="6F4A8A92" w14:textId="77777777" w:rsidR="000D300E" w:rsidRDefault="000D300E" w:rsidP="002D4F09">
      <w:pPr>
        <w:pStyle w:val="ListParagraph"/>
        <w:numPr>
          <w:ilvl w:val="0"/>
          <w:numId w:val="33"/>
        </w:numPr>
        <w:spacing w:after="120" w:line="264" w:lineRule="auto"/>
      </w:pPr>
      <w:r>
        <w:t>Desk research</w:t>
      </w:r>
      <w:r w:rsidR="002D4F09">
        <w:t>,</w:t>
      </w:r>
      <w:r>
        <w:t xml:space="preserve"> analysis of monitoring information and School Workforce Census (SWC);</w:t>
      </w:r>
    </w:p>
    <w:p w14:paraId="19B2F4DC" w14:textId="77777777" w:rsidR="001E1790" w:rsidRDefault="000D300E" w:rsidP="002D4F09">
      <w:pPr>
        <w:pStyle w:val="ListParagraph"/>
        <w:numPr>
          <w:ilvl w:val="0"/>
          <w:numId w:val="33"/>
        </w:numPr>
        <w:spacing w:after="120" w:line="264" w:lineRule="auto"/>
      </w:pPr>
      <w:r>
        <w:t>Qualitative inte</w:t>
      </w:r>
      <w:r w:rsidR="001E1790">
        <w:t>r</w:t>
      </w:r>
      <w:r>
        <w:t>view with eligible schools that chose not to engage in ERO</w:t>
      </w:r>
      <w:r w:rsidR="002D4F09">
        <w:t>;</w:t>
      </w:r>
      <w:r w:rsidR="00012DC9">
        <w:t xml:space="preserve"> and</w:t>
      </w:r>
    </w:p>
    <w:p w14:paraId="01684C1B" w14:textId="5DC9CD1A" w:rsidR="00915AF5" w:rsidRDefault="00915AF5" w:rsidP="002D4F09">
      <w:pPr>
        <w:pStyle w:val="ListParagraph"/>
        <w:numPr>
          <w:ilvl w:val="0"/>
          <w:numId w:val="33"/>
        </w:numPr>
        <w:spacing w:after="120" w:line="264" w:lineRule="auto"/>
      </w:pPr>
      <w:r>
        <w:t xml:space="preserve">Interim and final reports, input to </w:t>
      </w:r>
      <w:r w:rsidR="00B223DE">
        <w:t xml:space="preserve">a regular </w:t>
      </w:r>
      <w:r>
        <w:t>steering group</w:t>
      </w:r>
      <w:r w:rsidR="002D4F09">
        <w:t>.</w:t>
      </w:r>
    </w:p>
    <w:p w14:paraId="193C536B" w14:textId="77777777" w:rsidR="00915AF5" w:rsidRPr="002D4F09" w:rsidRDefault="00915AF5" w:rsidP="00915AF5">
      <w:pPr>
        <w:pStyle w:val="ListParagraph"/>
        <w:numPr>
          <w:ilvl w:val="0"/>
          <w:numId w:val="0"/>
        </w:numPr>
        <w:spacing w:after="120" w:line="264" w:lineRule="auto"/>
        <w:ind w:left="357"/>
        <w:rPr>
          <w:sz w:val="12"/>
          <w:szCs w:val="12"/>
        </w:rPr>
      </w:pPr>
    </w:p>
    <w:p w14:paraId="3A58FEC6" w14:textId="77777777" w:rsidR="00250A9B" w:rsidRDefault="00250A9B" w:rsidP="00915AF5">
      <w:pPr>
        <w:pStyle w:val="ListParagraph"/>
        <w:numPr>
          <w:ilvl w:val="0"/>
          <w:numId w:val="31"/>
        </w:numPr>
        <w:spacing w:after="120" w:line="264" w:lineRule="auto"/>
        <w:ind w:left="357" w:hanging="357"/>
      </w:pPr>
      <w:r>
        <w:t xml:space="preserve">Bidder to design and propose </w:t>
      </w:r>
      <w:r w:rsidR="004B7F70">
        <w:t xml:space="preserve">costed </w:t>
      </w:r>
      <w:r>
        <w:t>options for</w:t>
      </w:r>
      <w:r w:rsidR="004B7F70">
        <w:t>:</w:t>
      </w:r>
    </w:p>
    <w:p w14:paraId="0332BB2D" w14:textId="77777777" w:rsidR="00250A9B" w:rsidRDefault="00250A9B" w:rsidP="002D4F09">
      <w:pPr>
        <w:pStyle w:val="ListParagraph"/>
        <w:numPr>
          <w:ilvl w:val="0"/>
          <w:numId w:val="32"/>
        </w:numPr>
        <w:spacing w:after="120" w:line="264" w:lineRule="auto"/>
      </w:pPr>
      <w:r>
        <w:t>Activity to utilise time with ERO Suppliers as collective</w:t>
      </w:r>
      <w:r w:rsidR="009F3626">
        <w:t xml:space="preserve"> (DfE to host one day learning events 2-3 per year)</w:t>
      </w:r>
      <w:r w:rsidR="002D4F09">
        <w:t>;</w:t>
      </w:r>
    </w:p>
    <w:p w14:paraId="4C4362D9" w14:textId="77777777" w:rsidR="000D300E" w:rsidRDefault="000D300E" w:rsidP="002D4F09">
      <w:pPr>
        <w:pStyle w:val="ListParagraph"/>
        <w:numPr>
          <w:ilvl w:val="0"/>
          <w:numId w:val="32"/>
        </w:numPr>
        <w:spacing w:after="120" w:line="264" w:lineRule="auto"/>
      </w:pPr>
      <w:r>
        <w:t>Mixed-method approaches to understand the experience of engaging with the</w:t>
      </w:r>
      <w:r w:rsidR="00683ECB">
        <w:t xml:space="preserve"> different </w:t>
      </w:r>
      <w:r w:rsidR="009E22D0">
        <w:t>delivery models for the ERO</w:t>
      </w:r>
      <w:r>
        <w:t xml:space="preserve"> full-induction programme; and</w:t>
      </w:r>
    </w:p>
    <w:p w14:paraId="5033ECD6" w14:textId="77777777" w:rsidR="00250A9B" w:rsidRDefault="00250A9B" w:rsidP="002D4F09">
      <w:pPr>
        <w:pStyle w:val="ListParagraph"/>
        <w:numPr>
          <w:ilvl w:val="0"/>
          <w:numId w:val="32"/>
        </w:numPr>
        <w:spacing w:after="120" w:line="264" w:lineRule="auto"/>
      </w:pPr>
      <w:r>
        <w:t>C</w:t>
      </w:r>
      <w:r w:rsidR="000D300E">
        <w:t>omplementary methods to deliver near real-time insights on operational questions and challenges, and / or themes of interest and leading indicators of benefits or unwanted consequence</w:t>
      </w:r>
      <w:r w:rsidR="00915AF5">
        <w:t>s</w:t>
      </w:r>
      <w:r w:rsidR="000D300E">
        <w:t xml:space="preserve">. </w:t>
      </w:r>
    </w:p>
    <w:p w14:paraId="73119B97" w14:textId="77777777" w:rsidR="00250A9B" w:rsidRDefault="009F3626" w:rsidP="001E1790">
      <w:pPr>
        <w:spacing w:after="120" w:line="264" w:lineRule="auto"/>
      </w:pPr>
      <w:r>
        <w:t xml:space="preserve">The Department is open to </w:t>
      </w:r>
      <w:r w:rsidR="004B7F70">
        <w:t xml:space="preserve">the application of </w:t>
      </w:r>
      <w:r>
        <w:t xml:space="preserve">techniques used in the delivery </w:t>
      </w:r>
      <w:r w:rsidR="00250A9B">
        <w:t xml:space="preserve">creative research methods, </w:t>
      </w:r>
      <w:r>
        <w:t>user research,</w:t>
      </w:r>
      <w:r w:rsidR="00250A9B">
        <w:t xml:space="preserve"> </w:t>
      </w:r>
      <w:r w:rsidRPr="009F3626">
        <w:rPr>
          <w:rFonts w:cs="Arial"/>
          <w:szCs w:val="22"/>
        </w:rPr>
        <w:t>m</w:t>
      </w:r>
      <w:r w:rsidR="00250A9B" w:rsidRPr="009F3626">
        <w:rPr>
          <w:rFonts w:cs="Arial"/>
          <w:szCs w:val="22"/>
        </w:rPr>
        <w:t>arket research, action learning</w:t>
      </w:r>
      <w:r w:rsidRPr="009F3626">
        <w:rPr>
          <w:rFonts w:cs="Arial"/>
          <w:szCs w:val="22"/>
        </w:rPr>
        <w:t xml:space="preserve"> sets</w:t>
      </w:r>
      <w:r w:rsidR="00250A9B" w:rsidRPr="009F3626">
        <w:rPr>
          <w:rFonts w:cs="Arial"/>
          <w:szCs w:val="22"/>
        </w:rPr>
        <w:t xml:space="preserve"> and action research.</w:t>
      </w:r>
    </w:p>
    <w:p w14:paraId="058AE57F" w14:textId="6B1CD30D" w:rsidR="00383D00" w:rsidRDefault="00E45BAB" w:rsidP="001E1790">
      <w:pPr>
        <w:spacing w:after="120" w:line="264" w:lineRule="auto"/>
        <w:rPr>
          <w:rFonts w:cs="Arial"/>
          <w:color w:val="000000"/>
          <w:szCs w:val="22"/>
        </w:rPr>
      </w:pPr>
      <w:r>
        <w:rPr>
          <w:rFonts w:cs="Arial"/>
          <w:color w:val="000000"/>
          <w:szCs w:val="22"/>
        </w:rPr>
        <w:t>It is expected that</w:t>
      </w:r>
      <w:r w:rsidRPr="00EB5DEC">
        <w:rPr>
          <w:rFonts w:cs="Arial"/>
          <w:color w:val="000000"/>
          <w:szCs w:val="22"/>
        </w:rPr>
        <w:t xml:space="preserve"> </w:t>
      </w:r>
      <w:r w:rsidR="00145770">
        <w:rPr>
          <w:rFonts w:cs="Arial"/>
          <w:color w:val="000000"/>
          <w:szCs w:val="22"/>
        </w:rPr>
        <w:t xml:space="preserve">the </w:t>
      </w:r>
      <w:r w:rsidR="009E22D0">
        <w:rPr>
          <w:rFonts w:cs="Arial"/>
          <w:color w:val="000000"/>
          <w:szCs w:val="22"/>
        </w:rPr>
        <w:t>evaluation</w:t>
      </w:r>
      <w:r w:rsidR="00145770">
        <w:rPr>
          <w:rFonts w:cs="Arial"/>
          <w:color w:val="000000"/>
          <w:szCs w:val="22"/>
        </w:rPr>
        <w:t xml:space="preserve"> will deliver</w:t>
      </w:r>
      <w:r w:rsidRPr="00EB5DEC">
        <w:rPr>
          <w:rFonts w:cs="Arial"/>
          <w:color w:val="000000"/>
          <w:szCs w:val="22"/>
        </w:rPr>
        <w:t xml:space="preserve"> </w:t>
      </w:r>
      <w:r w:rsidRPr="0078791C">
        <w:rPr>
          <w:rFonts w:cs="Arial"/>
          <w:bCs/>
          <w:color w:val="000000"/>
          <w:szCs w:val="22"/>
        </w:rPr>
        <w:t xml:space="preserve">effective communication of emerging learning for DfE, </w:t>
      </w:r>
      <w:r w:rsidR="00B223DE">
        <w:rPr>
          <w:rFonts w:cs="Arial"/>
          <w:bCs/>
          <w:color w:val="000000"/>
          <w:szCs w:val="22"/>
        </w:rPr>
        <w:t>s</w:t>
      </w:r>
      <w:r w:rsidR="00B223DE" w:rsidRPr="0078791C">
        <w:rPr>
          <w:rFonts w:cs="Arial"/>
          <w:bCs/>
          <w:color w:val="000000"/>
          <w:szCs w:val="22"/>
        </w:rPr>
        <w:t>uppliers</w:t>
      </w:r>
      <w:r w:rsidRPr="0078791C">
        <w:rPr>
          <w:rFonts w:cs="Arial"/>
          <w:bCs/>
          <w:color w:val="000000"/>
          <w:szCs w:val="22"/>
        </w:rPr>
        <w:t>, schools and teachers.</w:t>
      </w:r>
      <w:r w:rsidR="00BA6D57" w:rsidRPr="0078791C">
        <w:rPr>
          <w:rFonts w:cs="Arial"/>
          <w:bCs/>
          <w:color w:val="000000"/>
          <w:szCs w:val="22"/>
        </w:rPr>
        <w:t xml:space="preserve"> </w:t>
      </w:r>
      <w:r w:rsidR="00BA6D57" w:rsidRPr="0078791C">
        <w:rPr>
          <w:rFonts w:cs="Arial"/>
          <w:bCs/>
          <w:szCs w:val="22"/>
        </w:rPr>
        <w:t>In addition to core reporting requirements, evaluators will be invited to propose opportunities to embed feedback loops in the design and</w:t>
      </w:r>
      <w:r w:rsidR="00BA6D57" w:rsidRPr="00A62A92">
        <w:rPr>
          <w:rFonts w:cs="Arial"/>
          <w:szCs w:val="22"/>
        </w:rPr>
        <w:t xml:space="preserve"> delivery of the research and / or additional standalone outputs.</w:t>
      </w:r>
    </w:p>
    <w:p w14:paraId="3C92F382" w14:textId="77777777" w:rsidR="00383D00" w:rsidRPr="0078791C" w:rsidRDefault="00383D00" w:rsidP="001E1790">
      <w:pPr>
        <w:widowControl w:val="0"/>
        <w:overflowPunct w:val="0"/>
        <w:autoSpaceDE w:val="0"/>
        <w:autoSpaceDN w:val="0"/>
        <w:adjustRightInd w:val="0"/>
        <w:spacing w:after="120" w:line="264" w:lineRule="auto"/>
        <w:textAlignment w:val="baseline"/>
        <w:rPr>
          <w:rFonts w:cs="Arial"/>
          <w:bCs/>
          <w:szCs w:val="22"/>
        </w:rPr>
      </w:pPr>
      <w:r w:rsidRPr="004B7F70">
        <w:rPr>
          <w:rFonts w:cs="Arial"/>
          <w:b/>
          <w:szCs w:val="22"/>
          <w:u w:val="single"/>
        </w:rPr>
        <w:t xml:space="preserve">Evaluation of impact is NOT required </w:t>
      </w:r>
      <w:r w:rsidR="001E1790" w:rsidRPr="004B7F70">
        <w:rPr>
          <w:rFonts w:cs="Arial"/>
          <w:b/>
          <w:szCs w:val="22"/>
          <w:u w:val="single"/>
        </w:rPr>
        <w:t xml:space="preserve">as part of this evaluation of </w:t>
      </w:r>
      <w:r w:rsidRPr="004B7F70">
        <w:rPr>
          <w:rFonts w:cs="Arial"/>
          <w:b/>
          <w:szCs w:val="22"/>
          <w:u w:val="single"/>
        </w:rPr>
        <w:t>early rollout.</w:t>
      </w:r>
      <w:r w:rsidRPr="0078791C">
        <w:rPr>
          <w:rFonts w:cs="Arial"/>
          <w:bCs/>
          <w:szCs w:val="22"/>
        </w:rPr>
        <w:t xml:space="preserve"> DfE will collect data during early rollout to enable tracking of participant retention using the School Workforce Census. </w:t>
      </w:r>
      <w:r w:rsidR="001E1790" w:rsidRPr="0078791C">
        <w:rPr>
          <w:rFonts w:cs="Arial"/>
          <w:bCs/>
          <w:szCs w:val="22"/>
        </w:rPr>
        <w:t>T</w:t>
      </w:r>
      <w:r w:rsidRPr="0078791C">
        <w:rPr>
          <w:rFonts w:cs="Arial"/>
          <w:bCs/>
          <w:szCs w:val="22"/>
        </w:rPr>
        <w:t xml:space="preserve">he early rollout evaluation </w:t>
      </w:r>
      <w:r w:rsidR="001E1790" w:rsidRPr="0078791C">
        <w:rPr>
          <w:rFonts w:cs="Arial"/>
          <w:bCs/>
          <w:szCs w:val="22"/>
        </w:rPr>
        <w:t xml:space="preserve">will </w:t>
      </w:r>
      <w:r w:rsidRPr="0078791C">
        <w:rPr>
          <w:rFonts w:cs="Arial"/>
          <w:bCs/>
          <w:szCs w:val="22"/>
        </w:rPr>
        <w:t xml:space="preserve">incorporate </w:t>
      </w:r>
      <w:r w:rsidR="001E1790" w:rsidRPr="0078791C">
        <w:rPr>
          <w:rFonts w:cs="Arial"/>
          <w:bCs/>
          <w:szCs w:val="22"/>
        </w:rPr>
        <w:t xml:space="preserve">collection of </w:t>
      </w:r>
      <w:r w:rsidRPr="0078791C">
        <w:rPr>
          <w:rFonts w:cs="Arial"/>
          <w:bCs/>
          <w:szCs w:val="22"/>
        </w:rPr>
        <w:t xml:space="preserve">proxy measures to </w:t>
      </w:r>
      <w:r w:rsidR="001E1790" w:rsidRPr="0078791C">
        <w:rPr>
          <w:rFonts w:cs="Arial"/>
          <w:bCs/>
          <w:szCs w:val="22"/>
        </w:rPr>
        <w:t xml:space="preserve">enable DfE to </w:t>
      </w:r>
      <w:r w:rsidRPr="0078791C">
        <w:rPr>
          <w:rFonts w:cs="Arial"/>
          <w:bCs/>
          <w:szCs w:val="22"/>
        </w:rPr>
        <w:t xml:space="preserve">track leading indicators of retention </w:t>
      </w:r>
      <w:r w:rsidR="001E1790" w:rsidRPr="0078791C">
        <w:rPr>
          <w:rFonts w:cs="Arial"/>
          <w:bCs/>
          <w:szCs w:val="22"/>
        </w:rPr>
        <w:t>and teacher quality</w:t>
      </w:r>
      <w:r w:rsidRPr="0078791C">
        <w:rPr>
          <w:rFonts w:cs="Arial"/>
          <w:bCs/>
          <w:szCs w:val="22"/>
        </w:rPr>
        <w:t xml:space="preserve">.  </w:t>
      </w:r>
    </w:p>
    <w:p w14:paraId="6C9488CE" w14:textId="77777777" w:rsidR="00BF61E4" w:rsidRDefault="009F7391" w:rsidP="001E1790">
      <w:pPr>
        <w:widowControl w:val="0"/>
        <w:overflowPunct w:val="0"/>
        <w:autoSpaceDE w:val="0"/>
        <w:autoSpaceDN w:val="0"/>
        <w:adjustRightInd w:val="0"/>
        <w:spacing w:after="120" w:line="264" w:lineRule="auto"/>
        <w:textAlignment w:val="baseline"/>
        <w:rPr>
          <w:rFonts w:eastAsia="Calibri" w:cs="Arial"/>
          <w:szCs w:val="22"/>
          <w:lang w:eastAsia="en-US"/>
        </w:rPr>
      </w:pPr>
      <w:r w:rsidRPr="000470D0">
        <w:rPr>
          <w:rFonts w:eastAsia="Calibri" w:cs="Arial"/>
          <w:szCs w:val="22"/>
          <w:lang w:eastAsia="en-US"/>
        </w:rPr>
        <w:t xml:space="preserve">The successful contractor will need to </w:t>
      </w:r>
      <w:r w:rsidR="0078791C">
        <w:rPr>
          <w:rFonts w:eastAsia="Calibri" w:cs="Arial"/>
          <w:szCs w:val="22"/>
          <w:lang w:eastAsia="en-US"/>
        </w:rPr>
        <w:t xml:space="preserve">demonstrate willingness and flexibility to be able </w:t>
      </w:r>
      <w:r w:rsidRPr="000470D0">
        <w:rPr>
          <w:rFonts w:eastAsia="Calibri" w:cs="Arial"/>
          <w:szCs w:val="22"/>
          <w:lang w:eastAsia="en-US"/>
        </w:rPr>
        <w:t>to</w:t>
      </w:r>
      <w:r w:rsidR="0078791C">
        <w:rPr>
          <w:rFonts w:eastAsia="Calibri" w:cs="Arial"/>
          <w:szCs w:val="22"/>
          <w:lang w:eastAsia="en-US"/>
        </w:rPr>
        <w:t xml:space="preserve"> </w:t>
      </w:r>
      <w:r w:rsidRPr="000470D0">
        <w:rPr>
          <w:rFonts w:eastAsia="Calibri" w:cs="Arial"/>
          <w:szCs w:val="22"/>
          <w:lang w:eastAsia="en-US"/>
        </w:rPr>
        <w:t xml:space="preserve">collaborate with </w:t>
      </w:r>
      <w:r>
        <w:rPr>
          <w:rFonts w:eastAsia="Calibri" w:cs="Arial"/>
          <w:szCs w:val="22"/>
          <w:lang w:eastAsia="en-US"/>
        </w:rPr>
        <w:t>Suppliers</w:t>
      </w:r>
      <w:r w:rsidR="006503A6">
        <w:rPr>
          <w:rFonts w:eastAsia="Calibri" w:cs="Arial"/>
          <w:szCs w:val="22"/>
          <w:lang w:eastAsia="en-US"/>
        </w:rPr>
        <w:t xml:space="preserve">, </w:t>
      </w:r>
      <w:r>
        <w:rPr>
          <w:rFonts w:eastAsia="Calibri" w:cs="Arial"/>
          <w:szCs w:val="22"/>
          <w:lang w:eastAsia="en-US"/>
        </w:rPr>
        <w:t>DfE</w:t>
      </w:r>
      <w:r w:rsidR="006503A6">
        <w:rPr>
          <w:rFonts w:eastAsia="Calibri" w:cs="Arial"/>
          <w:szCs w:val="22"/>
          <w:lang w:eastAsia="en-US"/>
        </w:rPr>
        <w:t xml:space="preserve"> and partners organisations</w:t>
      </w:r>
      <w:r>
        <w:rPr>
          <w:rFonts w:eastAsia="Calibri" w:cs="Arial"/>
          <w:szCs w:val="22"/>
          <w:lang w:eastAsia="en-US"/>
        </w:rPr>
        <w:t xml:space="preserve"> to ensure synergy</w:t>
      </w:r>
      <w:r w:rsidR="002A4FE1">
        <w:rPr>
          <w:rFonts w:eastAsia="Calibri" w:cs="Arial"/>
          <w:szCs w:val="22"/>
          <w:lang w:eastAsia="en-US"/>
        </w:rPr>
        <w:t xml:space="preserve"> coordination and management of any asks of providers, schools and teachers</w:t>
      </w:r>
      <w:r w:rsidR="00443CB8">
        <w:rPr>
          <w:rFonts w:eastAsia="Calibri" w:cs="Arial"/>
          <w:szCs w:val="22"/>
          <w:lang w:eastAsia="en-US"/>
        </w:rPr>
        <w:t xml:space="preserve">, and </w:t>
      </w:r>
      <w:r w:rsidR="002A4FE1">
        <w:rPr>
          <w:rFonts w:eastAsia="Calibri" w:cs="Arial"/>
          <w:szCs w:val="22"/>
          <w:lang w:eastAsia="en-US"/>
        </w:rPr>
        <w:t>DfE planning and reporting requirements</w:t>
      </w:r>
      <w:r w:rsidR="00443CB8">
        <w:rPr>
          <w:rFonts w:eastAsia="Calibri" w:cs="Arial"/>
          <w:szCs w:val="22"/>
          <w:lang w:eastAsia="en-US"/>
        </w:rPr>
        <w:t>.</w:t>
      </w:r>
      <w:r w:rsidR="0078791C">
        <w:rPr>
          <w:rFonts w:eastAsia="Calibri" w:cs="Arial"/>
          <w:szCs w:val="22"/>
          <w:lang w:eastAsia="en-US"/>
        </w:rPr>
        <w:t xml:space="preserve"> </w:t>
      </w:r>
    </w:p>
    <w:p w14:paraId="5EBA5565" w14:textId="77777777" w:rsidR="006503A6" w:rsidRDefault="00BF61E4" w:rsidP="001E1790">
      <w:pPr>
        <w:widowControl w:val="0"/>
        <w:overflowPunct w:val="0"/>
        <w:autoSpaceDE w:val="0"/>
        <w:autoSpaceDN w:val="0"/>
        <w:adjustRightInd w:val="0"/>
        <w:spacing w:after="120" w:line="264" w:lineRule="auto"/>
        <w:textAlignment w:val="baseline"/>
        <w:rPr>
          <w:rFonts w:cs="Arial"/>
          <w:szCs w:val="22"/>
        </w:rPr>
      </w:pPr>
      <w:r>
        <w:rPr>
          <w:rFonts w:cs="Arial"/>
          <w:szCs w:val="22"/>
        </w:rPr>
        <w:lastRenderedPageBreak/>
        <w:t xml:space="preserve">At ITT, </w:t>
      </w:r>
      <w:r w:rsidR="00777ED9">
        <w:rPr>
          <w:rFonts w:cs="Arial"/>
          <w:szCs w:val="22"/>
        </w:rPr>
        <w:t xml:space="preserve">any </w:t>
      </w:r>
      <w:r>
        <w:rPr>
          <w:rFonts w:cs="Arial"/>
          <w:szCs w:val="22"/>
        </w:rPr>
        <w:t>consortium bid</w:t>
      </w:r>
      <w:r w:rsidR="00777ED9">
        <w:rPr>
          <w:rFonts w:cs="Arial"/>
          <w:szCs w:val="22"/>
        </w:rPr>
        <w:t xml:space="preserve">s </w:t>
      </w:r>
      <w:r>
        <w:rPr>
          <w:rFonts w:cs="Arial"/>
          <w:szCs w:val="22"/>
        </w:rPr>
        <w:t>will be expected to demonstrate a history of leading a consortium, assurance of effective collaboration and rationale / added value of each partner.</w:t>
      </w:r>
    </w:p>
    <w:p w14:paraId="2D6AEBB1" w14:textId="77777777" w:rsidR="003D3766" w:rsidRPr="00383D00" w:rsidRDefault="003D3766" w:rsidP="001E1790">
      <w:pPr>
        <w:widowControl w:val="0"/>
        <w:overflowPunct w:val="0"/>
        <w:autoSpaceDE w:val="0"/>
        <w:autoSpaceDN w:val="0"/>
        <w:adjustRightInd w:val="0"/>
        <w:spacing w:after="120" w:line="264" w:lineRule="auto"/>
        <w:textAlignment w:val="baseline"/>
        <w:rPr>
          <w:rFonts w:cs="Arial"/>
          <w:szCs w:val="22"/>
        </w:rPr>
      </w:pPr>
      <w:r>
        <w:rPr>
          <w:rFonts w:cs="Arial"/>
          <w:szCs w:val="22"/>
        </w:rPr>
        <w:t>The evaluation is expected to be delivered over 3 years (4 financial years) between January 2020 and December 2022.</w:t>
      </w:r>
      <w:r w:rsidR="009F3626">
        <w:rPr>
          <w:rFonts w:cs="Arial"/>
          <w:szCs w:val="22"/>
        </w:rPr>
        <w:t xml:space="preserve"> </w:t>
      </w:r>
      <w:r w:rsidR="00BF61E4">
        <w:rPr>
          <w:rFonts w:cs="Arial"/>
          <w:szCs w:val="22"/>
        </w:rPr>
        <w:t>The upper limit for the package of evaluation is £400K</w:t>
      </w:r>
      <w:r w:rsidR="001C43E0">
        <w:rPr>
          <w:rFonts w:cs="Arial"/>
          <w:szCs w:val="22"/>
        </w:rPr>
        <w:t xml:space="preserve">; the overall package of evaluation, and inclusion of proposed components, will be assessed for value for money against the requirement and potential for impact. </w:t>
      </w:r>
    </w:p>
    <w:p w14:paraId="79E0C3A2" w14:textId="77777777" w:rsidR="004A600B" w:rsidRDefault="004A600B" w:rsidP="00777ED9">
      <w:pPr>
        <w:pStyle w:val="Heading2"/>
        <w:spacing w:before="240" w:after="120"/>
      </w:pPr>
      <w:r>
        <w:t>Timing</w:t>
      </w:r>
    </w:p>
    <w:p w14:paraId="3EBE11FE" w14:textId="77777777" w:rsidR="00C87F09" w:rsidRPr="00C87F09" w:rsidRDefault="00C87F09" w:rsidP="00C87F09">
      <w:pPr>
        <w:pStyle w:val="ListParagraph"/>
        <w:numPr>
          <w:ilvl w:val="0"/>
          <w:numId w:val="0"/>
        </w:numPr>
        <w:spacing w:after="0"/>
        <w:ind w:left="714"/>
        <w:contextualSpacing w:val="0"/>
        <w:rPr>
          <w:sz w:val="8"/>
          <w:szCs w:val="8"/>
        </w:rPr>
      </w:pPr>
    </w:p>
    <w:p w14:paraId="1CC505BB" w14:textId="77777777" w:rsidR="007E0083" w:rsidRPr="00C87F09" w:rsidRDefault="007E0083" w:rsidP="006503A6">
      <w:pPr>
        <w:pStyle w:val="ListParagraph"/>
        <w:numPr>
          <w:ilvl w:val="0"/>
          <w:numId w:val="18"/>
        </w:numPr>
        <w:spacing w:after="0"/>
        <w:ind w:left="714" w:hanging="357"/>
        <w:contextualSpacing w:val="0"/>
        <w:rPr>
          <w:b/>
          <w:bCs/>
        </w:rPr>
      </w:pPr>
      <w:r w:rsidRPr="00C87F09">
        <w:rPr>
          <w:b/>
          <w:bCs/>
        </w:rPr>
        <w:t>Deadline for EOI</w:t>
      </w:r>
      <w:r w:rsidR="006503A6" w:rsidRPr="00C87F09">
        <w:rPr>
          <w:b/>
          <w:bCs/>
        </w:rPr>
        <w:t xml:space="preserve"> response </w:t>
      </w:r>
      <w:r w:rsidRPr="00C87F09">
        <w:rPr>
          <w:b/>
          <w:bCs/>
        </w:rPr>
        <w:t xml:space="preserve">– </w:t>
      </w:r>
      <w:r w:rsidR="006503A6" w:rsidRPr="00C87F09">
        <w:rPr>
          <w:b/>
          <w:bCs/>
        </w:rPr>
        <w:t>18</w:t>
      </w:r>
      <w:r w:rsidR="006503A6" w:rsidRPr="00C87F09">
        <w:rPr>
          <w:b/>
          <w:bCs/>
          <w:vertAlign w:val="superscript"/>
        </w:rPr>
        <w:t>th</w:t>
      </w:r>
      <w:r w:rsidR="006503A6" w:rsidRPr="00C87F09">
        <w:rPr>
          <w:b/>
          <w:bCs/>
        </w:rPr>
        <w:t xml:space="preserve"> November 2019</w:t>
      </w:r>
      <w:r w:rsidR="00C87F09" w:rsidRPr="00C87F09">
        <w:rPr>
          <w:b/>
          <w:bCs/>
        </w:rPr>
        <w:t>, expiring at 23:59</w:t>
      </w:r>
    </w:p>
    <w:p w14:paraId="4D79A336" w14:textId="77777777" w:rsidR="006503A6" w:rsidRDefault="006503A6" w:rsidP="006503A6">
      <w:pPr>
        <w:spacing w:after="0"/>
        <w:ind w:left="360"/>
      </w:pPr>
    </w:p>
    <w:p w14:paraId="4E772502" w14:textId="77777777" w:rsidR="006503A6" w:rsidRDefault="006503A6" w:rsidP="006503A6">
      <w:pPr>
        <w:spacing w:after="0"/>
      </w:pPr>
      <w:r>
        <w:t>The indicative timetable for procurement is as follow:</w:t>
      </w:r>
    </w:p>
    <w:tbl>
      <w:tblPr>
        <w:tblStyle w:val="TableGrid"/>
        <w:tblW w:w="0" w:type="auto"/>
        <w:tblLook w:val="04A0" w:firstRow="1" w:lastRow="0" w:firstColumn="1" w:lastColumn="0" w:noHBand="0" w:noVBand="1"/>
      </w:tblPr>
      <w:tblGrid>
        <w:gridCol w:w="4531"/>
        <w:gridCol w:w="2410"/>
      </w:tblGrid>
      <w:tr w:rsidR="00C87F09" w:rsidRPr="0000466F" w14:paraId="32D5048F" w14:textId="77777777" w:rsidTr="008F7C93">
        <w:tc>
          <w:tcPr>
            <w:tcW w:w="4531" w:type="dxa"/>
          </w:tcPr>
          <w:p w14:paraId="4BD3A820" w14:textId="77777777" w:rsidR="00C87F09" w:rsidRPr="00827323" w:rsidRDefault="00C87F09" w:rsidP="008F7C93">
            <w:pPr>
              <w:pStyle w:val="Default"/>
              <w:spacing w:line="312" w:lineRule="auto"/>
              <w:contextualSpacing/>
              <w:rPr>
                <w:b/>
                <w:iCs/>
                <w:color w:val="auto"/>
                <w:sz w:val="22"/>
                <w:szCs w:val="22"/>
              </w:rPr>
            </w:pPr>
            <w:r w:rsidRPr="00827323">
              <w:rPr>
                <w:b/>
                <w:iCs/>
                <w:color w:val="auto"/>
                <w:sz w:val="22"/>
                <w:szCs w:val="22"/>
              </w:rPr>
              <w:t>EOI</w:t>
            </w:r>
            <w:r>
              <w:rPr>
                <w:b/>
                <w:iCs/>
                <w:color w:val="auto"/>
                <w:sz w:val="22"/>
                <w:szCs w:val="22"/>
              </w:rPr>
              <w:t xml:space="preserve"> response submitted</w:t>
            </w:r>
          </w:p>
        </w:tc>
        <w:tc>
          <w:tcPr>
            <w:tcW w:w="2410" w:type="dxa"/>
            <w:shd w:val="clear" w:color="auto" w:fill="FFFFFF" w:themeFill="background1"/>
          </w:tcPr>
          <w:p w14:paraId="11E5AAC5" w14:textId="77777777" w:rsidR="00C87F09" w:rsidRPr="00C87F09" w:rsidRDefault="00C87F09" w:rsidP="008F7C93">
            <w:pPr>
              <w:pStyle w:val="Default"/>
              <w:spacing w:line="312" w:lineRule="auto"/>
              <w:contextualSpacing/>
              <w:rPr>
                <w:i/>
                <w:iCs/>
                <w:color w:val="000000" w:themeColor="text1"/>
                <w:sz w:val="22"/>
                <w:szCs w:val="22"/>
              </w:rPr>
            </w:pPr>
            <w:r w:rsidRPr="00C87F09">
              <w:rPr>
                <w:i/>
                <w:iCs/>
                <w:color w:val="000000" w:themeColor="text1"/>
                <w:sz w:val="22"/>
                <w:szCs w:val="22"/>
              </w:rPr>
              <w:t>18/11/19</w:t>
            </w:r>
          </w:p>
        </w:tc>
      </w:tr>
      <w:tr w:rsidR="00C87F09" w:rsidRPr="0000466F" w14:paraId="49638491" w14:textId="77777777" w:rsidTr="008F7C93">
        <w:tc>
          <w:tcPr>
            <w:tcW w:w="4531" w:type="dxa"/>
          </w:tcPr>
          <w:p w14:paraId="311CB63F" w14:textId="77777777" w:rsidR="00C87F09" w:rsidRPr="00827323" w:rsidRDefault="00C87F09" w:rsidP="008F7C93">
            <w:pPr>
              <w:pStyle w:val="Default"/>
              <w:spacing w:line="312" w:lineRule="auto"/>
              <w:contextualSpacing/>
              <w:rPr>
                <w:b/>
                <w:iCs/>
                <w:color w:val="auto"/>
                <w:sz w:val="22"/>
                <w:szCs w:val="22"/>
              </w:rPr>
            </w:pPr>
            <w:r>
              <w:rPr>
                <w:b/>
                <w:iCs/>
                <w:color w:val="auto"/>
                <w:sz w:val="22"/>
                <w:szCs w:val="22"/>
              </w:rPr>
              <w:t>Notification of invitation to tender</w:t>
            </w:r>
          </w:p>
        </w:tc>
        <w:tc>
          <w:tcPr>
            <w:tcW w:w="2410" w:type="dxa"/>
            <w:shd w:val="clear" w:color="auto" w:fill="FFFFFF" w:themeFill="background1"/>
          </w:tcPr>
          <w:p w14:paraId="35884FA0" w14:textId="77777777" w:rsidR="00C87F09" w:rsidRPr="00C87F09" w:rsidRDefault="00C87F09" w:rsidP="008F7C93">
            <w:pPr>
              <w:pStyle w:val="Default"/>
              <w:spacing w:line="312" w:lineRule="auto"/>
              <w:contextualSpacing/>
              <w:rPr>
                <w:i/>
                <w:iCs/>
                <w:color w:val="000000" w:themeColor="text1"/>
                <w:sz w:val="22"/>
                <w:szCs w:val="22"/>
              </w:rPr>
            </w:pPr>
            <w:r w:rsidRPr="00C87F09">
              <w:rPr>
                <w:i/>
                <w:iCs/>
                <w:color w:val="000000" w:themeColor="text1"/>
                <w:sz w:val="22"/>
                <w:szCs w:val="22"/>
              </w:rPr>
              <w:t>02/12/19</w:t>
            </w:r>
          </w:p>
        </w:tc>
      </w:tr>
      <w:tr w:rsidR="00C87F09" w:rsidRPr="0000466F" w14:paraId="6E9ACFEF" w14:textId="77777777" w:rsidTr="008F7C93">
        <w:tc>
          <w:tcPr>
            <w:tcW w:w="4531" w:type="dxa"/>
          </w:tcPr>
          <w:p w14:paraId="09E1878B" w14:textId="77777777" w:rsidR="00C87F09" w:rsidRPr="00827323" w:rsidRDefault="00C87F09" w:rsidP="008F7C93">
            <w:pPr>
              <w:pStyle w:val="Default"/>
              <w:spacing w:line="312" w:lineRule="auto"/>
              <w:contextualSpacing/>
              <w:rPr>
                <w:b/>
                <w:iCs/>
                <w:color w:val="auto"/>
                <w:sz w:val="22"/>
                <w:szCs w:val="22"/>
              </w:rPr>
            </w:pPr>
            <w:r w:rsidRPr="00827323">
              <w:rPr>
                <w:b/>
                <w:iCs/>
                <w:color w:val="auto"/>
                <w:sz w:val="22"/>
                <w:szCs w:val="22"/>
              </w:rPr>
              <w:t xml:space="preserve">ITT </w:t>
            </w:r>
            <w:r>
              <w:rPr>
                <w:b/>
                <w:iCs/>
                <w:color w:val="auto"/>
                <w:sz w:val="22"/>
                <w:szCs w:val="22"/>
              </w:rPr>
              <w:t>submitted</w:t>
            </w:r>
          </w:p>
        </w:tc>
        <w:tc>
          <w:tcPr>
            <w:tcW w:w="2410" w:type="dxa"/>
            <w:shd w:val="clear" w:color="auto" w:fill="FFFFFF" w:themeFill="background1"/>
          </w:tcPr>
          <w:p w14:paraId="2C19A34F" w14:textId="77777777" w:rsidR="00C87F09" w:rsidRPr="00C87F09" w:rsidRDefault="00C87F09" w:rsidP="008F7C93">
            <w:pPr>
              <w:pStyle w:val="Default"/>
              <w:spacing w:line="312" w:lineRule="auto"/>
              <w:contextualSpacing/>
              <w:rPr>
                <w:i/>
                <w:iCs/>
                <w:color w:val="000000" w:themeColor="text1"/>
                <w:sz w:val="22"/>
                <w:szCs w:val="22"/>
              </w:rPr>
            </w:pPr>
            <w:r w:rsidRPr="00C87F09">
              <w:rPr>
                <w:i/>
                <w:iCs/>
                <w:color w:val="000000" w:themeColor="text1"/>
                <w:sz w:val="22"/>
                <w:szCs w:val="22"/>
              </w:rPr>
              <w:t>14/01/20</w:t>
            </w:r>
          </w:p>
        </w:tc>
      </w:tr>
      <w:tr w:rsidR="00C87F09" w:rsidRPr="0000466F" w14:paraId="43F1C14B" w14:textId="77777777" w:rsidTr="008F7C93">
        <w:tc>
          <w:tcPr>
            <w:tcW w:w="4531" w:type="dxa"/>
          </w:tcPr>
          <w:p w14:paraId="4427F38B" w14:textId="77777777" w:rsidR="00C87F09" w:rsidRPr="00827323" w:rsidRDefault="00C87F09" w:rsidP="008F7C93">
            <w:pPr>
              <w:pStyle w:val="Default"/>
              <w:spacing w:line="312" w:lineRule="auto"/>
              <w:contextualSpacing/>
              <w:rPr>
                <w:b/>
                <w:iCs/>
                <w:color w:val="auto"/>
                <w:sz w:val="22"/>
                <w:szCs w:val="22"/>
              </w:rPr>
            </w:pPr>
            <w:r>
              <w:rPr>
                <w:b/>
                <w:iCs/>
                <w:color w:val="auto"/>
                <w:sz w:val="22"/>
                <w:szCs w:val="22"/>
              </w:rPr>
              <w:t xml:space="preserve">Contract awarded </w:t>
            </w:r>
          </w:p>
        </w:tc>
        <w:tc>
          <w:tcPr>
            <w:tcW w:w="2410" w:type="dxa"/>
            <w:shd w:val="clear" w:color="auto" w:fill="FFFFFF" w:themeFill="background1"/>
          </w:tcPr>
          <w:p w14:paraId="4BB6EEBE" w14:textId="77777777" w:rsidR="00C87F09" w:rsidRPr="00C87F09" w:rsidRDefault="00C87F09" w:rsidP="008F7C93">
            <w:pPr>
              <w:pStyle w:val="Default"/>
              <w:spacing w:line="312" w:lineRule="auto"/>
              <w:contextualSpacing/>
              <w:rPr>
                <w:i/>
                <w:iCs/>
                <w:color w:val="000000" w:themeColor="text1"/>
                <w:sz w:val="22"/>
                <w:szCs w:val="22"/>
              </w:rPr>
            </w:pPr>
            <w:r w:rsidRPr="00C87F09">
              <w:rPr>
                <w:i/>
                <w:iCs/>
                <w:color w:val="000000" w:themeColor="text1"/>
                <w:sz w:val="22"/>
                <w:szCs w:val="22"/>
              </w:rPr>
              <w:t>29/01/20</w:t>
            </w:r>
          </w:p>
        </w:tc>
      </w:tr>
      <w:tr w:rsidR="00C87F09" w:rsidRPr="0000466F" w14:paraId="2BDE2B70" w14:textId="77777777" w:rsidTr="008F7C93">
        <w:tc>
          <w:tcPr>
            <w:tcW w:w="4531" w:type="dxa"/>
          </w:tcPr>
          <w:p w14:paraId="2C914505" w14:textId="77777777" w:rsidR="00C87F09" w:rsidRDefault="00C87F09" w:rsidP="008F7C93">
            <w:pPr>
              <w:pStyle w:val="Default"/>
              <w:spacing w:line="312" w:lineRule="auto"/>
              <w:contextualSpacing/>
              <w:rPr>
                <w:b/>
                <w:iCs/>
                <w:color w:val="auto"/>
                <w:sz w:val="22"/>
                <w:szCs w:val="22"/>
              </w:rPr>
            </w:pPr>
            <w:r>
              <w:rPr>
                <w:b/>
                <w:iCs/>
                <w:color w:val="auto"/>
                <w:sz w:val="22"/>
                <w:szCs w:val="22"/>
              </w:rPr>
              <w:t>Contract start date</w:t>
            </w:r>
          </w:p>
        </w:tc>
        <w:tc>
          <w:tcPr>
            <w:tcW w:w="2410" w:type="dxa"/>
            <w:shd w:val="clear" w:color="auto" w:fill="FFFFFF" w:themeFill="background1"/>
          </w:tcPr>
          <w:p w14:paraId="5C11A46F" w14:textId="77777777" w:rsidR="00C87F09" w:rsidRPr="00C87F09" w:rsidRDefault="00C87F09" w:rsidP="008F7C93">
            <w:pPr>
              <w:pStyle w:val="Default"/>
              <w:spacing w:line="312" w:lineRule="auto"/>
              <w:contextualSpacing/>
              <w:rPr>
                <w:i/>
                <w:iCs/>
                <w:color w:val="000000" w:themeColor="text1"/>
                <w:sz w:val="22"/>
                <w:szCs w:val="22"/>
              </w:rPr>
            </w:pPr>
            <w:r>
              <w:rPr>
                <w:i/>
                <w:iCs/>
                <w:color w:val="000000" w:themeColor="text1"/>
                <w:sz w:val="22"/>
                <w:szCs w:val="22"/>
              </w:rPr>
              <w:t>11/02/20</w:t>
            </w:r>
          </w:p>
        </w:tc>
      </w:tr>
    </w:tbl>
    <w:p w14:paraId="05353DDC" w14:textId="77777777" w:rsidR="004A600B" w:rsidRPr="004A600B" w:rsidRDefault="004A600B" w:rsidP="00777ED9">
      <w:pPr>
        <w:pStyle w:val="Heading2"/>
        <w:spacing w:before="240" w:after="120"/>
      </w:pPr>
      <w:r w:rsidRPr="004A600B">
        <w:t>Assessment criteria</w:t>
      </w:r>
    </w:p>
    <w:p w14:paraId="6692D00D" w14:textId="77777777" w:rsidR="003D3766" w:rsidRPr="00786759" w:rsidRDefault="00777ED9" w:rsidP="002D4F09">
      <w:pPr>
        <w:pStyle w:val="Default"/>
        <w:spacing w:after="120" w:line="288" w:lineRule="auto"/>
        <w:rPr>
          <w:bCs/>
          <w:sz w:val="22"/>
          <w:szCs w:val="22"/>
        </w:rPr>
      </w:pPr>
      <w:r>
        <w:rPr>
          <w:color w:val="auto"/>
          <w:sz w:val="22"/>
          <w:szCs w:val="22"/>
        </w:rPr>
        <w:t xml:space="preserve">EOIs will be evaluated on </w:t>
      </w:r>
      <w:r>
        <w:rPr>
          <w:bCs/>
          <w:sz w:val="22"/>
          <w:szCs w:val="22"/>
        </w:rPr>
        <w:t xml:space="preserve">demonstration </w:t>
      </w:r>
      <w:r>
        <w:rPr>
          <w:color w:val="auto"/>
          <w:sz w:val="22"/>
          <w:szCs w:val="22"/>
        </w:rPr>
        <w:t xml:space="preserve">of these criteria, using the scale below. </w:t>
      </w:r>
      <w:r>
        <w:rPr>
          <w:sz w:val="22"/>
          <w:szCs w:val="22"/>
        </w:rPr>
        <w:t xml:space="preserve">Please evidence each criterion by referring to examples of what you did, how, why and the impact. </w:t>
      </w:r>
      <w:r>
        <w:rPr>
          <w:color w:val="auto"/>
          <w:sz w:val="22"/>
          <w:szCs w:val="22"/>
        </w:rPr>
        <w:t>The full invitation to tender will only being issued to those organisations deemed to best meet these requirements:</w:t>
      </w:r>
    </w:p>
    <w:p w14:paraId="2944663B" w14:textId="16DA4EB4" w:rsidR="003F7AF4" w:rsidRPr="003F7AF4" w:rsidRDefault="003F7AF4" w:rsidP="003F7AF4">
      <w:pPr>
        <w:pStyle w:val="Default"/>
        <w:numPr>
          <w:ilvl w:val="0"/>
          <w:numId w:val="27"/>
        </w:numPr>
        <w:rPr>
          <w:bCs/>
          <w:sz w:val="22"/>
          <w:szCs w:val="22"/>
        </w:rPr>
      </w:pPr>
      <w:r w:rsidRPr="003F7AF4">
        <w:rPr>
          <w:bCs/>
          <w:sz w:val="22"/>
          <w:szCs w:val="22"/>
        </w:rPr>
        <w:t xml:space="preserve">Relevant </w:t>
      </w:r>
      <w:r w:rsidR="00FE74A6">
        <w:rPr>
          <w:bCs/>
          <w:sz w:val="22"/>
          <w:szCs w:val="22"/>
        </w:rPr>
        <w:t xml:space="preserve">subject </w:t>
      </w:r>
      <w:r w:rsidRPr="003F7AF4">
        <w:rPr>
          <w:bCs/>
          <w:sz w:val="22"/>
          <w:szCs w:val="22"/>
        </w:rPr>
        <w:t xml:space="preserve">knowledge </w:t>
      </w:r>
      <w:r w:rsidR="00FE74A6">
        <w:rPr>
          <w:bCs/>
          <w:sz w:val="22"/>
          <w:szCs w:val="22"/>
        </w:rPr>
        <w:t>(</w:t>
      </w:r>
      <w:r w:rsidR="00777ED9">
        <w:rPr>
          <w:bCs/>
          <w:sz w:val="22"/>
          <w:szCs w:val="22"/>
        </w:rPr>
        <w:t xml:space="preserve">early career </w:t>
      </w:r>
      <w:r w:rsidRPr="003F7AF4">
        <w:rPr>
          <w:bCs/>
          <w:sz w:val="22"/>
          <w:szCs w:val="22"/>
        </w:rPr>
        <w:t>teacher</w:t>
      </w:r>
      <w:r w:rsidR="00777ED9">
        <w:rPr>
          <w:bCs/>
          <w:sz w:val="22"/>
          <w:szCs w:val="22"/>
        </w:rPr>
        <w:t>s, teacher</w:t>
      </w:r>
      <w:r w:rsidRPr="003F7AF4">
        <w:rPr>
          <w:bCs/>
          <w:sz w:val="22"/>
          <w:szCs w:val="22"/>
        </w:rPr>
        <w:t xml:space="preserve"> workforce issues</w:t>
      </w:r>
      <w:r w:rsidR="005A5417">
        <w:rPr>
          <w:bCs/>
          <w:sz w:val="22"/>
          <w:szCs w:val="22"/>
        </w:rPr>
        <w:t xml:space="preserve"> and interventions</w:t>
      </w:r>
      <w:r w:rsidRPr="003F7AF4">
        <w:rPr>
          <w:bCs/>
          <w:sz w:val="22"/>
          <w:szCs w:val="22"/>
        </w:rPr>
        <w:t xml:space="preserve">, </w:t>
      </w:r>
      <w:r w:rsidR="005A5417">
        <w:rPr>
          <w:bCs/>
          <w:sz w:val="22"/>
          <w:szCs w:val="22"/>
        </w:rPr>
        <w:t>context and delivery challenges</w:t>
      </w:r>
      <w:r w:rsidR="00FE74A6">
        <w:rPr>
          <w:bCs/>
          <w:sz w:val="22"/>
          <w:szCs w:val="22"/>
        </w:rPr>
        <w:t>)</w:t>
      </w:r>
      <w:r w:rsidRPr="003F7AF4">
        <w:rPr>
          <w:bCs/>
          <w:sz w:val="22"/>
          <w:szCs w:val="22"/>
        </w:rPr>
        <w:t xml:space="preserve"> and</w:t>
      </w:r>
      <w:r w:rsidR="00FE74A6">
        <w:rPr>
          <w:bCs/>
          <w:sz w:val="22"/>
          <w:szCs w:val="22"/>
        </w:rPr>
        <w:t xml:space="preserve"> understanding of</w:t>
      </w:r>
      <w:r w:rsidRPr="003F7AF4">
        <w:rPr>
          <w:bCs/>
          <w:sz w:val="22"/>
          <w:szCs w:val="22"/>
        </w:rPr>
        <w:t xml:space="preserve"> the implications for the design and delivery of </w:t>
      </w:r>
      <w:r w:rsidR="009E22D0">
        <w:rPr>
          <w:bCs/>
          <w:sz w:val="22"/>
          <w:szCs w:val="22"/>
        </w:rPr>
        <w:t xml:space="preserve">this </w:t>
      </w:r>
      <w:r w:rsidR="005A5417">
        <w:rPr>
          <w:bCs/>
          <w:sz w:val="22"/>
          <w:szCs w:val="22"/>
        </w:rPr>
        <w:t>study</w:t>
      </w:r>
      <w:r w:rsidRPr="003F7AF4">
        <w:rPr>
          <w:bCs/>
          <w:sz w:val="22"/>
          <w:szCs w:val="22"/>
        </w:rPr>
        <w:t xml:space="preserve">. </w:t>
      </w:r>
    </w:p>
    <w:p w14:paraId="4012A14D" w14:textId="77777777" w:rsidR="003F7AF4" w:rsidRDefault="008643A6" w:rsidP="003F7AF4">
      <w:pPr>
        <w:pStyle w:val="Default"/>
        <w:numPr>
          <w:ilvl w:val="0"/>
          <w:numId w:val="27"/>
        </w:numPr>
        <w:rPr>
          <w:bCs/>
          <w:sz w:val="22"/>
          <w:szCs w:val="22"/>
        </w:rPr>
      </w:pPr>
      <w:r>
        <w:rPr>
          <w:bCs/>
          <w:sz w:val="22"/>
          <w:szCs w:val="22"/>
        </w:rPr>
        <w:t>O</w:t>
      </w:r>
      <w:r w:rsidR="003F7AF4" w:rsidRPr="00A26B6F">
        <w:rPr>
          <w:bCs/>
          <w:sz w:val="22"/>
          <w:szCs w:val="22"/>
        </w:rPr>
        <w:t>rganisational capacity</w:t>
      </w:r>
      <w:r w:rsidR="00774E3B">
        <w:rPr>
          <w:bCs/>
          <w:sz w:val="22"/>
          <w:szCs w:val="22"/>
        </w:rPr>
        <w:t xml:space="preserve"> and flexibility</w:t>
      </w:r>
      <w:r w:rsidR="003F7AF4">
        <w:rPr>
          <w:bCs/>
          <w:sz w:val="22"/>
          <w:szCs w:val="22"/>
        </w:rPr>
        <w:t xml:space="preserve">, </w:t>
      </w:r>
      <w:r w:rsidR="003F7AF4" w:rsidRPr="00A26B6F">
        <w:rPr>
          <w:bCs/>
          <w:sz w:val="22"/>
          <w:szCs w:val="22"/>
        </w:rPr>
        <w:t xml:space="preserve">and project management skills to deliver </w:t>
      </w:r>
      <w:r w:rsidR="00774E3B">
        <w:rPr>
          <w:bCs/>
          <w:sz w:val="22"/>
          <w:szCs w:val="22"/>
        </w:rPr>
        <w:t xml:space="preserve">a complex method to scope, </w:t>
      </w:r>
      <w:r w:rsidR="003F7AF4">
        <w:rPr>
          <w:bCs/>
          <w:sz w:val="22"/>
          <w:szCs w:val="22"/>
        </w:rPr>
        <w:t>time and quality.</w:t>
      </w:r>
    </w:p>
    <w:p w14:paraId="25C2E5D5" w14:textId="77777777" w:rsidR="003D3766" w:rsidRDefault="008643A6" w:rsidP="009E22D0">
      <w:pPr>
        <w:pStyle w:val="Default"/>
        <w:numPr>
          <w:ilvl w:val="0"/>
          <w:numId w:val="27"/>
        </w:numPr>
      </w:pPr>
      <w:r>
        <w:rPr>
          <w:bCs/>
          <w:sz w:val="22"/>
          <w:szCs w:val="22"/>
        </w:rPr>
        <w:t>E</w:t>
      </w:r>
      <w:r w:rsidR="003D3766" w:rsidRPr="00A26B6F">
        <w:rPr>
          <w:bCs/>
          <w:sz w:val="22"/>
          <w:szCs w:val="22"/>
        </w:rPr>
        <w:t xml:space="preserve">xperience and technical ability </w:t>
      </w:r>
      <w:r w:rsidR="003F7AF4">
        <w:rPr>
          <w:bCs/>
          <w:sz w:val="22"/>
          <w:szCs w:val="22"/>
        </w:rPr>
        <w:t xml:space="preserve">to </w:t>
      </w:r>
      <w:r>
        <w:rPr>
          <w:bCs/>
          <w:sz w:val="22"/>
          <w:szCs w:val="22"/>
        </w:rPr>
        <w:t xml:space="preserve">design and </w:t>
      </w:r>
      <w:r w:rsidR="003F7AF4">
        <w:rPr>
          <w:bCs/>
          <w:sz w:val="22"/>
          <w:szCs w:val="22"/>
        </w:rPr>
        <w:t>deliver</w:t>
      </w:r>
      <w:r w:rsidR="003D3766" w:rsidRPr="00A26B6F">
        <w:rPr>
          <w:bCs/>
          <w:sz w:val="22"/>
          <w:szCs w:val="22"/>
        </w:rPr>
        <w:t xml:space="preserve"> </w:t>
      </w:r>
      <w:r w:rsidR="00774E3B">
        <w:rPr>
          <w:bCs/>
          <w:sz w:val="22"/>
          <w:szCs w:val="22"/>
        </w:rPr>
        <w:t xml:space="preserve">complex </w:t>
      </w:r>
      <w:r w:rsidR="003D3766">
        <w:rPr>
          <w:bCs/>
          <w:sz w:val="22"/>
          <w:szCs w:val="22"/>
        </w:rPr>
        <w:t>mixed-method evaluation</w:t>
      </w:r>
      <w:r w:rsidR="005A5417">
        <w:rPr>
          <w:bCs/>
          <w:sz w:val="22"/>
          <w:szCs w:val="22"/>
        </w:rPr>
        <w:t>s</w:t>
      </w:r>
      <w:r w:rsidR="0083728F">
        <w:rPr>
          <w:bCs/>
          <w:sz w:val="22"/>
          <w:szCs w:val="22"/>
        </w:rPr>
        <w:t xml:space="preserve">, </w:t>
      </w:r>
      <w:r w:rsidR="005A5417">
        <w:rPr>
          <w:bCs/>
          <w:sz w:val="22"/>
          <w:szCs w:val="22"/>
        </w:rPr>
        <w:t>including</w:t>
      </w:r>
      <w:r w:rsidR="007244B6">
        <w:rPr>
          <w:bCs/>
          <w:sz w:val="22"/>
          <w:szCs w:val="22"/>
        </w:rPr>
        <w:t xml:space="preserve"> </w:t>
      </w:r>
      <w:r w:rsidR="0083728F">
        <w:rPr>
          <w:bCs/>
          <w:sz w:val="22"/>
          <w:szCs w:val="22"/>
        </w:rPr>
        <w:t xml:space="preserve">examples of evaluation embedded in delivery and, approaches to </w:t>
      </w:r>
      <w:r w:rsidR="005A5417">
        <w:rPr>
          <w:bCs/>
          <w:sz w:val="22"/>
          <w:szCs w:val="22"/>
        </w:rPr>
        <w:t xml:space="preserve">minimise burden and / or </w:t>
      </w:r>
      <w:r w:rsidR="00774E3B">
        <w:rPr>
          <w:bCs/>
          <w:sz w:val="22"/>
          <w:szCs w:val="22"/>
        </w:rPr>
        <w:t xml:space="preserve">maximise </w:t>
      </w:r>
      <w:r w:rsidR="005A5417">
        <w:rPr>
          <w:bCs/>
          <w:sz w:val="22"/>
          <w:szCs w:val="22"/>
        </w:rPr>
        <w:t xml:space="preserve">opportunities for </w:t>
      </w:r>
      <w:r w:rsidR="0083728F">
        <w:rPr>
          <w:bCs/>
          <w:sz w:val="22"/>
          <w:szCs w:val="22"/>
        </w:rPr>
        <w:t xml:space="preserve">near real-time </w:t>
      </w:r>
      <w:r w:rsidR="005A5417">
        <w:rPr>
          <w:bCs/>
          <w:sz w:val="22"/>
          <w:szCs w:val="22"/>
        </w:rPr>
        <w:t xml:space="preserve">insights </w:t>
      </w:r>
    </w:p>
    <w:p w14:paraId="40F7F492" w14:textId="77777777" w:rsidR="003F7AF4" w:rsidRPr="00777ED9" w:rsidRDefault="00774E3B" w:rsidP="00777ED9">
      <w:pPr>
        <w:pStyle w:val="ListParagraph"/>
        <w:numPr>
          <w:ilvl w:val="0"/>
          <w:numId w:val="27"/>
        </w:numPr>
        <w:spacing w:after="0" w:line="240" w:lineRule="auto"/>
        <w:ind w:left="357" w:hanging="357"/>
        <w:contextualSpacing w:val="0"/>
        <w:rPr>
          <w:rFonts w:eastAsiaTheme="minorHAnsi" w:cs="Arial"/>
          <w:bCs/>
          <w:color w:val="000000"/>
          <w:szCs w:val="22"/>
          <w:lang w:eastAsia="en-US"/>
        </w:rPr>
      </w:pPr>
      <w:r w:rsidRPr="00777ED9">
        <w:rPr>
          <w:rFonts w:eastAsiaTheme="minorHAnsi" w:cs="Arial"/>
          <w:bCs/>
          <w:color w:val="000000"/>
          <w:szCs w:val="22"/>
          <w:lang w:eastAsia="en-US"/>
        </w:rPr>
        <w:t>Delivery</w:t>
      </w:r>
      <w:r w:rsidR="008643A6" w:rsidRPr="00777ED9">
        <w:rPr>
          <w:rFonts w:eastAsiaTheme="minorHAnsi" w:cs="Arial"/>
          <w:bCs/>
          <w:color w:val="000000"/>
          <w:szCs w:val="22"/>
          <w:lang w:eastAsia="en-US"/>
        </w:rPr>
        <w:t xml:space="preserve"> </w:t>
      </w:r>
      <w:r w:rsidRPr="00777ED9">
        <w:rPr>
          <w:rFonts w:eastAsiaTheme="minorHAnsi" w:cs="Arial"/>
          <w:bCs/>
          <w:color w:val="000000"/>
          <w:szCs w:val="22"/>
          <w:lang w:eastAsia="en-US"/>
        </w:rPr>
        <w:t>of tailored and timely communications to inform operational delivery</w:t>
      </w:r>
      <w:r w:rsidR="0083728F" w:rsidRPr="00777ED9">
        <w:rPr>
          <w:rFonts w:eastAsiaTheme="minorHAnsi" w:cs="Arial"/>
          <w:bCs/>
          <w:color w:val="000000"/>
          <w:szCs w:val="22"/>
          <w:lang w:eastAsia="en-US"/>
        </w:rPr>
        <w:t xml:space="preserve"> by different audiences</w:t>
      </w:r>
      <w:r w:rsidRPr="00777ED9">
        <w:rPr>
          <w:rFonts w:eastAsiaTheme="minorHAnsi" w:cs="Arial"/>
          <w:bCs/>
          <w:color w:val="000000"/>
          <w:szCs w:val="22"/>
          <w:lang w:eastAsia="en-US"/>
        </w:rPr>
        <w:t>, benefit management and strategic planning</w:t>
      </w:r>
      <w:r w:rsidR="0083728F" w:rsidRPr="00777ED9">
        <w:rPr>
          <w:rFonts w:eastAsiaTheme="minorHAnsi" w:cs="Arial"/>
          <w:bCs/>
          <w:color w:val="000000"/>
          <w:szCs w:val="22"/>
          <w:lang w:eastAsia="en-US"/>
        </w:rPr>
        <w:t>.</w:t>
      </w:r>
      <w:r w:rsidRPr="00777ED9">
        <w:rPr>
          <w:rFonts w:eastAsiaTheme="minorHAnsi" w:cs="Arial"/>
          <w:bCs/>
          <w:color w:val="000000"/>
          <w:szCs w:val="22"/>
          <w:lang w:eastAsia="en-US"/>
        </w:rPr>
        <w:t xml:space="preserve"> </w:t>
      </w:r>
    </w:p>
    <w:p w14:paraId="036E56DD" w14:textId="77777777" w:rsidR="00777ED9" w:rsidRPr="00777ED9" w:rsidRDefault="00777ED9" w:rsidP="003D3766">
      <w:pPr>
        <w:pStyle w:val="Default"/>
        <w:rPr>
          <w:b/>
          <w:sz w:val="12"/>
          <w:szCs w:val="12"/>
        </w:rPr>
      </w:pPr>
    </w:p>
    <w:p w14:paraId="3B071D40" w14:textId="2B27012B" w:rsidR="00777ED9" w:rsidRDefault="00777ED9" w:rsidP="003D3766">
      <w:pPr>
        <w:pStyle w:val="Default"/>
        <w:rPr>
          <w:b/>
          <w:bCs/>
          <w:sz w:val="22"/>
          <w:szCs w:val="22"/>
        </w:rPr>
      </w:pPr>
      <w:r w:rsidRPr="00C13E31">
        <w:rPr>
          <w:b/>
          <w:bCs/>
          <w:sz w:val="22"/>
          <w:szCs w:val="22"/>
        </w:rPr>
        <w:t xml:space="preserve">Each one of these </w:t>
      </w:r>
      <w:r w:rsidR="00F23FC6" w:rsidRPr="00C13E31">
        <w:rPr>
          <w:b/>
          <w:bCs/>
          <w:sz w:val="22"/>
          <w:szCs w:val="22"/>
        </w:rPr>
        <w:t>criteri</w:t>
      </w:r>
      <w:r w:rsidR="00F23FC6">
        <w:rPr>
          <w:b/>
          <w:bCs/>
          <w:sz w:val="22"/>
          <w:szCs w:val="22"/>
        </w:rPr>
        <w:t>a</w:t>
      </w:r>
      <w:r w:rsidR="00F23FC6" w:rsidRPr="00C13E31">
        <w:rPr>
          <w:b/>
          <w:bCs/>
          <w:sz w:val="22"/>
          <w:szCs w:val="22"/>
        </w:rPr>
        <w:t xml:space="preserve"> </w:t>
      </w:r>
      <w:r w:rsidRPr="00C13E31">
        <w:rPr>
          <w:b/>
          <w:bCs/>
          <w:sz w:val="22"/>
          <w:szCs w:val="22"/>
        </w:rPr>
        <w:t>has equal weighting.</w:t>
      </w:r>
      <w:r>
        <w:rPr>
          <w:b/>
          <w:bCs/>
          <w:sz w:val="22"/>
          <w:szCs w:val="22"/>
        </w:rPr>
        <w:t xml:space="preserve"> </w:t>
      </w:r>
    </w:p>
    <w:p w14:paraId="1AF9E63C" w14:textId="77777777" w:rsidR="00777ED9" w:rsidRPr="00777ED9" w:rsidRDefault="00777ED9" w:rsidP="003D3766">
      <w:pPr>
        <w:pStyle w:val="Default"/>
        <w:rPr>
          <w:b/>
          <w:sz w:val="12"/>
          <w:szCs w:val="12"/>
        </w:rPr>
      </w:pPr>
    </w:p>
    <w:p w14:paraId="0002584E" w14:textId="77777777" w:rsidR="003D3766" w:rsidRPr="00777ED9" w:rsidRDefault="003D3766" w:rsidP="003D3766">
      <w:pPr>
        <w:pStyle w:val="Default"/>
        <w:rPr>
          <w:b/>
          <w:sz w:val="22"/>
          <w:szCs w:val="22"/>
        </w:rPr>
      </w:pPr>
      <w:r w:rsidRPr="00777ED9">
        <w:rPr>
          <w:b/>
          <w:sz w:val="22"/>
          <w:szCs w:val="22"/>
        </w:rPr>
        <w:t>Scoring</w:t>
      </w:r>
      <w:r w:rsidR="00777ED9">
        <w:rPr>
          <w:b/>
          <w:sz w:val="22"/>
          <w:szCs w:val="22"/>
        </w:rPr>
        <w:t xml:space="preserve"> scale:</w:t>
      </w:r>
    </w:p>
    <w:p w14:paraId="750246E7" w14:textId="77777777" w:rsidR="003D3766" w:rsidRDefault="003D3766" w:rsidP="003D3766">
      <w:pPr>
        <w:pStyle w:val="Default"/>
        <w:numPr>
          <w:ilvl w:val="0"/>
          <w:numId w:val="28"/>
        </w:numPr>
        <w:rPr>
          <w:bCs/>
          <w:sz w:val="22"/>
          <w:szCs w:val="22"/>
        </w:rPr>
      </w:pPr>
      <w:r w:rsidRPr="00C13E31">
        <w:rPr>
          <w:bCs/>
          <w:sz w:val="22"/>
          <w:szCs w:val="22"/>
        </w:rPr>
        <w:t>No evidence/very poor</w:t>
      </w:r>
    </w:p>
    <w:p w14:paraId="73671051" w14:textId="77777777" w:rsidR="003D3766" w:rsidRDefault="003D3766" w:rsidP="003D3766">
      <w:pPr>
        <w:pStyle w:val="Default"/>
        <w:numPr>
          <w:ilvl w:val="0"/>
          <w:numId w:val="28"/>
        </w:numPr>
        <w:rPr>
          <w:bCs/>
          <w:sz w:val="22"/>
          <w:szCs w:val="22"/>
        </w:rPr>
      </w:pPr>
      <w:r w:rsidRPr="00C13E31">
        <w:rPr>
          <w:bCs/>
          <w:sz w:val="22"/>
          <w:szCs w:val="22"/>
        </w:rPr>
        <w:t>Poor evidence</w:t>
      </w:r>
    </w:p>
    <w:p w14:paraId="53E9D98D" w14:textId="77777777" w:rsidR="003D3766" w:rsidRDefault="003D3766" w:rsidP="003D3766">
      <w:pPr>
        <w:pStyle w:val="Default"/>
        <w:numPr>
          <w:ilvl w:val="0"/>
          <w:numId w:val="28"/>
        </w:numPr>
        <w:rPr>
          <w:bCs/>
          <w:sz w:val="22"/>
          <w:szCs w:val="22"/>
        </w:rPr>
      </w:pPr>
      <w:r w:rsidRPr="00C13E31">
        <w:rPr>
          <w:bCs/>
          <w:sz w:val="22"/>
          <w:szCs w:val="22"/>
        </w:rPr>
        <w:t>Some evidence</w:t>
      </w:r>
    </w:p>
    <w:p w14:paraId="4D4BE63D" w14:textId="77777777" w:rsidR="003D3766" w:rsidRDefault="003D3766" w:rsidP="003D3766">
      <w:pPr>
        <w:pStyle w:val="Default"/>
        <w:numPr>
          <w:ilvl w:val="0"/>
          <w:numId w:val="28"/>
        </w:numPr>
        <w:rPr>
          <w:bCs/>
          <w:sz w:val="22"/>
          <w:szCs w:val="22"/>
        </w:rPr>
      </w:pPr>
      <w:r w:rsidRPr="00C13E31">
        <w:rPr>
          <w:bCs/>
          <w:sz w:val="22"/>
          <w:szCs w:val="22"/>
        </w:rPr>
        <w:t>Good evidence</w:t>
      </w:r>
    </w:p>
    <w:p w14:paraId="73CCA133" w14:textId="77777777" w:rsidR="003D3766" w:rsidRPr="00C13E31" w:rsidRDefault="003D3766" w:rsidP="003D3766">
      <w:pPr>
        <w:pStyle w:val="Default"/>
        <w:numPr>
          <w:ilvl w:val="0"/>
          <w:numId w:val="28"/>
        </w:numPr>
        <w:rPr>
          <w:bCs/>
          <w:sz w:val="22"/>
          <w:szCs w:val="22"/>
        </w:rPr>
      </w:pPr>
      <w:r w:rsidRPr="00C13E31">
        <w:rPr>
          <w:bCs/>
          <w:sz w:val="22"/>
          <w:szCs w:val="22"/>
        </w:rPr>
        <w:t>Excellent evidence</w:t>
      </w:r>
    </w:p>
    <w:p w14:paraId="0C512913" w14:textId="4A178BF0" w:rsidR="00777ED9" w:rsidRDefault="003D3766" w:rsidP="00777ED9">
      <w:pPr>
        <w:pStyle w:val="Default"/>
        <w:spacing w:before="240" w:after="120" w:line="288" w:lineRule="auto"/>
        <w:rPr>
          <w:sz w:val="22"/>
          <w:szCs w:val="22"/>
        </w:rPr>
      </w:pPr>
      <w:r w:rsidRPr="00C13E31">
        <w:rPr>
          <w:sz w:val="22"/>
          <w:szCs w:val="22"/>
        </w:rPr>
        <w:t xml:space="preserve">Expressions of interests submitted must be no more than </w:t>
      </w:r>
      <w:r w:rsidRPr="009D715E">
        <w:rPr>
          <w:sz w:val="22"/>
          <w:szCs w:val="22"/>
        </w:rPr>
        <w:t>1,000 words</w:t>
      </w:r>
      <w:r w:rsidRPr="00C13E31">
        <w:rPr>
          <w:sz w:val="22"/>
          <w:szCs w:val="22"/>
        </w:rPr>
        <w:t xml:space="preserve"> – anyth</w:t>
      </w:r>
      <w:r>
        <w:rPr>
          <w:sz w:val="22"/>
          <w:szCs w:val="22"/>
        </w:rPr>
        <w:t>ing longer will be disregarded. Please note that any references must be included within the above word count.</w:t>
      </w:r>
    </w:p>
    <w:p w14:paraId="04605367" w14:textId="77777777" w:rsidR="008352D9" w:rsidRPr="008352D9" w:rsidRDefault="008352D9" w:rsidP="00777ED9">
      <w:pPr>
        <w:pStyle w:val="Default"/>
        <w:spacing w:before="240" w:after="120" w:line="288" w:lineRule="auto"/>
        <w:rPr>
          <w:sz w:val="8"/>
          <w:szCs w:val="8"/>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8BB1A04"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0A18802" w14:textId="5386FEAE" w:rsidR="00915C18" w:rsidRPr="00777ED9" w:rsidRDefault="00915C18" w:rsidP="00915C18">
            <w:pPr>
              <w:spacing w:before="160"/>
              <w:rPr>
                <w:b/>
                <w:bCs/>
                <w:sz w:val="28"/>
                <w:szCs w:val="28"/>
              </w:rPr>
            </w:pPr>
            <w:r w:rsidRPr="00777ED9">
              <w:rPr>
                <w:b/>
                <w:bCs/>
                <w:sz w:val="28"/>
                <w:szCs w:val="28"/>
              </w:rPr>
              <w:t>Closing date for EOIs:</w:t>
            </w:r>
            <w:r w:rsidR="004246CB" w:rsidRPr="00777ED9">
              <w:rPr>
                <w:b/>
                <w:bCs/>
                <w:sz w:val="28"/>
                <w:szCs w:val="28"/>
              </w:rPr>
              <w:t xml:space="preserve"> </w:t>
            </w:r>
            <w:r w:rsidR="006E1B0B">
              <w:rPr>
                <w:b/>
                <w:bCs/>
                <w:sz w:val="28"/>
                <w:szCs w:val="28"/>
              </w:rPr>
              <w:t xml:space="preserve">23.59 on </w:t>
            </w:r>
            <w:r w:rsidR="00C87F09">
              <w:rPr>
                <w:b/>
                <w:bCs/>
                <w:sz w:val="28"/>
                <w:szCs w:val="28"/>
              </w:rPr>
              <w:t>18</w:t>
            </w:r>
            <w:r w:rsidR="00C87F09" w:rsidRPr="00C87F09">
              <w:rPr>
                <w:b/>
                <w:bCs/>
                <w:sz w:val="28"/>
                <w:szCs w:val="28"/>
                <w:vertAlign w:val="superscript"/>
              </w:rPr>
              <w:t>th</w:t>
            </w:r>
            <w:r w:rsidR="00C87F09">
              <w:rPr>
                <w:b/>
                <w:bCs/>
                <w:sz w:val="28"/>
                <w:szCs w:val="28"/>
              </w:rPr>
              <w:t xml:space="preserve"> November 2019</w:t>
            </w:r>
          </w:p>
          <w:p w14:paraId="6FEB80DA" w14:textId="77777777" w:rsidR="00A85EBD" w:rsidRDefault="00915C18" w:rsidP="007519C2">
            <w:pPr>
              <w:rPr>
                <w:rFonts w:ascii="Calibri" w:hAnsi="Calibri"/>
              </w:rPr>
            </w:pPr>
            <w:r w:rsidRPr="00777ED9">
              <w:rPr>
                <w:b/>
                <w:bCs/>
                <w:sz w:val="28"/>
                <w:szCs w:val="28"/>
              </w:rPr>
              <w:t>Send your EOI form to:</w:t>
            </w:r>
            <w:r w:rsidR="00197CEA" w:rsidRPr="00777ED9">
              <w:rPr>
                <w:b/>
                <w:bCs/>
                <w:sz w:val="28"/>
                <w:szCs w:val="28"/>
              </w:rPr>
              <w:t xml:space="preserve"> </w:t>
            </w:r>
            <w:bookmarkStart w:id="3" w:name="_Hlk22281773"/>
            <w:r w:rsidR="00012DC9" w:rsidRPr="00B667DE">
              <w:rPr>
                <w:sz w:val="24"/>
                <w:szCs w:val="28"/>
              </w:rPr>
              <w:fldChar w:fldCharType="begin"/>
            </w:r>
            <w:r w:rsidR="00012DC9" w:rsidRPr="00B667DE">
              <w:rPr>
                <w:sz w:val="24"/>
                <w:szCs w:val="28"/>
              </w:rPr>
              <w:instrText xml:space="preserve"> HYPERLINK "mailto:TeachersAnalysisUnit.MAILBOX@education.gov.uk" </w:instrText>
            </w:r>
            <w:r w:rsidR="00012DC9" w:rsidRPr="00B667DE">
              <w:rPr>
                <w:sz w:val="24"/>
                <w:szCs w:val="28"/>
              </w:rPr>
              <w:fldChar w:fldCharType="separate"/>
            </w:r>
            <w:r w:rsidR="00C87F09" w:rsidRPr="00B667DE">
              <w:rPr>
                <w:rStyle w:val="Hyperlink"/>
                <w:sz w:val="22"/>
                <w:szCs w:val="22"/>
              </w:rPr>
              <w:t>TeachersAnalysisUnit.MAILBOX@education.gov.uk</w:t>
            </w:r>
            <w:r w:rsidR="00012DC9" w:rsidRPr="00B667DE">
              <w:rPr>
                <w:rStyle w:val="Hyperlink"/>
                <w:sz w:val="22"/>
                <w:szCs w:val="22"/>
              </w:rPr>
              <w:fldChar w:fldCharType="end"/>
            </w:r>
            <w:bookmarkEnd w:id="3"/>
            <w:r w:rsidR="00C87F09" w:rsidRPr="00B667DE">
              <w:rPr>
                <w:szCs w:val="22"/>
              </w:rPr>
              <w:t xml:space="preserve"> </w:t>
            </w:r>
          </w:p>
        </w:tc>
      </w:tr>
    </w:tbl>
    <w:p w14:paraId="7CE1D7CD" w14:textId="77777777" w:rsidR="00915C18" w:rsidRPr="003E05F9" w:rsidRDefault="00094338" w:rsidP="00777ED9">
      <w:pPr>
        <w:pStyle w:val="Heading2"/>
        <w:spacing w:before="240" w:after="120"/>
      </w:pPr>
      <w:r>
        <w:lastRenderedPageBreak/>
        <w:t>H</w:t>
      </w:r>
      <w:r w:rsidR="00915C18" w:rsidRPr="003E05F9">
        <w:t xml:space="preserve">ow to submit an </w:t>
      </w:r>
      <w:r w:rsidR="008643A6" w:rsidRPr="00094338">
        <w:t>e</w:t>
      </w:r>
      <w:r w:rsidR="008643A6">
        <w:t>x</w:t>
      </w:r>
      <w:r w:rsidR="008643A6" w:rsidRPr="00094338">
        <w:t>pression of interest</w:t>
      </w:r>
    </w:p>
    <w:p w14:paraId="7F20D731" w14:textId="77777777"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29EC7F98" w14:textId="77777777" w:rsidR="00915C18" w:rsidRDefault="00814CCF" w:rsidP="00814CCF">
      <w:r>
        <w:t>All contracts are let on the basis of t</w:t>
      </w:r>
      <w:r w:rsidR="00803236">
        <w:t xml:space="preserve">he </w:t>
      </w:r>
      <w:r w:rsidR="009E22D0">
        <w:t>Department’s</w:t>
      </w:r>
      <w:r w:rsidR="00803236">
        <w:t xml:space="preserve"> Terms &amp; Conditions, </w:t>
      </w:r>
      <w:r w:rsidR="00FD3789">
        <w:t xml:space="preserve">a </w:t>
      </w:r>
      <w:r w:rsidR="00803236">
        <w:t xml:space="preserve">copy </w:t>
      </w:r>
      <w:r w:rsidR="00FD3789">
        <w:t xml:space="preserve">is </w:t>
      </w:r>
      <w:r w:rsidR="00803236">
        <w:t xml:space="preserve">available attached to the </w:t>
      </w:r>
      <w:r w:rsidR="009E22D0">
        <w:t>Contracts Finder</w:t>
      </w:r>
      <w:r w:rsidR="00803236">
        <w:t xml:space="preserve"> listing. </w:t>
      </w:r>
      <w:r>
        <w:t>You are encouraged to check these before submitting your expression of interest, as these form part of your contractual obligations.</w:t>
      </w:r>
    </w:p>
    <w:p w14:paraId="70E7A961" w14:textId="77777777" w:rsidR="00C87F09" w:rsidRPr="00C87F09" w:rsidRDefault="00C87F09" w:rsidP="00814CCF">
      <w:pPr>
        <w:rPr>
          <w:szCs w:val="22"/>
        </w:rPr>
      </w:pPr>
      <w:r>
        <w:t xml:space="preserve">If invited to submit a full-tender, bidders will be required to complete Conflict of interest form and explain how the organisation (and partners) would mitigate this conflict of interest. </w:t>
      </w:r>
    </w:p>
    <w:p w14:paraId="0259F32A" w14:textId="77777777" w:rsidR="005D3B59" w:rsidRPr="00531385" w:rsidRDefault="00C2496D" w:rsidP="005D3B59">
      <w:r w:rsidRPr="00995398">
        <w:t>©</w:t>
      </w:r>
      <w:r w:rsidR="005D3B59" w:rsidRPr="005D3B59">
        <w:t xml:space="preserve"> </w:t>
      </w:r>
      <w:r w:rsidR="00EE71A2">
        <w:t xml:space="preserve">Crown copyright </w:t>
      </w:r>
      <w:r w:rsidR="00484F42">
        <w:t>2019</w:t>
      </w:r>
    </w:p>
    <w:sectPr w:rsidR="005D3B59" w:rsidRPr="00531385" w:rsidSect="00777ED9">
      <w:footerReference w:type="default" r:id="rId20"/>
      <w:footerReference w:type="first" r:id="rId21"/>
      <w:pgSz w:w="11906" w:h="16838" w:code="9"/>
      <w:pgMar w:top="851" w:right="1077" w:bottom="709"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DABD0" w14:textId="77777777" w:rsidR="00553A8C" w:rsidRDefault="00553A8C" w:rsidP="002B6D93">
      <w:r>
        <w:separator/>
      </w:r>
    </w:p>
    <w:p w14:paraId="28F4F952" w14:textId="77777777" w:rsidR="00553A8C" w:rsidRDefault="00553A8C"/>
  </w:endnote>
  <w:endnote w:type="continuationSeparator" w:id="0">
    <w:p w14:paraId="75DF559C" w14:textId="77777777" w:rsidR="00553A8C" w:rsidRDefault="00553A8C" w:rsidP="002B6D93">
      <w:r>
        <w:continuationSeparator/>
      </w:r>
    </w:p>
    <w:p w14:paraId="13E44506" w14:textId="77777777" w:rsidR="00553A8C" w:rsidRDefault="0055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165EE508" w14:textId="1791063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E1B0B">
          <w:rPr>
            <w:noProof/>
          </w:rPr>
          <w:t>5</w:t>
        </w:r>
        <w:r>
          <w:rPr>
            <w:noProof/>
          </w:rPr>
          <w:fldChar w:fldCharType="end"/>
        </w:r>
      </w:p>
    </w:sdtContent>
  </w:sdt>
  <w:p w14:paraId="51851762"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42D1" w14:textId="4482B1D2" w:rsidR="00DA0AD5" w:rsidRPr="006E6ADB" w:rsidRDefault="00DA0AD5" w:rsidP="004A3626">
    <w:pPr>
      <w:tabs>
        <w:tab w:val="left" w:pos="7088"/>
      </w:tabs>
      <w:spacing w:before="240"/>
      <w:rPr>
        <w:szCs w:val="20"/>
      </w:rPr>
    </w:pPr>
    <w:r w:rsidRPr="006E6ADB">
      <w:rPr>
        <w:szCs w:val="20"/>
      </w:rPr>
      <w:tab/>
      <w:t xml:space="preserve">Published: </w:t>
    </w:r>
    <w:r w:rsidR="006E1B0B">
      <w:rPr>
        <w:szCs w:val="20"/>
      </w:rPr>
      <w:t xml:space="preserve">October </w:t>
    </w:r>
    <w:r>
      <w:rPr>
        <w:szCs w:val="20"/>
      </w:rPr>
      <w:t>201</w:t>
    </w:r>
    <w:r w:rsidR="006E1B0B">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14C0" w14:textId="77777777" w:rsidR="00553A8C" w:rsidRDefault="00553A8C" w:rsidP="008352D9">
      <w:pPr>
        <w:spacing w:after="40"/>
        <w:contextualSpacing/>
      </w:pPr>
      <w:r>
        <w:separator/>
      </w:r>
    </w:p>
  </w:footnote>
  <w:footnote w:type="continuationSeparator" w:id="0">
    <w:p w14:paraId="7F668A1D" w14:textId="77777777" w:rsidR="00553A8C" w:rsidRDefault="00553A8C" w:rsidP="008352D9">
      <w:pPr>
        <w:spacing w:after="120"/>
      </w:pPr>
      <w:r>
        <w:continuationSeparator/>
      </w:r>
    </w:p>
  </w:footnote>
  <w:footnote w:type="continuationNotice" w:id="1">
    <w:p w14:paraId="3540C975" w14:textId="77777777" w:rsidR="00553A8C" w:rsidRDefault="00553A8C">
      <w:pPr>
        <w:spacing w:after="0" w:line="240" w:lineRule="auto"/>
      </w:pPr>
    </w:p>
  </w:footnote>
  <w:footnote w:id="2">
    <w:p w14:paraId="74A1FB5E" w14:textId="3B2A90BC" w:rsidR="00007F62" w:rsidRPr="00241932" w:rsidRDefault="00007F62" w:rsidP="00241932">
      <w:pPr>
        <w:pStyle w:val="Default"/>
        <w:contextualSpacing/>
        <w:rPr>
          <w:rFonts w:eastAsia="Times New Roman"/>
          <w:sz w:val="20"/>
          <w:szCs w:val="20"/>
          <w:lang w:eastAsia="en-GB"/>
        </w:rPr>
      </w:pPr>
      <w:r w:rsidRPr="00241932">
        <w:rPr>
          <w:rStyle w:val="FootnoteReference"/>
          <w:rFonts w:ascii="Segoe UI" w:eastAsiaTheme="minorEastAsia" w:hAnsi="Segoe UI" w:cstheme="minorBidi"/>
          <w:bCs/>
          <w:color w:val="auto"/>
          <w:sz w:val="20"/>
          <w:szCs w:val="20"/>
          <w:lang w:val="en-US"/>
        </w:rPr>
        <w:footnoteRef/>
      </w:r>
      <w:r w:rsidRPr="00241932">
        <w:rPr>
          <w:rStyle w:val="FootnoteReference"/>
          <w:rFonts w:ascii="Segoe UI" w:eastAsiaTheme="minorEastAsia" w:hAnsi="Segoe UI" w:cstheme="minorBidi"/>
          <w:bCs/>
          <w:color w:val="auto"/>
          <w:sz w:val="20"/>
          <w:szCs w:val="20"/>
          <w:lang w:val="en-US"/>
        </w:rPr>
        <w:t xml:space="preserve"> </w:t>
      </w:r>
      <w:r w:rsidR="008352D9">
        <w:rPr>
          <w:rFonts w:eastAsiaTheme="minorEastAsia"/>
          <w:bCs/>
          <w:color w:val="auto"/>
          <w:sz w:val="18"/>
          <w:szCs w:val="18"/>
          <w:lang w:val="en-US"/>
        </w:rPr>
        <w:t>E</w:t>
      </w:r>
      <w:r w:rsidRPr="00241932">
        <w:rPr>
          <w:rFonts w:eastAsiaTheme="minorEastAsia"/>
          <w:bCs/>
          <w:color w:val="auto"/>
          <w:sz w:val="18"/>
          <w:szCs w:val="18"/>
          <w:lang w:val="en-US"/>
        </w:rPr>
        <w:t>arly career teacher (ECT) is used to refer to a newly qualified teacher in the first or second year of their induction</w:t>
      </w:r>
      <w:r w:rsidRPr="00007F62">
        <w:rPr>
          <w:rFonts w:eastAsia="Times New Roman"/>
          <w:sz w:val="20"/>
          <w:szCs w:val="20"/>
          <w:lang w:eastAsia="en-GB"/>
        </w:rPr>
        <w:t xml:space="preserve"> </w:t>
      </w:r>
    </w:p>
  </w:footnote>
  <w:footnote w:id="3">
    <w:p w14:paraId="26F9C5B7" w14:textId="3D3450E6" w:rsidR="00582F51" w:rsidRPr="00582F51" w:rsidRDefault="00582F51">
      <w:pPr>
        <w:pStyle w:val="FootnoteText"/>
        <w:rPr>
          <w:b w:val="0"/>
          <w:bCs/>
          <w:lang w:val="en-GB"/>
        </w:rPr>
      </w:pPr>
      <w:r w:rsidRPr="00582F51">
        <w:rPr>
          <w:rStyle w:val="FootnoteReference"/>
          <w:b w:val="0"/>
          <w:bCs/>
        </w:rPr>
        <w:footnoteRef/>
      </w:r>
      <w:r w:rsidRPr="00582F51">
        <w:rPr>
          <w:b w:val="0"/>
          <w:bCs/>
        </w:rPr>
        <w:t xml:space="preserve"> </w:t>
      </w:r>
      <w:r w:rsidRPr="00582F51">
        <w:rPr>
          <w:rFonts w:ascii="Arial" w:hAnsi="Arial" w:cs="Arial"/>
          <w:b w:val="0"/>
          <w:bCs/>
          <w:sz w:val="18"/>
          <w:szCs w:val="18"/>
          <w:lang w:val="en"/>
        </w:rPr>
        <w:t>Current statutory guidance on NQT inductions for headteachers, school staff and governing bodies</w:t>
      </w:r>
      <w:r w:rsidRPr="00582F51">
        <w:rPr>
          <w:rFonts w:ascii="Arial" w:hAnsi="Arial" w:cs="Arial"/>
          <w:b w:val="0"/>
          <w:bCs/>
          <w:sz w:val="18"/>
          <w:szCs w:val="18"/>
        </w:rPr>
        <w:t xml:space="preserve"> https://www.gov.uk/government/publications/induction-for-newly-qualified-teachers-nqts</w:t>
      </w:r>
    </w:p>
  </w:footnote>
  <w:footnote w:id="4">
    <w:p w14:paraId="47A3DC7E" w14:textId="77777777" w:rsidR="00CF31B2" w:rsidRPr="004246CB" w:rsidRDefault="00CF31B2" w:rsidP="004246CB">
      <w:pPr>
        <w:pStyle w:val="Default"/>
        <w:rPr>
          <w:rFonts w:eastAsia="Times New Roman"/>
          <w:sz w:val="20"/>
          <w:szCs w:val="20"/>
          <w:lang w:eastAsia="en-GB"/>
        </w:rPr>
      </w:pPr>
      <w:r w:rsidRPr="00CF31B2">
        <w:rPr>
          <w:rStyle w:val="FootnoteReference"/>
          <w:rFonts w:eastAsia="Times New Roman"/>
          <w:color w:val="auto"/>
          <w:sz w:val="18"/>
          <w:szCs w:val="18"/>
          <w:lang w:eastAsia="en-GB"/>
        </w:rPr>
        <w:footnoteRef/>
      </w:r>
      <w:r>
        <w:t xml:space="preserve"> </w:t>
      </w:r>
      <w:r w:rsidRPr="00CF31B2">
        <w:rPr>
          <w:rFonts w:eastAsia="Times New Roman"/>
          <w:sz w:val="18"/>
          <w:szCs w:val="18"/>
          <w:lang w:eastAsia="en-GB"/>
        </w:rPr>
        <w:t>Self-Directed Study Materials; Mentor Session Materials and Training Session Outlines only.</w:t>
      </w:r>
      <w:r w:rsidRPr="00CF31B2">
        <w:rPr>
          <w:rFonts w:eastAsia="Times New Roman"/>
          <w:sz w:val="20"/>
          <w:szCs w:val="20"/>
          <w:lang w:eastAsia="en-GB"/>
        </w:rPr>
        <w:t xml:space="preserve"> </w:t>
      </w:r>
    </w:p>
  </w:footnote>
  <w:footnote w:id="5">
    <w:p w14:paraId="744EAAE8" w14:textId="734EE5E9" w:rsidR="00CF31B2" w:rsidRPr="00CF31B2" w:rsidRDefault="00CF31B2" w:rsidP="00CF31B2">
      <w:pPr>
        <w:pStyle w:val="CommentText"/>
        <w:spacing w:after="0"/>
      </w:pPr>
      <w:r w:rsidRPr="00CF31B2">
        <w:rPr>
          <w:rStyle w:val="FootnoteReference"/>
        </w:rPr>
        <w:footnoteRef/>
      </w:r>
      <w:r w:rsidRPr="00CF31B2">
        <w:rPr>
          <w:rFonts w:cs="Arial"/>
          <w:color w:val="000000"/>
          <w:sz w:val="18"/>
          <w:szCs w:val="18"/>
        </w:rPr>
        <w:t xml:space="preserve"> F</w:t>
      </w:r>
      <w:r w:rsidR="00241932">
        <w:rPr>
          <w:rFonts w:cs="Arial"/>
          <w:color w:val="000000"/>
          <w:sz w:val="18"/>
          <w:szCs w:val="18"/>
        </w:rPr>
        <w:t>ull-induction programme (FIP)</w:t>
      </w:r>
      <w:r w:rsidRPr="00CF31B2">
        <w:rPr>
          <w:rFonts w:cs="Arial"/>
          <w:color w:val="000000"/>
          <w:sz w:val="18"/>
          <w:szCs w:val="18"/>
        </w:rPr>
        <w:t xml:space="preserve"> includes: Self-Directed Study Materials; Mentor Session Materials and Training for ECTs delivered by an external organisation and, separately, Training for Mentors delivered by an external organisation. </w:t>
      </w:r>
    </w:p>
  </w:footnote>
  <w:footnote w:id="6">
    <w:p w14:paraId="08FF7E05" w14:textId="77777777" w:rsidR="00C748BB" w:rsidRPr="008D6877" w:rsidRDefault="00C748BB" w:rsidP="00C748BB">
      <w:pPr>
        <w:pStyle w:val="FootnoteText"/>
        <w:rPr>
          <w:lang w:val="en-GB"/>
        </w:rPr>
      </w:pPr>
      <w:r w:rsidRPr="003C7920">
        <w:rPr>
          <w:rStyle w:val="FootnoteReference"/>
          <w:rFonts w:ascii="Arial" w:hAnsi="Arial" w:cs="Arial"/>
          <w:sz w:val="18"/>
          <w:szCs w:val="18"/>
        </w:rPr>
        <w:footnoteRef/>
      </w:r>
      <w:r w:rsidRPr="003C7920">
        <w:rPr>
          <w:rFonts w:ascii="Arial" w:hAnsi="Arial" w:cs="Arial"/>
          <w:sz w:val="18"/>
          <w:szCs w:val="18"/>
        </w:rPr>
        <w:t xml:space="preserve"> </w:t>
      </w:r>
      <w:r w:rsidRPr="003C7920">
        <w:rPr>
          <w:rFonts w:ascii="Arial" w:eastAsia="Times New Roman" w:hAnsi="Arial" w:cs="Arial"/>
          <w:b w:val="0"/>
          <w:color w:val="000000"/>
          <w:sz w:val="18"/>
          <w:szCs w:val="18"/>
          <w:lang w:eastAsia="en-GB"/>
        </w:rPr>
        <w:t>Full Induction P</w:t>
      </w:r>
      <w:r>
        <w:rPr>
          <w:rFonts w:ascii="Arial" w:eastAsia="Times New Roman" w:hAnsi="Arial" w:cs="Arial"/>
          <w:b w:val="0"/>
          <w:color w:val="000000"/>
          <w:sz w:val="18"/>
          <w:szCs w:val="18"/>
          <w:lang w:eastAsia="en-GB"/>
        </w:rPr>
        <w:t>rogramme</w:t>
      </w:r>
      <w:r w:rsidRPr="003C7920">
        <w:rPr>
          <w:rFonts w:ascii="Arial" w:eastAsia="Times New Roman" w:hAnsi="Arial" w:cs="Arial"/>
          <w:b w:val="0"/>
          <w:color w:val="000000"/>
          <w:sz w:val="18"/>
          <w:szCs w:val="18"/>
          <w:lang w:eastAsia="en-GB"/>
        </w:rPr>
        <w:t xml:space="preserve"> refers to package of products that delivers a two-year induction for ECTs, underpinned by the ECF comprising: self-directed study; mentor sessions and training for ECTs and, separately, training for mentors.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B2CA8"/>
    <w:multiLevelType w:val="hybridMultilevel"/>
    <w:tmpl w:val="B72A4986"/>
    <w:lvl w:ilvl="0" w:tplc="0809000F">
      <w:start w:val="1"/>
      <w:numFmt w:val="decimal"/>
      <w:lvlText w:val="%1."/>
      <w:lvlJc w:val="left"/>
      <w:pPr>
        <w:tabs>
          <w:tab w:val="num" w:pos="360"/>
        </w:tabs>
        <w:ind w:left="360" w:hanging="360"/>
      </w:pPr>
      <w:rPr>
        <w:rFonts w:hint="default"/>
      </w:rPr>
    </w:lvl>
    <w:lvl w:ilvl="1" w:tplc="4A864DDA">
      <w:start w:val="1"/>
      <w:numFmt w:val="bullet"/>
      <w:lvlText w:val="•"/>
      <w:lvlJc w:val="left"/>
      <w:pPr>
        <w:tabs>
          <w:tab w:val="num" w:pos="1080"/>
        </w:tabs>
        <w:ind w:left="1080" w:hanging="360"/>
      </w:pPr>
      <w:rPr>
        <w:rFonts w:ascii="Arial" w:hAnsi="Arial" w:hint="default"/>
      </w:rPr>
    </w:lvl>
    <w:lvl w:ilvl="2" w:tplc="1F0A3FF2" w:tentative="1">
      <w:start w:val="1"/>
      <w:numFmt w:val="bullet"/>
      <w:lvlText w:val="•"/>
      <w:lvlJc w:val="left"/>
      <w:pPr>
        <w:tabs>
          <w:tab w:val="num" w:pos="1800"/>
        </w:tabs>
        <w:ind w:left="1800" w:hanging="360"/>
      </w:pPr>
      <w:rPr>
        <w:rFonts w:ascii="Arial" w:hAnsi="Arial" w:hint="default"/>
      </w:rPr>
    </w:lvl>
    <w:lvl w:ilvl="3" w:tplc="8B48C25C" w:tentative="1">
      <w:start w:val="1"/>
      <w:numFmt w:val="bullet"/>
      <w:lvlText w:val="•"/>
      <w:lvlJc w:val="left"/>
      <w:pPr>
        <w:tabs>
          <w:tab w:val="num" w:pos="2520"/>
        </w:tabs>
        <w:ind w:left="2520" w:hanging="360"/>
      </w:pPr>
      <w:rPr>
        <w:rFonts w:ascii="Arial" w:hAnsi="Arial" w:hint="default"/>
      </w:rPr>
    </w:lvl>
    <w:lvl w:ilvl="4" w:tplc="D084076E" w:tentative="1">
      <w:start w:val="1"/>
      <w:numFmt w:val="bullet"/>
      <w:lvlText w:val="•"/>
      <w:lvlJc w:val="left"/>
      <w:pPr>
        <w:tabs>
          <w:tab w:val="num" w:pos="3240"/>
        </w:tabs>
        <w:ind w:left="3240" w:hanging="360"/>
      </w:pPr>
      <w:rPr>
        <w:rFonts w:ascii="Arial" w:hAnsi="Arial" w:hint="default"/>
      </w:rPr>
    </w:lvl>
    <w:lvl w:ilvl="5" w:tplc="40DEF184" w:tentative="1">
      <w:start w:val="1"/>
      <w:numFmt w:val="bullet"/>
      <w:lvlText w:val="•"/>
      <w:lvlJc w:val="left"/>
      <w:pPr>
        <w:tabs>
          <w:tab w:val="num" w:pos="3960"/>
        </w:tabs>
        <w:ind w:left="3960" w:hanging="360"/>
      </w:pPr>
      <w:rPr>
        <w:rFonts w:ascii="Arial" w:hAnsi="Arial" w:hint="default"/>
      </w:rPr>
    </w:lvl>
    <w:lvl w:ilvl="6" w:tplc="0D2CAA44" w:tentative="1">
      <w:start w:val="1"/>
      <w:numFmt w:val="bullet"/>
      <w:lvlText w:val="•"/>
      <w:lvlJc w:val="left"/>
      <w:pPr>
        <w:tabs>
          <w:tab w:val="num" w:pos="4680"/>
        </w:tabs>
        <w:ind w:left="4680" w:hanging="360"/>
      </w:pPr>
      <w:rPr>
        <w:rFonts w:ascii="Arial" w:hAnsi="Arial" w:hint="default"/>
      </w:rPr>
    </w:lvl>
    <w:lvl w:ilvl="7" w:tplc="75222E7E" w:tentative="1">
      <w:start w:val="1"/>
      <w:numFmt w:val="bullet"/>
      <w:lvlText w:val="•"/>
      <w:lvlJc w:val="left"/>
      <w:pPr>
        <w:tabs>
          <w:tab w:val="num" w:pos="5400"/>
        </w:tabs>
        <w:ind w:left="5400" w:hanging="360"/>
      </w:pPr>
      <w:rPr>
        <w:rFonts w:ascii="Arial" w:hAnsi="Arial" w:hint="default"/>
      </w:rPr>
    </w:lvl>
    <w:lvl w:ilvl="8" w:tplc="FDDEB45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80C645F"/>
    <w:multiLevelType w:val="hybridMultilevel"/>
    <w:tmpl w:val="DA2EBF32"/>
    <w:lvl w:ilvl="0" w:tplc="0396DFD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47566"/>
    <w:multiLevelType w:val="hybridMultilevel"/>
    <w:tmpl w:val="5518E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8835EF"/>
    <w:multiLevelType w:val="hybridMultilevel"/>
    <w:tmpl w:val="A8BA9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A7050"/>
    <w:multiLevelType w:val="hybridMultilevel"/>
    <w:tmpl w:val="F6105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E23467"/>
    <w:multiLevelType w:val="hybridMultilevel"/>
    <w:tmpl w:val="439E7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CC597C"/>
    <w:multiLevelType w:val="hybridMultilevel"/>
    <w:tmpl w:val="678E4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260"/>
    <w:multiLevelType w:val="hybridMultilevel"/>
    <w:tmpl w:val="E8AE12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2D796B"/>
    <w:multiLevelType w:val="hybridMultilevel"/>
    <w:tmpl w:val="8DDA74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7024F8"/>
    <w:multiLevelType w:val="hybridMultilevel"/>
    <w:tmpl w:val="8A4610F6"/>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8680524"/>
    <w:multiLevelType w:val="hybridMultilevel"/>
    <w:tmpl w:val="E30E3A50"/>
    <w:lvl w:ilvl="0" w:tplc="30D2375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C3075"/>
    <w:multiLevelType w:val="hybridMultilevel"/>
    <w:tmpl w:val="54D87972"/>
    <w:lvl w:ilvl="0" w:tplc="33CA3170">
      <w:start w:val="1"/>
      <w:numFmt w:val="decimal"/>
      <w:pStyle w:val="NumberedNormal"/>
      <w:lvlText w:val="%1."/>
      <w:lvlJc w:val="left"/>
      <w:pPr>
        <w:ind w:left="360" w:hanging="360"/>
      </w:pPr>
      <w:rPr>
        <w:b w:val="0"/>
        <w:bCs w:val="0"/>
      </w:rPr>
    </w:lvl>
    <w:lvl w:ilvl="1" w:tplc="08090001">
      <w:start w:val="1"/>
      <w:numFmt w:val="bullet"/>
      <w:lvlText w:val=""/>
      <w:lvlJc w:val="left"/>
      <w:pPr>
        <w:ind w:left="1080" w:hanging="360"/>
      </w:pPr>
      <w:rPr>
        <w:rFonts w:ascii="Symbol" w:hAnsi="Symbol" w:hint="default"/>
      </w:rPr>
    </w:lvl>
    <w:lvl w:ilvl="2" w:tplc="C94043BA" w:tentative="1">
      <w:start w:val="1"/>
      <w:numFmt w:val="lowerRoman"/>
      <w:lvlText w:val="%3."/>
      <w:lvlJc w:val="right"/>
      <w:pPr>
        <w:ind w:left="1800" w:hanging="180"/>
      </w:pPr>
    </w:lvl>
    <w:lvl w:ilvl="3" w:tplc="CD3C238A" w:tentative="1">
      <w:start w:val="1"/>
      <w:numFmt w:val="decimal"/>
      <w:lvlText w:val="%4."/>
      <w:lvlJc w:val="left"/>
      <w:pPr>
        <w:ind w:left="2520" w:hanging="360"/>
      </w:pPr>
    </w:lvl>
    <w:lvl w:ilvl="4" w:tplc="E93C43C8" w:tentative="1">
      <w:start w:val="1"/>
      <w:numFmt w:val="lowerLetter"/>
      <w:lvlText w:val="%5."/>
      <w:lvlJc w:val="left"/>
      <w:pPr>
        <w:ind w:left="3240" w:hanging="360"/>
      </w:pPr>
    </w:lvl>
    <w:lvl w:ilvl="5" w:tplc="D22CA256" w:tentative="1">
      <w:start w:val="1"/>
      <w:numFmt w:val="lowerRoman"/>
      <w:lvlText w:val="%6."/>
      <w:lvlJc w:val="right"/>
      <w:pPr>
        <w:ind w:left="3960" w:hanging="180"/>
      </w:pPr>
    </w:lvl>
    <w:lvl w:ilvl="6" w:tplc="56821910" w:tentative="1">
      <w:start w:val="1"/>
      <w:numFmt w:val="decimal"/>
      <w:lvlText w:val="%7."/>
      <w:lvlJc w:val="left"/>
      <w:pPr>
        <w:ind w:left="4680" w:hanging="360"/>
      </w:pPr>
    </w:lvl>
    <w:lvl w:ilvl="7" w:tplc="B9C42BDC" w:tentative="1">
      <w:start w:val="1"/>
      <w:numFmt w:val="lowerLetter"/>
      <w:lvlText w:val="%8."/>
      <w:lvlJc w:val="left"/>
      <w:pPr>
        <w:ind w:left="5400" w:hanging="360"/>
      </w:pPr>
    </w:lvl>
    <w:lvl w:ilvl="8" w:tplc="229AF54C" w:tentative="1">
      <w:start w:val="1"/>
      <w:numFmt w:val="lowerRoman"/>
      <w:lvlText w:val="%9."/>
      <w:lvlJc w:val="right"/>
      <w:pPr>
        <w:ind w:left="6120" w:hanging="180"/>
      </w:pPr>
    </w:lvl>
  </w:abstractNum>
  <w:abstractNum w:abstractNumId="29" w15:restartNumberingAfterBreak="0">
    <w:nsid w:val="7D876E05"/>
    <w:multiLevelType w:val="hybridMultilevel"/>
    <w:tmpl w:val="0ABC1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24"/>
  </w:num>
  <w:num w:numId="4">
    <w:abstractNumId w:val="17"/>
  </w:num>
  <w:num w:numId="5">
    <w:abstractNumId w:val="13"/>
  </w:num>
  <w:num w:numId="6">
    <w:abstractNumId w:val="21"/>
  </w:num>
  <w:num w:numId="7">
    <w:abstractNumId w:val="3"/>
  </w:num>
  <w:num w:numId="8">
    <w:abstractNumId w:val="1"/>
  </w:num>
  <w:num w:numId="9">
    <w:abstractNumId w:val="0"/>
  </w:num>
  <w:num w:numId="10">
    <w:abstractNumId w:val="22"/>
  </w:num>
  <w:num w:numId="11">
    <w:abstractNumId w:val="21"/>
  </w:num>
  <w:num w:numId="12">
    <w:abstractNumId w:val="27"/>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6"/>
  </w:num>
  <w:num w:numId="18">
    <w:abstractNumId w:val="18"/>
  </w:num>
  <w:num w:numId="19">
    <w:abstractNumId w:val="29"/>
  </w:num>
  <w:num w:numId="20">
    <w:abstractNumId w:val="5"/>
  </w:num>
  <w:num w:numId="21">
    <w:abstractNumId w:val="12"/>
  </w:num>
  <w:num w:numId="22">
    <w:abstractNumId w:val="26"/>
  </w:num>
  <w:num w:numId="23">
    <w:abstractNumId w:val="6"/>
  </w:num>
  <w:num w:numId="24">
    <w:abstractNumId w:val="28"/>
  </w:num>
  <w:num w:numId="25">
    <w:abstractNumId w:val="20"/>
  </w:num>
  <w:num w:numId="26">
    <w:abstractNumId w:val="19"/>
  </w:num>
  <w:num w:numId="27">
    <w:abstractNumId w:val="14"/>
  </w:num>
  <w:num w:numId="28">
    <w:abstractNumId w:val="15"/>
  </w:num>
  <w:num w:numId="29">
    <w:abstractNumId w:val="7"/>
  </w:num>
  <w:num w:numId="30">
    <w:abstractNumId w:val="17"/>
  </w:num>
  <w:num w:numId="31">
    <w:abstractNumId w:val="23"/>
  </w:num>
  <w:num w:numId="32">
    <w:abstractNumId w:val="8"/>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7F62"/>
    <w:rsid w:val="00011A88"/>
    <w:rsid w:val="00012381"/>
    <w:rsid w:val="00012DC9"/>
    <w:rsid w:val="00013A6E"/>
    <w:rsid w:val="0002203B"/>
    <w:rsid w:val="00031F36"/>
    <w:rsid w:val="000442BD"/>
    <w:rsid w:val="00057100"/>
    <w:rsid w:val="00065E86"/>
    <w:rsid w:val="00066B1C"/>
    <w:rsid w:val="000720CD"/>
    <w:rsid w:val="00083A73"/>
    <w:rsid w:val="00094338"/>
    <w:rsid w:val="000A10F4"/>
    <w:rsid w:val="000B3DE0"/>
    <w:rsid w:val="000D1D30"/>
    <w:rsid w:val="000D300E"/>
    <w:rsid w:val="000D4433"/>
    <w:rsid w:val="000E3350"/>
    <w:rsid w:val="000E4D23"/>
    <w:rsid w:val="000F73F3"/>
    <w:rsid w:val="00103E77"/>
    <w:rsid w:val="0011494F"/>
    <w:rsid w:val="00121C6C"/>
    <w:rsid w:val="001264D9"/>
    <w:rsid w:val="001272A9"/>
    <w:rsid w:val="001315F3"/>
    <w:rsid w:val="00133075"/>
    <w:rsid w:val="00144EFA"/>
    <w:rsid w:val="00145770"/>
    <w:rsid w:val="00147214"/>
    <w:rsid w:val="00147697"/>
    <w:rsid w:val="001534B2"/>
    <w:rsid w:val="001540AB"/>
    <w:rsid w:val="001612C8"/>
    <w:rsid w:val="001747E2"/>
    <w:rsid w:val="00176EB9"/>
    <w:rsid w:val="0017793A"/>
    <w:rsid w:val="00190C3A"/>
    <w:rsid w:val="00196306"/>
    <w:rsid w:val="001975D1"/>
    <w:rsid w:val="00197CEA"/>
    <w:rsid w:val="001A0DBE"/>
    <w:rsid w:val="001A3A04"/>
    <w:rsid w:val="001B2AE2"/>
    <w:rsid w:val="001B4452"/>
    <w:rsid w:val="001B5C15"/>
    <w:rsid w:val="001B796F"/>
    <w:rsid w:val="001C43E0"/>
    <w:rsid w:val="001C5A63"/>
    <w:rsid w:val="001C5EB6"/>
    <w:rsid w:val="001D5770"/>
    <w:rsid w:val="001E1790"/>
    <w:rsid w:val="001E646A"/>
    <w:rsid w:val="001F1B30"/>
    <w:rsid w:val="001F1E3C"/>
    <w:rsid w:val="001F2CE2"/>
    <w:rsid w:val="001F361F"/>
    <w:rsid w:val="00203EC9"/>
    <w:rsid w:val="002113CF"/>
    <w:rsid w:val="0022255C"/>
    <w:rsid w:val="0022489D"/>
    <w:rsid w:val="002262F3"/>
    <w:rsid w:val="002271EA"/>
    <w:rsid w:val="00230559"/>
    <w:rsid w:val="002332F8"/>
    <w:rsid w:val="00234F75"/>
    <w:rsid w:val="00236838"/>
    <w:rsid w:val="00240F4B"/>
    <w:rsid w:val="00241932"/>
    <w:rsid w:val="00246EB3"/>
    <w:rsid w:val="00250A9B"/>
    <w:rsid w:val="002575C5"/>
    <w:rsid w:val="002639B5"/>
    <w:rsid w:val="0027231C"/>
    <w:rsid w:val="0027252F"/>
    <w:rsid w:val="002839B5"/>
    <w:rsid w:val="00287788"/>
    <w:rsid w:val="002A28F7"/>
    <w:rsid w:val="002A3153"/>
    <w:rsid w:val="002A4FE1"/>
    <w:rsid w:val="002A5858"/>
    <w:rsid w:val="002B6D93"/>
    <w:rsid w:val="002C34D4"/>
    <w:rsid w:val="002C3AA4"/>
    <w:rsid w:val="002D4F09"/>
    <w:rsid w:val="002E463F"/>
    <w:rsid w:val="002E4E9A"/>
    <w:rsid w:val="002E508B"/>
    <w:rsid w:val="002E5F9F"/>
    <w:rsid w:val="002E7849"/>
    <w:rsid w:val="002F7128"/>
    <w:rsid w:val="00300F99"/>
    <w:rsid w:val="00321BD7"/>
    <w:rsid w:val="00342F8B"/>
    <w:rsid w:val="00361752"/>
    <w:rsid w:val="00374981"/>
    <w:rsid w:val="003810D8"/>
    <w:rsid w:val="00383D00"/>
    <w:rsid w:val="003853A4"/>
    <w:rsid w:val="0039478C"/>
    <w:rsid w:val="00396DBC"/>
    <w:rsid w:val="0039725F"/>
    <w:rsid w:val="00397716"/>
    <w:rsid w:val="003A1CC2"/>
    <w:rsid w:val="003B36C3"/>
    <w:rsid w:val="003C60B5"/>
    <w:rsid w:val="003D1EFE"/>
    <w:rsid w:val="003D3766"/>
    <w:rsid w:val="003E1329"/>
    <w:rsid w:val="003E3ED2"/>
    <w:rsid w:val="003F7AF4"/>
    <w:rsid w:val="00400E1D"/>
    <w:rsid w:val="00403D1C"/>
    <w:rsid w:val="004158A0"/>
    <w:rsid w:val="004213B5"/>
    <w:rsid w:val="004216FF"/>
    <w:rsid w:val="004242C5"/>
    <w:rsid w:val="004246CB"/>
    <w:rsid w:val="004339FB"/>
    <w:rsid w:val="00443CB8"/>
    <w:rsid w:val="004509BE"/>
    <w:rsid w:val="00456560"/>
    <w:rsid w:val="00470223"/>
    <w:rsid w:val="0047442D"/>
    <w:rsid w:val="00484F42"/>
    <w:rsid w:val="004866AD"/>
    <w:rsid w:val="004A2E9F"/>
    <w:rsid w:val="004A3626"/>
    <w:rsid w:val="004A3E98"/>
    <w:rsid w:val="004A600B"/>
    <w:rsid w:val="004B08AC"/>
    <w:rsid w:val="004B7F70"/>
    <w:rsid w:val="004C5600"/>
    <w:rsid w:val="004D13A3"/>
    <w:rsid w:val="004D73C6"/>
    <w:rsid w:val="004E5405"/>
    <w:rsid w:val="004E6CD9"/>
    <w:rsid w:val="004F20E3"/>
    <w:rsid w:val="004F211A"/>
    <w:rsid w:val="004F3159"/>
    <w:rsid w:val="004F4AEF"/>
    <w:rsid w:val="005247AD"/>
    <w:rsid w:val="00535228"/>
    <w:rsid w:val="005360B7"/>
    <w:rsid w:val="00536E0B"/>
    <w:rsid w:val="005535E5"/>
    <w:rsid w:val="00553A8C"/>
    <w:rsid w:val="00560451"/>
    <w:rsid w:val="0057250B"/>
    <w:rsid w:val="00574294"/>
    <w:rsid w:val="005749C5"/>
    <w:rsid w:val="0057670A"/>
    <w:rsid w:val="00581D79"/>
    <w:rsid w:val="00582F51"/>
    <w:rsid w:val="005905B1"/>
    <w:rsid w:val="005914F1"/>
    <w:rsid w:val="005946C7"/>
    <w:rsid w:val="005A016F"/>
    <w:rsid w:val="005A07FF"/>
    <w:rsid w:val="005A0891"/>
    <w:rsid w:val="005A5417"/>
    <w:rsid w:val="005C0B41"/>
    <w:rsid w:val="005C1770"/>
    <w:rsid w:val="005C2D94"/>
    <w:rsid w:val="005C657D"/>
    <w:rsid w:val="005D3B59"/>
    <w:rsid w:val="005E3024"/>
    <w:rsid w:val="005F107C"/>
    <w:rsid w:val="0060702F"/>
    <w:rsid w:val="006108B3"/>
    <w:rsid w:val="00622501"/>
    <w:rsid w:val="006234A5"/>
    <w:rsid w:val="006237FB"/>
    <w:rsid w:val="0062451E"/>
    <w:rsid w:val="00635D57"/>
    <w:rsid w:val="00640032"/>
    <w:rsid w:val="006418B2"/>
    <w:rsid w:val="00642404"/>
    <w:rsid w:val="00647EFA"/>
    <w:rsid w:val="006503A6"/>
    <w:rsid w:val="00652973"/>
    <w:rsid w:val="00653AA1"/>
    <w:rsid w:val="006558CA"/>
    <w:rsid w:val="00657E79"/>
    <w:rsid w:val="006606F5"/>
    <w:rsid w:val="00670ADC"/>
    <w:rsid w:val="0067185E"/>
    <w:rsid w:val="00671D5B"/>
    <w:rsid w:val="006775FA"/>
    <w:rsid w:val="00683ECB"/>
    <w:rsid w:val="00684973"/>
    <w:rsid w:val="0068544D"/>
    <w:rsid w:val="00695D08"/>
    <w:rsid w:val="006A27AA"/>
    <w:rsid w:val="006A3602"/>
    <w:rsid w:val="006B1F9F"/>
    <w:rsid w:val="006C382D"/>
    <w:rsid w:val="006D1162"/>
    <w:rsid w:val="006E1B0B"/>
    <w:rsid w:val="006E6ADB"/>
    <w:rsid w:val="006E7F39"/>
    <w:rsid w:val="006F1F96"/>
    <w:rsid w:val="00700B01"/>
    <w:rsid w:val="00702EBF"/>
    <w:rsid w:val="00713414"/>
    <w:rsid w:val="007244B6"/>
    <w:rsid w:val="00727EC4"/>
    <w:rsid w:val="00730350"/>
    <w:rsid w:val="0073516C"/>
    <w:rsid w:val="007403F5"/>
    <w:rsid w:val="007426B3"/>
    <w:rsid w:val="00743353"/>
    <w:rsid w:val="0075096B"/>
    <w:rsid w:val="00751648"/>
    <w:rsid w:val="00751B03"/>
    <w:rsid w:val="00754145"/>
    <w:rsid w:val="00760615"/>
    <w:rsid w:val="0076231A"/>
    <w:rsid w:val="00764D03"/>
    <w:rsid w:val="00766597"/>
    <w:rsid w:val="00770200"/>
    <w:rsid w:val="00774E3B"/>
    <w:rsid w:val="00774F55"/>
    <w:rsid w:val="00775D8A"/>
    <w:rsid w:val="0077659E"/>
    <w:rsid w:val="00777AD4"/>
    <w:rsid w:val="00777ED9"/>
    <w:rsid w:val="00780950"/>
    <w:rsid w:val="007809EF"/>
    <w:rsid w:val="00783D2C"/>
    <w:rsid w:val="0078791C"/>
    <w:rsid w:val="00794F29"/>
    <w:rsid w:val="007A2250"/>
    <w:rsid w:val="007A5759"/>
    <w:rsid w:val="007B3CFE"/>
    <w:rsid w:val="007C19E4"/>
    <w:rsid w:val="007C41A5"/>
    <w:rsid w:val="007C58BE"/>
    <w:rsid w:val="007D080B"/>
    <w:rsid w:val="007E0083"/>
    <w:rsid w:val="00803236"/>
    <w:rsid w:val="00814CCF"/>
    <w:rsid w:val="00816E77"/>
    <w:rsid w:val="00831263"/>
    <w:rsid w:val="00831DB7"/>
    <w:rsid w:val="00832EBF"/>
    <w:rsid w:val="008352D9"/>
    <w:rsid w:val="008366CB"/>
    <w:rsid w:val="0083728F"/>
    <w:rsid w:val="00837F3A"/>
    <w:rsid w:val="008420D7"/>
    <w:rsid w:val="008620F3"/>
    <w:rsid w:val="00863986"/>
    <w:rsid w:val="008643A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5C9"/>
    <w:rsid w:val="008D6968"/>
    <w:rsid w:val="008E3F07"/>
    <w:rsid w:val="008E5F36"/>
    <w:rsid w:val="008F2757"/>
    <w:rsid w:val="008F2E4F"/>
    <w:rsid w:val="008F7436"/>
    <w:rsid w:val="009055E4"/>
    <w:rsid w:val="00915AF5"/>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22D0"/>
    <w:rsid w:val="009E6E74"/>
    <w:rsid w:val="009E7EE1"/>
    <w:rsid w:val="009E7F32"/>
    <w:rsid w:val="009F3626"/>
    <w:rsid w:val="009F379C"/>
    <w:rsid w:val="009F7391"/>
    <w:rsid w:val="00A0541C"/>
    <w:rsid w:val="00A248DB"/>
    <w:rsid w:val="00A30BA1"/>
    <w:rsid w:val="00A37DEE"/>
    <w:rsid w:val="00A433C3"/>
    <w:rsid w:val="00A5209C"/>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23DE"/>
    <w:rsid w:val="00B336AF"/>
    <w:rsid w:val="00B3498C"/>
    <w:rsid w:val="00B368D0"/>
    <w:rsid w:val="00B43CAD"/>
    <w:rsid w:val="00B53333"/>
    <w:rsid w:val="00B55A49"/>
    <w:rsid w:val="00B64265"/>
    <w:rsid w:val="00B667DE"/>
    <w:rsid w:val="00B67F76"/>
    <w:rsid w:val="00B70EFF"/>
    <w:rsid w:val="00B7558C"/>
    <w:rsid w:val="00B818C3"/>
    <w:rsid w:val="00B9194F"/>
    <w:rsid w:val="00BA003B"/>
    <w:rsid w:val="00BA6D57"/>
    <w:rsid w:val="00BB05E2"/>
    <w:rsid w:val="00BD1111"/>
    <w:rsid w:val="00BD26B6"/>
    <w:rsid w:val="00BE01C6"/>
    <w:rsid w:val="00BE4DAC"/>
    <w:rsid w:val="00BF13F8"/>
    <w:rsid w:val="00BF61E4"/>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48BB"/>
    <w:rsid w:val="00C76325"/>
    <w:rsid w:val="00C8124F"/>
    <w:rsid w:val="00C81513"/>
    <w:rsid w:val="00C84637"/>
    <w:rsid w:val="00C87F09"/>
    <w:rsid w:val="00C92AD3"/>
    <w:rsid w:val="00CA1009"/>
    <w:rsid w:val="00CA1F32"/>
    <w:rsid w:val="00CA30B4"/>
    <w:rsid w:val="00CA610B"/>
    <w:rsid w:val="00CA72FC"/>
    <w:rsid w:val="00CB56F5"/>
    <w:rsid w:val="00CB5A4D"/>
    <w:rsid w:val="00CB6E04"/>
    <w:rsid w:val="00CC2512"/>
    <w:rsid w:val="00CC547F"/>
    <w:rsid w:val="00CD33B1"/>
    <w:rsid w:val="00CD5D21"/>
    <w:rsid w:val="00CE2652"/>
    <w:rsid w:val="00CE7906"/>
    <w:rsid w:val="00CF0E19"/>
    <w:rsid w:val="00CF293E"/>
    <w:rsid w:val="00CF31B2"/>
    <w:rsid w:val="00D11353"/>
    <w:rsid w:val="00D27D9B"/>
    <w:rsid w:val="00D376DB"/>
    <w:rsid w:val="00D408A5"/>
    <w:rsid w:val="00D40DE9"/>
    <w:rsid w:val="00D41212"/>
    <w:rsid w:val="00D42B45"/>
    <w:rsid w:val="00D57899"/>
    <w:rsid w:val="00D57EE0"/>
    <w:rsid w:val="00D660A1"/>
    <w:rsid w:val="00D75416"/>
    <w:rsid w:val="00D87E4E"/>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27305"/>
    <w:rsid w:val="00E3093A"/>
    <w:rsid w:val="00E33078"/>
    <w:rsid w:val="00E335AB"/>
    <w:rsid w:val="00E33AB6"/>
    <w:rsid w:val="00E4012C"/>
    <w:rsid w:val="00E42A8F"/>
    <w:rsid w:val="00E45BAB"/>
    <w:rsid w:val="00E5223F"/>
    <w:rsid w:val="00E534F0"/>
    <w:rsid w:val="00E66B4F"/>
    <w:rsid w:val="00E741D5"/>
    <w:rsid w:val="00E74474"/>
    <w:rsid w:val="00E87A6A"/>
    <w:rsid w:val="00E9232A"/>
    <w:rsid w:val="00E93425"/>
    <w:rsid w:val="00EA4D1B"/>
    <w:rsid w:val="00EB1D11"/>
    <w:rsid w:val="00EB6927"/>
    <w:rsid w:val="00EC3DC1"/>
    <w:rsid w:val="00ED2F1C"/>
    <w:rsid w:val="00ED3D05"/>
    <w:rsid w:val="00EE64AE"/>
    <w:rsid w:val="00EE71A2"/>
    <w:rsid w:val="00F06445"/>
    <w:rsid w:val="00F07114"/>
    <w:rsid w:val="00F206A7"/>
    <w:rsid w:val="00F23FC6"/>
    <w:rsid w:val="00F3105E"/>
    <w:rsid w:val="00F41591"/>
    <w:rsid w:val="00F41A63"/>
    <w:rsid w:val="00F45BEB"/>
    <w:rsid w:val="00F54523"/>
    <w:rsid w:val="00F54B50"/>
    <w:rsid w:val="00F65D25"/>
    <w:rsid w:val="00F84544"/>
    <w:rsid w:val="00F85AA7"/>
    <w:rsid w:val="00F954FA"/>
    <w:rsid w:val="00F95B1F"/>
    <w:rsid w:val="00FA05B2"/>
    <w:rsid w:val="00FA68A7"/>
    <w:rsid w:val="00FC0C51"/>
    <w:rsid w:val="00FC2B3C"/>
    <w:rsid w:val="00FD1CD8"/>
    <w:rsid w:val="00FD3789"/>
    <w:rsid w:val="00FE1B88"/>
    <w:rsid w:val="00FE31C0"/>
    <w:rsid w:val="00FE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344D28E4"/>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197CEA"/>
    <w:rPr>
      <w:color w:val="605E5C"/>
      <w:shd w:val="clear" w:color="auto" w:fill="E1DFDD"/>
    </w:rPr>
  </w:style>
  <w:style w:type="paragraph" w:styleId="FootnoteText">
    <w:name w:val="footnote text"/>
    <w:basedOn w:val="Normal"/>
    <w:link w:val="FootnoteTextChar"/>
    <w:uiPriority w:val="99"/>
    <w:semiHidden/>
    <w:unhideWhenUsed/>
    <w:rsid w:val="00C748BB"/>
    <w:pPr>
      <w:spacing w:after="0" w:line="240" w:lineRule="auto"/>
    </w:pPr>
    <w:rPr>
      <w:rFonts w:ascii="Segoe UI" w:eastAsiaTheme="minorEastAsia" w:hAnsi="Segoe UI" w:cstheme="minorBidi"/>
      <w:b/>
      <w:sz w:val="20"/>
      <w:szCs w:val="20"/>
      <w:lang w:val="en-US" w:eastAsia="en-US"/>
    </w:rPr>
  </w:style>
  <w:style w:type="character" w:customStyle="1" w:styleId="FootnoteTextChar">
    <w:name w:val="Footnote Text Char"/>
    <w:basedOn w:val="DefaultParagraphFont"/>
    <w:link w:val="FootnoteText"/>
    <w:uiPriority w:val="99"/>
    <w:semiHidden/>
    <w:rsid w:val="00C748BB"/>
    <w:rPr>
      <w:rFonts w:ascii="Segoe UI" w:eastAsiaTheme="minorEastAsia" w:hAnsi="Segoe UI" w:cstheme="minorBidi"/>
      <w:b/>
      <w:lang w:val="en-US" w:eastAsia="en-US"/>
    </w:rPr>
  </w:style>
  <w:style w:type="character" w:styleId="FootnoteReference">
    <w:name w:val="footnote reference"/>
    <w:basedOn w:val="DefaultParagraphFont"/>
    <w:uiPriority w:val="99"/>
    <w:semiHidden/>
    <w:unhideWhenUsed/>
    <w:rsid w:val="00C748BB"/>
    <w:rPr>
      <w:vertAlign w:val="superscript"/>
    </w:rPr>
  </w:style>
  <w:style w:type="paragraph" w:customStyle="1" w:styleId="NumberedNormal">
    <w:name w:val="Numbered Normal"/>
    <w:basedOn w:val="ListParagraph"/>
    <w:uiPriority w:val="1"/>
    <w:qFormat/>
    <w:rsid w:val="00484F42"/>
    <w:pPr>
      <w:numPr>
        <w:numId w:val="24"/>
      </w:numPr>
      <w:spacing w:line="240" w:lineRule="auto"/>
      <w:contextualSpacing w:val="0"/>
    </w:pPr>
    <w:rPr>
      <w:rFonts w:asciiTheme="minorHAnsi" w:hAnsiTheme="minorHAnsi" w:cstheme="minorHAnsi"/>
      <w:sz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3D3766"/>
    <w:rPr>
      <w:sz w:val="22"/>
      <w:szCs w:val="24"/>
    </w:rPr>
  </w:style>
  <w:style w:type="character" w:customStyle="1" w:styleId="UnresolvedMention2">
    <w:name w:val="Unresolved Mention2"/>
    <w:basedOn w:val="DefaultParagraphFont"/>
    <w:uiPriority w:val="99"/>
    <w:semiHidden/>
    <w:unhideWhenUsed/>
    <w:rsid w:val="00582F51"/>
    <w:rPr>
      <w:color w:val="605E5C"/>
      <w:shd w:val="clear" w:color="auto" w:fill="E1DFDD"/>
    </w:rPr>
  </w:style>
  <w:style w:type="paragraph" w:styleId="EndnoteText">
    <w:name w:val="endnote text"/>
    <w:basedOn w:val="Normal"/>
    <w:link w:val="EndnoteTextChar"/>
    <w:semiHidden/>
    <w:unhideWhenUsed/>
    <w:rsid w:val="00582F51"/>
    <w:pPr>
      <w:spacing w:after="0" w:line="240" w:lineRule="auto"/>
    </w:pPr>
    <w:rPr>
      <w:sz w:val="20"/>
      <w:szCs w:val="20"/>
    </w:rPr>
  </w:style>
  <w:style w:type="character" w:customStyle="1" w:styleId="EndnoteTextChar">
    <w:name w:val="Endnote Text Char"/>
    <w:basedOn w:val="DefaultParagraphFont"/>
    <w:link w:val="EndnoteText"/>
    <w:semiHidden/>
    <w:rsid w:val="00582F51"/>
  </w:style>
  <w:style w:type="character" w:styleId="EndnoteReference">
    <w:name w:val="endnote reference"/>
    <w:basedOn w:val="DefaultParagraphFont"/>
    <w:semiHidden/>
    <w:unhideWhenUsed/>
    <w:rsid w:val="00582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8969">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orting-early-career-teachers" TargetMode="External"/><Relationship Id="rId18" Type="http://schemas.openxmlformats.org/officeDocument/2006/relationships/hyperlink" Target="https://education.app.jaggae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ducationendowmentfoundation.org.uk/projects-and-evaluation/projects/early-career-support-online-teacher-development/" TargetMode="External"/><Relationship Id="rId2" Type="http://schemas.openxmlformats.org/officeDocument/2006/relationships/customXml" Target="../customXml/item2.xml"/><Relationship Id="rId16" Type="http://schemas.openxmlformats.org/officeDocument/2006/relationships/hyperlink" Target="https://educationendowmentfoundation.org.uk/projects-and-evaluation/projects/early-career-sup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endowmentfoundation.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supporting-early-career-teachers/rollout-of-early-career-framework-support-pack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eacher-recruitment-and-retention-strate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7d131341-d497-4f4e-a250-66913a3e45a5"/>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d2e71156-a28b-4810-815e-e353e62e4ec2"/>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4493D4D-748B-4C65-B417-663AC67B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E37FE-5323-490D-93AA-DB0DE615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1928</Words>
  <Characters>10995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12898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2013-07-11T10:35:00Z</cp:lastPrinted>
  <dcterms:created xsi:type="dcterms:W3CDTF">2019-10-22T14:04:00Z</dcterms:created>
  <dcterms:modified xsi:type="dcterms:W3CDTF">2019-10-22T14:04:00Z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