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3FC" w:rsidRDefault="00E174B1" w:rsidP="00E174B1">
      <w:pPr>
        <w:pStyle w:val="BodyText"/>
      </w:pPr>
      <w:r>
        <w:rPr>
          <w:noProof/>
          <w:lang w:eastAsia="en-GB"/>
        </w:rPr>
        <w:softHyphen/>
      </w:r>
    </w:p>
    <w:p w:rsidR="006D43FC" w:rsidRDefault="006D43FC">
      <w:pPr>
        <w:pStyle w:val="BodyText"/>
        <w:jc w:val="center"/>
      </w:pPr>
    </w:p>
    <w:p w:rsidR="006D43FC" w:rsidRDefault="006D43FC">
      <w:pPr>
        <w:pStyle w:val="BodyText"/>
        <w:jc w:val="center"/>
      </w:pPr>
    </w:p>
    <w:p w:rsidR="002665B4" w:rsidRDefault="002665B4">
      <w:pPr>
        <w:pStyle w:val="BodyText"/>
        <w:jc w:val="center"/>
      </w:pPr>
      <w:bookmarkStart w:id="0" w:name="title"/>
      <w:bookmarkEnd w:id="0"/>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2665B4" w:rsidRDefault="002665B4">
      <w:pPr>
        <w:pStyle w:val="BodyText"/>
        <w:jc w:val="center"/>
      </w:pPr>
    </w:p>
    <w:p w:rsidR="00D35DEE" w:rsidRDefault="000F0DD0" w:rsidP="000F0DD0">
      <w:pPr>
        <w:pStyle w:val="BodyText"/>
        <w:jc w:val="center"/>
        <w:rPr>
          <w:sz w:val="44"/>
        </w:rPr>
      </w:pPr>
      <w:r>
        <w:rPr>
          <w:sz w:val="44"/>
        </w:rPr>
        <w:t xml:space="preserve">Highways England Tyre </w:t>
      </w:r>
      <w:r w:rsidR="00D35DEE">
        <w:rPr>
          <w:sz w:val="44"/>
        </w:rPr>
        <w:t>Supply and Fit</w:t>
      </w:r>
      <w:r w:rsidR="002665B4" w:rsidRPr="002665B4">
        <w:rPr>
          <w:sz w:val="44"/>
        </w:rPr>
        <w:t xml:space="preserve"> </w:t>
      </w:r>
    </w:p>
    <w:p w:rsidR="002665B4" w:rsidRDefault="000F0DD0" w:rsidP="000F0DD0">
      <w:pPr>
        <w:pStyle w:val="BodyText"/>
        <w:jc w:val="center"/>
        <w:rPr>
          <w:sz w:val="44"/>
        </w:rPr>
      </w:pPr>
      <w:r w:rsidRPr="000F0DD0">
        <w:rPr>
          <w:sz w:val="36"/>
        </w:rPr>
        <w:t>ESPO 222 Tyres and Related Services</w:t>
      </w:r>
    </w:p>
    <w:p w:rsidR="002665B4" w:rsidRDefault="002665B4">
      <w:pPr>
        <w:pStyle w:val="BodyText"/>
        <w:jc w:val="center"/>
        <w:rPr>
          <w:sz w:val="44"/>
        </w:rPr>
      </w:pPr>
    </w:p>
    <w:p w:rsidR="002665B4" w:rsidRDefault="002665B4">
      <w:pPr>
        <w:pStyle w:val="BodyText"/>
        <w:jc w:val="center"/>
        <w:rPr>
          <w:sz w:val="44"/>
        </w:rPr>
      </w:pPr>
    </w:p>
    <w:p w:rsidR="002665B4" w:rsidRDefault="002665B4">
      <w:pPr>
        <w:pStyle w:val="BodyText"/>
        <w:jc w:val="center"/>
        <w:rPr>
          <w:sz w:val="44"/>
        </w:rPr>
      </w:pPr>
      <w:r>
        <w:rPr>
          <w:sz w:val="44"/>
        </w:rPr>
        <w:t>Instructions for Tenderers</w:t>
      </w:r>
    </w:p>
    <w:p w:rsidR="002665B4" w:rsidRPr="002665B4" w:rsidRDefault="007E4EC0">
      <w:pPr>
        <w:pStyle w:val="BodyText"/>
        <w:jc w:val="center"/>
        <w:rPr>
          <w:sz w:val="44"/>
        </w:rPr>
      </w:pPr>
      <w:r>
        <w:rPr>
          <w:sz w:val="32"/>
        </w:rPr>
        <w:t>Direct Award</w:t>
      </w:r>
    </w:p>
    <w:p w:rsidR="00912467" w:rsidRDefault="00912467"/>
    <w:p w:rsidR="00912467" w:rsidRDefault="00912467">
      <w:bookmarkStart w:id="1" w:name="Start"/>
      <w:bookmarkEnd w:id="1"/>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rPr>
          <w:lang w:val="en-US"/>
        </w:rPr>
      </w:pPr>
    </w:p>
    <w:p w:rsidR="00912467" w:rsidRDefault="00912467">
      <w:pPr>
        <w:pStyle w:val="Header"/>
        <w:jc w:val="left"/>
      </w:pPr>
    </w:p>
    <w:p w:rsidR="00912467" w:rsidRDefault="00912467">
      <w:pPr>
        <w:pStyle w:val="Header"/>
        <w:jc w:val="left"/>
      </w:pPr>
    </w:p>
    <w:p w:rsidR="00912467" w:rsidRPr="002665B4" w:rsidRDefault="002665B4" w:rsidP="002665B4">
      <w:pPr>
        <w:pStyle w:val="Header"/>
        <w:rPr>
          <w:sz w:val="36"/>
        </w:rPr>
      </w:pPr>
      <w:r w:rsidRPr="002665B4">
        <w:rPr>
          <w:sz w:val="36"/>
        </w:rPr>
        <w:t>Revision History</w:t>
      </w:r>
    </w:p>
    <w:p w:rsidR="002665B4" w:rsidRDefault="002665B4">
      <w:pPr>
        <w:pStyle w:val="Header"/>
        <w:jc w:val="left"/>
      </w:pPr>
    </w:p>
    <w:tbl>
      <w:tblPr>
        <w:tblStyle w:val="TableGrid"/>
        <w:tblW w:w="0" w:type="auto"/>
        <w:tblLook w:val="04A0" w:firstRow="1" w:lastRow="0" w:firstColumn="1" w:lastColumn="0" w:noHBand="0" w:noVBand="1"/>
      </w:tblPr>
      <w:tblGrid>
        <w:gridCol w:w="1241"/>
        <w:gridCol w:w="1693"/>
        <w:gridCol w:w="4868"/>
        <w:gridCol w:w="1542"/>
      </w:tblGrid>
      <w:tr w:rsidR="002665B4" w:rsidTr="002665B4">
        <w:trPr>
          <w:trHeight w:val="567"/>
        </w:trPr>
        <w:tc>
          <w:tcPr>
            <w:tcW w:w="1242" w:type="dxa"/>
            <w:shd w:val="clear" w:color="auto" w:fill="BFBFBF" w:themeFill="background1" w:themeFillShade="BF"/>
            <w:vAlign w:val="center"/>
          </w:tcPr>
          <w:p w:rsidR="002665B4" w:rsidRDefault="002665B4" w:rsidP="002665B4">
            <w:pPr>
              <w:pStyle w:val="Header"/>
            </w:pPr>
            <w:r>
              <w:t>Revision</w:t>
            </w:r>
          </w:p>
        </w:tc>
        <w:tc>
          <w:tcPr>
            <w:tcW w:w="1701" w:type="dxa"/>
            <w:shd w:val="clear" w:color="auto" w:fill="BFBFBF" w:themeFill="background1" w:themeFillShade="BF"/>
            <w:vAlign w:val="center"/>
          </w:tcPr>
          <w:p w:rsidR="002665B4" w:rsidRDefault="002665B4" w:rsidP="002665B4">
            <w:pPr>
              <w:pStyle w:val="Header"/>
            </w:pPr>
            <w:r>
              <w:t>Issue Date</w:t>
            </w:r>
          </w:p>
        </w:tc>
        <w:tc>
          <w:tcPr>
            <w:tcW w:w="4962" w:type="dxa"/>
            <w:shd w:val="clear" w:color="auto" w:fill="BFBFBF" w:themeFill="background1" w:themeFillShade="BF"/>
            <w:vAlign w:val="center"/>
          </w:tcPr>
          <w:p w:rsidR="002665B4" w:rsidRDefault="002665B4" w:rsidP="002665B4">
            <w:pPr>
              <w:pStyle w:val="Header"/>
            </w:pPr>
            <w:r>
              <w:t>Amendments</w:t>
            </w:r>
          </w:p>
        </w:tc>
        <w:tc>
          <w:tcPr>
            <w:tcW w:w="1559" w:type="dxa"/>
            <w:shd w:val="clear" w:color="auto" w:fill="BFBFBF" w:themeFill="background1" w:themeFillShade="BF"/>
            <w:vAlign w:val="center"/>
          </w:tcPr>
          <w:p w:rsidR="002665B4" w:rsidRDefault="002665B4" w:rsidP="002665B4">
            <w:pPr>
              <w:pStyle w:val="Header"/>
            </w:pPr>
            <w:r>
              <w:t>Initials</w:t>
            </w:r>
          </w:p>
        </w:tc>
      </w:tr>
      <w:tr w:rsidR="002665B4" w:rsidTr="002665B4">
        <w:trPr>
          <w:trHeight w:val="851"/>
        </w:trPr>
        <w:tc>
          <w:tcPr>
            <w:tcW w:w="1242" w:type="dxa"/>
            <w:vAlign w:val="center"/>
          </w:tcPr>
          <w:p w:rsidR="002665B4" w:rsidRPr="002665B4" w:rsidRDefault="002665B4" w:rsidP="002665B4">
            <w:pPr>
              <w:pStyle w:val="Header"/>
              <w:rPr>
                <w:b w:val="0"/>
              </w:rPr>
            </w:pPr>
            <w:r w:rsidRPr="002665B4">
              <w:rPr>
                <w:b w:val="0"/>
              </w:rPr>
              <w:t>1</w:t>
            </w:r>
          </w:p>
        </w:tc>
        <w:tc>
          <w:tcPr>
            <w:tcW w:w="1701" w:type="dxa"/>
            <w:vAlign w:val="center"/>
          </w:tcPr>
          <w:p w:rsidR="002665B4" w:rsidRPr="002665B4" w:rsidRDefault="001B797F" w:rsidP="002665B4">
            <w:pPr>
              <w:pStyle w:val="Header"/>
              <w:rPr>
                <w:b w:val="0"/>
              </w:rPr>
            </w:pPr>
            <w:r>
              <w:rPr>
                <w:b w:val="0"/>
              </w:rPr>
              <w:t>21</w:t>
            </w:r>
            <w:r w:rsidR="002F014A" w:rsidRPr="006B398C">
              <w:rPr>
                <w:b w:val="0"/>
              </w:rPr>
              <w:t>/</w:t>
            </w:r>
            <w:r w:rsidR="00702191">
              <w:rPr>
                <w:b w:val="0"/>
              </w:rPr>
              <w:t>0</w:t>
            </w:r>
            <w:r>
              <w:rPr>
                <w:b w:val="0"/>
              </w:rPr>
              <w:t>1</w:t>
            </w:r>
            <w:r w:rsidR="002F014A" w:rsidRPr="006B398C">
              <w:rPr>
                <w:b w:val="0"/>
              </w:rPr>
              <w:t>/20</w:t>
            </w:r>
            <w:r>
              <w:rPr>
                <w:b w:val="0"/>
              </w:rPr>
              <w:t>20</w:t>
            </w:r>
          </w:p>
        </w:tc>
        <w:tc>
          <w:tcPr>
            <w:tcW w:w="4962" w:type="dxa"/>
            <w:vAlign w:val="center"/>
          </w:tcPr>
          <w:p w:rsidR="002665B4" w:rsidRPr="002665B4" w:rsidRDefault="00B50524" w:rsidP="002665B4">
            <w:pPr>
              <w:pStyle w:val="Header"/>
              <w:rPr>
                <w:b w:val="0"/>
              </w:rPr>
            </w:pPr>
            <w:r>
              <w:rPr>
                <w:b w:val="0"/>
              </w:rPr>
              <w:t>Review</w:t>
            </w:r>
          </w:p>
        </w:tc>
        <w:tc>
          <w:tcPr>
            <w:tcW w:w="1559" w:type="dxa"/>
            <w:vAlign w:val="center"/>
          </w:tcPr>
          <w:p w:rsidR="002665B4" w:rsidRPr="002665B4" w:rsidRDefault="00100C7F" w:rsidP="002665B4">
            <w:pPr>
              <w:pStyle w:val="Header"/>
              <w:rPr>
                <w:b w:val="0"/>
              </w:rPr>
            </w:pPr>
            <w:r w:rsidRPr="006B398C">
              <w:rPr>
                <w:b w:val="0"/>
              </w:rPr>
              <w:t>DW</w:t>
            </w:r>
          </w:p>
        </w:tc>
      </w:tr>
      <w:tr w:rsidR="00B50524" w:rsidTr="002665B4">
        <w:trPr>
          <w:trHeight w:val="851"/>
        </w:trPr>
        <w:tc>
          <w:tcPr>
            <w:tcW w:w="1242" w:type="dxa"/>
            <w:vAlign w:val="center"/>
          </w:tcPr>
          <w:p w:rsidR="00B50524" w:rsidRPr="002665B4" w:rsidRDefault="00B50524" w:rsidP="002665B4">
            <w:pPr>
              <w:pStyle w:val="Header"/>
              <w:rPr>
                <w:b w:val="0"/>
              </w:rPr>
            </w:pPr>
          </w:p>
        </w:tc>
        <w:tc>
          <w:tcPr>
            <w:tcW w:w="1701" w:type="dxa"/>
            <w:vAlign w:val="center"/>
          </w:tcPr>
          <w:p w:rsidR="00B50524" w:rsidRPr="006B398C" w:rsidRDefault="00B50524" w:rsidP="002665B4">
            <w:pPr>
              <w:pStyle w:val="Header"/>
              <w:rPr>
                <w:b w:val="0"/>
              </w:rPr>
            </w:pPr>
          </w:p>
        </w:tc>
        <w:tc>
          <w:tcPr>
            <w:tcW w:w="4962" w:type="dxa"/>
            <w:vAlign w:val="center"/>
          </w:tcPr>
          <w:p w:rsidR="00B50524" w:rsidRDefault="00B50524" w:rsidP="002665B4">
            <w:pPr>
              <w:pStyle w:val="Header"/>
              <w:rPr>
                <w:b w:val="0"/>
              </w:rPr>
            </w:pPr>
          </w:p>
        </w:tc>
        <w:tc>
          <w:tcPr>
            <w:tcW w:w="1559" w:type="dxa"/>
            <w:vAlign w:val="center"/>
          </w:tcPr>
          <w:p w:rsidR="00B50524" w:rsidRPr="006B398C" w:rsidRDefault="00B50524" w:rsidP="002665B4">
            <w:pPr>
              <w:pStyle w:val="Header"/>
              <w:rPr>
                <w:b w:val="0"/>
              </w:rPr>
            </w:pPr>
          </w:p>
        </w:tc>
      </w:tr>
    </w:tbl>
    <w:p w:rsidR="002665B4" w:rsidRDefault="002665B4">
      <w:pPr>
        <w:pStyle w:val="Header"/>
        <w:jc w:val="left"/>
      </w:pPr>
    </w:p>
    <w:p w:rsidR="00912467" w:rsidRDefault="00912467">
      <w:pPr>
        <w:pStyle w:val="Header"/>
        <w:tabs>
          <w:tab w:val="left" w:pos="1185"/>
        </w:tabs>
        <w:jc w:val="left"/>
      </w:pPr>
    </w:p>
    <w:p w:rsidR="00912467" w:rsidRDefault="00912467">
      <w:pPr>
        <w:pStyle w:val="Footer"/>
        <w:tabs>
          <w:tab w:val="clear" w:pos="4153"/>
          <w:tab w:val="clear" w:pos="8306"/>
        </w:tabs>
      </w:pPr>
      <w:r>
        <w:br w:type="page"/>
      </w:r>
      <w:bookmarkStart w:id="2" w:name="Page2"/>
      <w:bookmarkEnd w:id="2"/>
    </w:p>
    <w:p w:rsidR="002665B4" w:rsidRDefault="002665B4">
      <w:pPr>
        <w:pStyle w:val="Footer"/>
        <w:tabs>
          <w:tab w:val="clear" w:pos="4153"/>
          <w:tab w:val="clear" w:pos="8306"/>
        </w:tabs>
      </w:pPr>
    </w:p>
    <w:p w:rsidR="002665B4" w:rsidRDefault="002665B4">
      <w:pPr>
        <w:pStyle w:val="Footer"/>
        <w:tabs>
          <w:tab w:val="clear" w:pos="4153"/>
          <w:tab w:val="clear" w:pos="8306"/>
        </w:tabs>
      </w:pPr>
    </w:p>
    <w:p w:rsidR="002665B4" w:rsidRPr="00F80BA2" w:rsidRDefault="002665B4" w:rsidP="00F80BA2">
      <w:pPr>
        <w:pStyle w:val="Footer"/>
        <w:tabs>
          <w:tab w:val="clear" w:pos="4153"/>
          <w:tab w:val="clear" w:pos="8306"/>
        </w:tabs>
        <w:jc w:val="center"/>
        <w:rPr>
          <w:b/>
        </w:rPr>
      </w:pPr>
      <w:r w:rsidRPr="00F80BA2">
        <w:rPr>
          <w:b/>
        </w:rPr>
        <w:t>LIST OF CONTENTS</w:t>
      </w:r>
    </w:p>
    <w:p w:rsidR="00F80BA2" w:rsidRDefault="00F80BA2"/>
    <w:p w:rsidR="00F80BA2" w:rsidRDefault="00F80B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172"/>
        <w:gridCol w:w="665"/>
      </w:tblGrid>
      <w:tr w:rsidR="002F65E7" w:rsidRPr="002F65E7" w:rsidTr="002F65E7">
        <w:trPr>
          <w:trHeight w:val="454"/>
        </w:trPr>
        <w:tc>
          <w:tcPr>
            <w:tcW w:w="1526" w:type="dxa"/>
          </w:tcPr>
          <w:p w:rsidR="00F80BA2" w:rsidRPr="002F65E7" w:rsidRDefault="00F80BA2">
            <w:pPr>
              <w:rPr>
                <w:b/>
                <w:sz w:val="22"/>
              </w:rPr>
            </w:pPr>
            <w:r w:rsidRPr="002F65E7">
              <w:rPr>
                <w:b/>
                <w:sz w:val="22"/>
              </w:rPr>
              <w:t>1</w:t>
            </w:r>
          </w:p>
        </w:tc>
        <w:tc>
          <w:tcPr>
            <w:tcW w:w="7371" w:type="dxa"/>
          </w:tcPr>
          <w:p w:rsidR="00F80BA2" w:rsidRPr="002F65E7" w:rsidRDefault="00F80BA2">
            <w:pPr>
              <w:rPr>
                <w:b/>
                <w:sz w:val="22"/>
              </w:rPr>
            </w:pPr>
            <w:r w:rsidRPr="002F65E7">
              <w:rPr>
                <w:b/>
                <w:sz w:val="22"/>
              </w:rPr>
              <w:t>THE TENDER PERIOD PROCESS</w:t>
            </w:r>
          </w:p>
        </w:tc>
        <w:tc>
          <w:tcPr>
            <w:tcW w:w="673" w:type="dxa"/>
          </w:tcPr>
          <w:p w:rsidR="00F80BA2" w:rsidRPr="002F65E7" w:rsidRDefault="00841F10">
            <w:pPr>
              <w:rPr>
                <w:b/>
                <w:sz w:val="22"/>
              </w:rPr>
            </w:pPr>
            <w:hyperlink w:anchor="_THE_TENDER_PERIOD" w:history="1">
              <w:r w:rsidR="002F65E7" w:rsidRPr="002F65E7">
                <w:rPr>
                  <w:rStyle w:val="Hyperlink"/>
                  <w:b/>
                  <w:color w:val="auto"/>
                  <w:sz w:val="22"/>
                  <w:u w:val="none"/>
                </w:rPr>
                <w:t>4</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F80BA2" w:rsidP="00F80BA2">
            <w:pPr>
              <w:rPr>
                <w:sz w:val="22"/>
              </w:rPr>
            </w:pPr>
            <w:r w:rsidRPr="002F65E7">
              <w:rPr>
                <w:sz w:val="22"/>
              </w:rPr>
              <w:t>1.1</w:t>
            </w:r>
            <w:r w:rsidRPr="002F65E7">
              <w:rPr>
                <w:sz w:val="22"/>
              </w:rPr>
              <w:tab/>
              <w:t>General</w:t>
            </w:r>
          </w:p>
        </w:tc>
        <w:tc>
          <w:tcPr>
            <w:tcW w:w="673" w:type="dxa"/>
          </w:tcPr>
          <w:p w:rsidR="00F80BA2" w:rsidRPr="002F65E7" w:rsidRDefault="00841F10">
            <w:pPr>
              <w:rPr>
                <w:sz w:val="22"/>
              </w:rPr>
            </w:pPr>
            <w:hyperlink w:anchor="_General" w:history="1">
              <w:r w:rsidR="002F65E7" w:rsidRPr="002F65E7">
                <w:rPr>
                  <w:rStyle w:val="Hyperlink"/>
                  <w:color w:val="auto"/>
                  <w:sz w:val="22"/>
                  <w:u w:val="none"/>
                </w:rPr>
                <w:t>4</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F80BA2">
            <w:pPr>
              <w:rPr>
                <w:sz w:val="22"/>
              </w:rPr>
            </w:pPr>
            <w:r w:rsidRPr="002F65E7">
              <w:rPr>
                <w:sz w:val="22"/>
              </w:rPr>
              <w:t>1.2</w:t>
            </w:r>
            <w:r w:rsidRPr="002F65E7">
              <w:rPr>
                <w:sz w:val="22"/>
              </w:rPr>
              <w:tab/>
              <w:t>Documents</w:t>
            </w:r>
          </w:p>
        </w:tc>
        <w:tc>
          <w:tcPr>
            <w:tcW w:w="673" w:type="dxa"/>
          </w:tcPr>
          <w:p w:rsidR="00F80BA2" w:rsidRPr="002F65E7" w:rsidRDefault="00841F10">
            <w:pPr>
              <w:rPr>
                <w:sz w:val="22"/>
              </w:rPr>
            </w:pPr>
            <w:hyperlink w:anchor="_Documents" w:history="1">
              <w:r w:rsidR="002F65E7" w:rsidRPr="002F65E7">
                <w:rPr>
                  <w:rStyle w:val="Hyperlink"/>
                  <w:color w:val="auto"/>
                  <w:sz w:val="22"/>
                  <w:u w:val="none"/>
                </w:rPr>
                <w:t>5</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F80BA2">
            <w:pPr>
              <w:rPr>
                <w:sz w:val="22"/>
              </w:rPr>
            </w:pPr>
            <w:r w:rsidRPr="002F65E7">
              <w:rPr>
                <w:sz w:val="22"/>
              </w:rPr>
              <w:t>1.3</w:t>
            </w:r>
            <w:r w:rsidRPr="002F65E7">
              <w:rPr>
                <w:sz w:val="22"/>
              </w:rPr>
              <w:tab/>
              <w:t xml:space="preserve">Tender Communications </w:t>
            </w:r>
          </w:p>
        </w:tc>
        <w:tc>
          <w:tcPr>
            <w:tcW w:w="673" w:type="dxa"/>
          </w:tcPr>
          <w:p w:rsidR="00F80BA2" w:rsidRPr="002F65E7" w:rsidRDefault="00841F10">
            <w:pPr>
              <w:rPr>
                <w:sz w:val="22"/>
              </w:rPr>
            </w:pPr>
            <w:hyperlink w:anchor="_Tender_communications" w:history="1">
              <w:r w:rsidR="002F65E7" w:rsidRPr="002F65E7">
                <w:rPr>
                  <w:rStyle w:val="Hyperlink"/>
                  <w:color w:val="auto"/>
                  <w:sz w:val="22"/>
                  <w:u w:val="none"/>
                </w:rPr>
                <w:t>5</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2F014A">
            <w:pPr>
              <w:rPr>
                <w:sz w:val="22"/>
              </w:rPr>
            </w:pPr>
            <w:r>
              <w:rPr>
                <w:sz w:val="22"/>
              </w:rPr>
              <w:t>1.4</w:t>
            </w:r>
            <w:r w:rsidR="00F80BA2" w:rsidRPr="002F65E7">
              <w:rPr>
                <w:sz w:val="22"/>
              </w:rPr>
              <w:tab/>
              <w:t>Tender Programme</w:t>
            </w:r>
          </w:p>
        </w:tc>
        <w:tc>
          <w:tcPr>
            <w:tcW w:w="673" w:type="dxa"/>
          </w:tcPr>
          <w:p w:rsidR="00F80BA2" w:rsidRPr="002F65E7" w:rsidRDefault="00841F10">
            <w:pPr>
              <w:rPr>
                <w:sz w:val="22"/>
              </w:rPr>
            </w:pPr>
            <w:hyperlink w:anchor="_Tender_Programme" w:history="1">
              <w:r w:rsidR="002F65E7" w:rsidRPr="002F65E7">
                <w:rPr>
                  <w:rStyle w:val="Hyperlink"/>
                  <w:color w:val="auto"/>
                  <w:sz w:val="22"/>
                  <w:u w:val="none"/>
                </w:rPr>
                <w:t>6</w:t>
              </w:r>
            </w:hyperlink>
          </w:p>
        </w:tc>
      </w:tr>
      <w:tr w:rsidR="002F65E7" w:rsidRPr="002F65E7" w:rsidTr="002F65E7">
        <w:trPr>
          <w:trHeight w:val="454"/>
        </w:trPr>
        <w:tc>
          <w:tcPr>
            <w:tcW w:w="1526" w:type="dxa"/>
          </w:tcPr>
          <w:p w:rsidR="00F80BA2" w:rsidRPr="002F65E7" w:rsidRDefault="00F80BA2">
            <w:pPr>
              <w:rPr>
                <w:b/>
                <w:sz w:val="22"/>
              </w:rPr>
            </w:pPr>
            <w:r w:rsidRPr="002F65E7">
              <w:rPr>
                <w:b/>
                <w:sz w:val="22"/>
              </w:rPr>
              <w:t>2</w:t>
            </w:r>
          </w:p>
        </w:tc>
        <w:tc>
          <w:tcPr>
            <w:tcW w:w="7371" w:type="dxa"/>
          </w:tcPr>
          <w:p w:rsidR="00F80BA2" w:rsidRPr="002F65E7" w:rsidRDefault="00F80BA2">
            <w:pPr>
              <w:rPr>
                <w:b/>
                <w:sz w:val="22"/>
              </w:rPr>
            </w:pPr>
            <w:r w:rsidRPr="002F65E7">
              <w:rPr>
                <w:b/>
                <w:sz w:val="22"/>
              </w:rPr>
              <w:t>SUBMISSION OF TENDERS</w:t>
            </w:r>
          </w:p>
        </w:tc>
        <w:tc>
          <w:tcPr>
            <w:tcW w:w="673" w:type="dxa"/>
          </w:tcPr>
          <w:p w:rsidR="00F80BA2" w:rsidRPr="002F65E7" w:rsidRDefault="00841F10">
            <w:pPr>
              <w:rPr>
                <w:b/>
                <w:sz w:val="22"/>
              </w:rPr>
            </w:pPr>
            <w:hyperlink w:anchor="_SUBMISSION_OF_TENDERS" w:history="1">
              <w:r w:rsidR="002F65E7" w:rsidRPr="002F65E7">
                <w:rPr>
                  <w:rStyle w:val="Hyperlink"/>
                  <w:b/>
                  <w:color w:val="auto"/>
                  <w:sz w:val="22"/>
                  <w:u w:val="none"/>
                </w:rPr>
                <w:t>6</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F80BA2">
            <w:pPr>
              <w:rPr>
                <w:sz w:val="22"/>
              </w:rPr>
            </w:pPr>
            <w:r w:rsidRPr="002F65E7">
              <w:rPr>
                <w:sz w:val="22"/>
              </w:rPr>
              <w:t>2.1</w:t>
            </w:r>
            <w:r w:rsidRPr="002F65E7">
              <w:rPr>
                <w:sz w:val="22"/>
              </w:rPr>
              <w:tab/>
              <w:t>General</w:t>
            </w:r>
          </w:p>
        </w:tc>
        <w:tc>
          <w:tcPr>
            <w:tcW w:w="673" w:type="dxa"/>
          </w:tcPr>
          <w:p w:rsidR="00F80BA2" w:rsidRPr="002F65E7" w:rsidRDefault="00841F10">
            <w:pPr>
              <w:rPr>
                <w:sz w:val="22"/>
              </w:rPr>
            </w:pPr>
            <w:hyperlink w:anchor="_General_1" w:history="1">
              <w:r w:rsidR="002F65E7" w:rsidRPr="002F65E7">
                <w:rPr>
                  <w:rStyle w:val="Hyperlink"/>
                  <w:color w:val="auto"/>
                  <w:sz w:val="22"/>
                  <w:u w:val="none"/>
                </w:rPr>
                <w:t>6</w:t>
              </w:r>
            </w:hyperlink>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C80CD4" w:rsidRDefault="00F80BA2" w:rsidP="002F014A">
            <w:pPr>
              <w:rPr>
                <w:sz w:val="22"/>
              </w:rPr>
            </w:pPr>
            <w:r w:rsidRPr="00C80CD4">
              <w:rPr>
                <w:sz w:val="22"/>
              </w:rPr>
              <w:t>2.2</w:t>
            </w:r>
            <w:r w:rsidRPr="00C80CD4">
              <w:rPr>
                <w:sz w:val="22"/>
              </w:rPr>
              <w:tab/>
              <w:t>Quotation procedure</w:t>
            </w:r>
          </w:p>
          <w:p w:rsidR="00012465" w:rsidRPr="00C80CD4" w:rsidRDefault="00012465" w:rsidP="002F014A"/>
          <w:p w:rsidR="00C80CD4" w:rsidRPr="00C80CD4" w:rsidRDefault="00012465" w:rsidP="00C80CD4">
            <w:pPr>
              <w:pStyle w:val="Heading2"/>
              <w:numPr>
                <w:ilvl w:val="0"/>
                <w:numId w:val="0"/>
              </w:numPr>
              <w:rPr>
                <w:b w:val="0"/>
              </w:rPr>
            </w:pPr>
            <w:r w:rsidRPr="00C80CD4">
              <w:rPr>
                <w:b w:val="0"/>
                <w:szCs w:val="22"/>
              </w:rPr>
              <w:t>2.3</w:t>
            </w:r>
            <w:r w:rsidR="00C80CD4" w:rsidRPr="00C80CD4">
              <w:rPr>
                <w:b w:val="0"/>
                <w:szCs w:val="22"/>
              </w:rPr>
              <w:t xml:space="preserve"> </w:t>
            </w:r>
            <w:r w:rsidR="00C80CD4">
              <w:rPr>
                <w:b w:val="0"/>
                <w:szCs w:val="22"/>
              </w:rPr>
              <w:t xml:space="preserve">      </w:t>
            </w:r>
            <w:r w:rsidR="00C80CD4" w:rsidRPr="00C80CD4">
              <w:rPr>
                <w:b w:val="0"/>
              </w:rPr>
              <w:t>Validation, Sustainability &amp; Tender Award</w:t>
            </w:r>
          </w:p>
          <w:p w:rsidR="00012465" w:rsidRPr="00C80CD4" w:rsidRDefault="00012465" w:rsidP="00C80CD4">
            <w:pPr>
              <w:tabs>
                <w:tab w:val="left" w:pos="945"/>
              </w:tabs>
              <w:rPr>
                <w:sz w:val="22"/>
                <w:szCs w:val="22"/>
              </w:rPr>
            </w:pPr>
          </w:p>
        </w:tc>
        <w:tc>
          <w:tcPr>
            <w:tcW w:w="673" w:type="dxa"/>
          </w:tcPr>
          <w:p w:rsidR="00F80BA2" w:rsidRDefault="00841F10">
            <w:pPr>
              <w:rPr>
                <w:rStyle w:val="Hyperlink"/>
                <w:color w:val="auto"/>
                <w:sz w:val="22"/>
                <w:u w:val="none"/>
              </w:rPr>
            </w:pPr>
            <w:hyperlink w:anchor="_Quotation_procedure_where" w:history="1">
              <w:r w:rsidR="002F65E7" w:rsidRPr="002F65E7">
                <w:rPr>
                  <w:rStyle w:val="Hyperlink"/>
                  <w:color w:val="auto"/>
                  <w:sz w:val="22"/>
                  <w:u w:val="none"/>
                </w:rPr>
                <w:t>7</w:t>
              </w:r>
            </w:hyperlink>
          </w:p>
          <w:p w:rsidR="00012465" w:rsidRDefault="00012465"/>
          <w:p w:rsidR="00012465" w:rsidRPr="002F65E7" w:rsidRDefault="00C80CD4">
            <w:pPr>
              <w:rPr>
                <w:sz w:val="22"/>
              </w:rPr>
            </w:pPr>
            <w:r>
              <w:rPr>
                <w:sz w:val="22"/>
              </w:rPr>
              <w:t>7</w:t>
            </w:r>
          </w:p>
        </w:tc>
      </w:tr>
      <w:tr w:rsidR="002F65E7" w:rsidRPr="002F65E7" w:rsidTr="002F65E7">
        <w:trPr>
          <w:trHeight w:val="454"/>
        </w:trPr>
        <w:tc>
          <w:tcPr>
            <w:tcW w:w="1526" w:type="dxa"/>
          </w:tcPr>
          <w:p w:rsidR="00F80BA2" w:rsidRPr="002F65E7" w:rsidRDefault="00F80BA2">
            <w:pPr>
              <w:rPr>
                <w:b/>
                <w:sz w:val="22"/>
              </w:rPr>
            </w:pPr>
            <w:r w:rsidRPr="002F65E7">
              <w:rPr>
                <w:b/>
                <w:sz w:val="22"/>
              </w:rPr>
              <w:t>ANNEXES</w:t>
            </w:r>
          </w:p>
        </w:tc>
        <w:tc>
          <w:tcPr>
            <w:tcW w:w="7371" w:type="dxa"/>
          </w:tcPr>
          <w:p w:rsidR="00F80BA2" w:rsidRPr="002F65E7" w:rsidRDefault="00F80BA2">
            <w:pPr>
              <w:rPr>
                <w:b/>
                <w:sz w:val="22"/>
              </w:rPr>
            </w:pPr>
          </w:p>
        </w:tc>
        <w:tc>
          <w:tcPr>
            <w:tcW w:w="673" w:type="dxa"/>
          </w:tcPr>
          <w:p w:rsidR="00F80BA2" w:rsidRPr="002F65E7" w:rsidRDefault="00160C6D">
            <w:pPr>
              <w:rPr>
                <w:b/>
                <w:sz w:val="22"/>
              </w:rPr>
            </w:pPr>
            <w:r>
              <w:rPr>
                <w:b/>
                <w:sz w:val="22"/>
              </w:rPr>
              <w:t>9</w:t>
            </w:r>
          </w:p>
        </w:tc>
      </w:tr>
      <w:tr w:rsidR="002F65E7" w:rsidRPr="002F65E7" w:rsidTr="002F65E7">
        <w:trPr>
          <w:trHeight w:val="454"/>
        </w:trPr>
        <w:tc>
          <w:tcPr>
            <w:tcW w:w="1526" w:type="dxa"/>
          </w:tcPr>
          <w:p w:rsidR="00F80BA2" w:rsidRPr="002F65E7" w:rsidRDefault="00F80BA2">
            <w:pPr>
              <w:rPr>
                <w:sz w:val="22"/>
              </w:rPr>
            </w:pPr>
          </w:p>
        </w:tc>
        <w:tc>
          <w:tcPr>
            <w:tcW w:w="7371" w:type="dxa"/>
          </w:tcPr>
          <w:p w:rsidR="00F80BA2" w:rsidRPr="002F65E7" w:rsidRDefault="00F80BA2" w:rsidP="002F65E7">
            <w:pPr>
              <w:rPr>
                <w:sz w:val="22"/>
              </w:rPr>
            </w:pPr>
            <w:r w:rsidRPr="002F65E7">
              <w:rPr>
                <w:sz w:val="22"/>
              </w:rPr>
              <w:t>Annex A – Tender Documents</w:t>
            </w:r>
          </w:p>
        </w:tc>
        <w:tc>
          <w:tcPr>
            <w:tcW w:w="673" w:type="dxa"/>
          </w:tcPr>
          <w:p w:rsidR="00F80BA2" w:rsidRPr="002F65E7" w:rsidRDefault="00012465">
            <w:pPr>
              <w:rPr>
                <w:sz w:val="22"/>
              </w:rPr>
            </w:pPr>
            <w:r>
              <w:rPr>
                <w:sz w:val="22"/>
              </w:rPr>
              <w:t>1</w:t>
            </w:r>
            <w:r w:rsidR="00160C6D">
              <w:rPr>
                <w:sz w:val="22"/>
              </w:rPr>
              <w:t>0</w:t>
            </w:r>
          </w:p>
        </w:tc>
      </w:tr>
      <w:tr w:rsidR="002F65E7" w:rsidRPr="002F65E7" w:rsidTr="002F65E7">
        <w:trPr>
          <w:trHeight w:val="454"/>
        </w:trPr>
        <w:tc>
          <w:tcPr>
            <w:tcW w:w="1526" w:type="dxa"/>
          </w:tcPr>
          <w:p w:rsidR="00F80BA2" w:rsidRPr="0029459F" w:rsidRDefault="00F80BA2">
            <w:pPr>
              <w:rPr>
                <w:sz w:val="22"/>
              </w:rPr>
            </w:pPr>
          </w:p>
        </w:tc>
        <w:tc>
          <w:tcPr>
            <w:tcW w:w="7371" w:type="dxa"/>
          </w:tcPr>
          <w:p w:rsidR="00F80BA2" w:rsidRPr="0029459F" w:rsidRDefault="00F80BA2" w:rsidP="00067086">
            <w:pPr>
              <w:rPr>
                <w:sz w:val="22"/>
              </w:rPr>
            </w:pPr>
            <w:r w:rsidRPr="0029459F">
              <w:rPr>
                <w:sz w:val="22"/>
              </w:rPr>
              <w:t xml:space="preserve">Annex B – </w:t>
            </w:r>
            <w:r w:rsidR="00067086" w:rsidRPr="0029459F">
              <w:rPr>
                <w:sz w:val="22"/>
              </w:rPr>
              <w:t>Indicative Tender Period Timetable</w:t>
            </w:r>
          </w:p>
        </w:tc>
        <w:tc>
          <w:tcPr>
            <w:tcW w:w="673" w:type="dxa"/>
          </w:tcPr>
          <w:p w:rsidR="00F80BA2" w:rsidRPr="0029459F" w:rsidRDefault="00841F10">
            <w:pPr>
              <w:rPr>
                <w:sz w:val="22"/>
              </w:rPr>
            </w:pPr>
            <w:hyperlink w:anchor="_Annex_B_–_1" w:history="1">
              <w:r w:rsidR="002F65E7" w:rsidRPr="0029459F">
                <w:rPr>
                  <w:rStyle w:val="Hyperlink"/>
                  <w:color w:val="auto"/>
                  <w:sz w:val="22"/>
                  <w:u w:val="none"/>
                </w:rPr>
                <w:t>1</w:t>
              </w:r>
            </w:hyperlink>
            <w:r w:rsidR="00160C6D">
              <w:rPr>
                <w:rStyle w:val="Hyperlink"/>
                <w:color w:val="auto"/>
                <w:sz w:val="22"/>
                <w:u w:val="none"/>
              </w:rPr>
              <w:t>1</w:t>
            </w:r>
          </w:p>
        </w:tc>
      </w:tr>
      <w:tr w:rsidR="002F65E7" w:rsidRPr="002F65E7" w:rsidTr="002F65E7">
        <w:trPr>
          <w:trHeight w:val="454"/>
        </w:trPr>
        <w:tc>
          <w:tcPr>
            <w:tcW w:w="1526" w:type="dxa"/>
          </w:tcPr>
          <w:p w:rsidR="00F80BA2" w:rsidRPr="0029459F" w:rsidRDefault="00F80BA2">
            <w:pPr>
              <w:rPr>
                <w:sz w:val="22"/>
              </w:rPr>
            </w:pPr>
          </w:p>
        </w:tc>
        <w:tc>
          <w:tcPr>
            <w:tcW w:w="7371" w:type="dxa"/>
          </w:tcPr>
          <w:p w:rsidR="00F80BA2" w:rsidRPr="0029459F" w:rsidRDefault="00F80BA2" w:rsidP="00067086">
            <w:pPr>
              <w:rPr>
                <w:sz w:val="22"/>
              </w:rPr>
            </w:pPr>
            <w:r w:rsidRPr="0029459F">
              <w:rPr>
                <w:sz w:val="22"/>
              </w:rPr>
              <w:t xml:space="preserve">Annex C – </w:t>
            </w:r>
            <w:r w:rsidR="00067086" w:rsidRPr="0029459F">
              <w:rPr>
                <w:sz w:val="22"/>
              </w:rPr>
              <w:t>Tender Query Form</w:t>
            </w:r>
          </w:p>
        </w:tc>
        <w:tc>
          <w:tcPr>
            <w:tcW w:w="673" w:type="dxa"/>
          </w:tcPr>
          <w:p w:rsidR="00F80BA2" w:rsidRPr="0029459F" w:rsidRDefault="00841F10">
            <w:pPr>
              <w:rPr>
                <w:sz w:val="22"/>
              </w:rPr>
            </w:pPr>
            <w:hyperlink w:anchor="_Annex_C_–_1" w:history="1">
              <w:r w:rsidR="002F65E7" w:rsidRPr="0029459F">
                <w:rPr>
                  <w:rStyle w:val="Hyperlink"/>
                  <w:color w:val="auto"/>
                  <w:sz w:val="22"/>
                  <w:u w:val="none"/>
                </w:rPr>
                <w:t>1</w:t>
              </w:r>
            </w:hyperlink>
            <w:r w:rsidR="00160C6D">
              <w:rPr>
                <w:rStyle w:val="Hyperlink"/>
                <w:color w:val="auto"/>
                <w:sz w:val="22"/>
                <w:u w:val="none"/>
              </w:rPr>
              <w:t>2</w:t>
            </w:r>
          </w:p>
        </w:tc>
      </w:tr>
    </w:tbl>
    <w:p w:rsidR="002665B4" w:rsidRDefault="002665B4">
      <w:r>
        <w:br w:type="page"/>
      </w:r>
    </w:p>
    <w:p w:rsidR="002665B4" w:rsidRDefault="002665B4">
      <w:pPr>
        <w:pStyle w:val="Footer"/>
        <w:tabs>
          <w:tab w:val="clear" w:pos="4153"/>
          <w:tab w:val="clear" w:pos="8306"/>
        </w:tabs>
      </w:pPr>
    </w:p>
    <w:p w:rsidR="002665B4" w:rsidRPr="008760FD" w:rsidRDefault="002665B4" w:rsidP="002665B4">
      <w:pPr>
        <w:pStyle w:val="Heading1"/>
        <w:jc w:val="both"/>
        <w:rPr>
          <w:rStyle w:val="Heading1Char"/>
          <w:rFonts w:eastAsia="Arial Unicode MS" w:cs="Arial"/>
          <w:b/>
          <w:bCs/>
        </w:rPr>
      </w:pPr>
      <w:bookmarkStart w:id="3" w:name="_THE_TENDER_PERIOD"/>
      <w:bookmarkStart w:id="4" w:name="_Toc211773759"/>
      <w:bookmarkStart w:id="5" w:name="_Toc214282159"/>
      <w:bookmarkStart w:id="6" w:name="_Toc322589713"/>
      <w:bookmarkEnd w:id="3"/>
      <w:r w:rsidRPr="008760FD">
        <w:rPr>
          <w:rStyle w:val="Heading1Char"/>
          <w:rFonts w:cs="Arial"/>
          <w:b/>
          <w:bCs/>
        </w:rPr>
        <w:t>THE TENDER PERIOD PROCESS</w:t>
      </w:r>
      <w:bookmarkEnd w:id="4"/>
      <w:bookmarkEnd w:id="5"/>
      <w:bookmarkEnd w:id="6"/>
    </w:p>
    <w:p w:rsidR="002665B4" w:rsidRPr="008760FD" w:rsidRDefault="002665B4" w:rsidP="002665B4">
      <w:pPr>
        <w:pStyle w:val="Heading2"/>
        <w:rPr>
          <w:rFonts w:eastAsia="Arial Unicode MS" w:cs="Arial"/>
        </w:rPr>
      </w:pPr>
      <w:bookmarkStart w:id="7" w:name="_General"/>
      <w:bookmarkStart w:id="8" w:name="_Toc214282160"/>
      <w:bookmarkStart w:id="9" w:name="_Toc322589714"/>
      <w:bookmarkEnd w:id="7"/>
      <w:r w:rsidRPr="008760FD">
        <w:rPr>
          <w:rFonts w:cs="Arial"/>
        </w:rPr>
        <w:t>General</w:t>
      </w:r>
      <w:bookmarkEnd w:id="8"/>
      <w:bookmarkEnd w:id="9"/>
    </w:p>
    <w:p w:rsidR="002665B4" w:rsidRPr="008760FD" w:rsidRDefault="002665B4" w:rsidP="002665B4">
      <w:pPr>
        <w:pStyle w:val="BodyText1"/>
        <w:rPr>
          <w:rFonts w:cs="Arial"/>
          <w:iCs w:val="0"/>
        </w:rPr>
      </w:pPr>
      <w:r w:rsidRPr="008760FD">
        <w:rPr>
          <w:rFonts w:cs="Arial"/>
        </w:rPr>
        <w:t>These Instructions for Tenderers apply to the submission of tenders</w:t>
      </w:r>
      <w:r w:rsidRPr="006D43F5">
        <w:rPr>
          <w:rFonts w:cs="Arial"/>
        </w:rPr>
        <w:t xml:space="preserve"> for </w:t>
      </w:r>
      <w:r w:rsidR="00716E59" w:rsidRPr="006D43F5">
        <w:rPr>
          <w:rFonts w:cs="Arial"/>
        </w:rPr>
        <w:t xml:space="preserve">Tyre </w:t>
      </w:r>
      <w:r w:rsidR="00D35DEE">
        <w:rPr>
          <w:rFonts w:cs="Arial"/>
        </w:rPr>
        <w:t>Supply and Fit services</w:t>
      </w:r>
      <w:r w:rsidR="00716E59" w:rsidRPr="006D43F5">
        <w:rPr>
          <w:rFonts w:cs="Arial"/>
        </w:rPr>
        <w:t xml:space="preserve">, </w:t>
      </w:r>
      <w:r w:rsidR="00121243" w:rsidRPr="006D43F5">
        <w:rPr>
          <w:rFonts w:cs="Arial"/>
        </w:rPr>
        <w:t>via the Eastern Shires Purchasing Organisation (ESPO) 222 Tyres and Related Services framework</w:t>
      </w:r>
      <w:r w:rsidR="00F15013" w:rsidRPr="006D43F5">
        <w:rPr>
          <w:rFonts w:cs="Arial"/>
        </w:rPr>
        <w:t>.</w:t>
      </w:r>
    </w:p>
    <w:p w:rsidR="002665B4" w:rsidRPr="008760FD" w:rsidRDefault="002665B4" w:rsidP="002665B4">
      <w:pPr>
        <w:pStyle w:val="BodyText1"/>
        <w:rPr>
          <w:rFonts w:cs="Arial"/>
          <w:iCs w:val="0"/>
        </w:rPr>
      </w:pPr>
      <w:r w:rsidRPr="008760FD">
        <w:rPr>
          <w:rFonts w:cs="Arial"/>
          <w:iCs w:val="0"/>
        </w:rPr>
        <w:t xml:space="preserve">Tenders </w:t>
      </w:r>
      <w:r w:rsidRPr="008760FD">
        <w:rPr>
          <w:rFonts w:cs="Arial"/>
          <w:iCs w:val="0"/>
          <w:lang w:val="en-GB"/>
        </w:rPr>
        <w:t>must be</w:t>
      </w:r>
      <w:r w:rsidRPr="008760FD">
        <w:rPr>
          <w:rFonts w:cs="Arial"/>
          <w:iCs w:val="0"/>
        </w:rPr>
        <w:t xml:space="preserve"> submitted in accordance with these Instructions. Tenders not complying with these Instructions </w:t>
      </w:r>
      <w:r w:rsidR="00F15013">
        <w:rPr>
          <w:rFonts w:cs="Arial"/>
          <w:iCs w:val="0"/>
        </w:rPr>
        <w:t>will</w:t>
      </w:r>
      <w:r w:rsidRPr="008760FD">
        <w:rPr>
          <w:rFonts w:cs="Arial"/>
          <w:iCs w:val="0"/>
        </w:rPr>
        <w:t xml:space="preserve"> be rejected by Highways </w:t>
      </w:r>
      <w:r>
        <w:rPr>
          <w:rFonts w:cs="Arial"/>
          <w:iCs w:val="0"/>
        </w:rPr>
        <w:t>England</w:t>
      </w:r>
      <w:r w:rsidRPr="008760FD">
        <w:rPr>
          <w:rFonts w:cs="Arial"/>
          <w:iCs w:val="0"/>
        </w:rPr>
        <w:t xml:space="preserve"> whose decision in the matter will be final. These Instructions will not form part of the proposed contract.</w:t>
      </w:r>
    </w:p>
    <w:p w:rsidR="002665B4" w:rsidRPr="008760FD" w:rsidRDefault="00121243" w:rsidP="002665B4">
      <w:pPr>
        <w:pStyle w:val="BodyText1"/>
        <w:rPr>
          <w:rFonts w:cs="Arial"/>
          <w:iCs w:val="0"/>
        </w:rPr>
      </w:pPr>
      <w:r w:rsidRPr="00F8527C">
        <w:rPr>
          <w:rFonts w:cs="Arial"/>
          <w:iCs w:val="0"/>
        </w:rPr>
        <w:t xml:space="preserve">For enquiries contact Highways England </w:t>
      </w:r>
      <w:r>
        <w:rPr>
          <w:rFonts w:cs="Arial"/>
          <w:iCs w:val="0"/>
        </w:rPr>
        <w:t>via the Bravo Portal only. The Procurement Officer i</w:t>
      </w:r>
      <w:r w:rsidRPr="0086558E">
        <w:rPr>
          <w:rFonts w:cs="Arial"/>
          <w:iCs w:val="0"/>
        </w:rPr>
        <w:t xml:space="preserve">s </w:t>
      </w:r>
      <w:r w:rsidR="00100C7F" w:rsidRPr="00633E75">
        <w:rPr>
          <w:rFonts w:cs="Arial"/>
          <w:iCs w:val="0"/>
        </w:rPr>
        <w:t>Darrel Waka</w:t>
      </w:r>
      <w:r>
        <w:rPr>
          <w:rFonts w:cs="Arial"/>
          <w:iCs w:val="0"/>
        </w:rPr>
        <w:t>.</w:t>
      </w:r>
      <w:r w:rsidRPr="00F8527C">
        <w:rPr>
          <w:rFonts w:cs="Arial"/>
          <w:iCs w:val="0"/>
        </w:rPr>
        <w:t xml:space="preserve"> Except where otherwise directed in these Instructions, tenderers must not contact any person in relation to this Call Off other than the Procurement </w:t>
      </w:r>
      <w:r>
        <w:rPr>
          <w:rFonts w:cs="Arial"/>
          <w:iCs w:val="0"/>
        </w:rPr>
        <w:t>Officer</w:t>
      </w:r>
      <w:r w:rsidR="002665B4" w:rsidRPr="008760FD">
        <w:rPr>
          <w:rFonts w:cs="Arial"/>
          <w:iCs w:val="0"/>
        </w:rPr>
        <w:t>.</w:t>
      </w:r>
    </w:p>
    <w:p w:rsidR="002665B4" w:rsidRPr="008760FD" w:rsidRDefault="002665B4" w:rsidP="002665B4">
      <w:pPr>
        <w:pStyle w:val="BodyText1"/>
        <w:rPr>
          <w:rFonts w:cs="Arial"/>
          <w:iCs w:val="0"/>
        </w:rPr>
      </w:pPr>
      <w:r w:rsidRPr="008760FD">
        <w:rPr>
          <w:rFonts w:cs="Arial"/>
          <w:iCs w:val="0"/>
        </w:rPr>
        <w:t xml:space="preserve">Tenderers are to identify a single point of contact in their organisation </w:t>
      </w:r>
      <w:r w:rsidR="00121243">
        <w:rPr>
          <w:rFonts w:cs="Arial"/>
          <w:iCs w:val="0"/>
        </w:rPr>
        <w:t>as part of their tender return</w:t>
      </w:r>
      <w:r w:rsidRPr="008760FD">
        <w:rPr>
          <w:rFonts w:cs="Arial"/>
          <w:iCs w:val="0"/>
        </w:rPr>
        <w:t>.</w:t>
      </w:r>
    </w:p>
    <w:p w:rsidR="002665B4" w:rsidRPr="008760FD" w:rsidRDefault="002665B4" w:rsidP="002665B4">
      <w:pPr>
        <w:pStyle w:val="BodyText1"/>
        <w:rPr>
          <w:rFonts w:cs="Arial"/>
        </w:rPr>
      </w:pPr>
      <w:r w:rsidRPr="008760FD">
        <w:rPr>
          <w:rFonts w:cs="Arial"/>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rsidR="002665B4" w:rsidRDefault="002665B4" w:rsidP="002665B4">
      <w:pPr>
        <w:pStyle w:val="BodyText1"/>
        <w:rPr>
          <w:rFonts w:cs="Arial"/>
          <w:iCs w:val="0"/>
        </w:rPr>
      </w:pPr>
      <w:r w:rsidRPr="008760FD">
        <w:rPr>
          <w:rFonts w:cs="Arial"/>
          <w:iCs w:val="0"/>
        </w:rPr>
        <w:t xml:space="preserve">Under the Freedom of Information Act 2000 </w:t>
      </w:r>
      <w:r w:rsidRPr="008760FD">
        <w:rPr>
          <w:rFonts w:cs="Arial"/>
          <w:spacing w:val="-2"/>
        </w:rPr>
        <w:t>and the Environmental Information Regulations 2004</w:t>
      </w:r>
      <w:r>
        <w:rPr>
          <w:rFonts w:cs="Arial"/>
          <w:spacing w:val="-2"/>
        </w:rPr>
        <w:t xml:space="preserve">, </w:t>
      </w:r>
      <w:r w:rsidRPr="008760FD">
        <w:rPr>
          <w:rFonts w:cs="Arial"/>
          <w:iCs w:val="0"/>
        </w:rPr>
        <w:t xml:space="preserve">Highways </w:t>
      </w:r>
      <w:r>
        <w:rPr>
          <w:rFonts w:cs="Arial"/>
          <w:iCs w:val="0"/>
        </w:rPr>
        <w:t>England</w:t>
      </w:r>
      <w:r w:rsidRPr="008760FD">
        <w:rPr>
          <w:rFonts w:cs="Arial"/>
          <w:iCs w:val="0"/>
        </w:rPr>
        <w:t xml:space="preserve"> may be obliged to disclose information relating to responses to this tender. Tenderers may request that certain information is not disclosed if to do so would prejudice their legitimate commercial interests or is otherwise exempt from disclosure under the Act. Requests for non-disclosure must accompany the tender and include clear and substantive justification together with a time limit when any confidential information could be disclosed. The terms of any confidentiality agreement would, if requested, be available for disclosure.</w:t>
      </w:r>
    </w:p>
    <w:p w:rsidR="00E80123" w:rsidRPr="00E80123" w:rsidRDefault="00E80123" w:rsidP="002665B4">
      <w:pPr>
        <w:pStyle w:val="BodyText1"/>
        <w:rPr>
          <w:rFonts w:cs="Arial"/>
          <w:iCs w:val="0"/>
        </w:rPr>
      </w:pPr>
      <w:r w:rsidRPr="00544C47">
        <w:t xml:space="preserve">Under the Cabinet Office’s Guidance Note dated December 2010 entitled “Transparency - Publication of New Central Government Contracts”, Highways </w:t>
      </w:r>
      <w:r>
        <w:t>England</w:t>
      </w:r>
      <w:r w:rsidRPr="00544C47">
        <w:t xml:space="preserve"> is obliged to publish the responses to this tender and the provisions of any contract let pursuant to it, excluding only information which is exempt from disclosure pursuant to the Freedom of Information Act 2000</w:t>
      </w:r>
      <w:r>
        <w:t>.</w:t>
      </w:r>
    </w:p>
    <w:p w:rsidR="002665B4" w:rsidRPr="00E80123" w:rsidRDefault="00E80123" w:rsidP="00E80123">
      <w:pPr>
        <w:pStyle w:val="BodyText1"/>
        <w:rPr>
          <w:rFonts w:cs="Arial"/>
          <w:iCs w:val="0"/>
        </w:rPr>
      </w:pPr>
      <w:r>
        <w:t xml:space="preserve">The </w:t>
      </w:r>
      <w:r w:rsidRPr="00E80123">
        <w:rPr>
          <w:iCs w:val="0"/>
        </w:rPr>
        <w:t>tenderer is invited to identify (with reasons) those materials which they wish to see excluded from publication .The tenderer acknowledges that the final decision as to which materials are excluded from publication rests with Highways England in its sole discretion.  Any submission by the tenderer under this paragraph is for information only and will not be taken into account in the tender assessment process, nor will it form part of any contract between Highways England and the tenderer.</w:t>
      </w:r>
    </w:p>
    <w:p w:rsidR="00E80123" w:rsidRDefault="00E80123" w:rsidP="00E80123">
      <w:pPr>
        <w:pStyle w:val="BodyText1"/>
        <w:numPr>
          <w:ilvl w:val="0"/>
          <w:numId w:val="0"/>
        </w:numPr>
        <w:ind w:left="1134"/>
        <w:rPr>
          <w:rFonts w:cs="Arial"/>
          <w:iCs w:val="0"/>
        </w:rPr>
      </w:pPr>
    </w:p>
    <w:p w:rsidR="002665B4" w:rsidRPr="008760FD" w:rsidRDefault="002665B4" w:rsidP="002665B4">
      <w:pPr>
        <w:pStyle w:val="BodyText1"/>
        <w:rPr>
          <w:rFonts w:cs="Arial"/>
          <w:iCs w:val="0"/>
        </w:rPr>
      </w:pPr>
      <w:r w:rsidRPr="008760FD">
        <w:rPr>
          <w:rFonts w:cs="Arial"/>
          <w:iCs w:val="0"/>
        </w:rPr>
        <w:t xml:space="preserve">Tenderers must advise Highways </w:t>
      </w:r>
      <w:r w:rsidR="003C5E8A">
        <w:rPr>
          <w:rFonts w:cs="Arial"/>
          <w:iCs w:val="0"/>
        </w:rPr>
        <w:t>England</w:t>
      </w:r>
      <w:r w:rsidRPr="008760FD">
        <w:rPr>
          <w:rFonts w:cs="Arial"/>
          <w:iCs w:val="0"/>
        </w:rPr>
        <w:t xml:space="preserve"> if</w:t>
      </w:r>
    </w:p>
    <w:p w:rsidR="002665B4" w:rsidRPr="008760FD" w:rsidRDefault="002665B4" w:rsidP="002665B4">
      <w:pPr>
        <w:pStyle w:val="ListBullet"/>
      </w:pPr>
      <w:r w:rsidRPr="008760FD">
        <w:t xml:space="preserve">their ownership or the ownership of any member of their tendering consortium (or their parent company) changes, or </w:t>
      </w:r>
    </w:p>
    <w:p w:rsidR="002665B4" w:rsidRPr="008760FD" w:rsidRDefault="002665B4" w:rsidP="002665B4">
      <w:pPr>
        <w:pStyle w:val="ListBullet"/>
      </w:pPr>
      <w:r w:rsidRPr="008760FD">
        <w:t xml:space="preserve">any organisation involved in the preparation of this contract is acquired by them or by any member of their consortium (or an associated company). </w:t>
      </w:r>
    </w:p>
    <w:p w:rsidR="002665B4" w:rsidRPr="008760FD" w:rsidRDefault="00E80123" w:rsidP="002665B4">
      <w:pPr>
        <w:pStyle w:val="BodyText1"/>
        <w:numPr>
          <w:ilvl w:val="0"/>
          <w:numId w:val="0"/>
        </w:numPr>
        <w:ind w:left="851"/>
        <w:rPr>
          <w:rFonts w:cs="Arial"/>
        </w:rPr>
      </w:pPr>
      <w:r w:rsidRPr="00F8527C">
        <w:rPr>
          <w:rFonts w:cs="Arial"/>
        </w:rPr>
        <w:t xml:space="preserve">If Highways England considers that a change in ownership has created a potential conflict, Highways England may exclude a conflicted tenderer from the tender assessment. If excluded, the tenderer will be notified by the Procurement </w:t>
      </w:r>
      <w:r>
        <w:rPr>
          <w:rFonts w:cs="Arial"/>
        </w:rPr>
        <w:t>Officer via the Bravo Portal</w:t>
      </w:r>
      <w:r w:rsidR="002665B4" w:rsidRPr="008760FD">
        <w:rPr>
          <w:rFonts w:cs="Arial"/>
        </w:rPr>
        <w:t>.</w:t>
      </w:r>
    </w:p>
    <w:p w:rsidR="002665B4" w:rsidRPr="008760FD" w:rsidRDefault="002665B4" w:rsidP="002665B4">
      <w:pPr>
        <w:pStyle w:val="Heading2"/>
        <w:rPr>
          <w:rFonts w:eastAsia="Arial Unicode MS" w:cs="Arial"/>
        </w:rPr>
      </w:pPr>
      <w:bookmarkStart w:id="10" w:name="_Documents"/>
      <w:bookmarkStart w:id="11" w:name="_Toc214282161"/>
      <w:bookmarkStart w:id="12" w:name="_Toc322589715"/>
      <w:bookmarkEnd w:id="10"/>
      <w:r w:rsidRPr="008760FD">
        <w:rPr>
          <w:rFonts w:cs="Arial"/>
        </w:rPr>
        <w:t>Documents</w:t>
      </w:r>
      <w:bookmarkEnd w:id="11"/>
      <w:bookmarkEnd w:id="12"/>
      <w:r w:rsidRPr="008760FD">
        <w:rPr>
          <w:rFonts w:cs="Arial"/>
        </w:rPr>
        <w:t xml:space="preserve"> </w:t>
      </w:r>
    </w:p>
    <w:p w:rsidR="002665B4" w:rsidRPr="008760FD" w:rsidRDefault="002665B4" w:rsidP="002665B4">
      <w:pPr>
        <w:pStyle w:val="BodyText1"/>
        <w:rPr>
          <w:rFonts w:cs="Arial"/>
          <w:iCs w:val="0"/>
        </w:rPr>
      </w:pPr>
      <w:r w:rsidRPr="008760FD">
        <w:rPr>
          <w:rFonts w:cs="Arial"/>
          <w:iCs w:val="0"/>
        </w:rPr>
        <w:t>Instructions relating to documentation are contained in Annex A.</w:t>
      </w:r>
    </w:p>
    <w:p w:rsidR="00BA0A73" w:rsidRPr="00BA0A73" w:rsidRDefault="002665B4" w:rsidP="002665B4">
      <w:pPr>
        <w:pStyle w:val="BodyText1"/>
        <w:rPr>
          <w:rFonts w:cs="Arial"/>
          <w:iCs w:val="0"/>
        </w:rPr>
      </w:pPr>
      <w:r w:rsidRPr="008760FD">
        <w:rPr>
          <w:rFonts w:cs="Arial"/>
          <w:iCs w:val="0"/>
        </w:rPr>
        <w:t>Any drawings, prints, specifications, data, calcu</w:t>
      </w:r>
      <w:r w:rsidR="008B4482">
        <w:rPr>
          <w:rFonts w:cs="Arial"/>
          <w:iCs w:val="0"/>
        </w:rPr>
        <w:t>lations and analyses issued to t</w:t>
      </w:r>
      <w:r w:rsidRPr="008760FD">
        <w:rPr>
          <w:rFonts w:cs="Arial"/>
          <w:iCs w:val="0"/>
        </w:rPr>
        <w:t xml:space="preserve">enderers in connection with this tender remain the property of Highways </w:t>
      </w:r>
      <w:r w:rsidR="008B4482">
        <w:rPr>
          <w:rFonts w:cs="Arial"/>
          <w:iCs w:val="0"/>
        </w:rPr>
        <w:t>England</w:t>
      </w:r>
      <w:r w:rsidRPr="008760FD">
        <w:rPr>
          <w:rFonts w:cs="Arial"/>
          <w:iCs w:val="0"/>
        </w:rPr>
        <w:t>. All</w:t>
      </w:r>
      <w:r w:rsidRPr="008760FD">
        <w:rPr>
          <w:rFonts w:cs="Arial"/>
          <w:iCs w:val="0"/>
          <w:spacing w:val="-3"/>
        </w:rPr>
        <w:t xml:space="preserve"> such information issued </w:t>
      </w:r>
      <w:r w:rsidR="008B4482">
        <w:rPr>
          <w:rFonts w:cs="Arial"/>
          <w:iCs w:val="0"/>
          <w:spacing w:val="-3"/>
        </w:rPr>
        <w:t>to t</w:t>
      </w:r>
      <w:r w:rsidRPr="008760FD">
        <w:rPr>
          <w:rFonts w:cs="Arial"/>
          <w:iCs w:val="0"/>
          <w:spacing w:val="-3"/>
        </w:rPr>
        <w:t xml:space="preserve">enderers may only be used for the purpose of tendering. </w:t>
      </w:r>
    </w:p>
    <w:p w:rsidR="002665B4" w:rsidRPr="008760FD" w:rsidRDefault="002665B4" w:rsidP="002665B4">
      <w:pPr>
        <w:pStyle w:val="BodyText1"/>
        <w:rPr>
          <w:rFonts w:cs="Arial"/>
          <w:iCs w:val="0"/>
        </w:rPr>
      </w:pPr>
      <w:r w:rsidRPr="008760FD">
        <w:rPr>
          <w:rFonts w:cs="Arial"/>
          <w:iCs w:val="0"/>
          <w:spacing w:val="-3"/>
        </w:rPr>
        <w:t xml:space="preserve">Such information should not be disclosed to persons unconnected with the tender and should be returned to Highways </w:t>
      </w:r>
      <w:r w:rsidR="008B4482">
        <w:rPr>
          <w:rFonts w:cs="Arial"/>
          <w:iCs w:val="0"/>
          <w:spacing w:val="-3"/>
        </w:rPr>
        <w:t>England</w:t>
      </w:r>
      <w:r w:rsidRPr="008760FD">
        <w:rPr>
          <w:rFonts w:cs="Arial"/>
          <w:iCs w:val="0"/>
          <w:spacing w:val="-3"/>
        </w:rPr>
        <w:t xml:space="preserve"> on completion of tender procedures. </w:t>
      </w:r>
      <w:r w:rsidRPr="008760FD">
        <w:rPr>
          <w:rFonts w:cs="Arial"/>
          <w:iCs w:val="0"/>
        </w:rPr>
        <w:t>These provisions apply equally to drawings and other information supplied for the purpose of the tender, the property rights of which vest in a third party.</w:t>
      </w:r>
    </w:p>
    <w:p w:rsidR="002665B4" w:rsidRPr="008760FD" w:rsidRDefault="002665B4" w:rsidP="002665B4">
      <w:pPr>
        <w:pStyle w:val="Heading2"/>
        <w:rPr>
          <w:rFonts w:cs="Arial"/>
        </w:rPr>
      </w:pPr>
      <w:bookmarkStart w:id="13" w:name="_Tender_communications"/>
      <w:bookmarkStart w:id="14" w:name="_Toc214282162"/>
      <w:bookmarkStart w:id="15" w:name="_Toc322589716"/>
      <w:bookmarkEnd w:id="13"/>
      <w:r w:rsidRPr="008760FD">
        <w:rPr>
          <w:rFonts w:cs="Arial"/>
        </w:rPr>
        <w:t>Tender communications</w:t>
      </w:r>
      <w:bookmarkEnd w:id="14"/>
      <w:bookmarkEnd w:id="15"/>
    </w:p>
    <w:p w:rsidR="002665B4" w:rsidRPr="008760FD" w:rsidRDefault="008B4482" w:rsidP="002665B4">
      <w:pPr>
        <w:pStyle w:val="BodyText1"/>
        <w:rPr>
          <w:rFonts w:cs="Arial"/>
        </w:rPr>
      </w:pPr>
      <w:r>
        <w:rPr>
          <w:rFonts w:cs="Arial"/>
        </w:rPr>
        <w:t>Any queries from t</w:t>
      </w:r>
      <w:r w:rsidR="002665B4" w:rsidRPr="008760FD">
        <w:rPr>
          <w:rFonts w:cs="Arial"/>
        </w:rPr>
        <w:t xml:space="preserve">enderers regarding the tender documents must be made via </w:t>
      </w:r>
      <w:r w:rsidR="00BA0A73">
        <w:rPr>
          <w:rFonts w:cs="Arial"/>
        </w:rPr>
        <w:t>the Bravo Portal</w:t>
      </w:r>
      <w:r w:rsidR="000F0DD0">
        <w:rPr>
          <w:rFonts w:cs="Arial"/>
        </w:rPr>
        <w:t xml:space="preserve"> on the form supplier in Annex C</w:t>
      </w:r>
      <w:r w:rsidR="00BA0A73">
        <w:rPr>
          <w:rFonts w:cs="Arial"/>
        </w:rPr>
        <w:t xml:space="preserve"> and sent</w:t>
      </w:r>
      <w:r w:rsidR="002665B4" w:rsidRPr="008760FD">
        <w:rPr>
          <w:rFonts w:cs="Arial"/>
          <w:color w:val="FF0000"/>
        </w:rPr>
        <w:t xml:space="preserve"> </w:t>
      </w:r>
      <w:r w:rsidR="002665B4" w:rsidRPr="008760FD">
        <w:rPr>
          <w:rFonts w:cs="Arial"/>
        </w:rPr>
        <w:t xml:space="preserve">no later than </w:t>
      </w:r>
      <w:r>
        <w:rPr>
          <w:rFonts w:cs="Arial"/>
        </w:rPr>
        <w:t>7</w:t>
      </w:r>
      <w:r w:rsidR="002665B4" w:rsidRPr="008760FD">
        <w:rPr>
          <w:rFonts w:cs="Arial"/>
        </w:rPr>
        <w:t xml:space="preserve"> days prior to the date of return of tenders.</w:t>
      </w:r>
    </w:p>
    <w:p w:rsidR="002665B4" w:rsidRPr="00BA0A73" w:rsidRDefault="002665B4" w:rsidP="008B4482">
      <w:pPr>
        <w:pStyle w:val="BodyText1"/>
        <w:numPr>
          <w:ilvl w:val="0"/>
          <w:numId w:val="0"/>
        </w:numPr>
        <w:ind w:left="1134"/>
        <w:rPr>
          <w:rFonts w:cs="Arial"/>
        </w:rPr>
      </w:pPr>
      <w:r w:rsidRPr="00BA0A73">
        <w:rPr>
          <w:rFonts w:cs="Arial"/>
        </w:rPr>
        <w:t xml:space="preserve">All tender queries will be acknowledged and answered </w:t>
      </w:r>
      <w:r w:rsidR="00BA0A73">
        <w:rPr>
          <w:rFonts w:cs="Arial"/>
        </w:rPr>
        <w:t>via the Bravo Portal</w:t>
      </w:r>
      <w:r w:rsidRPr="00BA0A73">
        <w:rPr>
          <w:rFonts w:cs="Arial"/>
        </w:rPr>
        <w:t xml:space="preserve"> and notifi</w:t>
      </w:r>
      <w:r w:rsidR="008B4482" w:rsidRPr="00BA0A73">
        <w:rPr>
          <w:rFonts w:cs="Arial"/>
        </w:rPr>
        <w:t>ed to all t</w:t>
      </w:r>
      <w:r w:rsidRPr="00BA0A73">
        <w:rPr>
          <w:rFonts w:cs="Arial"/>
        </w:rPr>
        <w:t>enderers. If any answer requires a change to the tender documents then a tender amendment will be issued.</w:t>
      </w:r>
    </w:p>
    <w:p w:rsidR="008B4482" w:rsidRDefault="002665B4" w:rsidP="002665B4">
      <w:pPr>
        <w:pStyle w:val="BodyText1"/>
        <w:rPr>
          <w:rFonts w:cs="Arial"/>
          <w:iCs w:val="0"/>
        </w:rPr>
      </w:pPr>
      <w:r w:rsidRPr="008760FD">
        <w:rPr>
          <w:rFonts w:cs="Arial"/>
          <w:iCs w:val="0"/>
        </w:rPr>
        <w:t xml:space="preserve">Tender amendments are changes to the tender documents that are made in writing </w:t>
      </w:r>
      <w:r w:rsidR="00BA0A73">
        <w:rPr>
          <w:rFonts w:cs="Arial"/>
          <w:iCs w:val="0"/>
        </w:rPr>
        <w:t>and issued to all tenderers via the Bravo Portal</w:t>
      </w:r>
      <w:r w:rsidRPr="008760FD">
        <w:rPr>
          <w:rFonts w:cs="Arial"/>
          <w:iCs w:val="0"/>
        </w:rPr>
        <w:t xml:space="preserve">. </w:t>
      </w:r>
    </w:p>
    <w:p w:rsidR="008B4482" w:rsidRDefault="002665B4" w:rsidP="008B4482">
      <w:pPr>
        <w:pStyle w:val="BodyText1"/>
        <w:numPr>
          <w:ilvl w:val="0"/>
          <w:numId w:val="0"/>
        </w:numPr>
        <w:ind w:left="1134"/>
        <w:rPr>
          <w:rFonts w:cs="Arial"/>
          <w:iCs w:val="0"/>
        </w:rPr>
      </w:pPr>
      <w:r w:rsidRPr="008760FD">
        <w:rPr>
          <w:rFonts w:cs="Arial"/>
          <w:iCs w:val="0"/>
        </w:rPr>
        <w:t xml:space="preserve">Only in exceptional circumstances will tender amendments be issued after tenders have been submitted. In such circumstances, the </w:t>
      </w:r>
      <w:r w:rsidR="00BA0A73">
        <w:rPr>
          <w:rFonts w:cs="Arial"/>
          <w:iCs w:val="0"/>
        </w:rPr>
        <w:t>Procurement Officer</w:t>
      </w:r>
      <w:r w:rsidR="008B4482">
        <w:rPr>
          <w:rFonts w:cs="Arial"/>
          <w:iCs w:val="0"/>
        </w:rPr>
        <w:t xml:space="preserve"> will notify all t</w:t>
      </w:r>
      <w:r w:rsidRPr="008760FD">
        <w:rPr>
          <w:rFonts w:cs="Arial"/>
          <w:iCs w:val="0"/>
        </w:rPr>
        <w:t>enderers of the required action.</w:t>
      </w:r>
    </w:p>
    <w:p w:rsidR="00BA0A73" w:rsidRDefault="008B4482" w:rsidP="008B4482">
      <w:pPr>
        <w:pStyle w:val="BodyText1"/>
        <w:rPr>
          <w:rFonts w:cs="Arial"/>
          <w:iCs w:val="0"/>
        </w:rPr>
      </w:pPr>
      <w:r>
        <w:rPr>
          <w:rFonts w:cs="Arial"/>
          <w:iCs w:val="0"/>
        </w:rPr>
        <w:t xml:space="preserve">Highways England </w:t>
      </w:r>
      <w:r w:rsidRPr="008B4482">
        <w:rPr>
          <w:rFonts w:cs="Arial"/>
          <w:iCs w:val="0"/>
        </w:rPr>
        <w:t>officers and their consultants do not have th</w:t>
      </w:r>
      <w:r>
        <w:rPr>
          <w:rFonts w:cs="Arial"/>
          <w:iCs w:val="0"/>
        </w:rPr>
        <w:t xml:space="preserve">e authority to make any change </w:t>
      </w:r>
      <w:r w:rsidRPr="008B4482">
        <w:rPr>
          <w:rFonts w:cs="Arial"/>
          <w:iCs w:val="0"/>
        </w:rPr>
        <w:t>to the tender documents except throu</w:t>
      </w:r>
      <w:r>
        <w:rPr>
          <w:rFonts w:cs="Arial"/>
          <w:iCs w:val="0"/>
        </w:rPr>
        <w:t xml:space="preserve">gh a tender amendment issued by </w:t>
      </w:r>
      <w:r w:rsidRPr="008760FD">
        <w:rPr>
          <w:rFonts w:cs="Arial"/>
          <w:iCs w:val="0"/>
        </w:rPr>
        <w:t xml:space="preserve">the </w:t>
      </w:r>
      <w:r w:rsidR="00BA0A73">
        <w:rPr>
          <w:rFonts w:cs="Arial"/>
          <w:iCs w:val="0"/>
        </w:rPr>
        <w:t>Procurement Officer</w:t>
      </w:r>
      <w:r w:rsidRPr="008760FD">
        <w:rPr>
          <w:rFonts w:cs="Arial"/>
          <w:iCs w:val="0"/>
        </w:rPr>
        <w:t xml:space="preserve">. </w:t>
      </w:r>
    </w:p>
    <w:p w:rsidR="008B4482" w:rsidRPr="008B4482" w:rsidRDefault="008B4482" w:rsidP="00BA0A73">
      <w:pPr>
        <w:pStyle w:val="BodyText1"/>
        <w:numPr>
          <w:ilvl w:val="0"/>
          <w:numId w:val="0"/>
        </w:numPr>
        <w:ind w:left="1134"/>
        <w:rPr>
          <w:rFonts w:cs="Arial"/>
          <w:iCs w:val="0"/>
        </w:rPr>
      </w:pPr>
      <w:r w:rsidRPr="008760FD">
        <w:rPr>
          <w:rFonts w:cs="Arial"/>
          <w:iCs w:val="0"/>
        </w:rPr>
        <w:t xml:space="preserve">If a statement is made at any meeting that a </w:t>
      </w:r>
      <w:r>
        <w:rPr>
          <w:rFonts w:cs="Arial"/>
          <w:iCs w:val="0"/>
        </w:rPr>
        <w:t>t</w:t>
      </w:r>
      <w:r w:rsidRPr="008760FD">
        <w:rPr>
          <w:rFonts w:cs="Arial"/>
          <w:iCs w:val="0"/>
        </w:rPr>
        <w:t>enderer considers is not in accordance with</w:t>
      </w:r>
      <w:r>
        <w:rPr>
          <w:rFonts w:cs="Arial"/>
          <w:iCs w:val="0"/>
        </w:rPr>
        <w:t xml:space="preserve"> the tender documents then the t</w:t>
      </w:r>
      <w:r w:rsidRPr="008760FD">
        <w:rPr>
          <w:rFonts w:cs="Arial"/>
          <w:iCs w:val="0"/>
        </w:rPr>
        <w:t xml:space="preserve">enderer must refer the matter to the </w:t>
      </w:r>
      <w:r w:rsidR="00BA0A73">
        <w:rPr>
          <w:rFonts w:cs="Arial"/>
          <w:iCs w:val="0"/>
        </w:rPr>
        <w:t>Procurement Officer</w:t>
      </w:r>
      <w:r w:rsidRPr="008760FD">
        <w:rPr>
          <w:rFonts w:cs="Arial"/>
          <w:iCs w:val="0"/>
        </w:rPr>
        <w:t xml:space="preserve"> as a tender</w:t>
      </w:r>
      <w:r>
        <w:rPr>
          <w:rFonts w:cs="Arial"/>
          <w:iCs w:val="0"/>
        </w:rPr>
        <w:t xml:space="preserve"> query</w:t>
      </w:r>
      <w:r w:rsidRPr="008B4482">
        <w:rPr>
          <w:rFonts w:cs="Arial"/>
          <w:iCs w:val="0"/>
        </w:rPr>
        <w:t>.</w:t>
      </w:r>
    </w:p>
    <w:p w:rsidR="00536E84" w:rsidRPr="00536E84" w:rsidRDefault="00536E84" w:rsidP="00536E84">
      <w:pPr>
        <w:pStyle w:val="Heading2"/>
        <w:numPr>
          <w:ilvl w:val="0"/>
          <w:numId w:val="0"/>
        </w:numPr>
        <w:ind w:left="851"/>
        <w:rPr>
          <w:rFonts w:eastAsia="Arial Unicode MS" w:cs="Arial"/>
        </w:rPr>
      </w:pPr>
      <w:bookmarkStart w:id="16" w:name="_Not_used"/>
      <w:bookmarkStart w:id="17" w:name="_Toc271639324"/>
      <w:bookmarkStart w:id="18" w:name="_Toc272313072"/>
      <w:bookmarkStart w:id="19" w:name="_Tender_Programme"/>
      <w:bookmarkStart w:id="20" w:name="_Toc214282165"/>
      <w:bookmarkStart w:id="21" w:name="_Toc322589718"/>
      <w:bookmarkStart w:id="22" w:name="_Toc51986105"/>
      <w:bookmarkStart w:id="23" w:name="_Toc10092664"/>
      <w:bookmarkStart w:id="24" w:name="_Toc521834320"/>
      <w:bookmarkStart w:id="25" w:name="_Toc176150953"/>
      <w:bookmarkEnd w:id="16"/>
      <w:bookmarkEnd w:id="17"/>
      <w:bookmarkEnd w:id="18"/>
      <w:bookmarkEnd w:id="19"/>
    </w:p>
    <w:p w:rsidR="002665B4" w:rsidRPr="008760FD" w:rsidRDefault="002665B4" w:rsidP="002665B4">
      <w:pPr>
        <w:pStyle w:val="Heading2"/>
        <w:rPr>
          <w:rFonts w:eastAsia="Arial Unicode MS" w:cs="Arial"/>
        </w:rPr>
      </w:pPr>
      <w:r w:rsidRPr="008760FD">
        <w:rPr>
          <w:rFonts w:cs="Arial"/>
        </w:rPr>
        <w:t>Tender Programme</w:t>
      </w:r>
      <w:bookmarkEnd w:id="20"/>
      <w:bookmarkEnd w:id="21"/>
    </w:p>
    <w:p w:rsidR="002665B4" w:rsidRPr="008760FD" w:rsidRDefault="002665B4" w:rsidP="002665B4">
      <w:pPr>
        <w:pStyle w:val="BodyText1"/>
        <w:rPr>
          <w:rFonts w:cs="Arial"/>
          <w:iCs w:val="0"/>
        </w:rPr>
      </w:pPr>
      <w:r w:rsidRPr="008760FD">
        <w:rPr>
          <w:rFonts w:cs="Arial"/>
          <w:iCs w:val="0"/>
        </w:rPr>
        <w:t xml:space="preserve">The </w:t>
      </w:r>
      <w:r w:rsidR="00C900DE">
        <w:rPr>
          <w:rFonts w:cs="Arial"/>
          <w:iCs w:val="0"/>
        </w:rPr>
        <w:t xml:space="preserve">indicative </w:t>
      </w:r>
      <w:r w:rsidRPr="008760FD">
        <w:rPr>
          <w:rFonts w:cs="Arial"/>
          <w:iCs w:val="0"/>
        </w:rPr>
        <w:t xml:space="preserve">tender </w:t>
      </w:r>
      <w:proofErr w:type="spellStart"/>
      <w:r w:rsidR="000F0DD0">
        <w:rPr>
          <w:rFonts w:cs="Arial"/>
          <w:iCs w:val="0"/>
        </w:rPr>
        <w:t>programme</w:t>
      </w:r>
      <w:proofErr w:type="spellEnd"/>
      <w:r w:rsidR="000F0DD0">
        <w:rPr>
          <w:rFonts w:cs="Arial"/>
          <w:iCs w:val="0"/>
        </w:rPr>
        <w:t xml:space="preserve"> is included at Annex B</w:t>
      </w:r>
      <w:r w:rsidRPr="008760FD">
        <w:rPr>
          <w:rFonts w:cs="Arial"/>
          <w:iCs w:val="0"/>
        </w:rPr>
        <w:t xml:space="preserve">.  </w:t>
      </w:r>
    </w:p>
    <w:p w:rsidR="002665B4" w:rsidRPr="008760FD" w:rsidRDefault="002665B4" w:rsidP="002665B4">
      <w:pPr>
        <w:pStyle w:val="Heading1"/>
        <w:jc w:val="both"/>
        <w:rPr>
          <w:rFonts w:eastAsia="Arial Unicode MS" w:cs="Arial"/>
        </w:rPr>
      </w:pPr>
      <w:bookmarkStart w:id="26" w:name="_SUBMISSION_OF_TENDERS"/>
      <w:bookmarkStart w:id="27" w:name="_Toc214282166"/>
      <w:bookmarkStart w:id="28" w:name="_Toc322589719"/>
      <w:bookmarkEnd w:id="26"/>
      <w:r w:rsidRPr="008760FD">
        <w:rPr>
          <w:rFonts w:cs="Arial"/>
        </w:rPr>
        <w:t>SUBMISSION OF TENDERS</w:t>
      </w:r>
      <w:bookmarkEnd w:id="27"/>
      <w:bookmarkEnd w:id="28"/>
    </w:p>
    <w:p w:rsidR="002665B4" w:rsidRPr="008760FD" w:rsidRDefault="002665B4" w:rsidP="002665B4">
      <w:pPr>
        <w:pStyle w:val="Heading2"/>
        <w:rPr>
          <w:rFonts w:eastAsia="Arial Unicode MS" w:cs="Arial"/>
        </w:rPr>
      </w:pPr>
      <w:bookmarkStart w:id="29" w:name="_General_1"/>
      <w:bookmarkStart w:id="30" w:name="_Toc214282167"/>
      <w:bookmarkStart w:id="31" w:name="_Toc322589720"/>
      <w:bookmarkEnd w:id="29"/>
      <w:r w:rsidRPr="008760FD">
        <w:rPr>
          <w:rFonts w:cs="Arial"/>
        </w:rPr>
        <w:t>General</w:t>
      </w:r>
      <w:bookmarkEnd w:id="30"/>
      <w:bookmarkEnd w:id="31"/>
    </w:p>
    <w:p w:rsidR="002665B4" w:rsidRPr="008760FD" w:rsidRDefault="002665B4" w:rsidP="002665B4">
      <w:pPr>
        <w:pStyle w:val="BodyText1"/>
        <w:rPr>
          <w:rFonts w:cs="Arial"/>
          <w:iCs w:val="0"/>
        </w:rPr>
      </w:pPr>
      <w:r w:rsidRPr="008760FD">
        <w:rPr>
          <w:rFonts w:cs="Arial"/>
          <w:iCs w:val="0"/>
        </w:rPr>
        <w:t xml:space="preserve">Tenders and supporting documents must be written in English. </w:t>
      </w:r>
    </w:p>
    <w:p w:rsidR="002665B4" w:rsidRPr="008760FD" w:rsidRDefault="002665B4" w:rsidP="002665B4">
      <w:pPr>
        <w:pStyle w:val="BodyText1"/>
        <w:rPr>
          <w:rFonts w:cs="Arial"/>
          <w:iCs w:val="0"/>
        </w:rPr>
      </w:pPr>
      <w:r w:rsidRPr="008760FD">
        <w:rPr>
          <w:rFonts w:cs="Arial"/>
          <w:iCs w:val="0"/>
          <w:szCs w:val="24"/>
        </w:rPr>
        <w:t xml:space="preserve">Tenders must be submitted in accordance with the tender documents including any tender amendments. </w:t>
      </w:r>
      <w:r w:rsidRPr="008760FD">
        <w:rPr>
          <w:rFonts w:cs="Arial"/>
          <w:iCs w:val="0"/>
        </w:rPr>
        <w:t xml:space="preserve">Tenders must not be qualified or accompanied by statements or a covering letter that might be construed as rendering the tender equivocal. Unauthorised alterations or additions must not be made to any component of the tender documents. Highways </w:t>
      </w:r>
      <w:r w:rsidR="008B4482">
        <w:rPr>
          <w:rFonts w:cs="Arial"/>
          <w:iCs w:val="0"/>
        </w:rPr>
        <w:t>England</w:t>
      </w:r>
      <w:r w:rsidRPr="008760FD">
        <w:rPr>
          <w:rFonts w:cs="Arial"/>
          <w:iCs w:val="0"/>
        </w:rPr>
        <w:t>’s decision as to whether or not a tender complies with these instructions will be final.</w:t>
      </w:r>
    </w:p>
    <w:bookmarkEnd w:id="22"/>
    <w:bookmarkEnd w:id="23"/>
    <w:bookmarkEnd w:id="24"/>
    <w:bookmarkEnd w:id="25"/>
    <w:p w:rsidR="00955249" w:rsidRDefault="002665B4" w:rsidP="002665B4">
      <w:pPr>
        <w:pStyle w:val="BodyText1"/>
        <w:rPr>
          <w:rFonts w:cs="Arial"/>
          <w:iCs w:val="0"/>
        </w:rPr>
      </w:pPr>
      <w:r w:rsidRPr="008760FD">
        <w:rPr>
          <w:rFonts w:cs="Arial"/>
          <w:iCs w:val="0"/>
        </w:rPr>
        <w:t xml:space="preserve">Tenders not received by Highways </w:t>
      </w:r>
      <w:r w:rsidR="008B4482">
        <w:rPr>
          <w:rFonts w:cs="Arial"/>
          <w:iCs w:val="0"/>
        </w:rPr>
        <w:t>England</w:t>
      </w:r>
      <w:r w:rsidRPr="008760FD">
        <w:rPr>
          <w:rFonts w:cs="Arial"/>
          <w:iCs w:val="0"/>
        </w:rPr>
        <w:t xml:space="preserve"> by the tender return date and time </w:t>
      </w:r>
      <w:r w:rsidR="008B4482">
        <w:rPr>
          <w:rFonts w:cs="Arial"/>
          <w:iCs w:val="0"/>
        </w:rPr>
        <w:t>will</w:t>
      </w:r>
      <w:r w:rsidRPr="008760FD">
        <w:rPr>
          <w:rFonts w:cs="Arial"/>
          <w:iCs w:val="0"/>
        </w:rPr>
        <w:t xml:space="preserve"> be excluded from further</w:t>
      </w:r>
      <w:r w:rsidR="008B4482">
        <w:rPr>
          <w:rFonts w:cs="Arial"/>
          <w:iCs w:val="0"/>
        </w:rPr>
        <w:t xml:space="preserve"> consideration and returned to t</w:t>
      </w:r>
      <w:r w:rsidRPr="008760FD">
        <w:rPr>
          <w:rFonts w:cs="Arial"/>
          <w:iCs w:val="0"/>
        </w:rPr>
        <w:t>enderers. Offers should remain open for acceptance for</w:t>
      </w:r>
      <w:r w:rsidRPr="008760FD">
        <w:rPr>
          <w:rFonts w:cs="Arial"/>
          <w:i/>
          <w:color w:val="FF0000"/>
        </w:rPr>
        <w:t xml:space="preserve"> </w:t>
      </w:r>
      <w:r w:rsidR="00F15013" w:rsidRPr="00F15013">
        <w:rPr>
          <w:rFonts w:cs="Arial"/>
        </w:rPr>
        <w:t>60</w:t>
      </w:r>
      <w:r w:rsidRPr="008760FD">
        <w:rPr>
          <w:rFonts w:cs="Arial"/>
          <w:i/>
          <w:color w:val="FF0000"/>
        </w:rPr>
        <w:t xml:space="preserve"> </w:t>
      </w:r>
      <w:r w:rsidRPr="008760FD">
        <w:rPr>
          <w:rFonts w:cs="Arial"/>
          <w:iCs w:val="0"/>
        </w:rPr>
        <w:t>calendar days from the tender return date.</w:t>
      </w:r>
    </w:p>
    <w:p w:rsidR="00955249" w:rsidRDefault="00955249" w:rsidP="002665B4">
      <w:pPr>
        <w:pStyle w:val="BodyText1"/>
        <w:rPr>
          <w:rFonts w:cs="Arial"/>
          <w:iCs w:val="0"/>
        </w:rPr>
      </w:pPr>
      <w:r>
        <w:rPr>
          <w:rFonts w:cs="Arial"/>
          <w:iCs w:val="0"/>
        </w:rPr>
        <w:t>The tender should be returned together with the documents listed in Annex A to the Highways England Procurement Officer via the Bravo Portal.</w:t>
      </w:r>
    </w:p>
    <w:p w:rsidR="00955249" w:rsidRDefault="00955249" w:rsidP="002665B4">
      <w:pPr>
        <w:pStyle w:val="BodyText1"/>
        <w:rPr>
          <w:rFonts w:cs="Arial"/>
          <w:iCs w:val="0"/>
        </w:rPr>
      </w:pPr>
      <w:r>
        <w:rPr>
          <w:rFonts w:cs="Arial"/>
          <w:iCs w:val="0"/>
        </w:rPr>
        <w:t>Tenders must be returned together with signed copies of the;</w:t>
      </w:r>
    </w:p>
    <w:p w:rsidR="00955249" w:rsidRPr="00C900DE" w:rsidRDefault="00955249" w:rsidP="00955249">
      <w:pPr>
        <w:pStyle w:val="NoSpacing"/>
        <w:ind w:left="1440"/>
        <w:rPr>
          <w:sz w:val="22"/>
          <w:szCs w:val="22"/>
        </w:rPr>
      </w:pPr>
      <w:r w:rsidRPr="00C900DE">
        <w:rPr>
          <w:sz w:val="22"/>
          <w:szCs w:val="22"/>
        </w:rPr>
        <w:t>Highways England Fair Payment Charter</w:t>
      </w:r>
    </w:p>
    <w:p w:rsidR="00955249" w:rsidRPr="00C900DE" w:rsidRDefault="00955249" w:rsidP="00955249">
      <w:pPr>
        <w:pStyle w:val="NoSpacing"/>
        <w:ind w:left="1440"/>
        <w:rPr>
          <w:sz w:val="22"/>
          <w:szCs w:val="22"/>
        </w:rPr>
      </w:pPr>
      <w:r w:rsidRPr="00C900DE">
        <w:rPr>
          <w:sz w:val="22"/>
          <w:szCs w:val="22"/>
        </w:rPr>
        <w:t>Highways England Anti-Bribery Code of Conduct</w:t>
      </w:r>
    </w:p>
    <w:p w:rsidR="00955249" w:rsidRPr="00C900DE" w:rsidRDefault="00955249" w:rsidP="00955249">
      <w:pPr>
        <w:pStyle w:val="NoSpacing"/>
        <w:ind w:left="1440"/>
        <w:rPr>
          <w:sz w:val="22"/>
          <w:szCs w:val="22"/>
        </w:rPr>
      </w:pPr>
      <w:r w:rsidRPr="00C900DE">
        <w:rPr>
          <w:sz w:val="22"/>
          <w:szCs w:val="22"/>
        </w:rPr>
        <w:t>Highways England Anti-Fraud Code of Conduct</w:t>
      </w:r>
      <w:r w:rsidR="002665B4" w:rsidRPr="00C900DE">
        <w:rPr>
          <w:sz w:val="22"/>
          <w:szCs w:val="22"/>
        </w:rPr>
        <w:t xml:space="preserve"> </w:t>
      </w:r>
    </w:p>
    <w:p w:rsidR="002665B4" w:rsidRPr="008760FD" w:rsidRDefault="002665B4" w:rsidP="00955249">
      <w:pPr>
        <w:pStyle w:val="NoSpacing"/>
      </w:pPr>
      <w:r w:rsidRPr="008760FD">
        <w:t xml:space="preserve"> </w:t>
      </w:r>
    </w:p>
    <w:p w:rsidR="002665B4" w:rsidRPr="007E4EC0" w:rsidRDefault="002665B4" w:rsidP="002665B4">
      <w:pPr>
        <w:pStyle w:val="BodyText1"/>
        <w:rPr>
          <w:rFonts w:cs="Arial"/>
        </w:rPr>
      </w:pPr>
      <w:r w:rsidRPr="007E4EC0">
        <w:rPr>
          <w:rFonts w:cs="Arial"/>
        </w:rPr>
        <w:t xml:space="preserve">No unauthorised alteration or addition should be made to any component of the tender documents. Any response in the negative may lead to the rejection of your tender. </w:t>
      </w:r>
    </w:p>
    <w:p w:rsidR="00F15013" w:rsidRDefault="002665B4" w:rsidP="002665B4">
      <w:pPr>
        <w:pStyle w:val="BodyText1"/>
        <w:rPr>
          <w:rFonts w:cs="Arial"/>
          <w:iCs w:val="0"/>
        </w:rPr>
      </w:pPr>
      <w:r w:rsidRPr="008760FD">
        <w:rPr>
          <w:rFonts w:cs="Arial"/>
          <w:iCs w:val="0"/>
        </w:rPr>
        <w:t>Further notes on the contents of these documents are given below.</w:t>
      </w:r>
    </w:p>
    <w:p w:rsidR="00F15013" w:rsidRDefault="00F15013">
      <w:pPr>
        <w:rPr>
          <w:rFonts w:cs="Arial"/>
          <w:sz w:val="22"/>
          <w:szCs w:val="20"/>
          <w:lang w:val="en-US"/>
        </w:rPr>
      </w:pPr>
      <w:r>
        <w:rPr>
          <w:rFonts w:cs="Arial"/>
          <w:iCs/>
        </w:rPr>
        <w:br w:type="page"/>
      </w:r>
    </w:p>
    <w:p w:rsidR="00BC49AB" w:rsidRPr="00BC49AB" w:rsidRDefault="00BC49AB" w:rsidP="00BC49AB">
      <w:pPr>
        <w:pStyle w:val="NoSpacing"/>
      </w:pPr>
      <w:bookmarkStart w:id="32" w:name="_Quotation_procedure_where"/>
      <w:bookmarkEnd w:id="32"/>
    </w:p>
    <w:p w:rsidR="00F15013" w:rsidRPr="00BC49AB" w:rsidRDefault="00BC49AB" w:rsidP="00C80CD4">
      <w:pPr>
        <w:pStyle w:val="Heading2"/>
        <w:rPr>
          <w:caps/>
        </w:rPr>
      </w:pPr>
      <w:r w:rsidRPr="00BC49AB">
        <w:t>Quotation Procedure</w:t>
      </w:r>
    </w:p>
    <w:p w:rsidR="00BC49AB" w:rsidRPr="00BC49AB" w:rsidRDefault="00BC49AB" w:rsidP="00BC49AB"/>
    <w:p w:rsidR="00BC49AB" w:rsidRPr="00446FD8" w:rsidRDefault="00BC49AB" w:rsidP="00BC49AB">
      <w:pPr>
        <w:ind w:left="1080"/>
        <w:rPr>
          <w:b/>
          <w:sz w:val="22"/>
        </w:rPr>
      </w:pPr>
      <w:r w:rsidRPr="00446FD8">
        <w:rPr>
          <w:b/>
          <w:sz w:val="22"/>
        </w:rPr>
        <w:t>VOLUME 1</w:t>
      </w:r>
    </w:p>
    <w:p w:rsidR="00F15013" w:rsidRPr="008760FD" w:rsidRDefault="00F15013" w:rsidP="00F15013">
      <w:pPr>
        <w:jc w:val="both"/>
        <w:rPr>
          <w:rFonts w:cs="Arial"/>
        </w:rPr>
      </w:pPr>
    </w:p>
    <w:p w:rsidR="00F15013" w:rsidRDefault="00F15013" w:rsidP="00F15013">
      <w:pPr>
        <w:pStyle w:val="BodyText1"/>
      </w:pPr>
      <w:r>
        <w:rPr>
          <w:rFonts w:cs="Arial"/>
        </w:rPr>
        <w:t>If s</w:t>
      </w:r>
      <w:r w:rsidRPr="004F40A6">
        <w:rPr>
          <w:rFonts w:cs="Arial"/>
        </w:rPr>
        <w:t xml:space="preserve">elected for a </w:t>
      </w:r>
      <w:r w:rsidR="00446FD8">
        <w:rPr>
          <w:rFonts w:cs="Arial"/>
        </w:rPr>
        <w:t>Call Off Contract</w:t>
      </w:r>
      <w:r w:rsidRPr="004F40A6">
        <w:rPr>
          <w:rFonts w:cs="Arial"/>
        </w:rPr>
        <w:t xml:space="preserve">, </w:t>
      </w:r>
      <w:r w:rsidR="00826176">
        <w:rPr>
          <w:rFonts w:cs="Arial"/>
        </w:rPr>
        <w:t>Highways England</w:t>
      </w:r>
      <w:r w:rsidRPr="004F40A6">
        <w:rPr>
          <w:rFonts w:cs="Arial"/>
        </w:rPr>
        <w:t xml:space="preserve"> issues a brief to the </w:t>
      </w:r>
      <w:r w:rsidR="00316077">
        <w:rPr>
          <w:rFonts w:cs="Arial"/>
        </w:rPr>
        <w:t>S</w:t>
      </w:r>
      <w:r w:rsidR="00826176">
        <w:rPr>
          <w:rFonts w:cs="Arial"/>
        </w:rPr>
        <w:t>upplier</w:t>
      </w:r>
      <w:r w:rsidRPr="004F40A6">
        <w:rPr>
          <w:rFonts w:cs="Arial"/>
        </w:rPr>
        <w:t xml:space="preserve"> for the proposed </w:t>
      </w:r>
      <w:r w:rsidR="00446FD8">
        <w:rPr>
          <w:rFonts w:cs="Arial"/>
        </w:rPr>
        <w:t>Call Off Contract</w:t>
      </w:r>
      <w:r>
        <w:t xml:space="preserve">. </w:t>
      </w:r>
    </w:p>
    <w:p w:rsidR="00F15013" w:rsidRDefault="00F15013" w:rsidP="00F15013">
      <w:pPr>
        <w:pStyle w:val="BodyText1"/>
      </w:pPr>
      <w:r>
        <w:t xml:space="preserve">The </w:t>
      </w:r>
      <w:r w:rsidR="00446FD8">
        <w:t>specification</w:t>
      </w:r>
      <w:r>
        <w:t xml:space="preserve"> includes:</w:t>
      </w:r>
    </w:p>
    <w:p w:rsidR="00F15013" w:rsidRDefault="00F15013" w:rsidP="00F15013">
      <w:pPr>
        <w:pStyle w:val="ListBullet"/>
      </w:pPr>
      <w:r>
        <w:t xml:space="preserve">A description of the </w:t>
      </w:r>
      <w:r w:rsidR="00446FD8">
        <w:t>tyres</w:t>
      </w:r>
      <w:r>
        <w:t xml:space="preserve"> required,</w:t>
      </w:r>
    </w:p>
    <w:p w:rsidR="00446FD8" w:rsidRDefault="00446FD8" w:rsidP="00F15013">
      <w:pPr>
        <w:pStyle w:val="ListBullet"/>
      </w:pPr>
      <w:r>
        <w:t>Overview of the fleet of vehicles requiring tyres,</w:t>
      </w:r>
    </w:p>
    <w:p w:rsidR="00F15013" w:rsidRDefault="00446FD8" w:rsidP="00F15013">
      <w:pPr>
        <w:pStyle w:val="ListBullet"/>
      </w:pPr>
      <w:r>
        <w:t>Estimated volume of tyre supply required</w:t>
      </w:r>
      <w:r w:rsidR="00F15013">
        <w:t>.</w:t>
      </w:r>
    </w:p>
    <w:p w:rsidR="00F15013" w:rsidRDefault="00F15013" w:rsidP="00446FD8">
      <w:pPr>
        <w:pStyle w:val="BodyText1"/>
      </w:pPr>
      <w:r>
        <w:t xml:space="preserve">The </w:t>
      </w:r>
      <w:r w:rsidRPr="00F27E12">
        <w:t>Supplier</w:t>
      </w:r>
      <w:r>
        <w:t xml:space="preserve"> responds within 2 weeks, or within the period stated in the brief, by completing the information and submitting the documents requested. </w:t>
      </w:r>
    </w:p>
    <w:p w:rsidR="00F15013" w:rsidRPr="008760FD" w:rsidRDefault="00316077" w:rsidP="00F15013">
      <w:pPr>
        <w:pStyle w:val="BodyText1"/>
        <w:rPr>
          <w:rFonts w:cs="Arial"/>
          <w:iCs w:val="0"/>
        </w:rPr>
      </w:pPr>
      <w:r>
        <w:rPr>
          <w:rFonts w:cs="Arial"/>
          <w:iCs w:val="0"/>
        </w:rPr>
        <w:t xml:space="preserve">If Tenderers consider that any </w:t>
      </w:r>
      <w:r w:rsidR="00F15013" w:rsidRPr="008760FD">
        <w:rPr>
          <w:rFonts w:cs="Arial"/>
          <w:iCs w:val="0"/>
        </w:rPr>
        <w:t xml:space="preserve">page limit </w:t>
      </w:r>
      <w:r>
        <w:rPr>
          <w:rFonts w:cs="Arial"/>
          <w:iCs w:val="0"/>
        </w:rPr>
        <w:t xml:space="preserve">referenced in the specification </w:t>
      </w:r>
      <w:r w:rsidR="00F15013" w:rsidRPr="008760FD">
        <w:rPr>
          <w:rFonts w:cs="Arial"/>
          <w:iCs w:val="0"/>
        </w:rPr>
        <w:t xml:space="preserve">is insufficient to provide the information required by these Instructions then a tender query should be raised.  No guarantee can be given that the page limit will be increased. </w:t>
      </w:r>
    </w:p>
    <w:p w:rsidR="00F15013" w:rsidRDefault="00446FD8" w:rsidP="00446FD8">
      <w:pPr>
        <w:pStyle w:val="BodyText1"/>
        <w:numPr>
          <w:ilvl w:val="0"/>
          <w:numId w:val="0"/>
        </w:numPr>
        <w:ind w:left="1985" w:hanging="851"/>
        <w:rPr>
          <w:rFonts w:cs="Arial"/>
          <w:b/>
        </w:rPr>
      </w:pPr>
      <w:bookmarkStart w:id="33" w:name="_Toc272313079"/>
      <w:bookmarkEnd w:id="33"/>
      <w:r>
        <w:rPr>
          <w:rFonts w:cs="Arial"/>
          <w:b/>
        </w:rPr>
        <w:t>VOLUME 2</w:t>
      </w:r>
    </w:p>
    <w:p w:rsidR="00F15013" w:rsidRDefault="00F15013" w:rsidP="00F15013">
      <w:pPr>
        <w:pStyle w:val="BodyText1"/>
      </w:pPr>
      <w:r w:rsidRPr="00BE3BB6">
        <w:t xml:space="preserve">The </w:t>
      </w:r>
      <w:r>
        <w:t xml:space="preserve">financial information in the </w:t>
      </w:r>
      <w:r w:rsidR="00316077">
        <w:t xml:space="preserve">submission should be completed using the </w:t>
      </w:r>
      <w:r w:rsidR="00446FD8">
        <w:t xml:space="preserve">ESPO 222 Appendix 5 Price Schedule </w:t>
      </w:r>
      <w:r w:rsidR="00316077">
        <w:t>document</w:t>
      </w:r>
      <w:r>
        <w:t>.</w:t>
      </w:r>
    </w:p>
    <w:p w:rsidR="00095DB6" w:rsidRDefault="00F15013" w:rsidP="00446FD8">
      <w:pPr>
        <w:pStyle w:val="BodyText1"/>
      </w:pPr>
      <w:r>
        <w:t xml:space="preserve">The proposal may be subject to discussion to clarify the extent and scope of the </w:t>
      </w:r>
      <w:r w:rsidRPr="007E4EC0">
        <w:t>work, proposed timescales or other matters.</w:t>
      </w:r>
    </w:p>
    <w:p w:rsidR="00012465" w:rsidRDefault="00012465" w:rsidP="00C80CD4">
      <w:pPr>
        <w:pStyle w:val="Heading2"/>
      </w:pPr>
      <w:bookmarkStart w:id="34" w:name="_Toc12994026"/>
      <w:bookmarkStart w:id="35" w:name="_Toc176150977"/>
      <w:r>
        <w:t>Validation, Sustainability &amp; Tender Award</w:t>
      </w:r>
    </w:p>
    <w:p w:rsidR="0000585F" w:rsidRPr="0000585F" w:rsidRDefault="00012465" w:rsidP="0000585F">
      <w:pPr>
        <w:pStyle w:val="Heading2"/>
        <w:numPr>
          <w:ilvl w:val="0"/>
          <w:numId w:val="0"/>
        </w:numPr>
        <w:tabs>
          <w:tab w:val="num" w:pos="1157"/>
        </w:tabs>
        <w:rPr>
          <w:rFonts w:eastAsia="Arial Unicode MS" w:cs="Arial"/>
        </w:rPr>
      </w:pPr>
      <w:r>
        <w:rPr>
          <w:rFonts w:cs="Arial"/>
        </w:rPr>
        <w:tab/>
      </w:r>
      <w:r w:rsidR="0000585F" w:rsidRPr="0000585F">
        <w:rPr>
          <w:rFonts w:cs="Arial"/>
        </w:rPr>
        <w:t>Validating the financial information</w:t>
      </w:r>
      <w:bookmarkEnd w:id="34"/>
    </w:p>
    <w:bookmarkEnd w:id="35"/>
    <w:p w:rsidR="0000585F" w:rsidRDefault="0000585F" w:rsidP="00012465">
      <w:pPr>
        <w:pStyle w:val="BodyText1"/>
        <w:numPr>
          <w:ilvl w:val="2"/>
          <w:numId w:val="38"/>
        </w:numPr>
        <w:rPr>
          <w:rFonts w:cs="Arial"/>
        </w:rPr>
      </w:pPr>
      <w:r w:rsidRPr="00012465">
        <w:rPr>
          <w:rFonts w:cs="Arial"/>
        </w:rPr>
        <w:t>The Financial Assessment Panel will validate the tenders to check that the Commercial Rates</w:t>
      </w:r>
      <w:r w:rsidRPr="00012465">
        <w:rPr>
          <w:rFonts w:cs="Arial"/>
          <w:i/>
        </w:rPr>
        <w:t xml:space="preserve"> </w:t>
      </w:r>
      <w:r w:rsidRPr="00012465">
        <w:rPr>
          <w:rFonts w:cs="Arial"/>
        </w:rPr>
        <w:t xml:space="preserve">are representative of the likely costs to be incurred.  </w:t>
      </w:r>
    </w:p>
    <w:p w:rsidR="0000585F" w:rsidRPr="000C1CA7" w:rsidRDefault="0000585F" w:rsidP="00012465">
      <w:pPr>
        <w:pStyle w:val="BodyText1"/>
        <w:numPr>
          <w:ilvl w:val="2"/>
          <w:numId w:val="1"/>
        </w:numPr>
        <w:rPr>
          <w:rFonts w:cs="Arial"/>
        </w:rPr>
      </w:pPr>
      <w:r w:rsidRPr="000C1CA7">
        <w:rPr>
          <w:rFonts w:cs="Arial"/>
        </w:rPr>
        <w:t>The Financial Assessment Panel will establish whether the Tenderer has satisfactorily demonstrated that the build-up of the Commercial Rates</w:t>
      </w:r>
      <w:r w:rsidRPr="000C1CA7">
        <w:rPr>
          <w:rFonts w:cs="Arial"/>
          <w:i/>
        </w:rPr>
        <w:t xml:space="preserve"> </w:t>
      </w:r>
      <w:r w:rsidRPr="000C1CA7">
        <w:rPr>
          <w:rFonts w:cs="Arial"/>
        </w:rPr>
        <w:t>is in accordance with the contract requirements and representative of the likely costs to be incurred.</w:t>
      </w:r>
    </w:p>
    <w:p w:rsidR="0000585F" w:rsidRPr="000C1CA7" w:rsidRDefault="0000585F" w:rsidP="00C80CD4">
      <w:pPr>
        <w:pStyle w:val="BodyText1"/>
        <w:numPr>
          <w:ilvl w:val="2"/>
          <w:numId w:val="1"/>
        </w:numPr>
        <w:rPr>
          <w:rFonts w:cs="Arial"/>
        </w:rPr>
      </w:pPr>
      <w:r w:rsidRPr="000C1CA7">
        <w:rPr>
          <w:rFonts w:cs="Arial"/>
        </w:rPr>
        <w:t xml:space="preserve">As part of this assessment, the Financial Assessment Panel may ask to be provided with original evidence that demonstrates that the allowances made are based on costs </w:t>
      </w:r>
      <w:proofErr w:type="gramStart"/>
      <w:r w:rsidRPr="000C1CA7">
        <w:rPr>
          <w:rFonts w:cs="Arial"/>
        </w:rPr>
        <w:t>actually incurred</w:t>
      </w:r>
      <w:proofErr w:type="gramEnd"/>
      <w:r w:rsidRPr="000C1CA7">
        <w:rPr>
          <w:rFonts w:cs="Arial"/>
        </w:rPr>
        <w:t>. The team may wish to interview appropriate accounting staff to provide the level of satisfaction required.</w:t>
      </w:r>
    </w:p>
    <w:p w:rsidR="0000585F" w:rsidRDefault="0000585F" w:rsidP="00C80CD4">
      <w:pPr>
        <w:pStyle w:val="BodyText1"/>
        <w:numPr>
          <w:ilvl w:val="2"/>
          <w:numId w:val="1"/>
        </w:numPr>
        <w:rPr>
          <w:rFonts w:cs="Arial"/>
        </w:rPr>
      </w:pPr>
      <w:r w:rsidRPr="000C1CA7">
        <w:rPr>
          <w:rFonts w:cs="Arial"/>
        </w:rPr>
        <w:t>Failure to provide satisfactory evidence to support any part of this aspect of the tender may result in the tender being rejected.</w:t>
      </w:r>
    </w:p>
    <w:p w:rsidR="00CF103E" w:rsidRDefault="00CF103E" w:rsidP="0000585F">
      <w:pPr>
        <w:pStyle w:val="Heading2"/>
        <w:numPr>
          <w:ilvl w:val="0"/>
          <w:numId w:val="0"/>
        </w:numPr>
        <w:ind w:left="414" w:firstLine="720"/>
      </w:pPr>
      <w:bookmarkStart w:id="36" w:name="_Toc536618372"/>
      <w:bookmarkStart w:id="37" w:name="_Toc12994027"/>
    </w:p>
    <w:p w:rsidR="0000585F" w:rsidRPr="000C1CA7" w:rsidRDefault="0000585F" w:rsidP="0000585F">
      <w:pPr>
        <w:pStyle w:val="Heading2"/>
        <w:numPr>
          <w:ilvl w:val="0"/>
          <w:numId w:val="0"/>
        </w:numPr>
        <w:ind w:left="414" w:firstLine="720"/>
        <w:rPr>
          <w:rFonts w:eastAsia="Arial Unicode MS"/>
        </w:rPr>
      </w:pPr>
      <w:r w:rsidRPr="000C1CA7">
        <w:t>Sustainability check</w:t>
      </w:r>
      <w:bookmarkEnd w:id="36"/>
      <w:bookmarkEnd w:id="37"/>
    </w:p>
    <w:p w:rsidR="0000585F" w:rsidRPr="003A1C01" w:rsidRDefault="0000585F" w:rsidP="00C80CD4">
      <w:pPr>
        <w:pStyle w:val="BodyText1"/>
        <w:numPr>
          <w:ilvl w:val="2"/>
          <w:numId w:val="1"/>
        </w:numPr>
        <w:rPr>
          <w:rFonts w:cs="Arial"/>
        </w:rPr>
      </w:pPr>
      <w:r w:rsidRPr="000C1CA7">
        <w:rPr>
          <w:rFonts w:cs="Arial"/>
        </w:rPr>
        <w:t xml:space="preserve">The Contract must operate as a viable business for both partners.   Highways England </w:t>
      </w:r>
      <w:proofErr w:type="gramStart"/>
      <w:r w:rsidRPr="000C1CA7">
        <w:rPr>
          <w:rFonts w:cs="Arial"/>
        </w:rPr>
        <w:t>seeks to have</w:t>
      </w:r>
      <w:proofErr w:type="gramEnd"/>
      <w:r w:rsidRPr="000C1CA7">
        <w:rPr>
          <w:rFonts w:cs="Arial"/>
        </w:rPr>
        <w:t xml:space="preserve"> the required level of service at an affordable cost, whilst providing a reasonable profit for the Tenderer. Excessively low or high tenders will be subject to sc</w:t>
      </w:r>
      <w:r w:rsidRPr="00E84496">
        <w:rPr>
          <w:rFonts w:cs="Arial"/>
        </w:rPr>
        <w:t>rutiny, and may be rejected if considered not sustainab</w:t>
      </w:r>
      <w:r w:rsidRPr="003A1C01">
        <w:rPr>
          <w:rFonts w:cs="Arial"/>
        </w:rPr>
        <w:t>le over the contract period or not affordable.</w:t>
      </w:r>
    </w:p>
    <w:p w:rsidR="0000585F" w:rsidRPr="000C1CA7" w:rsidRDefault="0000585F" w:rsidP="00C80CD4">
      <w:pPr>
        <w:pStyle w:val="BodyText1"/>
        <w:numPr>
          <w:ilvl w:val="2"/>
          <w:numId w:val="1"/>
        </w:numPr>
        <w:rPr>
          <w:rFonts w:cs="Arial"/>
        </w:rPr>
      </w:pPr>
      <w:r w:rsidRPr="00A617BE">
        <w:rPr>
          <w:rFonts w:cs="Arial"/>
        </w:rPr>
        <w:t xml:space="preserve">The Financial Assessment Panel will review the material submitted with the tender to verify </w:t>
      </w:r>
      <w:r w:rsidR="00CF103E">
        <w:rPr>
          <w:rFonts w:cs="Arial"/>
        </w:rPr>
        <w:t>submitted prices</w:t>
      </w:r>
      <w:r w:rsidRPr="000C1CA7">
        <w:rPr>
          <w:rFonts w:cs="Arial"/>
        </w:rPr>
        <w:t xml:space="preserve">.  </w:t>
      </w:r>
    </w:p>
    <w:p w:rsidR="0000585F" w:rsidRPr="000C1CA7" w:rsidRDefault="0000585F" w:rsidP="00C80CD4">
      <w:pPr>
        <w:pStyle w:val="BodyText1"/>
        <w:numPr>
          <w:ilvl w:val="2"/>
          <w:numId w:val="1"/>
        </w:numPr>
        <w:rPr>
          <w:rFonts w:cs="Arial"/>
        </w:rPr>
      </w:pPr>
      <w:r w:rsidRPr="000C1CA7">
        <w:rPr>
          <w:rFonts w:cs="Arial"/>
        </w:rPr>
        <w:t>During this stage of the assessment, the Financial Assessment Panel may seek further clarification from a Preferred Tenderer to enable them to understand the submission better. These clarifications may be sought in writing or at a meeting called for that purpose.</w:t>
      </w:r>
    </w:p>
    <w:p w:rsidR="00CF103E" w:rsidRPr="00CF103E" w:rsidRDefault="0000585F" w:rsidP="00C80CD4">
      <w:pPr>
        <w:pStyle w:val="BodyText1"/>
        <w:numPr>
          <w:ilvl w:val="2"/>
          <w:numId w:val="1"/>
        </w:numPr>
        <w:rPr>
          <w:rFonts w:cs="Arial"/>
        </w:rPr>
      </w:pPr>
      <w:r w:rsidRPr="000C1CA7">
        <w:rPr>
          <w:rFonts w:cs="Arial"/>
        </w:rPr>
        <w:t>Failure to provide satisfactory evidence to support any part of this aspect of the tender may result in the tender being rejected.</w:t>
      </w:r>
      <w:bookmarkStart w:id="38" w:name="_Toc176150993"/>
    </w:p>
    <w:p w:rsidR="00CF103E" w:rsidRPr="00CF103E" w:rsidRDefault="00CF103E" w:rsidP="00CF103E">
      <w:pPr>
        <w:ind w:left="414" w:firstLine="720"/>
        <w:rPr>
          <w:b/>
          <w:sz w:val="22"/>
          <w:szCs w:val="22"/>
        </w:rPr>
      </w:pPr>
      <w:r w:rsidRPr="00CF103E">
        <w:rPr>
          <w:b/>
          <w:sz w:val="22"/>
          <w:szCs w:val="22"/>
        </w:rPr>
        <w:t xml:space="preserve">Tender Award – General </w:t>
      </w:r>
    </w:p>
    <w:p w:rsidR="00CF103E" w:rsidRPr="00CF103E" w:rsidRDefault="00CF103E" w:rsidP="00CF103E"/>
    <w:p w:rsidR="00CF103E" w:rsidRPr="00A8261D" w:rsidRDefault="00CF103E" w:rsidP="00C80CD4">
      <w:pPr>
        <w:pStyle w:val="BodyText1"/>
        <w:numPr>
          <w:ilvl w:val="2"/>
          <w:numId w:val="1"/>
        </w:numPr>
        <w:rPr>
          <w:rFonts w:cs="Arial"/>
        </w:rPr>
      </w:pPr>
      <w:r w:rsidRPr="000B71B0">
        <w:rPr>
          <w:rFonts w:cs="Arial"/>
        </w:rPr>
        <w:t>Highways England</w:t>
      </w:r>
      <w:r w:rsidRPr="00A8261D">
        <w:rPr>
          <w:rFonts w:cs="Arial"/>
        </w:rPr>
        <w:t xml:space="preserve"> reserves the right not to proceed with any proposal made in response to this invitation.</w:t>
      </w:r>
    </w:p>
    <w:p w:rsidR="00CF103E" w:rsidRPr="00CD2079" w:rsidRDefault="00CF103E" w:rsidP="00C80CD4">
      <w:pPr>
        <w:pStyle w:val="BodyText1"/>
        <w:numPr>
          <w:ilvl w:val="2"/>
          <w:numId w:val="1"/>
        </w:numPr>
        <w:rPr>
          <w:rFonts w:cs="Arial"/>
        </w:rPr>
      </w:pPr>
      <w:r w:rsidRPr="00D53A1E">
        <w:rPr>
          <w:rFonts w:cs="Arial"/>
        </w:rPr>
        <w:t>Tenderers will be given feedback on their tenders</w:t>
      </w:r>
      <w:r w:rsidRPr="009D07FA">
        <w:rPr>
          <w:rFonts w:cs="Arial"/>
        </w:rPr>
        <w:t xml:space="preserve"> shortly after the assessment has been co</w:t>
      </w:r>
      <w:r w:rsidRPr="00CD2079">
        <w:rPr>
          <w:rFonts w:cs="Arial"/>
        </w:rPr>
        <w:t xml:space="preserve">mpleted. </w:t>
      </w:r>
    </w:p>
    <w:p w:rsidR="00CF103E" w:rsidRPr="00E84496" w:rsidRDefault="00CF103E" w:rsidP="00C80CD4">
      <w:pPr>
        <w:pStyle w:val="BodyText1"/>
        <w:numPr>
          <w:ilvl w:val="2"/>
          <w:numId w:val="1"/>
        </w:numPr>
        <w:rPr>
          <w:rFonts w:cs="Arial"/>
        </w:rPr>
      </w:pPr>
      <w:r w:rsidRPr="00CD2079">
        <w:rPr>
          <w:rFonts w:cs="Arial"/>
        </w:rPr>
        <w:t>The contract wi</w:t>
      </w:r>
      <w:r w:rsidRPr="00C039C5">
        <w:rPr>
          <w:rFonts w:cs="Arial"/>
        </w:rPr>
        <w:t xml:space="preserve">ll be executed via </w:t>
      </w:r>
      <w:r w:rsidRPr="00E84496">
        <w:rPr>
          <w:rFonts w:cs="Arial"/>
        </w:rPr>
        <w:t xml:space="preserve">the </w:t>
      </w:r>
      <w:r>
        <w:rPr>
          <w:rFonts w:cs="Arial"/>
        </w:rPr>
        <w:t>ESPO 222</w:t>
      </w:r>
      <w:r w:rsidRPr="00E84496">
        <w:rPr>
          <w:rFonts w:cs="Arial"/>
        </w:rPr>
        <w:t xml:space="preserve"> Framework. </w:t>
      </w:r>
    </w:p>
    <w:p w:rsidR="00CF103E" w:rsidRPr="00854665" w:rsidRDefault="00CF103E" w:rsidP="00C80CD4">
      <w:pPr>
        <w:pStyle w:val="BodyText1"/>
        <w:numPr>
          <w:ilvl w:val="2"/>
          <w:numId w:val="1"/>
        </w:numPr>
        <w:rPr>
          <w:rFonts w:cs="Arial"/>
        </w:rPr>
      </w:pPr>
      <w:r w:rsidRPr="00854665">
        <w:rPr>
          <w:rFonts w:cs="Arial"/>
        </w:rPr>
        <w:t xml:space="preserve">This tender is being conducted by Highways England. </w:t>
      </w:r>
    </w:p>
    <w:p w:rsidR="00CF103E" w:rsidRPr="000B71B0" w:rsidRDefault="00CF103E" w:rsidP="00C80CD4">
      <w:pPr>
        <w:pStyle w:val="BodyText1"/>
        <w:numPr>
          <w:ilvl w:val="2"/>
          <w:numId w:val="1"/>
        </w:numPr>
        <w:rPr>
          <w:rFonts w:cs="Arial"/>
          <w:szCs w:val="22"/>
        </w:rPr>
      </w:pPr>
      <w:r w:rsidRPr="00854665">
        <w:rPr>
          <w:rFonts w:cs="Arial"/>
        </w:rPr>
        <w:t>Details of the Contract Award will be published on Contracts Finder and other databases in accordance with Government transparency regulations.</w:t>
      </w:r>
    </w:p>
    <w:p w:rsidR="00CF103E" w:rsidRPr="00CD2079" w:rsidRDefault="00CF103E" w:rsidP="00C80CD4">
      <w:pPr>
        <w:pStyle w:val="BodyText1"/>
        <w:numPr>
          <w:ilvl w:val="2"/>
          <w:numId w:val="1"/>
        </w:numPr>
        <w:rPr>
          <w:rFonts w:cs="Arial"/>
          <w:szCs w:val="22"/>
        </w:rPr>
      </w:pPr>
      <w:r w:rsidRPr="00D53A1E">
        <w:rPr>
          <w:rFonts w:cs="Arial"/>
        </w:rPr>
        <w:t xml:space="preserve">Any documents not returned with the tender should be </w:t>
      </w:r>
      <w:bookmarkEnd w:id="38"/>
      <w:r w:rsidRPr="009D07FA">
        <w:rPr>
          <w:rFonts w:cs="Arial"/>
        </w:rPr>
        <w:t>deleted from the Tenderer’s computers and all hard copies destroyed.</w:t>
      </w:r>
    </w:p>
    <w:p w:rsidR="002F65E7" w:rsidRDefault="002F65E7" w:rsidP="00095DB6">
      <w:pPr>
        <w:pStyle w:val="BodyText1"/>
        <w:numPr>
          <w:ilvl w:val="0"/>
          <w:numId w:val="0"/>
        </w:numPr>
        <w:ind w:left="1134"/>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2F65E7" w:rsidRDefault="002F65E7" w:rsidP="002F65E7">
      <w:pPr>
        <w:pStyle w:val="BodyText1"/>
        <w:numPr>
          <w:ilvl w:val="0"/>
          <w:numId w:val="0"/>
        </w:numPr>
        <w:ind w:left="1134" w:hanging="851"/>
        <w:rPr>
          <w:highlight w:val="yellow"/>
        </w:rPr>
      </w:pPr>
    </w:p>
    <w:p w:rsidR="00446FD8" w:rsidRDefault="00446FD8" w:rsidP="00D57231">
      <w:pPr>
        <w:pStyle w:val="Heading9"/>
        <w:jc w:val="center"/>
        <w:rPr>
          <w:sz w:val="44"/>
        </w:rPr>
      </w:pPr>
      <w:bookmarkStart w:id="39" w:name="_Annexes"/>
      <w:bookmarkEnd w:id="39"/>
    </w:p>
    <w:p w:rsidR="00446FD8" w:rsidRDefault="00446FD8" w:rsidP="00D57231">
      <w:pPr>
        <w:pStyle w:val="Heading9"/>
        <w:jc w:val="center"/>
        <w:rPr>
          <w:sz w:val="44"/>
        </w:rPr>
      </w:pPr>
    </w:p>
    <w:p w:rsidR="00446FD8" w:rsidRDefault="00446FD8" w:rsidP="00D57231">
      <w:pPr>
        <w:pStyle w:val="Heading9"/>
        <w:jc w:val="center"/>
        <w:rPr>
          <w:sz w:val="44"/>
        </w:rPr>
      </w:pPr>
    </w:p>
    <w:p w:rsidR="00446FD8" w:rsidRDefault="00446FD8" w:rsidP="00D57231">
      <w:pPr>
        <w:pStyle w:val="Heading9"/>
        <w:jc w:val="center"/>
        <w:rPr>
          <w:sz w:val="44"/>
        </w:rPr>
      </w:pPr>
    </w:p>
    <w:p w:rsidR="002F65E7" w:rsidRPr="002F65E7" w:rsidRDefault="002F65E7" w:rsidP="00446FD8">
      <w:pPr>
        <w:pStyle w:val="Heading9"/>
        <w:tabs>
          <w:tab w:val="clear" w:pos="720"/>
          <w:tab w:val="clear" w:pos="851"/>
          <w:tab w:val="num" w:pos="0"/>
        </w:tabs>
        <w:jc w:val="center"/>
        <w:rPr>
          <w:sz w:val="44"/>
        </w:rPr>
      </w:pPr>
      <w:r w:rsidRPr="002F65E7">
        <w:rPr>
          <w:sz w:val="44"/>
        </w:rPr>
        <w:t>Annexes</w:t>
      </w:r>
    </w:p>
    <w:p w:rsidR="00316077" w:rsidRDefault="00316077">
      <w:pPr>
        <w:rPr>
          <w:iCs/>
          <w:sz w:val="22"/>
          <w:szCs w:val="20"/>
          <w:highlight w:val="yellow"/>
          <w:lang w:val="en-US"/>
        </w:rPr>
      </w:pPr>
      <w:r>
        <w:rPr>
          <w:highlight w:val="yellow"/>
        </w:rPr>
        <w:br w:type="page"/>
      </w:r>
    </w:p>
    <w:p w:rsidR="00F15013" w:rsidRDefault="00F15013" w:rsidP="008B092A">
      <w:pPr>
        <w:pStyle w:val="NoSpacing"/>
      </w:pPr>
    </w:p>
    <w:p w:rsidR="005B48B8" w:rsidRPr="002F65E7" w:rsidRDefault="005B48B8" w:rsidP="005B48B8">
      <w:pPr>
        <w:pStyle w:val="Heading9"/>
        <w:rPr>
          <w:sz w:val="24"/>
        </w:rPr>
      </w:pPr>
      <w:bookmarkStart w:id="40" w:name="_Annex_A_-"/>
      <w:bookmarkStart w:id="41" w:name="_Toc322589723"/>
      <w:bookmarkEnd w:id="40"/>
      <w:r w:rsidRPr="002F65E7">
        <w:rPr>
          <w:sz w:val="24"/>
        </w:rPr>
        <w:t>Annex A - Tender Documents</w:t>
      </w:r>
      <w:bookmarkEnd w:id="41"/>
    </w:p>
    <w:p w:rsidR="005B48B8" w:rsidRPr="00AD5C58" w:rsidRDefault="005B48B8" w:rsidP="005B48B8">
      <w:pPr>
        <w:pStyle w:val="NoSpacing"/>
        <w:numPr>
          <w:ilvl w:val="0"/>
          <w:numId w:val="8"/>
        </w:numPr>
        <w:rPr>
          <w:b/>
          <w:sz w:val="22"/>
          <w:szCs w:val="22"/>
        </w:rPr>
      </w:pPr>
      <w:r w:rsidRPr="00AD5C58">
        <w:rPr>
          <w:b/>
          <w:sz w:val="22"/>
          <w:szCs w:val="22"/>
        </w:rPr>
        <w:t>List of Documents with Invitation to Tender</w:t>
      </w:r>
    </w:p>
    <w:p w:rsidR="005B48B8" w:rsidRPr="00AD5C58" w:rsidRDefault="005B48B8" w:rsidP="005B48B8">
      <w:pPr>
        <w:pStyle w:val="NoSpacing"/>
        <w:ind w:left="718"/>
        <w:rPr>
          <w:sz w:val="22"/>
          <w:szCs w:val="22"/>
        </w:rPr>
      </w:pPr>
    </w:p>
    <w:p w:rsidR="005B48B8" w:rsidRDefault="005B48B8" w:rsidP="00AE0D1A">
      <w:pPr>
        <w:pStyle w:val="NoSpacing"/>
        <w:numPr>
          <w:ilvl w:val="1"/>
          <w:numId w:val="28"/>
        </w:numPr>
        <w:rPr>
          <w:sz w:val="22"/>
          <w:szCs w:val="22"/>
        </w:rPr>
      </w:pPr>
      <w:r w:rsidRPr="00AD5C58">
        <w:rPr>
          <w:sz w:val="22"/>
          <w:szCs w:val="22"/>
        </w:rPr>
        <w:t>The following documents are included with the invitation:</w:t>
      </w:r>
    </w:p>
    <w:p w:rsidR="00AE0D1A" w:rsidRDefault="00AE0D1A" w:rsidP="00AE0D1A">
      <w:pPr>
        <w:pStyle w:val="NoSpacing"/>
        <w:rPr>
          <w:sz w:val="22"/>
          <w:szCs w:val="22"/>
        </w:rPr>
      </w:pPr>
    </w:p>
    <w:p w:rsidR="00AE0D1A" w:rsidRPr="000F0DD0" w:rsidRDefault="00AE0D1A" w:rsidP="000F0DD0">
      <w:pPr>
        <w:pStyle w:val="NoSpacing"/>
        <w:ind w:left="1080"/>
        <w:rPr>
          <w:b/>
          <w:sz w:val="22"/>
          <w:szCs w:val="22"/>
        </w:rPr>
      </w:pPr>
      <w:r w:rsidRPr="000F0DD0">
        <w:rPr>
          <w:b/>
          <w:sz w:val="22"/>
          <w:szCs w:val="22"/>
        </w:rPr>
        <w:t>VOLUME 1</w:t>
      </w:r>
    </w:p>
    <w:p w:rsidR="005B48B8" w:rsidRPr="00AD5C58" w:rsidRDefault="005B48B8" w:rsidP="005B48B8">
      <w:pPr>
        <w:pStyle w:val="NoSpacing"/>
        <w:ind w:firstLine="283"/>
        <w:rPr>
          <w:sz w:val="22"/>
          <w:szCs w:val="22"/>
        </w:rPr>
      </w:pPr>
    </w:p>
    <w:p w:rsidR="005B48B8" w:rsidRDefault="005B48B8" w:rsidP="005B48B8">
      <w:pPr>
        <w:pStyle w:val="NoSpacing"/>
        <w:numPr>
          <w:ilvl w:val="0"/>
          <w:numId w:val="12"/>
        </w:numPr>
        <w:ind w:left="1440"/>
        <w:rPr>
          <w:sz w:val="22"/>
          <w:szCs w:val="22"/>
        </w:rPr>
      </w:pPr>
      <w:r>
        <w:rPr>
          <w:sz w:val="22"/>
          <w:szCs w:val="22"/>
        </w:rPr>
        <w:t>Instruction for Tenderers and Annexes</w:t>
      </w:r>
    </w:p>
    <w:p w:rsidR="005B48B8" w:rsidRPr="00AD5C58" w:rsidRDefault="00446FD8" w:rsidP="005B48B8">
      <w:pPr>
        <w:pStyle w:val="NoSpacing"/>
        <w:numPr>
          <w:ilvl w:val="0"/>
          <w:numId w:val="12"/>
        </w:numPr>
        <w:ind w:left="1440"/>
        <w:rPr>
          <w:sz w:val="22"/>
          <w:szCs w:val="22"/>
        </w:rPr>
      </w:pPr>
      <w:r>
        <w:rPr>
          <w:sz w:val="22"/>
          <w:szCs w:val="22"/>
        </w:rPr>
        <w:t xml:space="preserve">Highways England Tyre </w:t>
      </w:r>
      <w:r w:rsidR="005B48B8">
        <w:rPr>
          <w:sz w:val="22"/>
          <w:szCs w:val="22"/>
        </w:rPr>
        <w:t>Specification</w:t>
      </w:r>
    </w:p>
    <w:p w:rsidR="005B48B8" w:rsidRDefault="00446FD8" w:rsidP="005B48B8">
      <w:pPr>
        <w:pStyle w:val="NoSpacing"/>
        <w:numPr>
          <w:ilvl w:val="0"/>
          <w:numId w:val="12"/>
        </w:numPr>
        <w:ind w:left="1440"/>
        <w:rPr>
          <w:sz w:val="22"/>
          <w:szCs w:val="22"/>
        </w:rPr>
      </w:pPr>
      <w:r>
        <w:rPr>
          <w:sz w:val="22"/>
          <w:szCs w:val="22"/>
        </w:rPr>
        <w:t>ESPO 222 Appendix 4 Call Off Terms</w:t>
      </w:r>
    </w:p>
    <w:p w:rsidR="00D71607" w:rsidRDefault="00D71607" w:rsidP="005B48B8">
      <w:pPr>
        <w:pStyle w:val="NoSpacing"/>
        <w:numPr>
          <w:ilvl w:val="0"/>
          <w:numId w:val="12"/>
        </w:numPr>
        <w:ind w:left="1440"/>
        <w:rPr>
          <w:sz w:val="22"/>
          <w:szCs w:val="22"/>
        </w:rPr>
      </w:pPr>
      <w:r>
        <w:rPr>
          <w:sz w:val="22"/>
          <w:szCs w:val="22"/>
        </w:rPr>
        <w:t>Highways England Data Handling Policy</w:t>
      </w:r>
    </w:p>
    <w:p w:rsidR="00D71607" w:rsidRDefault="00D71607" w:rsidP="005B48B8">
      <w:pPr>
        <w:pStyle w:val="NoSpacing"/>
        <w:numPr>
          <w:ilvl w:val="0"/>
          <w:numId w:val="12"/>
        </w:numPr>
        <w:ind w:left="1440"/>
        <w:rPr>
          <w:sz w:val="22"/>
          <w:szCs w:val="22"/>
        </w:rPr>
      </w:pPr>
      <w:r>
        <w:rPr>
          <w:sz w:val="22"/>
          <w:szCs w:val="22"/>
        </w:rPr>
        <w:t>Highways England IT Security Policy</w:t>
      </w:r>
    </w:p>
    <w:p w:rsidR="00D71607" w:rsidRDefault="00D71607" w:rsidP="005B48B8">
      <w:pPr>
        <w:pStyle w:val="NoSpacing"/>
        <w:numPr>
          <w:ilvl w:val="0"/>
          <w:numId w:val="12"/>
        </w:numPr>
        <w:ind w:left="1440"/>
        <w:rPr>
          <w:sz w:val="22"/>
          <w:szCs w:val="22"/>
        </w:rPr>
      </w:pPr>
      <w:r>
        <w:rPr>
          <w:sz w:val="22"/>
          <w:szCs w:val="22"/>
        </w:rPr>
        <w:t>Highways England Company Records Policy</w:t>
      </w:r>
    </w:p>
    <w:p w:rsidR="000F0DD0" w:rsidRDefault="000F0DD0" w:rsidP="000F0DD0">
      <w:pPr>
        <w:pStyle w:val="NoSpacing"/>
        <w:rPr>
          <w:sz w:val="22"/>
          <w:szCs w:val="22"/>
        </w:rPr>
      </w:pPr>
    </w:p>
    <w:p w:rsidR="000F0DD0" w:rsidRPr="000F0DD0" w:rsidRDefault="000F0DD0" w:rsidP="000F0DD0">
      <w:pPr>
        <w:pStyle w:val="NoSpacing"/>
        <w:ind w:left="1080"/>
        <w:rPr>
          <w:b/>
          <w:sz w:val="22"/>
          <w:szCs w:val="22"/>
        </w:rPr>
      </w:pPr>
      <w:r w:rsidRPr="000F0DD0">
        <w:rPr>
          <w:b/>
          <w:sz w:val="22"/>
          <w:szCs w:val="22"/>
        </w:rPr>
        <w:t>VOLUME 2</w:t>
      </w:r>
    </w:p>
    <w:p w:rsidR="000F0DD0" w:rsidRDefault="000F0DD0" w:rsidP="000F0DD0">
      <w:pPr>
        <w:pStyle w:val="NoSpacing"/>
        <w:rPr>
          <w:sz w:val="22"/>
          <w:szCs w:val="22"/>
        </w:rPr>
      </w:pPr>
    </w:p>
    <w:p w:rsidR="00446FD8" w:rsidRDefault="00446FD8" w:rsidP="005B48B8">
      <w:pPr>
        <w:pStyle w:val="NoSpacing"/>
        <w:numPr>
          <w:ilvl w:val="0"/>
          <w:numId w:val="12"/>
        </w:numPr>
        <w:ind w:left="1440"/>
        <w:rPr>
          <w:sz w:val="22"/>
          <w:szCs w:val="22"/>
        </w:rPr>
      </w:pPr>
      <w:r>
        <w:rPr>
          <w:sz w:val="22"/>
          <w:szCs w:val="22"/>
        </w:rPr>
        <w:t xml:space="preserve">ESPO 222 Appendix 5 Price Schedule </w:t>
      </w:r>
    </w:p>
    <w:p w:rsidR="00EB5777" w:rsidRDefault="00EB5777" w:rsidP="005B48B8">
      <w:pPr>
        <w:pStyle w:val="NoSpacing"/>
        <w:numPr>
          <w:ilvl w:val="0"/>
          <w:numId w:val="12"/>
        </w:numPr>
        <w:ind w:left="1440"/>
        <w:rPr>
          <w:sz w:val="22"/>
          <w:szCs w:val="22"/>
        </w:rPr>
      </w:pPr>
      <w:r>
        <w:rPr>
          <w:sz w:val="22"/>
          <w:szCs w:val="22"/>
        </w:rPr>
        <w:t>Highways England Fair Payment Charter</w:t>
      </w:r>
    </w:p>
    <w:p w:rsidR="00EB5777" w:rsidRDefault="00EB5777" w:rsidP="005B48B8">
      <w:pPr>
        <w:pStyle w:val="NoSpacing"/>
        <w:numPr>
          <w:ilvl w:val="0"/>
          <w:numId w:val="12"/>
        </w:numPr>
        <w:ind w:left="1440"/>
        <w:rPr>
          <w:sz w:val="22"/>
          <w:szCs w:val="22"/>
        </w:rPr>
      </w:pPr>
      <w:r>
        <w:rPr>
          <w:sz w:val="22"/>
          <w:szCs w:val="22"/>
        </w:rPr>
        <w:t>Highways England Anti-Bribery Code of Conduct</w:t>
      </w:r>
    </w:p>
    <w:p w:rsidR="00EB5777" w:rsidRPr="00AD5C58" w:rsidRDefault="00EB5777" w:rsidP="005B48B8">
      <w:pPr>
        <w:pStyle w:val="NoSpacing"/>
        <w:numPr>
          <w:ilvl w:val="0"/>
          <w:numId w:val="12"/>
        </w:numPr>
        <w:ind w:left="1440"/>
        <w:rPr>
          <w:sz w:val="22"/>
          <w:szCs w:val="22"/>
        </w:rPr>
      </w:pPr>
      <w:r>
        <w:rPr>
          <w:sz w:val="22"/>
          <w:szCs w:val="22"/>
        </w:rPr>
        <w:t>Highways England Anti-Fraud Code of Conduct</w:t>
      </w:r>
    </w:p>
    <w:p w:rsidR="005B48B8" w:rsidRPr="00AD5C58" w:rsidRDefault="005B48B8" w:rsidP="005B48B8">
      <w:pPr>
        <w:pStyle w:val="NoSpacing"/>
        <w:ind w:firstLine="283"/>
        <w:rPr>
          <w:sz w:val="22"/>
          <w:szCs w:val="22"/>
        </w:rPr>
      </w:pPr>
    </w:p>
    <w:p w:rsidR="005B48B8" w:rsidRPr="00AD5C58" w:rsidRDefault="005B48B8" w:rsidP="005B48B8">
      <w:pPr>
        <w:pStyle w:val="NoSpacing"/>
        <w:ind w:left="718" w:hanging="435"/>
        <w:rPr>
          <w:sz w:val="22"/>
          <w:szCs w:val="22"/>
        </w:rPr>
      </w:pPr>
      <w:r w:rsidRPr="00AD5C58">
        <w:rPr>
          <w:sz w:val="22"/>
          <w:szCs w:val="22"/>
        </w:rPr>
        <w:t>1.2</w:t>
      </w:r>
      <w:r w:rsidRPr="00AD5C58">
        <w:rPr>
          <w:sz w:val="22"/>
          <w:szCs w:val="22"/>
        </w:rPr>
        <w:tab/>
        <w:t>The following parts of the tender documents are included in a form to allow electronic preparation of the information required:</w:t>
      </w:r>
    </w:p>
    <w:p w:rsidR="005B48B8" w:rsidRPr="00AD5C58" w:rsidRDefault="005B48B8" w:rsidP="005B48B8">
      <w:pPr>
        <w:pStyle w:val="NoSpacing"/>
        <w:rPr>
          <w:sz w:val="22"/>
          <w:szCs w:val="22"/>
        </w:rPr>
      </w:pPr>
    </w:p>
    <w:p w:rsidR="005B48B8" w:rsidRDefault="005B48B8" w:rsidP="005B48B8">
      <w:pPr>
        <w:pStyle w:val="NoSpacing"/>
        <w:numPr>
          <w:ilvl w:val="0"/>
          <w:numId w:val="14"/>
        </w:numPr>
        <w:ind w:left="1440"/>
        <w:rPr>
          <w:sz w:val="22"/>
          <w:szCs w:val="22"/>
        </w:rPr>
      </w:pPr>
      <w:r>
        <w:rPr>
          <w:sz w:val="22"/>
          <w:szCs w:val="22"/>
        </w:rPr>
        <w:t>Tender Query Form</w:t>
      </w:r>
      <w:r w:rsidR="000F0DD0">
        <w:rPr>
          <w:sz w:val="22"/>
          <w:szCs w:val="22"/>
        </w:rPr>
        <w:t xml:space="preserve"> (Annex C of the Instructions for Tenderers)</w:t>
      </w:r>
    </w:p>
    <w:p w:rsidR="005B48B8" w:rsidRPr="00AD5C58" w:rsidRDefault="00AE0D1A" w:rsidP="005B48B8">
      <w:pPr>
        <w:pStyle w:val="NoSpacing"/>
        <w:numPr>
          <w:ilvl w:val="0"/>
          <w:numId w:val="14"/>
        </w:numPr>
        <w:ind w:left="1440"/>
        <w:rPr>
          <w:sz w:val="22"/>
          <w:szCs w:val="22"/>
        </w:rPr>
      </w:pPr>
      <w:r>
        <w:rPr>
          <w:sz w:val="22"/>
          <w:szCs w:val="22"/>
        </w:rPr>
        <w:t>ESPO 222 Appendix 5 Price Schedule</w:t>
      </w:r>
    </w:p>
    <w:p w:rsidR="005B48B8" w:rsidRPr="00AD5C58" w:rsidRDefault="005B48B8" w:rsidP="005B48B8">
      <w:pPr>
        <w:pStyle w:val="NoSpacing"/>
        <w:rPr>
          <w:sz w:val="22"/>
          <w:szCs w:val="22"/>
        </w:rPr>
      </w:pPr>
    </w:p>
    <w:p w:rsidR="005B48B8" w:rsidRPr="00AD5C58" w:rsidRDefault="005B48B8" w:rsidP="005B48B8">
      <w:pPr>
        <w:pStyle w:val="NoSpacing"/>
        <w:numPr>
          <w:ilvl w:val="0"/>
          <w:numId w:val="8"/>
        </w:numPr>
        <w:rPr>
          <w:b/>
          <w:sz w:val="22"/>
          <w:szCs w:val="22"/>
        </w:rPr>
      </w:pPr>
      <w:r w:rsidRPr="00AD5C58">
        <w:rPr>
          <w:b/>
          <w:sz w:val="22"/>
          <w:szCs w:val="22"/>
        </w:rPr>
        <w:t>List of Documents to be returned with the Tender</w:t>
      </w:r>
    </w:p>
    <w:p w:rsidR="005B48B8" w:rsidRDefault="005B48B8" w:rsidP="005B48B8">
      <w:pPr>
        <w:pStyle w:val="NoSpacing"/>
        <w:ind w:left="718"/>
        <w:rPr>
          <w:sz w:val="22"/>
          <w:szCs w:val="22"/>
        </w:rPr>
      </w:pPr>
    </w:p>
    <w:p w:rsidR="005B48B8" w:rsidRPr="00AE0D1A" w:rsidRDefault="005B48B8" w:rsidP="00AE0D1A">
      <w:pPr>
        <w:pStyle w:val="Heading2"/>
        <w:tabs>
          <w:tab w:val="clear" w:pos="851"/>
          <w:tab w:val="num" w:pos="709"/>
        </w:tabs>
        <w:ind w:left="709" w:hanging="425"/>
        <w:rPr>
          <w:b w:val="0"/>
        </w:rPr>
      </w:pPr>
      <w:r w:rsidRPr="00AE0D1A">
        <w:rPr>
          <w:b w:val="0"/>
        </w:rPr>
        <w:t xml:space="preserve">The following documents are to be completed and returned </w:t>
      </w:r>
      <w:r w:rsidR="00AE0D1A" w:rsidRPr="00AE0D1A">
        <w:rPr>
          <w:b w:val="0"/>
        </w:rPr>
        <w:t>by tenderers with their tender submission;</w:t>
      </w:r>
    </w:p>
    <w:p w:rsidR="00AE0D1A" w:rsidRPr="00AE0D1A" w:rsidRDefault="00AE0D1A" w:rsidP="00AE0D1A">
      <w:pPr>
        <w:ind w:left="709"/>
        <w:rPr>
          <w:b/>
        </w:rPr>
      </w:pPr>
      <w:r w:rsidRPr="00AE0D1A">
        <w:rPr>
          <w:b/>
          <w:sz w:val="22"/>
        </w:rPr>
        <w:t>VOLUME</w:t>
      </w:r>
      <w:r w:rsidRPr="00AE0D1A">
        <w:rPr>
          <w:b/>
        </w:rPr>
        <w:t xml:space="preserve"> 2</w:t>
      </w:r>
    </w:p>
    <w:p w:rsidR="00AE0D1A" w:rsidRPr="00AE0D1A" w:rsidRDefault="00AE0D1A" w:rsidP="00AE0D1A"/>
    <w:p w:rsidR="005B48B8" w:rsidRDefault="00AE0D1A" w:rsidP="005B48B8">
      <w:pPr>
        <w:pStyle w:val="NoSpacing"/>
        <w:numPr>
          <w:ilvl w:val="0"/>
          <w:numId w:val="27"/>
        </w:numPr>
        <w:rPr>
          <w:sz w:val="22"/>
          <w:szCs w:val="22"/>
        </w:rPr>
      </w:pPr>
      <w:r>
        <w:rPr>
          <w:sz w:val="22"/>
          <w:szCs w:val="22"/>
        </w:rPr>
        <w:t xml:space="preserve">ESPO 222 Appendix 5 Price Schedule </w:t>
      </w:r>
    </w:p>
    <w:p w:rsidR="00AE0D1A" w:rsidRDefault="00AE0D1A" w:rsidP="005B48B8">
      <w:pPr>
        <w:pStyle w:val="NoSpacing"/>
        <w:numPr>
          <w:ilvl w:val="0"/>
          <w:numId w:val="27"/>
        </w:numPr>
        <w:rPr>
          <w:sz w:val="22"/>
          <w:szCs w:val="22"/>
        </w:rPr>
      </w:pPr>
      <w:r>
        <w:rPr>
          <w:sz w:val="22"/>
          <w:szCs w:val="22"/>
        </w:rPr>
        <w:t>Highways England Fair Payment Charter (signed)</w:t>
      </w:r>
    </w:p>
    <w:p w:rsidR="00AE0D1A" w:rsidRDefault="00AE0D1A" w:rsidP="005B48B8">
      <w:pPr>
        <w:pStyle w:val="NoSpacing"/>
        <w:numPr>
          <w:ilvl w:val="0"/>
          <w:numId w:val="27"/>
        </w:numPr>
        <w:rPr>
          <w:sz w:val="22"/>
          <w:szCs w:val="22"/>
        </w:rPr>
      </w:pPr>
      <w:r>
        <w:rPr>
          <w:sz w:val="22"/>
          <w:szCs w:val="22"/>
        </w:rPr>
        <w:t>Highways England Anti-Bribery Code of Conduct (signed)</w:t>
      </w:r>
    </w:p>
    <w:p w:rsidR="00F6703F" w:rsidRDefault="00AE0D1A" w:rsidP="00AE0D1A">
      <w:pPr>
        <w:pStyle w:val="NoSpacing"/>
        <w:numPr>
          <w:ilvl w:val="0"/>
          <w:numId w:val="27"/>
        </w:numPr>
        <w:rPr>
          <w:sz w:val="22"/>
          <w:szCs w:val="22"/>
        </w:rPr>
      </w:pPr>
      <w:r>
        <w:rPr>
          <w:sz w:val="22"/>
          <w:szCs w:val="22"/>
        </w:rPr>
        <w:t xml:space="preserve">Highways England Anti-Fraud Code of Conduct (signed) </w:t>
      </w:r>
    </w:p>
    <w:p w:rsidR="005B48B8" w:rsidRPr="00BB0B09" w:rsidRDefault="005B48B8" w:rsidP="005B48B8">
      <w:pPr>
        <w:pStyle w:val="NoSpacing"/>
        <w:ind w:left="718"/>
        <w:rPr>
          <w:sz w:val="22"/>
          <w:szCs w:val="22"/>
        </w:rPr>
      </w:pPr>
    </w:p>
    <w:p w:rsidR="005B48B8" w:rsidRDefault="005B48B8" w:rsidP="005B48B8">
      <w:pPr>
        <w:pStyle w:val="NoSpacing"/>
        <w:ind w:left="718" w:hanging="435"/>
        <w:rPr>
          <w:sz w:val="22"/>
          <w:szCs w:val="22"/>
        </w:rPr>
      </w:pPr>
    </w:p>
    <w:p w:rsidR="005B48B8" w:rsidRDefault="005B48B8" w:rsidP="005B48B8">
      <w:pPr>
        <w:pStyle w:val="NoSpacing"/>
        <w:ind w:left="1440"/>
        <w:rPr>
          <w:sz w:val="22"/>
          <w:szCs w:val="22"/>
        </w:rPr>
      </w:pPr>
    </w:p>
    <w:p w:rsidR="008B092A" w:rsidRDefault="008B092A" w:rsidP="00067086">
      <w:pPr>
        <w:pStyle w:val="NoSpacing"/>
        <w:rPr>
          <w:sz w:val="22"/>
          <w:szCs w:val="22"/>
        </w:rPr>
      </w:pPr>
    </w:p>
    <w:p w:rsidR="005B48B8" w:rsidRDefault="005B48B8" w:rsidP="00067086">
      <w:pPr>
        <w:pStyle w:val="Footer"/>
        <w:tabs>
          <w:tab w:val="clear" w:pos="4153"/>
          <w:tab w:val="clear" w:pos="8306"/>
        </w:tabs>
        <w:rPr>
          <w:sz w:val="22"/>
          <w:szCs w:val="22"/>
        </w:rPr>
      </w:pPr>
      <w:bookmarkStart w:id="42" w:name="_Annex_B_–_1"/>
      <w:bookmarkEnd w:id="42"/>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CF1BC5" w:rsidRDefault="00CF1BC5" w:rsidP="00067086">
      <w:pPr>
        <w:pStyle w:val="Footer"/>
        <w:tabs>
          <w:tab w:val="clear" w:pos="4153"/>
          <w:tab w:val="clear" w:pos="8306"/>
        </w:tabs>
        <w:rPr>
          <w:sz w:val="22"/>
          <w:szCs w:val="22"/>
        </w:rPr>
      </w:pPr>
    </w:p>
    <w:p w:rsidR="005B48B8" w:rsidRDefault="005B48B8" w:rsidP="00067086">
      <w:pPr>
        <w:pStyle w:val="Footer"/>
        <w:tabs>
          <w:tab w:val="clear" w:pos="4153"/>
          <w:tab w:val="clear" w:pos="8306"/>
        </w:tabs>
        <w:rPr>
          <w:sz w:val="22"/>
          <w:szCs w:val="22"/>
        </w:rPr>
      </w:pPr>
    </w:p>
    <w:p w:rsidR="005B48B8" w:rsidRPr="005B48B8" w:rsidRDefault="005B48B8" w:rsidP="005B48B8">
      <w:pPr>
        <w:pStyle w:val="Heading9"/>
        <w:numPr>
          <w:ilvl w:val="0"/>
          <w:numId w:val="0"/>
        </w:numPr>
        <w:ind w:left="851"/>
        <w:rPr>
          <w:sz w:val="24"/>
        </w:rPr>
      </w:pPr>
      <w:r w:rsidRPr="005B48B8">
        <w:rPr>
          <w:sz w:val="24"/>
        </w:rPr>
        <w:t>Annex B – Indicative Tender Period</w:t>
      </w:r>
    </w:p>
    <w:p w:rsidR="00067086" w:rsidRDefault="00067086" w:rsidP="00067086">
      <w:pPr>
        <w:pStyle w:val="Footer"/>
        <w:tabs>
          <w:tab w:val="clear" w:pos="4153"/>
          <w:tab w:val="clear" w:pos="8306"/>
        </w:tabs>
        <w:rPr>
          <w:sz w:val="22"/>
          <w:szCs w:val="22"/>
        </w:rPr>
      </w:pPr>
      <w:r>
        <w:rPr>
          <w:sz w:val="22"/>
          <w:szCs w:val="22"/>
        </w:rPr>
        <w:t>The following table shows and indicative timetable for the procurement of this Work Package.</w:t>
      </w:r>
    </w:p>
    <w:p w:rsidR="00067086" w:rsidRDefault="00067086" w:rsidP="00067086">
      <w:pPr>
        <w:pStyle w:val="Footer"/>
        <w:tabs>
          <w:tab w:val="clear" w:pos="4153"/>
          <w:tab w:val="clear" w:pos="8306"/>
        </w:tabs>
        <w:rPr>
          <w:sz w:val="22"/>
          <w:szCs w:val="22"/>
        </w:rPr>
      </w:pPr>
    </w:p>
    <w:tbl>
      <w:tblPr>
        <w:tblStyle w:val="TableGrid"/>
        <w:tblW w:w="0" w:type="auto"/>
        <w:tblLook w:val="04A0" w:firstRow="1" w:lastRow="0" w:firstColumn="1" w:lastColumn="0" w:noHBand="0" w:noVBand="1"/>
      </w:tblPr>
      <w:tblGrid>
        <w:gridCol w:w="5433"/>
        <w:gridCol w:w="1763"/>
      </w:tblGrid>
      <w:tr w:rsidR="00067086" w:rsidRPr="000F32E7" w:rsidTr="00536E84">
        <w:tc>
          <w:tcPr>
            <w:tcW w:w="5433" w:type="dxa"/>
            <w:shd w:val="clear" w:color="auto" w:fill="BFBFBF" w:themeFill="background1" w:themeFillShade="BF"/>
            <w:vAlign w:val="center"/>
          </w:tcPr>
          <w:p w:rsidR="00067086" w:rsidRPr="000F32E7" w:rsidRDefault="00067086" w:rsidP="00536E84">
            <w:pPr>
              <w:spacing w:before="120" w:after="120"/>
              <w:rPr>
                <w:rFonts w:cs="Arial"/>
                <w:b/>
              </w:rPr>
            </w:pPr>
            <w:r w:rsidRPr="000F32E7">
              <w:rPr>
                <w:rFonts w:cs="Arial"/>
                <w:b/>
              </w:rPr>
              <w:t>Activity</w:t>
            </w:r>
          </w:p>
        </w:tc>
        <w:tc>
          <w:tcPr>
            <w:tcW w:w="1763" w:type="dxa"/>
            <w:shd w:val="clear" w:color="auto" w:fill="BFBFBF" w:themeFill="background1" w:themeFillShade="BF"/>
            <w:vAlign w:val="center"/>
          </w:tcPr>
          <w:p w:rsidR="00067086" w:rsidRPr="000F32E7" w:rsidRDefault="00067086" w:rsidP="00536E84">
            <w:pPr>
              <w:spacing w:before="120" w:after="120"/>
              <w:rPr>
                <w:rFonts w:cs="Arial"/>
                <w:b/>
              </w:rPr>
            </w:pPr>
            <w:r w:rsidRPr="000F32E7">
              <w:rPr>
                <w:rFonts w:cs="Arial"/>
                <w:b/>
              </w:rPr>
              <w:t>Date</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Issue Tender Documents</w:t>
            </w:r>
          </w:p>
        </w:tc>
        <w:tc>
          <w:tcPr>
            <w:tcW w:w="1763" w:type="dxa"/>
            <w:vAlign w:val="center"/>
          </w:tcPr>
          <w:p w:rsidR="00067086" w:rsidRPr="003B1417" w:rsidRDefault="004569C8" w:rsidP="00536E84">
            <w:pPr>
              <w:spacing w:before="120" w:after="120"/>
              <w:jc w:val="center"/>
              <w:rPr>
                <w:rFonts w:cs="Arial"/>
              </w:rPr>
            </w:pPr>
            <w:r>
              <w:rPr>
                <w:rFonts w:cs="Arial"/>
              </w:rPr>
              <w:t>2</w:t>
            </w:r>
            <w:r w:rsidR="005053D7">
              <w:rPr>
                <w:rFonts w:cs="Arial"/>
              </w:rPr>
              <w:t>7</w:t>
            </w:r>
            <w:r>
              <w:rPr>
                <w:rFonts w:cs="Arial"/>
              </w:rPr>
              <w:t>/01/2020</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 xml:space="preserve">Deadline for receipt of </w:t>
            </w:r>
            <w:r>
              <w:rPr>
                <w:rFonts w:cs="Arial"/>
              </w:rPr>
              <w:t>tender queries</w:t>
            </w:r>
          </w:p>
        </w:tc>
        <w:tc>
          <w:tcPr>
            <w:tcW w:w="1763" w:type="dxa"/>
            <w:vAlign w:val="center"/>
          </w:tcPr>
          <w:p w:rsidR="00067086" w:rsidRPr="003B1417" w:rsidRDefault="004569C8" w:rsidP="00536E84">
            <w:pPr>
              <w:spacing w:before="120" w:after="120"/>
              <w:jc w:val="center"/>
              <w:rPr>
                <w:rFonts w:cs="Arial"/>
              </w:rPr>
            </w:pPr>
            <w:r>
              <w:rPr>
                <w:rFonts w:cs="Arial"/>
              </w:rPr>
              <w:t>31</w:t>
            </w:r>
            <w:r w:rsidR="00702191">
              <w:rPr>
                <w:rFonts w:cs="Arial"/>
              </w:rPr>
              <w:t>/0</w:t>
            </w:r>
            <w:r>
              <w:rPr>
                <w:rFonts w:cs="Arial"/>
              </w:rPr>
              <w:t>1</w:t>
            </w:r>
            <w:r w:rsidR="00702191">
              <w:rPr>
                <w:rFonts w:cs="Arial"/>
              </w:rPr>
              <w:t>/20</w:t>
            </w:r>
            <w:r>
              <w:rPr>
                <w:rFonts w:cs="Arial"/>
              </w:rPr>
              <w:t>20</w:t>
            </w:r>
          </w:p>
        </w:tc>
      </w:tr>
      <w:tr w:rsidR="00067086" w:rsidRPr="000F32E7" w:rsidTr="00536E84">
        <w:tc>
          <w:tcPr>
            <w:tcW w:w="5433" w:type="dxa"/>
            <w:vAlign w:val="center"/>
          </w:tcPr>
          <w:p w:rsidR="00067086" w:rsidRPr="000F32E7" w:rsidRDefault="00067086" w:rsidP="00536E84">
            <w:pPr>
              <w:spacing w:before="120" w:after="120"/>
              <w:rPr>
                <w:rFonts w:cs="Arial"/>
              </w:rPr>
            </w:pPr>
            <w:r>
              <w:rPr>
                <w:rFonts w:cs="Arial"/>
              </w:rPr>
              <w:t>Deadline for t</w:t>
            </w:r>
            <w:r w:rsidRPr="000F32E7">
              <w:rPr>
                <w:rFonts w:cs="Arial"/>
              </w:rPr>
              <w:t xml:space="preserve">ender </w:t>
            </w:r>
            <w:r>
              <w:rPr>
                <w:rFonts w:cs="Arial"/>
              </w:rPr>
              <w:t>s</w:t>
            </w:r>
            <w:r w:rsidRPr="000F32E7">
              <w:rPr>
                <w:rFonts w:cs="Arial"/>
              </w:rPr>
              <w:t>ubmissions</w:t>
            </w:r>
          </w:p>
        </w:tc>
        <w:tc>
          <w:tcPr>
            <w:tcW w:w="1763" w:type="dxa"/>
            <w:vAlign w:val="center"/>
          </w:tcPr>
          <w:p w:rsidR="00067086" w:rsidRPr="003B1417" w:rsidRDefault="004569C8" w:rsidP="003B1417">
            <w:pPr>
              <w:spacing w:before="120" w:after="120"/>
              <w:jc w:val="center"/>
              <w:rPr>
                <w:rFonts w:cs="Arial"/>
              </w:rPr>
            </w:pPr>
            <w:r>
              <w:rPr>
                <w:rFonts w:cs="Arial"/>
              </w:rPr>
              <w:t>07</w:t>
            </w:r>
            <w:r w:rsidR="00702191">
              <w:rPr>
                <w:rFonts w:cs="Arial"/>
              </w:rPr>
              <w:t>/0</w:t>
            </w:r>
            <w:r>
              <w:rPr>
                <w:rFonts w:cs="Arial"/>
              </w:rPr>
              <w:t>2</w:t>
            </w:r>
            <w:r w:rsidR="00702191">
              <w:rPr>
                <w:rFonts w:cs="Arial"/>
              </w:rPr>
              <w:t>/20</w:t>
            </w:r>
            <w:r>
              <w:rPr>
                <w:rFonts w:cs="Arial"/>
              </w:rPr>
              <w:t>20</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 xml:space="preserve">Tender </w:t>
            </w:r>
            <w:r>
              <w:rPr>
                <w:rFonts w:cs="Arial"/>
              </w:rPr>
              <w:t>s</w:t>
            </w:r>
            <w:r w:rsidRPr="000F32E7">
              <w:rPr>
                <w:rFonts w:cs="Arial"/>
              </w:rPr>
              <w:t>ubmission assessment</w:t>
            </w:r>
          </w:p>
        </w:tc>
        <w:tc>
          <w:tcPr>
            <w:tcW w:w="1763" w:type="dxa"/>
            <w:vAlign w:val="center"/>
          </w:tcPr>
          <w:p w:rsidR="00067086" w:rsidRPr="003B1417" w:rsidRDefault="004569C8" w:rsidP="005B5747">
            <w:pPr>
              <w:spacing w:before="120" w:after="120"/>
              <w:jc w:val="center"/>
              <w:rPr>
                <w:rFonts w:cs="Arial"/>
              </w:rPr>
            </w:pPr>
            <w:r>
              <w:rPr>
                <w:rFonts w:cs="Arial"/>
              </w:rPr>
              <w:t>10</w:t>
            </w:r>
            <w:r w:rsidRPr="004569C8">
              <w:rPr>
                <w:rFonts w:cs="Arial"/>
              </w:rPr>
              <w:t>/02/2020</w:t>
            </w:r>
            <w:r>
              <w:rPr>
                <w:rFonts w:cs="Arial"/>
              </w:rPr>
              <w:t xml:space="preserve"> </w:t>
            </w:r>
          </w:p>
        </w:tc>
      </w:tr>
      <w:tr w:rsidR="005B5747" w:rsidRPr="000F32E7" w:rsidTr="00536E84">
        <w:tc>
          <w:tcPr>
            <w:tcW w:w="5433" w:type="dxa"/>
            <w:vAlign w:val="center"/>
          </w:tcPr>
          <w:p w:rsidR="005B5747" w:rsidRPr="000F32E7" w:rsidRDefault="005B5747" w:rsidP="00536E84">
            <w:pPr>
              <w:spacing w:before="120" w:after="120"/>
              <w:rPr>
                <w:rFonts w:cs="Arial"/>
              </w:rPr>
            </w:pPr>
            <w:r>
              <w:rPr>
                <w:rFonts w:cs="Arial"/>
              </w:rPr>
              <w:t>Sustainability</w:t>
            </w:r>
            <w:r w:rsidR="00D4568B">
              <w:rPr>
                <w:rFonts w:cs="Arial"/>
              </w:rPr>
              <w:t xml:space="preserve"> &amp;</w:t>
            </w:r>
            <w:r>
              <w:rPr>
                <w:rFonts w:cs="Arial"/>
              </w:rPr>
              <w:t xml:space="preserve"> </w:t>
            </w:r>
            <w:r w:rsidR="00D4568B" w:rsidRPr="00D4568B">
              <w:rPr>
                <w:rFonts w:cs="Arial"/>
              </w:rPr>
              <w:t>Sustainability check</w:t>
            </w:r>
          </w:p>
        </w:tc>
        <w:tc>
          <w:tcPr>
            <w:tcW w:w="1763" w:type="dxa"/>
            <w:vAlign w:val="center"/>
          </w:tcPr>
          <w:p w:rsidR="005B5747" w:rsidRDefault="005B5747" w:rsidP="00536E84">
            <w:pPr>
              <w:spacing w:before="120" w:after="120"/>
              <w:jc w:val="center"/>
              <w:rPr>
                <w:rFonts w:cs="Arial"/>
              </w:rPr>
            </w:pPr>
            <w:r>
              <w:rPr>
                <w:rFonts w:cs="Arial"/>
              </w:rPr>
              <w:t>11/02/2020 –14/02/2020</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Internal approvals</w:t>
            </w:r>
          </w:p>
        </w:tc>
        <w:tc>
          <w:tcPr>
            <w:tcW w:w="1763" w:type="dxa"/>
            <w:vAlign w:val="center"/>
          </w:tcPr>
          <w:p w:rsidR="00067086" w:rsidRPr="003B1417" w:rsidRDefault="004569C8" w:rsidP="00536E84">
            <w:pPr>
              <w:spacing w:before="120" w:after="120"/>
              <w:jc w:val="center"/>
              <w:rPr>
                <w:rFonts w:cs="Arial"/>
              </w:rPr>
            </w:pPr>
            <w:r>
              <w:rPr>
                <w:rFonts w:cs="Arial"/>
              </w:rPr>
              <w:t>1</w:t>
            </w:r>
            <w:r w:rsidR="005B5747">
              <w:rPr>
                <w:rFonts w:cs="Arial"/>
              </w:rPr>
              <w:t>7</w:t>
            </w:r>
            <w:r w:rsidRPr="004569C8">
              <w:rPr>
                <w:rFonts w:cs="Arial"/>
              </w:rPr>
              <w:t>/02/2020</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 xml:space="preserve">Notification of </w:t>
            </w:r>
            <w:r>
              <w:rPr>
                <w:rFonts w:cs="Arial"/>
              </w:rPr>
              <w:t>i</w:t>
            </w:r>
            <w:r w:rsidRPr="000F32E7">
              <w:rPr>
                <w:rFonts w:cs="Arial"/>
              </w:rPr>
              <w:t xml:space="preserve">ntention to </w:t>
            </w:r>
            <w:r>
              <w:rPr>
                <w:rFonts w:cs="Arial"/>
              </w:rPr>
              <w:t>a</w:t>
            </w:r>
            <w:r w:rsidRPr="000F32E7">
              <w:rPr>
                <w:rFonts w:cs="Arial"/>
              </w:rPr>
              <w:t>ward</w:t>
            </w:r>
          </w:p>
        </w:tc>
        <w:tc>
          <w:tcPr>
            <w:tcW w:w="1763" w:type="dxa"/>
            <w:vAlign w:val="center"/>
          </w:tcPr>
          <w:p w:rsidR="00067086" w:rsidRPr="003B1417" w:rsidRDefault="00702191" w:rsidP="00536E84">
            <w:pPr>
              <w:spacing w:before="120" w:after="120"/>
              <w:jc w:val="center"/>
              <w:rPr>
                <w:rFonts w:cs="Arial"/>
              </w:rPr>
            </w:pPr>
            <w:r>
              <w:rPr>
                <w:rFonts w:cs="Arial"/>
              </w:rPr>
              <w:t>n/a</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Standstill (10</w:t>
            </w:r>
            <w:r>
              <w:rPr>
                <w:rFonts w:cs="Arial"/>
              </w:rPr>
              <w:t xml:space="preserve"> calendar</w:t>
            </w:r>
            <w:r w:rsidRPr="000F32E7">
              <w:rPr>
                <w:rFonts w:cs="Arial"/>
              </w:rPr>
              <w:t xml:space="preserve"> days) including feedback</w:t>
            </w:r>
          </w:p>
        </w:tc>
        <w:tc>
          <w:tcPr>
            <w:tcW w:w="1763" w:type="dxa"/>
            <w:vAlign w:val="center"/>
          </w:tcPr>
          <w:p w:rsidR="00067086" w:rsidRPr="003B1417" w:rsidRDefault="00067086" w:rsidP="00536E84">
            <w:pPr>
              <w:spacing w:before="120" w:after="120"/>
              <w:jc w:val="center"/>
              <w:rPr>
                <w:rFonts w:cs="Arial"/>
              </w:rPr>
            </w:pPr>
            <w:r w:rsidRPr="003B1417">
              <w:rPr>
                <w:rFonts w:cs="Arial"/>
              </w:rPr>
              <w:t>n/a</w:t>
            </w:r>
          </w:p>
        </w:tc>
      </w:tr>
      <w:tr w:rsidR="00067086" w:rsidRPr="000F32E7" w:rsidTr="00536E84">
        <w:tc>
          <w:tcPr>
            <w:tcW w:w="5433" w:type="dxa"/>
            <w:vAlign w:val="center"/>
          </w:tcPr>
          <w:p w:rsidR="00067086" w:rsidRPr="000F32E7" w:rsidRDefault="00067086" w:rsidP="00536E84">
            <w:pPr>
              <w:spacing w:before="120" w:after="120"/>
              <w:rPr>
                <w:rFonts w:cs="Arial"/>
              </w:rPr>
            </w:pPr>
            <w:r w:rsidRPr="000F32E7">
              <w:rPr>
                <w:rFonts w:cs="Arial"/>
              </w:rPr>
              <w:t xml:space="preserve">Contract </w:t>
            </w:r>
            <w:r>
              <w:rPr>
                <w:rFonts w:cs="Arial"/>
              </w:rPr>
              <w:t>a</w:t>
            </w:r>
            <w:r w:rsidRPr="000F32E7">
              <w:rPr>
                <w:rFonts w:cs="Arial"/>
              </w:rPr>
              <w:t>ward</w:t>
            </w:r>
          </w:p>
        </w:tc>
        <w:tc>
          <w:tcPr>
            <w:tcW w:w="1763" w:type="dxa"/>
            <w:vAlign w:val="center"/>
          </w:tcPr>
          <w:p w:rsidR="00067086" w:rsidRPr="003B1417" w:rsidRDefault="00476770" w:rsidP="00536E84">
            <w:pPr>
              <w:spacing w:before="120" w:after="120"/>
              <w:jc w:val="center"/>
              <w:rPr>
                <w:rFonts w:cs="Arial"/>
              </w:rPr>
            </w:pPr>
            <w:r>
              <w:rPr>
                <w:rFonts w:cs="Arial"/>
              </w:rPr>
              <w:t>26</w:t>
            </w:r>
            <w:bookmarkStart w:id="43" w:name="_GoBack"/>
            <w:bookmarkEnd w:id="43"/>
            <w:r w:rsidR="004569C8" w:rsidRPr="004569C8">
              <w:rPr>
                <w:rFonts w:cs="Arial"/>
              </w:rPr>
              <w:t>/02/2020</w:t>
            </w:r>
          </w:p>
        </w:tc>
      </w:tr>
    </w:tbl>
    <w:p w:rsidR="00067086" w:rsidRPr="00DD5F26" w:rsidRDefault="00067086" w:rsidP="00067086">
      <w:pPr>
        <w:pStyle w:val="NoSpacing"/>
        <w:rPr>
          <w:sz w:val="22"/>
          <w:szCs w:val="22"/>
        </w:rPr>
      </w:pPr>
    </w:p>
    <w:p w:rsidR="002665B4" w:rsidRDefault="002665B4">
      <w:pPr>
        <w:pStyle w:val="Footer"/>
        <w:tabs>
          <w:tab w:val="clear" w:pos="4153"/>
          <w:tab w:val="clear" w:pos="8306"/>
        </w:tabs>
        <w:rPr>
          <w:sz w:val="22"/>
          <w:szCs w:val="22"/>
        </w:rPr>
      </w:pPr>
    </w:p>
    <w:p w:rsidR="00DD5F26" w:rsidRDefault="00DD5F26" w:rsidP="002F65E7">
      <w:pPr>
        <w:pStyle w:val="Heading9"/>
        <w:rPr>
          <w:sz w:val="24"/>
          <w:highlight w:val="yellow"/>
        </w:rPr>
        <w:sectPr w:rsidR="00DD5F26" w:rsidSect="00284CEC">
          <w:headerReference w:type="default" r:id="rId8"/>
          <w:footerReference w:type="default" r:id="rId9"/>
          <w:headerReference w:type="first" r:id="rId10"/>
          <w:footerReference w:type="first" r:id="rId11"/>
          <w:pgSz w:w="11906" w:h="16838" w:code="9"/>
          <w:pgMar w:top="624" w:right="1134" w:bottom="851" w:left="1418" w:header="709" w:footer="1134" w:gutter="0"/>
          <w:cols w:space="708"/>
          <w:titlePg/>
          <w:docGrid w:linePitch="360"/>
        </w:sectPr>
      </w:pPr>
      <w:bookmarkStart w:id="44" w:name="_Annex_B_–"/>
      <w:bookmarkEnd w:id="44"/>
    </w:p>
    <w:p w:rsidR="008B092A" w:rsidRPr="00284CEC" w:rsidRDefault="00067086" w:rsidP="002F65E7">
      <w:pPr>
        <w:pStyle w:val="Heading9"/>
        <w:rPr>
          <w:szCs w:val="22"/>
        </w:rPr>
      </w:pPr>
      <w:bookmarkStart w:id="45" w:name="_Annex_C_–_1"/>
      <w:bookmarkEnd w:id="45"/>
      <w:r w:rsidRPr="00284CEC">
        <w:rPr>
          <w:szCs w:val="22"/>
        </w:rPr>
        <w:lastRenderedPageBreak/>
        <w:t>Annex C</w:t>
      </w:r>
      <w:r w:rsidR="008B092A" w:rsidRPr="00284CEC">
        <w:rPr>
          <w:szCs w:val="22"/>
        </w:rPr>
        <w:t xml:space="preserve"> – Tender Query Form</w:t>
      </w:r>
    </w:p>
    <w:p w:rsidR="00DD5F26" w:rsidRDefault="00BC49AB" w:rsidP="00497159">
      <w:pPr>
        <w:pStyle w:val="Footer"/>
        <w:tabs>
          <w:tab w:val="clear" w:pos="4153"/>
          <w:tab w:val="clear" w:pos="8306"/>
        </w:tabs>
        <w:rPr>
          <w:sz w:val="22"/>
          <w:szCs w:val="22"/>
        </w:rPr>
      </w:pPr>
      <w:r w:rsidRPr="008B092A">
        <w:rPr>
          <w:sz w:val="22"/>
          <w:szCs w:val="22"/>
        </w:rPr>
        <w:t xml:space="preserve">Tender queries are to be entered in </w:t>
      </w:r>
      <w:r>
        <w:rPr>
          <w:sz w:val="22"/>
          <w:szCs w:val="22"/>
        </w:rPr>
        <w:t>the</w:t>
      </w:r>
      <w:r w:rsidRPr="008B092A">
        <w:rPr>
          <w:sz w:val="22"/>
          <w:szCs w:val="22"/>
        </w:rPr>
        <w:t xml:space="preserve"> form as below and submitted </w:t>
      </w:r>
      <w:r>
        <w:rPr>
          <w:sz w:val="22"/>
          <w:szCs w:val="22"/>
        </w:rPr>
        <w:t xml:space="preserve">to </w:t>
      </w:r>
      <w:r w:rsidRPr="008B092A">
        <w:rPr>
          <w:sz w:val="22"/>
          <w:szCs w:val="22"/>
        </w:rPr>
        <w:t xml:space="preserve">Highways </w:t>
      </w:r>
      <w:r>
        <w:rPr>
          <w:sz w:val="22"/>
          <w:szCs w:val="22"/>
        </w:rPr>
        <w:t xml:space="preserve">England via the Bravo Portal.  </w:t>
      </w:r>
      <w:r w:rsidRPr="008B092A">
        <w:rPr>
          <w:sz w:val="22"/>
          <w:szCs w:val="22"/>
        </w:rPr>
        <w:t>All details are to be included on this form, and no further attachments are to be sent. One questi</w:t>
      </w:r>
      <w:r>
        <w:rPr>
          <w:sz w:val="22"/>
          <w:szCs w:val="22"/>
        </w:rPr>
        <w:t>on should be asked for each row,</w:t>
      </w:r>
      <w:r w:rsidRPr="008B092A">
        <w:rPr>
          <w:sz w:val="22"/>
          <w:szCs w:val="22"/>
        </w:rPr>
        <w:t xml:space="preserve"> insert additional rows if necessary</w:t>
      </w:r>
      <w:r w:rsidR="008B092A">
        <w:rPr>
          <w:sz w:val="22"/>
          <w:szCs w:val="22"/>
        </w:rPr>
        <w:t>;</w:t>
      </w:r>
      <w:bookmarkStart w:id="46" w:name="_Annex_C_–"/>
      <w:bookmarkEnd w:id="46"/>
    </w:p>
    <w:p w:rsidR="00284CEC" w:rsidRDefault="00284CEC" w:rsidP="00497159">
      <w:pPr>
        <w:pStyle w:val="Footer"/>
        <w:tabs>
          <w:tab w:val="clear" w:pos="4153"/>
          <w:tab w:val="clear" w:pos="8306"/>
        </w:tabs>
        <w:rPr>
          <w:sz w:val="22"/>
          <w:szCs w:val="22"/>
        </w:rPr>
      </w:pPr>
    </w:p>
    <w:tbl>
      <w:tblPr>
        <w:tblStyle w:val="TableGrid"/>
        <w:tblW w:w="0" w:type="auto"/>
        <w:tblLook w:val="04A0" w:firstRow="1" w:lastRow="0" w:firstColumn="1" w:lastColumn="0" w:noHBand="0" w:noVBand="1"/>
      </w:tblPr>
      <w:tblGrid>
        <w:gridCol w:w="989"/>
        <w:gridCol w:w="1387"/>
        <w:gridCol w:w="5531"/>
        <w:gridCol w:w="5569"/>
        <w:gridCol w:w="1437"/>
      </w:tblGrid>
      <w:tr w:rsidR="00A003E0" w:rsidRPr="00284CEC" w:rsidTr="00A003E0">
        <w:trPr>
          <w:trHeight w:val="289"/>
        </w:trPr>
        <w:tc>
          <w:tcPr>
            <w:tcW w:w="989" w:type="dxa"/>
            <w:shd w:val="clear" w:color="auto" w:fill="B8CCE4" w:themeFill="accent1" w:themeFillTint="66"/>
            <w:vAlign w:val="center"/>
          </w:tcPr>
          <w:p w:rsidR="00A003E0" w:rsidRPr="00284CEC" w:rsidRDefault="00A003E0" w:rsidP="00A003E0">
            <w:pPr>
              <w:pStyle w:val="Footer"/>
              <w:tabs>
                <w:tab w:val="clear" w:pos="4153"/>
                <w:tab w:val="clear" w:pos="8306"/>
              </w:tabs>
              <w:rPr>
                <w:b/>
                <w:sz w:val="20"/>
                <w:szCs w:val="20"/>
              </w:rPr>
            </w:pPr>
            <w:r w:rsidRPr="00284CEC">
              <w:rPr>
                <w:b/>
                <w:sz w:val="20"/>
                <w:szCs w:val="20"/>
              </w:rPr>
              <w:t>Query No.</w:t>
            </w:r>
          </w:p>
        </w:tc>
        <w:tc>
          <w:tcPr>
            <w:tcW w:w="1387" w:type="dxa"/>
            <w:shd w:val="clear" w:color="auto" w:fill="B8CCE4" w:themeFill="accent1" w:themeFillTint="66"/>
            <w:vAlign w:val="center"/>
          </w:tcPr>
          <w:p w:rsidR="00A003E0" w:rsidRPr="00284CEC" w:rsidRDefault="00A003E0" w:rsidP="00A003E0">
            <w:pPr>
              <w:pStyle w:val="Footer"/>
              <w:tabs>
                <w:tab w:val="clear" w:pos="4153"/>
                <w:tab w:val="clear" w:pos="8306"/>
              </w:tabs>
              <w:rPr>
                <w:b/>
                <w:sz w:val="20"/>
                <w:szCs w:val="20"/>
              </w:rPr>
            </w:pPr>
            <w:r>
              <w:rPr>
                <w:b/>
                <w:sz w:val="20"/>
                <w:szCs w:val="20"/>
              </w:rPr>
              <w:t>Date Received</w:t>
            </w:r>
          </w:p>
        </w:tc>
        <w:tc>
          <w:tcPr>
            <w:tcW w:w="5531" w:type="dxa"/>
            <w:shd w:val="clear" w:color="auto" w:fill="B8CCE4" w:themeFill="accent1" w:themeFillTint="66"/>
            <w:vAlign w:val="center"/>
          </w:tcPr>
          <w:p w:rsidR="00A003E0" w:rsidRPr="00284CEC" w:rsidRDefault="00A003E0" w:rsidP="00A003E0">
            <w:pPr>
              <w:pStyle w:val="Footer"/>
              <w:tabs>
                <w:tab w:val="clear" w:pos="4153"/>
                <w:tab w:val="clear" w:pos="8306"/>
              </w:tabs>
              <w:rPr>
                <w:b/>
                <w:sz w:val="20"/>
                <w:szCs w:val="20"/>
              </w:rPr>
            </w:pPr>
            <w:r w:rsidRPr="00284CEC">
              <w:rPr>
                <w:b/>
                <w:sz w:val="20"/>
                <w:szCs w:val="20"/>
              </w:rPr>
              <w:t>Supplier Query</w:t>
            </w:r>
          </w:p>
        </w:tc>
        <w:tc>
          <w:tcPr>
            <w:tcW w:w="5569" w:type="dxa"/>
            <w:shd w:val="clear" w:color="auto" w:fill="B8CCE4" w:themeFill="accent1" w:themeFillTint="66"/>
            <w:vAlign w:val="center"/>
          </w:tcPr>
          <w:p w:rsidR="00A003E0" w:rsidRPr="00284CEC" w:rsidRDefault="00A003E0" w:rsidP="00A003E0">
            <w:pPr>
              <w:pStyle w:val="Footer"/>
              <w:tabs>
                <w:tab w:val="clear" w:pos="4153"/>
                <w:tab w:val="clear" w:pos="8306"/>
              </w:tabs>
              <w:rPr>
                <w:b/>
                <w:sz w:val="20"/>
                <w:szCs w:val="20"/>
              </w:rPr>
            </w:pPr>
            <w:r w:rsidRPr="00284CEC">
              <w:rPr>
                <w:b/>
                <w:sz w:val="20"/>
                <w:szCs w:val="20"/>
              </w:rPr>
              <w:t>Project Sponsor / Procurement Response</w:t>
            </w:r>
          </w:p>
        </w:tc>
        <w:tc>
          <w:tcPr>
            <w:tcW w:w="1437" w:type="dxa"/>
            <w:shd w:val="clear" w:color="auto" w:fill="B8CCE4" w:themeFill="accent1" w:themeFillTint="66"/>
            <w:vAlign w:val="center"/>
          </w:tcPr>
          <w:p w:rsidR="00A003E0" w:rsidRPr="00284CEC" w:rsidRDefault="00A003E0" w:rsidP="00A003E0">
            <w:pPr>
              <w:pStyle w:val="Footer"/>
              <w:tabs>
                <w:tab w:val="clear" w:pos="4153"/>
                <w:tab w:val="clear" w:pos="8306"/>
              </w:tabs>
              <w:rPr>
                <w:b/>
                <w:sz w:val="20"/>
                <w:szCs w:val="20"/>
              </w:rPr>
            </w:pPr>
            <w:r>
              <w:rPr>
                <w:b/>
                <w:sz w:val="20"/>
                <w:szCs w:val="20"/>
              </w:rPr>
              <w:t>Date Responded</w:t>
            </w: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1</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2</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3</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4</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5</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6</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7</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8</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r w:rsidR="00A003E0" w:rsidRPr="00284CEC" w:rsidTr="00A003E0">
        <w:trPr>
          <w:trHeight w:val="680"/>
        </w:trPr>
        <w:tc>
          <w:tcPr>
            <w:tcW w:w="989" w:type="dxa"/>
            <w:vAlign w:val="center"/>
          </w:tcPr>
          <w:p w:rsidR="00A003E0" w:rsidRPr="00284CEC" w:rsidRDefault="00A003E0" w:rsidP="00284CEC">
            <w:pPr>
              <w:pStyle w:val="Footer"/>
              <w:tabs>
                <w:tab w:val="clear" w:pos="4153"/>
                <w:tab w:val="clear" w:pos="8306"/>
              </w:tabs>
              <w:rPr>
                <w:b/>
                <w:sz w:val="20"/>
                <w:szCs w:val="20"/>
              </w:rPr>
            </w:pPr>
            <w:r w:rsidRPr="00284CEC">
              <w:rPr>
                <w:b/>
                <w:sz w:val="20"/>
                <w:szCs w:val="20"/>
              </w:rPr>
              <w:t>9</w:t>
            </w:r>
          </w:p>
        </w:tc>
        <w:tc>
          <w:tcPr>
            <w:tcW w:w="1387" w:type="dxa"/>
            <w:vAlign w:val="center"/>
          </w:tcPr>
          <w:p w:rsidR="00A003E0" w:rsidRPr="00284CEC" w:rsidRDefault="00A003E0" w:rsidP="00A003E0">
            <w:pPr>
              <w:pStyle w:val="Footer"/>
              <w:tabs>
                <w:tab w:val="clear" w:pos="4153"/>
                <w:tab w:val="clear" w:pos="8306"/>
              </w:tabs>
              <w:rPr>
                <w:sz w:val="22"/>
                <w:szCs w:val="22"/>
              </w:rPr>
            </w:pPr>
          </w:p>
        </w:tc>
        <w:tc>
          <w:tcPr>
            <w:tcW w:w="5531" w:type="dxa"/>
            <w:vAlign w:val="center"/>
          </w:tcPr>
          <w:p w:rsidR="00A003E0" w:rsidRPr="00284CEC" w:rsidRDefault="00A003E0" w:rsidP="00A003E0">
            <w:pPr>
              <w:pStyle w:val="Footer"/>
              <w:tabs>
                <w:tab w:val="clear" w:pos="4153"/>
                <w:tab w:val="clear" w:pos="8306"/>
              </w:tabs>
              <w:rPr>
                <w:sz w:val="22"/>
                <w:szCs w:val="22"/>
              </w:rPr>
            </w:pPr>
          </w:p>
        </w:tc>
        <w:tc>
          <w:tcPr>
            <w:tcW w:w="5569" w:type="dxa"/>
            <w:vAlign w:val="center"/>
          </w:tcPr>
          <w:p w:rsidR="00A003E0" w:rsidRPr="00284CEC" w:rsidRDefault="00A003E0" w:rsidP="00A003E0">
            <w:pPr>
              <w:pStyle w:val="Footer"/>
              <w:tabs>
                <w:tab w:val="clear" w:pos="4153"/>
                <w:tab w:val="clear" w:pos="8306"/>
              </w:tabs>
              <w:rPr>
                <w:sz w:val="22"/>
                <w:szCs w:val="22"/>
              </w:rPr>
            </w:pPr>
          </w:p>
        </w:tc>
        <w:tc>
          <w:tcPr>
            <w:tcW w:w="1437" w:type="dxa"/>
            <w:vAlign w:val="center"/>
          </w:tcPr>
          <w:p w:rsidR="00A003E0" w:rsidRPr="00284CEC" w:rsidRDefault="00A003E0" w:rsidP="00A003E0">
            <w:pPr>
              <w:pStyle w:val="Footer"/>
              <w:tabs>
                <w:tab w:val="clear" w:pos="4153"/>
                <w:tab w:val="clear" w:pos="8306"/>
              </w:tabs>
              <w:rPr>
                <w:sz w:val="22"/>
                <w:szCs w:val="22"/>
              </w:rPr>
            </w:pPr>
          </w:p>
        </w:tc>
      </w:tr>
    </w:tbl>
    <w:p w:rsidR="00284CEC" w:rsidRDefault="00284CEC" w:rsidP="005B3244">
      <w:pPr>
        <w:pStyle w:val="Footer"/>
        <w:tabs>
          <w:tab w:val="clear" w:pos="4153"/>
          <w:tab w:val="clear" w:pos="8306"/>
        </w:tabs>
        <w:rPr>
          <w:sz w:val="22"/>
          <w:szCs w:val="22"/>
        </w:rPr>
      </w:pPr>
    </w:p>
    <w:sectPr w:rsidR="00284CEC" w:rsidSect="00284CEC">
      <w:headerReference w:type="first" r:id="rId12"/>
      <w:pgSz w:w="16838" w:h="11906" w:orient="landscape" w:code="9"/>
      <w:pgMar w:top="1418" w:right="624" w:bottom="1134" w:left="85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F10" w:rsidRDefault="00841F10">
      <w:r>
        <w:separator/>
      </w:r>
    </w:p>
  </w:endnote>
  <w:endnote w:type="continuationSeparator" w:id="0">
    <w:p w:rsidR="00841F10" w:rsidRDefault="0084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84" w:rsidRDefault="00536E84">
    <w:pPr>
      <w:pStyle w:val="Footer"/>
      <w:tabs>
        <w:tab w:val="clear" w:pos="4153"/>
        <w:tab w:val="clear" w:pos="8306"/>
        <w:tab w:val="left" w:pos="2220"/>
        <w:tab w:val="center" w:pos="4820"/>
        <w:tab w:val="right" w:pos="9360"/>
      </w:tabs>
      <w:jc w:val="both"/>
    </w:pPr>
    <w:r>
      <w:rPr>
        <w:rFonts w:cs="Arial"/>
        <w:noProof/>
        <w:sz w:val="20"/>
        <w:lang w:eastAsia="en-GB"/>
      </w:rPr>
      <mc:AlternateContent>
        <mc:Choice Requires="wps">
          <w:drawing>
            <wp:anchor distT="0" distB="0" distL="114300" distR="114300" simplePos="0" relativeHeight="251659264" behindDoc="0" locked="0" layoutInCell="1" allowOverlap="1" wp14:anchorId="776E9C91" wp14:editId="69796CA5">
              <wp:simplePos x="0" y="0"/>
              <wp:positionH relativeFrom="column">
                <wp:posOffset>-342900</wp:posOffset>
              </wp:positionH>
              <wp:positionV relativeFrom="paragraph">
                <wp:posOffset>-71755</wp:posOffset>
              </wp:positionV>
              <wp:extent cx="6483350" cy="0"/>
              <wp:effectExtent l="9525" t="13970" r="1270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D19D4"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kKGwIAADM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"/>
          </w:pict>
        </mc:Fallback>
      </mc:AlternateContent>
    </w:r>
    <w:r w:rsidRPr="002665B4">
      <w:rPr>
        <w:rFonts w:cs="Arial"/>
        <w:noProof/>
        <w:sz w:val="20"/>
        <w:lang w:eastAsia="en-GB"/>
      </w:rPr>
      <w:t xml:space="preserve"> </w:t>
    </w:r>
    <w:r w:rsidR="000F0DD0">
      <w:rPr>
        <w:rFonts w:cs="Arial"/>
        <w:noProof/>
        <w:sz w:val="20"/>
        <w:lang w:eastAsia="en-GB"/>
      </w:rPr>
      <w:t>Instructions for Tenderers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84" w:rsidRDefault="00536E84">
    <w:pPr>
      <w:pStyle w:val="Footer"/>
      <w:tabs>
        <w:tab w:val="clear" w:pos="4153"/>
        <w:tab w:val="clear" w:pos="8306"/>
        <w:tab w:val="center" w:pos="4706"/>
        <w:tab w:val="right" w:pos="9360"/>
      </w:tabs>
      <w:jc w:val="both"/>
    </w:pPr>
    <w:r>
      <w:rPr>
        <w:rFonts w:cs="Arial"/>
        <w:noProof/>
        <w:sz w:val="20"/>
        <w:lang w:eastAsia="en-GB"/>
      </w:rPr>
      <mc:AlternateContent>
        <mc:Choice Requires="wps">
          <w:drawing>
            <wp:anchor distT="0" distB="0" distL="114300" distR="114300" simplePos="0" relativeHeight="251658240" behindDoc="0" locked="0" layoutInCell="1" allowOverlap="1" wp14:anchorId="1353259C" wp14:editId="77D69ACC">
              <wp:simplePos x="0" y="0"/>
              <wp:positionH relativeFrom="column">
                <wp:posOffset>-342900</wp:posOffset>
              </wp:positionH>
              <wp:positionV relativeFrom="paragraph">
                <wp:posOffset>-71755</wp:posOffset>
              </wp:positionV>
              <wp:extent cx="6483350" cy="0"/>
              <wp:effectExtent l="9525" t="13970" r="12700"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FB847"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b2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"/>
          </w:pict>
        </mc:Fallback>
      </mc:AlternateContent>
    </w:r>
    <w:r w:rsidR="000F0DD0">
      <w:rPr>
        <w:rFonts w:cs="Arial"/>
        <w:noProof/>
        <w:sz w:val="20"/>
        <w:lang w:eastAsia="en-GB"/>
      </w:rPr>
      <w:t>Instructions for Tenderers</w:t>
    </w:r>
    <w:r>
      <w:rPr>
        <w:rStyle w:val="PageNumber"/>
      </w:rPr>
      <w:t xml:space="preserve"> </w:t>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F10" w:rsidRDefault="00841F10">
      <w:r>
        <w:separator/>
      </w:r>
    </w:p>
  </w:footnote>
  <w:footnote w:type="continuationSeparator" w:id="0">
    <w:p w:rsidR="00841F10" w:rsidRDefault="0084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84" w:rsidRDefault="00536E84" w:rsidP="00E414B2">
    <w:pPr>
      <w:pStyle w:val="Header"/>
      <w:jc w:val="right"/>
      <w:rPr>
        <w:b w:val="0"/>
        <w:bCs w:val="0"/>
        <w:sz w:val="22"/>
      </w:rPr>
    </w:pPr>
    <w:r>
      <w:rPr>
        <w:lang w:val="en-GB" w:eastAsia="en-GB"/>
      </w:rPr>
      <w:drawing>
        <wp:anchor distT="0" distB="0" distL="114300" distR="114300" simplePos="0" relativeHeight="251661312" behindDoc="1" locked="0" layoutInCell="1" allowOverlap="1" wp14:anchorId="7895B648" wp14:editId="227ED99A">
          <wp:simplePos x="0" y="0"/>
          <wp:positionH relativeFrom="column">
            <wp:posOffset>-873108</wp:posOffset>
          </wp:positionH>
          <wp:positionV relativeFrom="paragraph">
            <wp:posOffset>-424996</wp:posOffset>
          </wp:positionV>
          <wp:extent cx="2400300" cy="1016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Pr>
        <w:b w:val="0"/>
        <w:bCs w:val="0"/>
        <w:sz w:val="22"/>
      </w:rPr>
      <w:t xml:space="preserve">Highways England Tyre </w:t>
    </w:r>
    <w:r w:rsidR="00D35DEE">
      <w:rPr>
        <w:b w:val="0"/>
        <w:bCs w:val="0"/>
        <w:sz w:val="22"/>
      </w:rPr>
      <w:t>Supply and Fit</w:t>
    </w:r>
  </w:p>
  <w:p w:rsidR="00536E84" w:rsidRDefault="00536E84">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84" w:rsidRDefault="00536E84" w:rsidP="00DD5F26">
    <w:pPr>
      <w:pStyle w:val="Header"/>
      <w:jc w:val="right"/>
    </w:pPr>
    <w:r>
      <w:rPr>
        <w:lang w:val="en-GB" w:eastAsia="en-GB"/>
      </w:rPr>
      <w:drawing>
        <wp:anchor distT="0" distB="0" distL="114300" distR="114300" simplePos="0" relativeHeight="251663360" behindDoc="1" locked="0" layoutInCell="1" allowOverlap="1" wp14:anchorId="01F636AB" wp14:editId="5D9C00A8">
          <wp:simplePos x="0" y="0"/>
          <wp:positionH relativeFrom="column">
            <wp:posOffset>-884259</wp:posOffset>
          </wp:positionH>
          <wp:positionV relativeFrom="paragraph">
            <wp:posOffset>-398989</wp:posOffset>
          </wp:positionV>
          <wp:extent cx="2400300" cy="101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Pr="00716E59">
      <w:rPr>
        <w:b w:val="0"/>
        <w:bCs w:val="0"/>
        <w:sz w:val="22"/>
      </w:rPr>
      <w:t xml:space="preserve"> </w:t>
    </w:r>
    <w:r>
      <w:rPr>
        <w:b w:val="0"/>
        <w:bCs w:val="0"/>
        <w:sz w:val="22"/>
      </w:rPr>
      <w:t xml:space="preserve">Highways England Tyre </w:t>
    </w:r>
    <w:r w:rsidR="00D35DEE">
      <w:rPr>
        <w:b w:val="0"/>
        <w:bCs w:val="0"/>
        <w:sz w:val="22"/>
      </w:rPr>
      <w:t>Supply and Fit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84" w:rsidRDefault="00C900DE" w:rsidP="00DD5F26">
    <w:pPr>
      <w:pStyle w:val="Header"/>
      <w:jc w:val="right"/>
    </w:pPr>
    <w:r>
      <w:rPr>
        <w:b w:val="0"/>
        <w:bCs w:val="0"/>
        <w:sz w:val="22"/>
      </w:rPr>
      <w:t>Highways England Tyre Supply and Fit</w:t>
    </w:r>
    <w:r>
      <w:rPr>
        <w:lang w:val="en-GB" w:eastAsia="en-GB"/>
      </w:rPr>
      <w:t xml:space="preserve"> </w:t>
    </w:r>
    <w:r w:rsidR="00536E84">
      <w:rPr>
        <w:lang w:val="en-GB" w:eastAsia="en-GB"/>
      </w:rPr>
      <w:drawing>
        <wp:anchor distT="0" distB="0" distL="114300" distR="114300" simplePos="0" relativeHeight="251665408" behindDoc="1" locked="0" layoutInCell="1" allowOverlap="1" wp14:anchorId="44B201FB" wp14:editId="7C02DA3D">
          <wp:simplePos x="0" y="0"/>
          <wp:positionH relativeFrom="column">
            <wp:posOffset>-474950</wp:posOffset>
          </wp:positionH>
          <wp:positionV relativeFrom="paragraph">
            <wp:posOffset>-402590</wp:posOffset>
          </wp:positionV>
          <wp:extent cx="2400300" cy="101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sidR="00536E84">
      <w:rPr>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EB046A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CD2994"/>
    <w:multiLevelType w:val="hybridMultilevel"/>
    <w:tmpl w:val="A21C9C22"/>
    <w:lvl w:ilvl="0" w:tplc="0809001B">
      <w:start w:val="1"/>
      <w:numFmt w:val="lowerRoman"/>
      <w:lvlText w:val="%1."/>
      <w:lvlJc w:val="righ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8A95A25"/>
    <w:multiLevelType w:val="multilevel"/>
    <w:tmpl w:val="EFFE73BC"/>
    <w:lvl w:ilvl="0">
      <w:start w:val="1"/>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CAE0E7E"/>
    <w:multiLevelType w:val="hybridMultilevel"/>
    <w:tmpl w:val="500E7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510D"/>
    <w:multiLevelType w:val="hybridMultilevel"/>
    <w:tmpl w:val="612068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D8C76B7"/>
    <w:multiLevelType w:val="hybridMultilevel"/>
    <w:tmpl w:val="5B146940"/>
    <w:lvl w:ilvl="0" w:tplc="0809001B">
      <w:start w:val="1"/>
      <w:numFmt w:val="lowerRoman"/>
      <w:lvlText w:val="%1."/>
      <w:lvlJc w:val="righ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6" w15:restartNumberingAfterBreak="0">
    <w:nsid w:val="12487D48"/>
    <w:multiLevelType w:val="hybridMultilevel"/>
    <w:tmpl w:val="555E6438"/>
    <w:lvl w:ilvl="0" w:tplc="C1183092">
      <w:start w:val="1"/>
      <w:numFmt w:val="decimal"/>
      <w:lvlText w:val="%1"/>
      <w:lvlJc w:val="left"/>
      <w:pPr>
        <w:ind w:left="718" w:hanging="435"/>
      </w:pPr>
      <w:rPr>
        <w:rFonts w:hint="default"/>
      </w:rPr>
    </w:lvl>
    <w:lvl w:ilvl="1" w:tplc="0809001B">
      <w:start w:val="1"/>
      <w:numFmt w:val="lowerRoman"/>
      <w:lvlText w:val="%2."/>
      <w:lvlJc w:val="righ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308C7"/>
    <w:multiLevelType w:val="multilevel"/>
    <w:tmpl w:val="BE5A12B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rPr>
    </w:lvl>
    <w:lvl w:ilvl="2">
      <w:start w:val="1"/>
      <w:numFmt w:val="decimal"/>
      <w:lvlText w:val="%1.%2.%3"/>
      <w:lvlJc w:val="left"/>
      <w:pPr>
        <w:tabs>
          <w:tab w:val="num" w:pos="1134"/>
        </w:tabs>
        <w:ind w:left="1134"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24AC1B71"/>
    <w:multiLevelType w:val="hybridMultilevel"/>
    <w:tmpl w:val="427288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E01269E"/>
    <w:multiLevelType w:val="multilevel"/>
    <w:tmpl w:val="BE5A12B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rPr>
    </w:lvl>
    <w:lvl w:ilvl="2">
      <w:start w:val="1"/>
      <w:numFmt w:val="decimal"/>
      <w:lvlText w:val="%1.%2.%3"/>
      <w:lvlJc w:val="left"/>
      <w:pPr>
        <w:tabs>
          <w:tab w:val="num" w:pos="1134"/>
        </w:tabs>
        <w:ind w:left="1134"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3474123D"/>
    <w:multiLevelType w:val="multilevel"/>
    <w:tmpl w:val="990E440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D3CA7"/>
    <w:multiLevelType w:val="multilevel"/>
    <w:tmpl w:val="6FC678C6"/>
    <w:lvl w:ilvl="0">
      <w:start w:val="6"/>
      <w:numFmt w:val="decimal"/>
      <w:lvlText w:val="%1.0"/>
      <w:lvlJc w:val="left"/>
      <w:pPr>
        <w:ind w:left="720" w:hanging="360"/>
      </w:pPr>
      <w:rPr>
        <w:rFonts w:hint="default"/>
        <w:b w:val="0"/>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14" w15:restartNumberingAfterBreak="0">
    <w:nsid w:val="3ACE29C3"/>
    <w:multiLevelType w:val="hybridMultilevel"/>
    <w:tmpl w:val="BE0447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750927"/>
    <w:multiLevelType w:val="hybridMultilevel"/>
    <w:tmpl w:val="BB9AB3C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A41040"/>
    <w:multiLevelType w:val="hybridMultilevel"/>
    <w:tmpl w:val="3488C6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8242E"/>
    <w:multiLevelType w:val="multilevel"/>
    <w:tmpl w:val="BE5A12B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rPr>
    </w:lvl>
    <w:lvl w:ilvl="2">
      <w:start w:val="1"/>
      <w:numFmt w:val="decimal"/>
      <w:lvlText w:val="%1.%2.%3"/>
      <w:lvlJc w:val="left"/>
      <w:pPr>
        <w:tabs>
          <w:tab w:val="num" w:pos="1134"/>
        </w:tabs>
        <w:ind w:left="1134" w:hanging="851"/>
      </w:pPr>
      <w:rPr>
        <w:rFonts w:ascii="Arial" w:hAnsi="Aria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494C1EED"/>
    <w:multiLevelType w:val="hybridMultilevel"/>
    <w:tmpl w:val="1DDCD1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B6B081A"/>
    <w:multiLevelType w:val="hybridMultilevel"/>
    <w:tmpl w:val="EECC8E4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922FBA"/>
    <w:multiLevelType w:val="hybridMultilevel"/>
    <w:tmpl w:val="9C5E445C"/>
    <w:lvl w:ilvl="0" w:tplc="FFFFFFFF">
      <w:start w:val="1"/>
      <w:numFmt w:val="decimal"/>
      <w:lvlText w:val="%1"/>
      <w:lvlJc w:val="left"/>
      <w:pPr>
        <w:tabs>
          <w:tab w:val="num" w:pos="2700"/>
        </w:tabs>
        <w:ind w:left="2700" w:hanging="198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4F86DE2"/>
    <w:multiLevelType w:val="hybridMultilevel"/>
    <w:tmpl w:val="BDB8F6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F601AA"/>
    <w:multiLevelType w:val="hybridMultilevel"/>
    <w:tmpl w:val="0DBAF3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E817F6"/>
    <w:multiLevelType w:val="hybridMultilevel"/>
    <w:tmpl w:val="26284F92"/>
    <w:lvl w:ilvl="0" w:tplc="6D7CCF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E211E"/>
    <w:multiLevelType w:val="hybridMultilevel"/>
    <w:tmpl w:val="7E609B4A"/>
    <w:lvl w:ilvl="0" w:tplc="FFFFFFFF">
      <w:start w:val="1"/>
      <w:numFmt w:val="decimal"/>
      <w:lvlText w:val="%1"/>
      <w:lvlJc w:val="left"/>
      <w:pPr>
        <w:tabs>
          <w:tab w:val="num" w:pos="2700"/>
        </w:tabs>
        <w:ind w:left="2700" w:hanging="198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3420"/>
        </w:tabs>
        <w:ind w:left="3420" w:hanging="72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6E230783"/>
    <w:multiLevelType w:val="hybridMultilevel"/>
    <w:tmpl w:val="DA48884A"/>
    <w:lvl w:ilvl="0" w:tplc="F0F6D1B6">
      <w:start w:val="1"/>
      <w:numFmt w:val="decimal"/>
      <w:lvlText w:val="%1"/>
      <w:lvlJc w:val="left"/>
      <w:pPr>
        <w:tabs>
          <w:tab w:val="num" w:pos="2700"/>
        </w:tabs>
        <w:ind w:left="2700" w:hanging="19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9D31D7"/>
    <w:multiLevelType w:val="multilevel"/>
    <w:tmpl w:val="0E66B812"/>
    <w:lvl w:ilvl="0">
      <w:start w:val="1"/>
      <w:numFmt w:val="decimal"/>
      <w:pStyle w:val="Heading1"/>
      <w:lvlText w:val="2.3%1"/>
      <w:lvlJc w:val="left"/>
      <w:pPr>
        <w:tabs>
          <w:tab w:val="num" w:pos="851"/>
        </w:tabs>
        <w:ind w:left="851" w:hanging="851"/>
      </w:pPr>
      <w:rPr>
        <w:rFonts w:hint="default"/>
        <w:b/>
        <w:i w:val="0"/>
        <w:sz w:val="22"/>
      </w:rPr>
    </w:lvl>
    <w:lvl w:ilvl="1">
      <w:start w:val="1"/>
      <w:numFmt w:val="decimal"/>
      <w:pStyle w:val="Heading2"/>
      <w:lvlText w:val="%1.%2"/>
      <w:lvlJc w:val="left"/>
      <w:pPr>
        <w:tabs>
          <w:tab w:val="num" w:pos="851"/>
        </w:tabs>
        <w:ind w:left="851" w:hanging="851"/>
      </w:pPr>
      <w:rPr>
        <w:rFonts w:ascii="Arial" w:hAnsi="Arial" w:hint="default"/>
        <w:b w:val="0"/>
        <w:i w:val="0"/>
      </w:rPr>
    </w:lvl>
    <w:lvl w:ilvl="2">
      <w:start w:val="1"/>
      <w:numFmt w:val="decimal"/>
      <w:pStyle w:val="BodyText1"/>
      <w:lvlText w:val="%1.%2.%3"/>
      <w:lvlJc w:val="left"/>
      <w:pPr>
        <w:tabs>
          <w:tab w:val="num" w:pos="1134"/>
        </w:tabs>
        <w:ind w:left="1134" w:hanging="851"/>
      </w:pPr>
      <w:rPr>
        <w:rFonts w:ascii="Arial" w:hAnsi="Arial" w:hint="default"/>
        <w:b w:val="0"/>
        <w:i w:val="0"/>
        <w:color w:val="auto"/>
        <w:sz w:val="22"/>
      </w:rPr>
    </w:lvl>
    <w:lvl w:ilvl="3">
      <w:start w:val="1"/>
      <w:numFmt w:val="decimal"/>
      <w:pStyle w:val="ListNumber"/>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2"/>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pStyle w:val="Heading9"/>
      <w:lvlText w:val=""/>
      <w:lvlJc w:val="left"/>
      <w:pPr>
        <w:tabs>
          <w:tab w:val="num" w:pos="851"/>
        </w:tabs>
        <w:ind w:left="851" w:hanging="851"/>
      </w:pPr>
      <w:rPr>
        <w:rFonts w:hint="default"/>
      </w:rPr>
    </w:lvl>
  </w:abstractNum>
  <w:abstractNum w:abstractNumId="27" w15:restartNumberingAfterBreak="0">
    <w:nsid w:val="73AD15AB"/>
    <w:multiLevelType w:val="hybridMultilevel"/>
    <w:tmpl w:val="109455B0"/>
    <w:lvl w:ilvl="0" w:tplc="7FEAA5EA">
      <w:start w:val="1"/>
      <w:numFmt w:val="decimal"/>
      <w:lvlText w:val="%1"/>
      <w:lvlJc w:val="left"/>
      <w:pPr>
        <w:tabs>
          <w:tab w:val="num" w:pos="2700"/>
        </w:tabs>
        <w:ind w:left="2700" w:hanging="198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7C4D7B47"/>
    <w:multiLevelType w:val="hybridMultilevel"/>
    <w:tmpl w:val="BAF2902C"/>
    <w:lvl w:ilvl="0" w:tplc="8DC2EE00">
      <w:start w:val="1"/>
      <w:numFmt w:val="bullet"/>
      <w:pStyle w:val="List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F64752D"/>
    <w:multiLevelType w:val="hybridMultilevel"/>
    <w:tmpl w:val="3488C6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2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5"/>
  </w:num>
  <w:num w:numId="8">
    <w:abstractNumId w:val="6"/>
  </w:num>
  <w:num w:numId="9">
    <w:abstractNumId w:val="4"/>
  </w:num>
  <w:num w:numId="10">
    <w:abstractNumId w:val="5"/>
  </w:num>
  <w:num w:numId="11">
    <w:abstractNumId w:val="1"/>
  </w:num>
  <w:num w:numId="12">
    <w:abstractNumId w:val="22"/>
  </w:num>
  <w:num w:numId="13">
    <w:abstractNumId w:val="18"/>
  </w:num>
  <w:num w:numId="14">
    <w:abstractNumId w:val="16"/>
  </w:num>
  <w:num w:numId="15">
    <w:abstractNumId w:val="19"/>
  </w:num>
  <w:num w:numId="16">
    <w:abstractNumId w:val="29"/>
  </w:num>
  <w:num w:numId="17">
    <w:abstractNumId w:val="14"/>
  </w:num>
  <w:num w:numId="18">
    <w:abstractNumId w:val="3"/>
  </w:num>
  <w:num w:numId="19">
    <w:abstractNumId w:val="9"/>
  </w:num>
  <w:num w:numId="20">
    <w:abstractNumId w:val="12"/>
  </w:num>
  <w:num w:numId="21">
    <w:abstractNumId w:val="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6"/>
    <w:lvlOverride w:ilvl="0">
      <w:startOverride w:val="2"/>
    </w:lvlOverride>
    <w:lvlOverride w:ilvl="1">
      <w:startOverride w:val="1"/>
    </w:lvlOverride>
  </w:num>
  <w:num w:numId="26">
    <w:abstractNumId w:val="21"/>
  </w:num>
  <w:num w:numId="27">
    <w:abstractNumId w:val="15"/>
  </w:num>
  <w:num w:numId="28">
    <w:abstractNumId w:val="2"/>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2"/>
    </w:lvlOverride>
    <w:lvlOverride w:ilvl="1">
      <w:startOverride w:val="2"/>
    </w:lvlOverride>
    <w:lvlOverride w:ilvl="2">
      <w:startOverride w:val="7"/>
    </w:lvlOverride>
  </w:num>
  <w:num w:numId="32">
    <w:abstractNumId w:val="26"/>
    <w:lvlOverride w:ilvl="0">
      <w:startOverride w:val="2"/>
    </w:lvlOverride>
    <w:lvlOverride w:ilvl="1">
      <w:startOverride w:val="3"/>
    </w:lvlOverride>
    <w:lvlOverride w:ilvl="2">
      <w:startOverride w:val="1"/>
    </w:lvlOverride>
  </w:num>
  <w:num w:numId="33">
    <w:abstractNumId w:val="26"/>
    <w:lvlOverride w:ilvl="0">
      <w:startOverride w:val="2"/>
    </w:lvlOverride>
    <w:lvlOverride w:ilvl="1">
      <w:startOverride w:val="3"/>
    </w:lvlOverride>
    <w:lvlOverride w:ilvl="2">
      <w:startOverride w:val="1"/>
    </w:lvlOverride>
  </w:num>
  <w:num w:numId="34">
    <w:abstractNumId w:val="10"/>
  </w:num>
  <w:num w:numId="35">
    <w:abstractNumId w:val="26"/>
  </w:num>
  <w:num w:numId="36">
    <w:abstractNumId w:val="8"/>
  </w:num>
  <w:num w:numId="37">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2"/>
    </w:lvlOverride>
    <w:lvlOverride w:ilvl="1">
      <w:startOverride w:val="3"/>
    </w:lvlOverride>
    <w:lvlOverride w:ilvl="2">
      <w:startOverride w:val="1"/>
    </w:lvlOverride>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4"/>
    <w:rsid w:val="0000585F"/>
    <w:rsid w:val="00012465"/>
    <w:rsid w:val="00026E47"/>
    <w:rsid w:val="00031EF9"/>
    <w:rsid w:val="0003412F"/>
    <w:rsid w:val="000509DA"/>
    <w:rsid w:val="00054907"/>
    <w:rsid w:val="00067086"/>
    <w:rsid w:val="00083A5D"/>
    <w:rsid w:val="00095DB6"/>
    <w:rsid w:val="000D0E8E"/>
    <w:rsid w:val="000F0DD0"/>
    <w:rsid w:val="00100C7F"/>
    <w:rsid w:val="00121243"/>
    <w:rsid w:val="00146B74"/>
    <w:rsid w:val="00160C6D"/>
    <w:rsid w:val="0016244B"/>
    <w:rsid w:val="00177AC2"/>
    <w:rsid w:val="00194685"/>
    <w:rsid w:val="001B37D5"/>
    <w:rsid w:val="001B797F"/>
    <w:rsid w:val="001D0284"/>
    <w:rsid w:val="001D496C"/>
    <w:rsid w:val="001F15EC"/>
    <w:rsid w:val="0020193C"/>
    <w:rsid w:val="00220000"/>
    <w:rsid w:val="0024708B"/>
    <w:rsid w:val="002665B4"/>
    <w:rsid w:val="00284CEC"/>
    <w:rsid w:val="00292A30"/>
    <w:rsid w:val="0029459F"/>
    <w:rsid w:val="002A609D"/>
    <w:rsid w:val="002F014A"/>
    <w:rsid w:val="002F38AD"/>
    <w:rsid w:val="002F65E7"/>
    <w:rsid w:val="00316077"/>
    <w:rsid w:val="003553DD"/>
    <w:rsid w:val="00386771"/>
    <w:rsid w:val="003A7414"/>
    <w:rsid w:val="003B1417"/>
    <w:rsid w:val="003C5E8A"/>
    <w:rsid w:val="004038A9"/>
    <w:rsid w:val="00424443"/>
    <w:rsid w:val="0044414D"/>
    <w:rsid w:val="00445795"/>
    <w:rsid w:val="00446FD8"/>
    <w:rsid w:val="004569C8"/>
    <w:rsid w:val="004735C4"/>
    <w:rsid w:val="00476770"/>
    <w:rsid w:val="00497159"/>
    <w:rsid w:val="004A5413"/>
    <w:rsid w:val="004B267F"/>
    <w:rsid w:val="004B2AC1"/>
    <w:rsid w:val="005053D7"/>
    <w:rsid w:val="00514272"/>
    <w:rsid w:val="00536E84"/>
    <w:rsid w:val="005B3244"/>
    <w:rsid w:val="005B48B8"/>
    <w:rsid w:val="005B5747"/>
    <w:rsid w:val="005C23A2"/>
    <w:rsid w:val="005D113D"/>
    <w:rsid w:val="00633E75"/>
    <w:rsid w:val="006355D0"/>
    <w:rsid w:val="006774F7"/>
    <w:rsid w:val="006B398C"/>
    <w:rsid w:val="006C54B8"/>
    <w:rsid w:val="006C6691"/>
    <w:rsid w:val="006D43F5"/>
    <w:rsid w:val="006D43FC"/>
    <w:rsid w:val="00702191"/>
    <w:rsid w:val="007032A9"/>
    <w:rsid w:val="00716E59"/>
    <w:rsid w:val="007321DB"/>
    <w:rsid w:val="007618E8"/>
    <w:rsid w:val="0076566C"/>
    <w:rsid w:val="007A6B4C"/>
    <w:rsid w:val="007A7406"/>
    <w:rsid w:val="007E4EC0"/>
    <w:rsid w:val="00826176"/>
    <w:rsid w:val="00841F10"/>
    <w:rsid w:val="008529EC"/>
    <w:rsid w:val="00890CD5"/>
    <w:rsid w:val="00897A48"/>
    <w:rsid w:val="008A7380"/>
    <w:rsid w:val="008B092A"/>
    <w:rsid w:val="008B4482"/>
    <w:rsid w:val="008D7004"/>
    <w:rsid w:val="008E0464"/>
    <w:rsid w:val="00911F17"/>
    <w:rsid w:val="00912467"/>
    <w:rsid w:val="00950B9A"/>
    <w:rsid w:val="00955249"/>
    <w:rsid w:val="00974791"/>
    <w:rsid w:val="009D4973"/>
    <w:rsid w:val="009E44D6"/>
    <w:rsid w:val="009F4E6B"/>
    <w:rsid w:val="00A003E0"/>
    <w:rsid w:val="00A034D4"/>
    <w:rsid w:val="00A87F86"/>
    <w:rsid w:val="00AB655A"/>
    <w:rsid w:val="00AD5C58"/>
    <w:rsid w:val="00AE0D1A"/>
    <w:rsid w:val="00B32345"/>
    <w:rsid w:val="00B50524"/>
    <w:rsid w:val="00B60BCB"/>
    <w:rsid w:val="00BA0A73"/>
    <w:rsid w:val="00BC49AB"/>
    <w:rsid w:val="00BD1678"/>
    <w:rsid w:val="00C4756B"/>
    <w:rsid w:val="00C53AA5"/>
    <w:rsid w:val="00C80CD4"/>
    <w:rsid w:val="00C900DE"/>
    <w:rsid w:val="00CE214A"/>
    <w:rsid w:val="00CE4533"/>
    <w:rsid w:val="00CF103E"/>
    <w:rsid w:val="00CF1BC5"/>
    <w:rsid w:val="00D01FF3"/>
    <w:rsid w:val="00D35DEE"/>
    <w:rsid w:val="00D4568B"/>
    <w:rsid w:val="00D57231"/>
    <w:rsid w:val="00D62EEE"/>
    <w:rsid w:val="00D71607"/>
    <w:rsid w:val="00D914A1"/>
    <w:rsid w:val="00DC6E78"/>
    <w:rsid w:val="00DD5F26"/>
    <w:rsid w:val="00DD7B72"/>
    <w:rsid w:val="00DE31F5"/>
    <w:rsid w:val="00E174B1"/>
    <w:rsid w:val="00E414B2"/>
    <w:rsid w:val="00E74A9D"/>
    <w:rsid w:val="00E77D85"/>
    <w:rsid w:val="00E80123"/>
    <w:rsid w:val="00EB5777"/>
    <w:rsid w:val="00F15013"/>
    <w:rsid w:val="00F37637"/>
    <w:rsid w:val="00F6703F"/>
    <w:rsid w:val="00F80BA2"/>
    <w:rsid w:val="00FB79F0"/>
    <w:rsid w:val="00FF2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5BF1F"/>
  <w15:docId w15:val="{81E7B0C8-3CAD-45F8-B8B8-DEBF4BC8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aliases w:val="Heading Mike 1,Section,Section Heading,Numbered - 1,Outline1,Paragraph,Lev 1,level 1,for contents page"/>
    <w:basedOn w:val="Normal"/>
    <w:next w:val="Normal"/>
    <w:link w:val="Heading1Char"/>
    <w:uiPriority w:val="99"/>
    <w:qFormat/>
    <w:rsid w:val="002665B4"/>
    <w:pPr>
      <w:numPr>
        <w:numId w:val="35"/>
      </w:numPr>
      <w:autoSpaceDE w:val="0"/>
      <w:autoSpaceDN w:val="0"/>
      <w:adjustRightInd w:val="0"/>
      <w:spacing w:after="240" w:line="264" w:lineRule="auto"/>
      <w:outlineLvl w:val="0"/>
    </w:pPr>
    <w:rPr>
      <w:b/>
      <w:bCs/>
      <w:caps/>
      <w:sz w:val="22"/>
      <w:szCs w:val="22"/>
    </w:rPr>
  </w:style>
  <w:style w:type="paragraph" w:styleId="Heading2">
    <w:name w:val="heading 2"/>
    <w:aliases w:val="ParaLvl2,Numbered - 2,Major,Sub-paragraph,B,#2,1.1,AITS 2,AITS Section Heading,Lev 2,Clause,h2,H2,section header,Paragraafkop"/>
    <w:basedOn w:val="Normal"/>
    <w:next w:val="Normal"/>
    <w:link w:val="Heading2Char"/>
    <w:qFormat/>
    <w:rsid w:val="002665B4"/>
    <w:pPr>
      <w:keepNext/>
      <w:numPr>
        <w:ilvl w:val="1"/>
        <w:numId w:val="35"/>
      </w:numPr>
      <w:spacing w:after="240" w:line="264" w:lineRule="auto"/>
      <w:jc w:val="both"/>
      <w:outlineLvl w:val="1"/>
    </w:pPr>
    <w:rPr>
      <w:b/>
      <w:bCs/>
      <w:sz w:val="22"/>
    </w:rPr>
  </w:style>
  <w:style w:type="paragraph" w:styleId="Heading4">
    <w:name w:val="heading 4"/>
    <w:basedOn w:val="Normal"/>
    <w:next w:val="Normal"/>
    <w:link w:val="Heading4Char"/>
    <w:semiHidden/>
    <w:unhideWhenUsed/>
    <w:qFormat/>
    <w:rsid w:val="00316077"/>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31607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665B4"/>
    <w:pPr>
      <w:keepNext/>
      <w:widowControl w:val="0"/>
      <w:numPr>
        <w:ilvl w:val="8"/>
        <w:numId w:val="35"/>
      </w:numPr>
      <w:tabs>
        <w:tab w:val="left" w:pos="720"/>
      </w:tabs>
      <w:overflowPunct w:val="0"/>
      <w:autoSpaceDE w:val="0"/>
      <w:autoSpaceDN w:val="0"/>
      <w:adjustRightInd w:val="0"/>
      <w:spacing w:after="240" w:line="264" w:lineRule="auto"/>
      <w:jc w:val="both"/>
      <w:textAlignment w:val="baseline"/>
      <w:outlineLvl w:val="8"/>
    </w:pPr>
    <w:rPr>
      <w:b/>
      <w:caps/>
      <w:color w:val="000000"/>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center"/>
    </w:pPr>
    <w:rPr>
      <w:rFonts w:cs="Arial"/>
      <w:b/>
      <w:bCs/>
      <w:noProof/>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table" w:styleId="TableGrid">
    <w:name w:val="Table Grid"/>
    <w:basedOn w:val="TableNormal"/>
    <w:uiPriority w:val="59"/>
    <w:rsid w:val="00266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665B4"/>
    <w:pPr>
      <w:spacing w:after="120" w:line="480" w:lineRule="auto"/>
      <w:ind w:left="283"/>
    </w:pPr>
  </w:style>
  <w:style w:type="character" w:customStyle="1" w:styleId="BodyTextIndent2Char">
    <w:name w:val="Body Text Indent 2 Char"/>
    <w:basedOn w:val="DefaultParagraphFont"/>
    <w:link w:val="BodyTextIndent2"/>
    <w:rsid w:val="002665B4"/>
    <w:rPr>
      <w:rFonts w:ascii="Arial" w:hAnsi="Arial"/>
      <w:sz w:val="24"/>
      <w:szCs w:val="24"/>
      <w:lang w:eastAsia="en-US"/>
    </w:rPr>
  </w:style>
  <w:style w:type="character" w:customStyle="1" w:styleId="Heading1Char">
    <w:name w:val="Heading 1 Char"/>
    <w:aliases w:val="Heading Mike 1 Char,Section Char,Section Heading Char,Numbered - 1 Char,Outline1 Char,Paragraph Char,Lev 1 Char,level 1 Char,for contents page Char"/>
    <w:basedOn w:val="DefaultParagraphFont"/>
    <w:link w:val="Heading1"/>
    <w:rsid w:val="002665B4"/>
    <w:rPr>
      <w:rFonts w:ascii="Arial" w:hAnsi="Arial"/>
      <w:b/>
      <w:bCs/>
      <w:caps/>
      <w:sz w:val="22"/>
      <w:szCs w:val="22"/>
      <w:lang w:eastAsia="en-US"/>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
    <w:basedOn w:val="DefaultParagraphFont"/>
    <w:link w:val="Heading2"/>
    <w:rsid w:val="002665B4"/>
    <w:rPr>
      <w:rFonts w:ascii="Arial" w:hAnsi="Arial"/>
      <w:b/>
      <w:bCs/>
      <w:sz w:val="22"/>
      <w:szCs w:val="24"/>
      <w:lang w:eastAsia="en-US"/>
    </w:rPr>
  </w:style>
  <w:style w:type="character" w:customStyle="1" w:styleId="Heading9Char">
    <w:name w:val="Heading 9 Char"/>
    <w:basedOn w:val="DefaultParagraphFont"/>
    <w:link w:val="Heading9"/>
    <w:rsid w:val="002665B4"/>
    <w:rPr>
      <w:rFonts w:ascii="Arial" w:hAnsi="Arial"/>
      <w:b/>
      <w:caps/>
      <w:color w:val="000000"/>
      <w:spacing w:val="-2"/>
      <w:sz w:val="22"/>
      <w:lang w:eastAsia="en-US"/>
    </w:rPr>
  </w:style>
  <w:style w:type="paragraph" w:customStyle="1" w:styleId="BodyText1">
    <w:name w:val="Body Text 1"/>
    <w:basedOn w:val="Normal"/>
    <w:link w:val="BodyText1Char"/>
    <w:qFormat/>
    <w:rsid w:val="002665B4"/>
    <w:pPr>
      <w:numPr>
        <w:ilvl w:val="2"/>
        <w:numId w:val="35"/>
      </w:numPr>
      <w:tabs>
        <w:tab w:val="left" w:pos="2340"/>
        <w:tab w:val="left" w:pos="3060"/>
      </w:tabs>
      <w:spacing w:after="240" w:line="264" w:lineRule="auto"/>
      <w:jc w:val="both"/>
    </w:pPr>
    <w:rPr>
      <w:iCs/>
      <w:sz w:val="22"/>
      <w:szCs w:val="20"/>
      <w:lang w:val="en-US"/>
    </w:rPr>
  </w:style>
  <w:style w:type="paragraph" w:styleId="ListBullet">
    <w:name w:val="List Bullet"/>
    <w:basedOn w:val="Normal"/>
    <w:autoRedefine/>
    <w:rsid w:val="002665B4"/>
    <w:pPr>
      <w:numPr>
        <w:numId w:val="2"/>
      </w:numPr>
      <w:tabs>
        <w:tab w:val="left" w:pos="-3240"/>
      </w:tabs>
      <w:spacing w:after="240" w:line="264" w:lineRule="auto"/>
      <w:jc w:val="both"/>
    </w:pPr>
    <w:rPr>
      <w:snapToGrid w:val="0"/>
      <w:sz w:val="22"/>
      <w:szCs w:val="20"/>
    </w:rPr>
  </w:style>
  <w:style w:type="paragraph" w:styleId="ListBullet2">
    <w:name w:val="List Bullet 2"/>
    <w:basedOn w:val="Normal"/>
    <w:autoRedefine/>
    <w:rsid w:val="002665B4"/>
    <w:pPr>
      <w:widowControl w:val="0"/>
      <w:numPr>
        <w:ilvl w:val="5"/>
        <w:numId w:val="35"/>
      </w:numPr>
      <w:spacing w:after="240" w:line="264" w:lineRule="auto"/>
    </w:pPr>
    <w:rPr>
      <w:snapToGrid w:val="0"/>
      <w:sz w:val="22"/>
      <w:szCs w:val="20"/>
    </w:rPr>
  </w:style>
  <w:style w:type="paragraph" w:styleId="ListNumber">
    <w:name w:val="List Number"/>
    <w:basedOn w:val="Normal"/>
    <w:uiPriority w:val="99"/>
    <w:rsid w:val="002665B4"/>
    <w:pPr>
      <w:widowControl w:val="0"/>
      <w:numPr>
        <w:ilvl w:val="3"/>
        <w:numId w:val="35"/>
      </w:numPr>
      <w:spacing w:after="240" w:line="264" w:lineRule="auto"/>
    </w:pPr>
    <w:rPr>
      <w:rFonts w:cs="Arial"/>
      <w:snapToGrid w:val="0"/>
      <w:sz w:val="22"/>
      <w:szCs w:val="20"/>
    </w:rPr>
  </w:style>
  <w:style w:type="character" w:styleId="Hyperlink">
    <w:name w:val="Hyperlink"/>
    <w:uiPriority w:val="99"/>
    <w:rsid w:val="002665B4"/>
    <w:rPr>
      <w:color w:val="0000FF"/>
      <w:u w:val="single"/>
    </w:rPr>
  </w:style>
  <w:style w:type="character" w:customStyle="1" w:styleId="BodyText1Char">
    <w:name w:val="Body Text 1 Char"/>
    <w:link w:val="BodyText1"/>
    <w:rsid w:val="002665B4"/>
    <w:rPr>
      <w:rFonts w:ascii="Arial" w:hAnsi="Arial"/>
      <w:iCs/>
      <w:sz w:val="22"/>
      <w:lang w:val="en-US" w:eastAsia="en-US"/>
    </w:rPr>
  </w:style>
  <w:style w:type="paragraph" w:customStyle="1" w:styleId="xl30">
    <w:name w:val="xl30"/>
    <w:basedOn w:val="Normal"/>
    <w:rsid w:val="00F15013"/>
    <w:pPr>
      <w:pBdr>
        <w:right w:val="single" w:sz="4" w:space="0" w:color="auto"/>
      </w:pBdr>
      <w:spacing w:before="100" w:beforeAutospacing="1" w:after="100" w:afterAutospacing="1"/>
    </w:pPr>
    <w:rPr>
      <w:rFonts w:ascii="Times New Roman" w:eastAsia="Arial Unicode MS" w:hAnsi="Times New Roman"/>
      <w:b/>
      <w:bCs/>
      <w:i/>
      <w:iCs/>
    </w:rPr>
  </w:style>
  <w:style w:type="character" w:customStyle="1" w:styleId="Heading4Char">
    <w:name w:val="Heading 4 Char"/>
    <w:basedOn w:val="DefaultParagraphFont"/>
    <w:link w:val="Heading4"/>
    <w:semiHidden/>
    <w:rsid w:val="00316077"/>
    <w:rPr>
      <w:rFonts w:asciiTheme="majorHAnsi" w:eastAsiaTheme="majorEastAsia" w:hAnsiTheme="majorHAnsi" w:cstheme="majorBidi"/>
      <w:b/>
      <w:bCs/>
      <w:i/>
      <w:iCs/>
      <w:color w:val="4F81BD" w:themeColor="accent1"/>
      <w:sz w:val="24"/>
      <w:szCs w:val="24"/>
      <w:lang w:eastAsia="en-US"/>
    </w:rPr>
  </w:style>
  <w:style w:type="character" w:customStyle="1" w:styleId="Heading8Char">
    <w:name w:val="Heading 8 Char"/>
    <w:basedOn w:val="DefaultParagraphFont"/>
    <w:link w:val="Heading8"/>
    <w:semiHidden/>
    <w:rsid w:val="00316077"/>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316077"/>
    <w:pPr>
      <w:spacing w:after="120"/>
    </w:pPr>
    <w:rPr>
      <w:sz w:val="16"/>
      <w:szCs w:val="16"/>
    </w:rPr>
  </w:style>
  <w:style w:type="character" w:customStyle="1" w:styleId="BodyText3Char">
    <w:name w:val="Body Text 3 Char"/>
    <w:basedOn w:val="DefaultParagraphFont"/>
    <w:link w:val="BodyText3"/>
    <w:rsid w:val="00316077"/>
    <w:rPr>
      <w:rFonts w:ascii="Arial" w:hAnsi="Arial"/>
      <w:sz w:val="16"/>
      <w:szCs w:val="16"/>
      <w:lang w:eastAsia="en-US"/>
    </w:rPr>
  </w:style>
  <w:style w:type="paragraph" w:styleId="NoSpacing">
    <w:name w:val="No Spacing"/>
    <w:uiPriority w:val="1"/>
    <w:qFormat/>
    <w:rsid w:val="00316077"/>
    <w:rPr>
      <w:rFonts w:ascii="Arial" w:hAnsi="Arial"/>
      <w:sz w:val="24"/>
      <w:szCs w:val="24"/>
      <w:lang w:eastAsia="en-US"/>
    </w:rPr>
  </w:style>
  <w:style w:type="paragraph" w:styleId="ListParagraph">
    <w:name w:val="List Paragraph"/>
    <w:basedOn w:val="Normal"/>
    <w:uiPriority w:val="34"/>
    <w:qFormat/>
    <w:rsid w:val="00F80BA2"/>
    <w:pPr>
      <w:ind w:left="720"/>
      <w:contextualSpacing/>
    </w:pPr>
  </w:style>
  <w:style w:type="character" w:customStyle="1" w:styleId="FooterChar">
    <w:name w:val="Footer Char"/>
    <w:basedOn w:val="DefaultParagraphFont"/>
    <w:link w:val="Footer"/>
    <w:uiPriority w:val="99"/>
    <w:rsid w:val="002F65E7"/>
    <w:rPr>
      <w:rFonts w:ascii="Arial" w:hAnsi="Arial"/>
      <w:sz w:val="24"/>
      <w:szCs w:val="24"/>
      <w:lang w:eastAsia="en-US"/>
    </w:rPr>
  </w:style>
  <w:style w:type="character" w:styleId="FollowedHyperlink">
    <w:name w:val="FollowedHyperlink"/>
    <w:basedOn w:val="DefaultParagraphFont"/>
    <w:rsid w:val="00067086"/>
    <w:rPr>
      <w:color w:val="800080" w:themeColor="followedHyperlink"/>
      <w:u w:val="single"/>
    </w:rPr>
  </w:style>
  <w:style w:type="character" w:styleId="CommentReference">
    <w:name w:val="annotation reference"/>
    <w:basedOn w:val="DefaultParagraphFont"/>
    <w:rsid w:val="00424443"/>
    <w:rPr>
      <w:sz w:val="16"/>
      <w:szCs w:val="16"/>
    </w:rPr>
  </w:style>
  <w:style w:type="paragraph" w:styleId="CommentText">
    <w:name w:val="annotation text"/>
    <w:basedOn w:val="Normal"/>
    <w:link w:val="CommentTextChar"/>
    <w:rsid w:val="00424443"/>
    <w:rPr>
      <w:sz w:val="20"/>
      <w:szCs w:val="20"/>
    </w:rPr>
  </w:style>
  <w:style w:type="character" w:customStyle="1" w:styleId="CommentTextChar">
    <w:name w:val="Comment Text Char"/>
    <w:basedOn w:val="DefaultParagraphFont"/>
    <w:link w:val="CommentText"/>
    <w:rsid w:val="00424443"/>
    <w:rPr>
      <w:rFonts w:ascii="Arial" w:hAnsi="Arial"/>
      <w:lang w:eastAsia="en-US"/>
    </w:rPr>
  </w:style>
  <w:style w:type="paragraph" w:styleId="CommentSubject">
    <w:name w:val="annotation subject"/>
    <w:basedOn w:val="CommentText"/>
    <w:next w:val="CommentText"/>
    <w:link w:val="CommentSubjectChar"/>
    <w:rsid w:val="00424443"/>
    <w:rPr>
      <w:b/>
      <w:bCs/>
    </w:rPr>
  </w:style>
  <w:style w:type="character" w:customStyle="1" w:styleId="CommentSubjectChar">
    <w:name w:val="Comment Subject Char"/>
    <w:basedOn w:val="CommentTextChar"/>
    <w:link w:val="CommentSubject"/>
    <w:rsid w:val="00424443"/>
    <w:rPr>
      <w:rFonts w:ascii="Arial" w:hAnsi="Arial"/>
      <w:b/>
      <w:bCs/>
      <w:lang w:eastAsia="en-US"/>
    </w:rPr>
  </w:style>
  <w:style w:type="character" w:customStyle="1" w:styleId="HeaderChar">
    <w:name w:val="Header Char"/>
    <w:basedOn w:val="DefaultParagraphFont"/>
    <w:link w:val="Header"/>
    <w:uiPriority w:val="99"/>
    <w:rsid w:val="00160C6D"/>
    <w:rPr>
      <w:rFonts w:ascii="Arial" w:hAnsi="Arial" w:cs="Arial"/>
      <w:b/>
      <w:bCs/>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Standard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DBAD-3219-458D-A53D-C8555C8C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StandardDoc</Template>
  <TotalTime>0</TotalTime>
  <Pages>12</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Specialist Professional and Technical Services (SPATS) Framework</vt:lpstr>
    </vt:vector>
  </TitlesOfParts>
  <Company>Highways Agency</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Professional and Technical Services (SPATS) Framework</dc:title>
  <dc:creator>Rob Amor</dc:creator>
  <cp:lastModifiedBy>Waka, Darrel</cp:lastModifiedBy>
  <cp:revision>2</cp:revision>
  <cp:lastPrinted>2003-07-24T08:45:00Z</cp:lastPrinted>
  <dcterms:created xsi:type="dcterms:W3CDTF">2020-02-28T13:45:00Z</dcterms:created>
  <dcterms:modified xsi:type="dcterms:W3CDTF">2020-02-28T13:45:00Z</dcterms:modified>
</cp:coreProperties>
</file>