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rPr>
          <w:b/>
          <w:sz w:val="36"/>
          <w:szCs w:val="36"/>
        </w:rPr>
      </w:pPr>
    </w:p>
    <w:p w:rsidR="009D71C0" w:rsidRDefault="00E52CA4">
      <w:pPr>
        <w:spacing w:after="160" w:line="259" w:lineRule="auto"/>
        <w:jc w:val="both"/>
        <w:rPr>
          <w:b/>
          <w:sz w:val="36"/>
          <w:szCs w:val="36"/>
        </w:rPr>
      </w:pPr>
      <w:r>
        <w:rPr>
          <w:b/>
          <w:sz w:val="36"/>
          <w:szCs w:val="36"/>
        </w:rPr>
        <w:t>RM6237 Low Value Purchase System</w:t>
      </w:r>
    </w:p>
    <w:p w:rsidR="00E52CA4" w:rsidRDefault="00E52CA4">
      <w:pPr>
        <w:spacing w:after="160" w:line="259" w:lineRule="auto"/>
        <w:jc w:val="both"/>
        <w:rPr>
          <w:b/>
          <w:sz w:val="36"/>
          <w:szCs w:val="36"/>
        </w:rPr>
      </w:pPr>
      <w:r>
        <w:rPr>
          <w:b/>
          <w:sz w:val="36"/>
          <w:szCs w:val="36"/>
        </w:rPr>
        <w:t>Crown Commercial Service &amp; Andy Bounds Ltd</w:t>
      </w:r>
    </w:p>
    <w:p w:rsidR="009D71C0" w:rsidRDefault="00E52CA4">
      <w:pPr>
        <w:spacing w:after="160" w:line="259" w:lineRule="auto"/>
        <w:jc w:val="both"/>
        <w:rPr>
          <w:b/>
          <w:sz w:val="36"/>
          <w:szCs w:val="36"/>
        </w:rPr>
        <w:sectPr w:rsidR="009D71C0">
          <w:headerReference w:type="default" r:id="rId9"/>
          <w:footerReference w:type="default" r:id="rId10"/>
          <w:headerReference w:type="first" r:id="rId11"/>
          <w:pgSz w:w="11907" w:h="16839"/>
          <w:pgMar w:top="1560" w:right="1276" w:bottom="1701" w:left="1276" w:header="794" w:footer="964" w:gutter="0"/>
          <w:pgNumType w:start="1"/>
          <w:cols w:space="720"/>
          <w:titlePg/>
        </w:sectPr>
      </w:pPr>
      <w:r w:rsidRPr="00E52CA4">
        <w:rPr>
          <w:b/>
          <w:sz w:val="36"/>
          <w:szCs w:val="36"/>
        </w:rPr>
        <w:t xml:space="preserve">CCDE24A01 </w:t>
      </w:r>
      <w:r>
        <w:rPr>
          <w:b/>
          <w:sz w:val="36"/>
          <w:szCs w:val="36"/>
        </w:rPr>
        <w:t>Provision of Communication Training</w:t>
      </w:r>
    </w:p>
    <w:p w:rsidR="00E52CA4" w:rsidRDefault="00E52CA4">
      <w:pPr>
        <w:shd w:val="clear" w:color="auto" w:fill="FFFFFF"/>
        <w:rPr>
          <w:color w:val="000000"/>
        </w:rPr>
      </w:pPr>
      <w:r>
        <w:rPr>
          <w:color w:val="000000"/>
        </w:rPr>
        <w:lastRenderedPageBreak/>
        <w:t>Andy Bounds LTD</w:t>
      </w:r>
    </w:p>
    <w:p w:rsidR="00B60F03" w:rsidRPr="00B60F03" w:rsidRDefault="00B60F03" w:rsidP="00B60F03">
      <w:pPr>
        <w:spacing w:before="120" w:after="120"/>
        <w:jc w:val="both"/>
        <w:textAlignment w:val="baseline"/>
        <w:rPr>
          <w:rFonts w:eastAsia="Times New Roman"/>
          <w:color w:val="000000"/>
          <w:sz w:val="22"/>
          <w:szCs w:val="22"/>
          <w:lang w:val="en-GB"/>
        </w:rPr>
      </w:pPr>
      <w:r w:rsidRPr="00B60F03">
        <w:rPr>
          <w:rFonts w:eastAsia="Times New Roman"/>
          <w:b/>
          <w:bCs/>
          <w:color w:val="FF0000"/>
          <w:sz w:val="22"/>
          <w:szCs w:val="22"/>
          <w:lang w:val="en-GB"/>
        </w:rPr>
        <w:t>REDACTED TEXT under FOIA Section 40, Personal Information</w:t>
      </w:r>
      <w:r w:rsidRPr="00B60F03">
        <w:rPr>
          <w:rFonts w:eastAsia="Times New Roman"/>
          <w:color w:val="0B0C0C"/>
          <w:sz w:val="22"/>
          <w:szCs w:val="22"/>
          <w:lang w:val="en-GB"/>
        </w:rPr>
        <w:t>.</w:t>
      </w:r>
    </w:p>
    <w:p w:rsidR="009D71C0" w:rsidRDefault="009D71C0">
      <w:pPr>
        <w:shd w:val="clear" w:color="auto" w:fill="FFFFFF"/>
        <w:rPr>
          <w:color w:val="000000"/>
        </w:rPr>
      </w:pPr>
    </w:p>
    <w:p w:rsidR="009D71C0" w:rsidRDefault="009D71C0">
      <w:pPr>
        <w:shd w:val="clear" w:color="auto" w:fill="FFFFFF"/>
        <w:rPr>
          <w:color w:val="000000"/>
        </w:rPr>
      </w:pPr>
    </w:p>
    <w:p w:rsidR="009D71C0" w:rsidRDefault="009D71C0"/>
    <w:p w:rsidR="009D71C0" w:rsidRDefault="009D71C0"/>
    <w:p w:rsidR="009D71C0" w:rsidRDefault="00E02635">
      <w:pPr>
        <w:jc w:val="right"/>
      </w:pPr>
      <w:r>
        <w:t>1</w:t>
      </w:r>
      <w:r w:rsidR="00E52CA4">
        <w:t>8</w:t>
      </w:r>
      <w:r>
        <w:t>/0</w:t>
      </w:r>
      <w:r w:rsidR="00E52CA4">
        <w:t>1</w:t>
      </w:r>
      <w:r>
        <w:t>/202</w:t>
      </w:r>
      <w:r w:rsidR="00E52CA4">
        <w:t>4</w:t>
      </w:r>
    </w:p>
    <w:p w:rsidR="00E02635" w:rsidRDefault="00E02635" w:rsidP="00E02635">
      <w:pPr>
        <w:jc w:val="center"/>
      </w:pPr>
    </w:p>
    <w:p w:rsidR="009D71C0" w:rsidRDefault="009D71C0"/>
    <w:p w:rsidR="009D71C0" w:rsidRDefault="009D71C0"/>
    <w:p w:rsidR="009D71C0" w:rsidRDefault="00A234F8">
      <w:pPr>
        <w:jc w:val="both"/>
      </w:pPr>
      <w:r>
        <w:t xml:space="preserve">Dear </w:t>
      </w:r>
      <w:r w:rsidR="00E52CA4">
        <w:t>Andy</w:t>
      </w:r>
      <w:r w:rsidR="00E02635">
        <w:t>,</w:t>
      </w:r>
    </w:p>
    <w:p w:rsidR="009D71C0" w:rsidRDefault="009D71C0">
      <w:pPr>
        <w:jc w:val="both"/>
      </w:pPr>
    </w:p>
    <w:p w:rsidR="009D71C0" w:rsidRDefault="009D71C0">
      <w:pPr>
        <w:jc w:val="both"/>
      </w:pPr>
    </w:p>
    <w:p w:rsidR="009D71C0" w:rsidRDefault="00A234F8">
      <w:pPr>
        <w:jc w:val="center"/>
        <w:rPr>
          <w:u w:val="single"/>
        </w:rPr>
      </w:pPr>
      <w:r>
        <w:rPr>
          <w:b/>
          <w:u w:val="single"/>
        </w:rPr>
        <w:t xml:space="preserve">Award of Buyer Contract under LVPS – </w:t>
      </w:r>
      <w:r w:rsidR="00E52CA4" w:rsidRPr="00E52CA4">
        <w:rPr>
          <w:b/>
          <w:u w:val="single"/>
        </w:rPr>
        <w:t>CCDE24A01</w:t>
      </w:r>
      <w:r w:rsidR="00E02635" w:rsidRPr="00E02635">
        <w:rPr>
          <w:b/>
          <w:u w:val="single"/>
        </w:rPr>
        <w:t xml:space="preserve"> Provision of </w:t>
      </w:r>
      <w:r w:rsidR="00E52CA4">
        <w:rPr>
          <w:b/>
          <w:u w:val="single"/>
        </w:rPr>
        <w:t>Communication</w:t>
      </w:r>
      <w:r w:rsidR="00E52CA4" w:rsidRPr="00E52CA4">
        <w:rPr>
          <w:rFonts w:ascii="Segoe UI" w:hAnsi="Segoe UI" w:cs="Segoe UI"/>
          <w:color w:val="181818"/>
          <w:sz w:val="21"/>
          <w:szCs w:val="21"/>
          <w:u w:val="single"/>
          <w:shd w:val="clear" w:color="auto" w:fill="FFFFFF"/>
        </w:rPr>
        <w:t xml:space="preserve"> </w:t>
      </w:r>
      <w:r w:rsidR="00E02635" w:rsidRPr="00E02635">
        <w:rPr>
          <w:b/>
          <w:u w:val="single"/>
        </w:rPr>
        <w:t>Training</w:t>
      </w:r>
    </w:p>
    <w:p w:rsidR="009D71C0" w:rsidRDefault="009D71C0">
      <w:pPr>
        <w:jc w:val="both"/>
      </w:pPr>
    </w:p>
    <w:p w:rsidR="009D71C0" w:rsidRDefault="009D71C0">
      <w:pPr>
        <w:jc w:val="both"/>
      </w:pPr>
    </w:p>
    <w:p w:rsidR="009D71C0" w:rsidRDefault="00A234F8">
      <w:pPr>
        <w:jc w:val="both"/>
        <w:rPr>
          <w:color w:val="222222"/>
          <w:highlight w:val="white"/>
        </w:rPr>
      </w:pPr>
      <w:r>
        <w:t xml:space="preserve">I am writing to inform you that </w:t>
      </w:r>
      <w:r w:rsidR="00E02635">
        <w:rPr>
          <w:b/>
        </w:rPr>
        <w:t xml:space="preserve">Crown Commercial Service </w:t>
      </w:r>
      <w:r>
        <w:t>(the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9D71C0" w:rsidRDefault="009D71C0">
      <w:pPr>
        <w:jc w:val="both"/>
        <w:rPr>
          <w:color w:val="222222"/>
          <w:highlight w:val="white"/>
        </w:rPr>
      </w:pPr>
    </w:p>
    <w:p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9D71C0" w:rsidRDefault="009D71C0">
      <w:pPr>
        <w:jc w:val="both"/>
      </w:pPr>
    </w:p>
    <w:p w:rsidR="009D71C0" w:rsidRDefault="00A234F8">
      <w:pPr>
        <w:jc w:val="both"/>
        <w:rPr>
          <w:i/>
          <w:u w:val="single"/>
        </w:rPr>
      </w:pPr>
      <w:r>
        <w:rPr>
          <w:i/>
          <w:color w:val="222222"/>
          <w:u w:val="single"/>
        </w:rPr>
        <w:t>The Buyer Contract</w:t>
      </w:r>
    </w:p>
    <w:p w:rsidR="009D71C0" w:rsidRDefault="009D71C0">
      <w:pPr>
        <w:jc w:val="both"/>
      </w:pPr>
    </w:p>
    <w:p w:rsidR="009D71C0" w:rsidRDefault="00A234F8">
      <w:pPr>
        <w:jc w:val="both"/>
      </w:pPr>
      <w:r>
        <w:t>The Buyer Contract shall be as follows:</w:t>
      </w:r>
    </w:p>
    <w:p w:rsidR="009D71C0" w:rsidRDefault="009D71C0">
      <w:pPr>
        <w:jc w:val="both"/>
      </w:pPr>
    </w:p>
    <w:p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9D71C0" w:rsidRDefault="009D71C0">
      <w:pPr>
        <w:pBdr>
          <w:top w:val="nil"/>
          <w:left w:val="nil"/>
          <w:bottom w:val="nil"/>
          <w:right w:val="nil"/>
          <w:between w:val="nil"/>
        </w:pBdr>
        <w:ind w:left="426"/>
        <w:jc w:val="both"/>
        <w:rPr>
          <w:color w:val="000000"/>
        </w:rPr>
      </w:pPr>
    </w:p>
    <w:p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9D71C0" w:rsidRDefault="009D71C0">
      <w:pPr>
        <w:pBdr>
          <w:top w:val="nil"/>
          <w:left w:val="nil"/>
          <w:bottom w:val="nil"/>
          <w:right w:val="nil"/>
          <w:between w:val="nil"/>
        </w:pBdr>
        <w:ind w:left="720"/>
        <w:rPr>
          <w:color w:val="000000"/>
        </w:rPr>
      </w:pPr>
    </w:p>
    <w:p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00E02635">
        <w:rPr>
          <w:color w:val="000000"/>
        </w:rPr>
        <w:t xml:space="preserve"> 31/</w:t>
      </w:r>
      <w:r w:rsidR="00B37755">
        <w:rPr>
          <w:color w:val="000000"/>
        </w:rPr>
        <w:t>03/2024</w:t>
      </w:r>
      <w:r>
        <w:rPr>
          <w:b/>
          <w:color w:val="000000"/>
        </w:rPr>
        <w:t xml:space="preserve"> </w:t>
      </w:r>
      <w:r>
        <w:rPr>
          <w:color w:val="000000"/>
        </w:rPr>
        <w:t>unless it is otherwise extended or terminated in accordance with the terms and conditions of the Buyer Contract.</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9D71C0" w:rsidRDefault="009D71C0">
      <w:pPr>
        <w:jc w:val="both"/>
      </w:pPr>
    </w:p>
    <w:p w:rsidR="009D71C0" w:rsidRDefault="009D71C0">
      <w:pPr>
        <w:jc w:val="both"/>
        <w:rPr>
          <w:i/>
          <w:color w:val="222222"/>
          <w:u w:val="single"/>
        </w:rPr>
      </w:pPr>
    </w:p>
    <w:p w:rsidR="009D71C0" w:rsidRDefault="009D71C0">
      <w:pPr>
        <w:jc w:val="both"/>
        <w:rPr>
          <w:i/>
          <w:color w:val="222222"/>
          <w:u w:val="single"/>
        </w:rPr>
      </w:pPr>
    </w:p>
    <w:p w:rsidR="009D71C0" w:rsidRDefault="00A234F8">
      <w:pPr>
        <w:jc w:val="both"/>
        <w:rPr>
          <w:i/>
          <w:color w:val="222222"/>
          <w:u w:val="single"/>
        </w:rPr>
      </w:pPr>
      <w:r>
        <w:rPr>
          <w:i/>
          <w:color w:val="222222"/>
          <w:u w:val="single"/>
        </w:rPr>
        <w:t>Accepting the offer of the Buyer Contract</w:t>
      </w:r>
    </w:p>
    <w:p w:rsidR="009D71C0" w:rsidRDefault="009D71C0">
      <w:pPr>
        <w:jc w:val="both"/>
        <w:rPr>
          <w:color w:val="222222"/>
          <w:highlight w:val="white"/>
        </w:rPr>
      </w:pPr>
    </w:p>
    <w:p w:rsidR="009D71C0" w:rsidRDefault="00E02635">
      <w:pPr>
        <w:jc w:val="both"/>
      </w:pPr>
      <w:r>
        <w:rPr>
          <w:b/>
          <w:color w:val="222222"/>
          <w:highlight w:val="white"/>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sidR="004A7A08">
        <w:rPr>
          <w:b/>
        </w:rPr>
        <w:t xml:space="preserve">the Minister for </w:t>
      </w:r>
      <w:r w:rsidR="004A7A08">
        <w:rPr>
          <w:b/>
        </w:rPr>
        <w:lastRenderedPageBreak/>
        <w:t>the Cabinet Office</w:t>
      </w:r>
      <w:r w:rsidR="00A234F8">
        <w:t xml:space="preserve"> to accept the terms of the Buyer Contract and this letter expresses my intention to authenticate the Buyer Contract.</w:t>
      </w:r>
    </w:p>
    <w:p w:rsidR="009D71C0" w:rsidRDefault="009D71C0">
      <w:pPr>
        <w:jc w:val="both"/>
      </w:pPr>
    </w:p>
    <w:p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3A0EC7" w:rsidRPr="003A0EC7">
        <w:rPr>
          <w:b/>
          <w:color w:val="FF0000"/>
        </w:rPr>
        <w:t>REDACTED TEXT under FOIA Section 40</w:t>
      </w:r>
      <w:r w:rsidR="003A0EC7" w:rsidRPr="003A0EC7">
        <w:t>, Personal Information</w:t>
      </w:r>
      <w:r w:rsidR="004A7A08">
        <w:rPr>
          <w:b/>
        </w:rPr>
        <w:t xml:space="preserve"> </w:t>
      </w:r>
      <w:r>
        <w:t xml:space="preserve">using the heading </w:t>
      </w:r>
      <w:r w:rsidR="004A7A08">
        <w:t xml:space="preserve">‘Acceptance of Contract </w:t>
      </w:r>
      <w:r w:rsidR="004A7A08" w:rsidRPr="004A7A08">
        <w:t xml:space="preserve">- </w:t>
      </w:r>
      <w:r w:rsidR="00B37755" w:rsidRPr="00B37755">
        <w:t>CCDE24A01</w:t>
      </w:r>
      <w:r w:rsidR="004A7A08" w:rsidRPr="004A7A08">
        <w:t xml:space="preserve"> Provision of </w:t>
      </w:r>
      <w:r w:rsidR="00B37755">
        <w:t>Communication</w:t>
      </w:r>
      <w:r w:rsidR="004A7A08" w:rsidRPr="004A7A08">
        <w:rPr>
          <w:rFonts w:ascii="Segoe UI" w:hAnsi="Segoe UI" w:cs="Segoe UI"/>
          <w:color w:val="181818"/>
          <w:sz w:val="21"/>
          <w:szCs w:val="21"/>
          <w:shd w:val="clear" w:color="auto" w:fill="FFFFFF"/>
        </w:rPr>
        <w:t xml:space="preserve"> </w:t>
      </w:r>
      <w:r w:rsidR="004A7A08" w:rsidRPr="004A7A08">
        <w:t xml:space="preserve">Training’ </w:t>
      </w:r>
      <w:r>
        <w:t>the Supplier’s acceptance of the Buyer Contract using the wording set out below.</w:t>
      </w:r>
    </w:p>
    <w:p w:rsidR="009D71C0" w:rsidRDefault="009D71C0">
      <w:pPr>
        <w:jc w:val="both"/>
      </w:pPr>
    </w:p>
    <w:p w:rsidR="009D71C0" w:rsidRDefault="00A234F8">
      <w:pPr>
        <w:jc w:val="both"/>
      </w:pPr>
      <w:r>
        <w:t xml:space="preserve">To assist us in managing the process, please inform us of your decision as to whether or not to accept the Buyer Contract by 17:00 on </w:t>
      </w:r>
      <w:r w:rsidR="00B37755">
        <w:rPr>
          <w:b/>
        </w:rPr>
        <w:t>Friday</w:t>
      </w:r>
      <w:r w:rsidR="004A7A08">
        <w:rPr>
          <w:b/>
        </w:rPr>
        <w:t xml:space="preserve"> 1</w:t>
      </w:r>
      <w:r w:rsidR="00B37755">
        <w:rPr>
          <w:b/>
        </w:rPr>
        <w:t>9</w:t>
      </w:r>
      <w:r w:rsidR="004A7A08" w:rsidRPr="004A7A08">
        <w:rPr>
          <w:b/>
          <w:vertAlign w:val="superscript"/>
        </w:rPr>
        <w:t>th</w:t>
      </w:r>
      <w:r w:rsidR="004A7A08">
        <w:rPr>
          <w:b/>
        </w:rPr>
        <w:t xml:space="preserve"> </w:t>
      </w:r>
      <w:r w:rsidR="00B37755">
        <w:rPr>
          <w:b/>
        </w:rPr>
        <w:t>January 2024</w:t>
      </w:r>
      <w:r w:rsidR="004A7A08">
        <w:rPr>
          <w:b/>
        </w:rPr>
        <w:t>.</w:t>
      </w:r>
      <w:r>
        <w:t xml:space="preserve"> </w:t>
      </w:r>
    </w:p>
    <w:p w:rsidR="009D71C0" w:rsidRDefault="009D71C0">
      <w:pPr>
        <w:jc w:val="both"/>
      </w:pPr>
    </w:p>
    <w:p w:rsidR="009D71C0" w:rsidRDefault="00A234F8">
      <w:pPr>
        <w:jc w:val="both"/>
      </w:pPr>
      <w:r>
        <w:t>Please state the following in your email:</w:t>
      </w:r>
    </w:p>
    <w:p w:rsidR="009D71C0" w:rsidRDefault="009D71C0">
      <w:pPr>
        <w:jc w:val="both"/>
      </w:pPr>
    </w:p>
    <w:p w:rsidR="009D71C0" w:rsidRDefault="00A234F8">
      <w:pPr>
        <w:jc w:val="both"/>
      </w:pPr>
      <w:r>
        <w:t>“</w:t>
      </w:r>
      <w:r>
        <w:rPr>
          <w:i/>
        </w:rPr>
        <w:t xml:space="preserve">I refer to your letter dated </w:t>
      </w:r>
      <w:r w:rsidR="004A7A08">
        <w:rPr>
          <w:b/>
          <w:i/>
        </w:rPr>
        <w:t>1</w:t>
      </w:r>
      <w:r w:rsidR="00B37755">
        <w:rPr>
          <w:b/>
          <w:i/>
        </w:rPr>
        <w:t>8</w:t>
      </w:r>
      <w:r w:rsidR="004A7A08">
        <w:rPr>
          <w:b/>
          <w:i/>
        </w:rPr>
        <w:t>/0</w:t>
      </w:r>
      <w:r w:rsidR="00B37755">
        <w:rPr>
          <w:b/>
          <w:i/>
        </w:rPr>
        <w:t>1</w:t>
      </w:r>
      <w:r w:rsidR="004A7A08">
        <w:rPr>
          <w:b/>
          <w:i/>
        </w:rPr>
        <w:t>/202</w:t>
      </w:r>
      <w:r w:rsidR="00B37755">
        <w:rPr>
          <w:b/>
          <w:i/>
        </w:rPr>
        <w:t>4</w:t>
      </w:r>
      <w:r>
        <w:rPr>
          <w:i/>
        </w:rPr>
        <w:t xml:space="preserve"> (the “</w:t>
      </w:r>
      <w:r>
        <w:rPr>
          <w:b/>
          <w:i/>
        </w:rPr>
        <w:t>Letter</w:t>
      </w:r>
      <w:r>
        <w:rPr>
          <w:i/>
        </w:rPr>
        <w:t xml:space="preserve">”) in respect of the </w:t>
      </w:r>
      <w:r w:rsidRPr="00B37755">
        <w:t xml:space="preserve">contract </w:t>
      </w:r>
      <w:r w:rsidR="00B37755" w:rsidRPr="00B37755">
        <w:t>CCDE24A01</w:t>
      </w:r>
      <w:r w:rsidR="004A7A08" w:rsidRPr="004A7A08">
        <w:t xml:space="preserve"> Provision of </w:t>
      </w:r>
      <w:r w:rsidR="00B37755">
        <w:t>Communication</w:t>
      </w:r>
      <w:r w:rsidR="004A7A08" w:rsidRPr="004A7A08">
        <w:rPr>
          <w:rFonts w:ascii="Segoe UI" w:hAnsi="Segoe UI" w:cs="Segoe UI"/>
          <w:color w:val="181818"/>
          <w:sz w:val="21"/>
          <w:szCs w:val="21"/>
          <w:shd w:val="clear" w:color="auto" w:fill="FFFFFF"/>
        </w:rPr>
        <w:t xml:space="preserve"> </w:t>
      </w:r>
      <w:r w:rsidR="004A7A08" w:rsidRPr="004A7A08">
        <w:t>Training</w:t>
      </w:r>
      <w:r w:rsidR="004A7A08">
        <w:rPr>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B37755">
        <w:rPr>
          <w:b/>
          <w:i/>
        </w:rPr>
        <w:t xml:space="preserve">Andy Bounds Ltd </w:t>
      </w:r>
      <w:r>
        <w:rPr>
          <w:b/>
          <w:i/>
        </w:rPr>
        <w:t>(</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rsidR="009D71C0" w:rsidRDefault="009D71C0">
      <w:pPr>
        <w:jc w:val="both"/>
      </w:pPr>
    </w:p>
    <w:p w:rsidR="009D71C0" w:rsidRDefault="00A234F8">
      <w:pPr>
        <w:jc w:val="both"/>
      </w:pPr>
      <w:r>
        <w:t>Please make sure that your name and job title are included in the email and attach a copy of this letter to your email.</w:t>
      </w:r>
    </w:p>
    <w:p w:rsidR="009D71C0" w:rsidRDefault="009D71C0">
      <w:pPr>
        <w:jc w:val="both"/>
      </w:pPr>
    </w:p>
    <w:p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9D71C0" w:rsidRDefault="009D71C0">
      <w:pPr>
        <w:jc w:val="both"/>
      </w:pPr>
    </w:p>
    <w:p w:rsidR="009D71C0" w:rsidRDefault="00A234F8">
      <w:pPr>
        <w:jc w:val="both"/>
        <w:rPr>
          <w:u w:val="single"/>
        </w:rPr>
      </w:pPr>
      <w:r>
        <w:rPr>
          <w:i/>
          <w:u w:val="single"/>
        </w:rPr>
        <w:t>Contract management information</w:t>
      </w:r>
    </w:p>
    <w:p w:rsidR="009D71C0" w:rsidRDefault="009D71C0">
      <w:pPr>
        <w:jc w:val="both"/>
      </w:pPr>
    </w:p>
    <w:p w:rsidR="009D71C0" w:rsidRDefault="00A234F8">
      <w:pPr>
        <w:jc w:val="both"/>
      </w:pPr>
      <w:r>
        <w:t>In order to make the Buyer Contract operate properly, you will need the information set out in Annex C to this letter.</w:t>
      </w:r>
    </w:p>
    <w:p w:rsidR="009D71C0" w:rsidRDefault="009D71C0">
      <w:pPr>
        <w:jc w:val="both"/>
      </w:pPr>
    </w:p>
    <w:p w:rsidR="009D71C0" w:rsidRDefault="00A234F8">
      <w:pPr>
        <w:jc w:val="both"/>
      </w:pPr>
      <w:r>
        <w:t>If you accept the Buyer Contract, please provide the following information with your email of acceptance:</w:t>
      </w:r>
    </w:p>
    <w:p w:rsidR="009D71C0" w:rsidRDefault="009D71C0">
      <w:pPr>
        <w:jc w:val="both"/>
      </w:pPr>
    </w:p>
    <w:p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rsidR="009D71C0" w:rsidRDefault="00A234F8">
      <w:pPr>
        <w:numPr>
          <w:ilvl w:val="0"/>
          <w:numId w:val="12"/>
        </w:numPr>
        <w:pBdr>
          <w:top w:val="nil"/>
          <w:left w:val="nil"/>
          <w:bottom w:val="nil"/>
          <w:right w:val="nil"/>
          <w:between w:val="nil"/>
        </w:pBdr>
        <w:jc w:val="both"/>
      </w:pPr>
      <w:r>
        <w:rPr>
          <w:color w:val="000000"/>
        </w:rPr>
        <w:t>Supplier’s account for payment of Charges</w:t>
      </w:r>
    </w:p>
    <w:p w:rsidR="009D71C0" w:rsidRDefault="009D71C0">
      <w:pPr>
        <w:jc w:val="both"/>
      </w:pPr>
    </w:p>
    <w:p w:rsidR="009D71C0" w:rsidRPr="00EA7293" w:rsidRDefault="00A234F8">
      <w:pPr>
        <w:jc w:val="both"/>
        <w:rPr>
          <w:b/>
          <w:color w:val="FF0000"/>
        </w:rPr>
      </w:pPr>
      <w:r>
        <w:t>If you have any queries, please contact the team on</w:t>
      </w:r>
      <w:r w:rsidR="00EA7293">
        <w:t xml:space="preserve"> </w:t>
      </w:r>
      <w:r w:rsidR="00EA7293" w:rsidRPr="00EA7293">
        <w:rPr>
          <w:b/>
          <w:color w:val="FF0000"/>
        </w:rPr>
        <w:t>REDACTED TEXT under FOIA Section 40, Personal Information.</w:t>
      </w:r>
      <w:r w:rsidR="004A7A08" w:rsidRPr="00EA7293">
        <w:rPr>
          <w:b/>
          <w:color w:val="FF0000"/>
        </w:rPr>
        <w:t xml:space="preserve"> </w:t>
      </w:r>
    </w:p>
    <w:p w:rsidR="009D71C0" w:rsidRPr="00EA7293" w:rsidRDefault="009D71C0">
      <w:pPr>
        <w:jc w:val="both"/>
        <w:rPr>
          <w:b/>
          <w:color w:val="FF0000"/>
        </w:rPr>
      </w:pPr>
    </w:p>
    <w:p w:rsidR="009D71C0" w:rsidRDefault="009D71C0">
      <w:pPr>
        <w:jc w:val="both"/>
      </w:pPr>
    </w:p>
    <w:p w:rsidR="009D71C0" w:rsidRDefault="00A234F8">
      <w:pPr>
        <w:jc w:val="both"/>
      </w:pPr>
      <w:r>
        <w:t>Yours faithfully,</w:t>
      </w:r>
    </w:p>
    <w:p w:rsidR="009D71C0" w:rsidRPr="00EA7293" w:rsidRDefault="009D71C0" w:rsidP="00EA7293">
      <w:pPr>
        <w:pStyle w:val="EnvelopeReturn"/>
        <w:overflowPunct/>
        <w:autoSpaceDE/>
        <w:autoSpaceDN/>
        <w:adjustRightInd/>
        <w:spacing w:after="0" w:line="240" w:lineRule="auto"/>
        <w:textAlignment w:val="auto"/>
        <w:rPr>
          <w:rFonts w:ascii="Arial" w:eastAsia="Arial" w:hAnsi="Arial" w:cs="Arial"/>
          <w:lang w:val="en-US" w:eastAsia="en-GB"/>
        </w:rPr>
      </w:pPr>
    </w:p>
    <w:p w:rsidR="009D71C0" w:rsidRDefault="009D71C0">
      <w:pPr>
        <w:jc w:val="both"/>
      </w:pPr>
      <w:bookmarkStart w:id="1" w:name="_heading=h.30j0zll" w:colFirst="0" w:colLast="0"/>
      <w:bookmarkEnd w:id="1"/>
    </w:p>
    <w:p w:rsidR="00EA7293" w:rsidRDefault="00EA7293">
      <w:pPr>
        <w:jc w:val="both"/>
      </w:pPr>
    </w:p>
    <w:p w:rsidR="00EA7293" w:rsidRPr="0065300E" w:rsidRDefault="00EA7293" w:rsidP="0065300E">
      <w:pPr>
        <w:pStyle w:val="EnvelopeReturn"/>
        <w:overflowPunct/>
        <w:autoSpaceDE/>
        <w:autoSpaceDN/>
        <w:adjustRightInd/>
        <w:spacing w:after="0" w:line="240" w:lineRule="auto"/>
        <w:textAlignment w:val="auto"/>
        <w:rPr>
          <w:rFonts w:ascii="Arial" w:eastAsia="Arial" w:hAnsi="Arial" w:cs="Arial"/>
          <w:lang w:val="en-US" w:eastAsia="en-GB"/>
        </w:rPr>
      </w:pPr>
    </w:p>
    <w:p w:rsidR="009D71C0" w:rsidRPr="00EA7293" w:rsidRDefault="009D71C0">
      <w:pPr>
        <w:jc w:val="both"/>
        <w:rPr>
          <w:color w:val="FF0000"/>
        </w:rPr>
      </w:pPr>
    </w:p>
    <w:p w:rsidR="009D71C0" w:rsidRPr="00EA7293" w:rsidRDefault="00EA7293">
      <w:pPr>
        <w:jc w:val="both"/>
        <w:rPr>
          <w:b/>
          <w:color w:val="FF0000"/>
        </w:rPr>
      </w:pPr>
      <w:r w:rsidRPr="00EA7293">
        <w:rPr>
          <w:b/>
          <w:color w:val="FF0000"/>
        </w:rPr>
        <w:t>REDACTED TEXT under FOIA Section 40, Personal Information.</w:t>
      </w:r>
    </w:p>
    <w:p w:rsidR="009D71C0" w:rsidRPr="00EA7293" w:rsidRDefault="009D71C0">
      <w:pPr>
        <w:jc w:val="both"/>
        <w:rPr>
          <w:b/>
        </w:rPr>
      </w:pPr>
    </w:p>
    <w:p w:rsidR="009D71C0" w:rsidRDefault="00A234F8">
      <w:pPr>
        <w:jc w:val="center"/>
        <w:rPr>
          <w:b/>
          <w:color w:val="000000"/>
        </w:rPr>
      </w:pPr>
      <w:r>
        <w:br w:type="page"/>
      </w:r>
      <w:r>
        <w:rPr>
          <w:b/>
          <w:color w:val="000000"/>
        </w:rPr>
        <w:lastRenderedPageBreak/>
        <w:t>Annex A</w:t>
      </w:r>
    </w:p>
    <w:p w:rsidR="009D71C0" w:rsidRDefault="00A234F8">
      <w:pPr>
        <w:jc w:val="center"/>
        <w:rPr>
          <w:color w:val="000000"/>
        </w:rPr>
      </w:pPr>
      <w:r>
        <w:rPr>
          <w:b/>
          <w:color w:val="000000"/>
        </w:rPr>
        <w:t>Conditions</w:t>
      </w:r>
    </w:p>
    <w:p w:rsidR="009D71C0" w:rsidRDefault="009D71C0">
      <w:pPr>
        <w:jc w:val="center"/>
        <w:rPr>
          <w:color w:val="000000"/>
        </w:rPr>
      </w:pPr>
    </w:p>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rsidR="009D71C0" w:rsidRDefault="009D71C0">
      <w:pPr>
        <w:numPr>
          <w:ilvl w:val="0"/>
          <w:numId w:val="4"/>
        </w:numPr>
        <w:pBdr>
          <w:top w:val="nil"/>
          <w:left w:val="nil"/>
          <w:bottom w:val="nil"/>
          <w:right w:val="nil"/>
          <w:between w:val="nil"/>
        </w:pBdr>
        <w:tabs>
          <w:tab w:val="left" w:pos="709"/>
        </w:tabs>
        <w:ind w:left="709"/>
        <w:jc w:val="both"/>
        <w:rPr>
          <w:color w:val="000000"/>
        </w:rPr>
      </w:pPr>
    </w:p>
    <w:p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tc>
          <w:tcPr>
            <w:tcW w:w="1939" w:type="dxa"/>
          </w:tcPr>
          <w:p w:rsidR="009D71C0" w:rsidRDefault="00A234F8">
            <w:pPr>
              <w:widowControl w:val="0"/>
              <w:tabs>
                <w:tab w:val="left" w:pos="709"/>
              </w:tabs>
              <w:rPr>
                <w:b/>
              </w:rPr>
            </w:pPr>
            <w:r>
              <w:rPr>
                <w:b/>
              </w:rPr>
              <w:t>“Buyer”</w:t>
            </w:r>
          </w:p>
        </w:tc>
        <w:tc>
          <w:tcPr>
            <w:tcW w:w="6305" w:type="dxa"/>
          </w:tcPr>
          <w:p w:rsidR="009D71C0" w:rsidRDefault="00A234F8">
            <w:pPr>
              <w:widowControl w:val="0"/>
              <w:tabs>
                <w:tab w:val="left" w:pos="709"/>
              </w:tabs>
            </w:pPr>
            <w:r>
              <w:t>means the person identified in the letterhead of the Letter;</w:t>
            </w:r>
          </w:p>
          <w:p w:rsidR="009D71C0" w:rsidRDefault="009D71C0">
            <w:pPr>
              <w:pBdr>
                <w:top w:val="nil"/>
                <w:left w:val="nil"/>
                <w:bottom w:val="nil"/>
                <w:right w:val="nil"/>
                <w:between w:val="nil"/>
              </w:pBdr>
              <w:tabs>
                <w:tab w:val="left" w:pos="709"/>
              </w:tabs>
              <w:ind w:right="617"/>
              <w:jc w:val="both"/>
              <w:rPr>
                <w:color w:val="000000"/>
              </w:rPr>
            </w:pPr>
          </w:p>
        </w:tc>
      </w:tr>
      <w:tr w:rsidR="009D71C0">
        <w:tc>
          <w:tcPr>
            <w:tcW w:w="1939" w:type="dxa"/>
          </w:tcPr>
          <w:p w:rsidR="009D71C0" w:rsidRDefault="00A234F8">
            <w:pPr>
              <w:widowControl w:val="0"/>
              <w:tabs>
                <w:tab w:val="left" w:pos="709"/>
              </w:tabs>
              <w:rPr>
                <w:b/>
              </w:rPr>
            </w:pPr>
            <w:r>
              <w:rPr>
                <w:b/>
              </w:rPr>
              <w:t>"Buyer Cause"</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“Buyer Contract”</w:t>
            </w:r>
          </w:p>
        </w:tc>
        <w:tc>
          <w:tcPr>
            <w:tcW w:w="6305" w:type="dxa"/>
          </w:tcPr>
          <w:p w:rsidR="009D71C0" w:rsidRDefault="00A234F8">
            <w:pPr>
              <w:widowControl w:val="0"/>
              <w:tabs>
                <w:tab w:val="left" w:pos="709"/>
              </w:tabs>
            </w:pPr>
            <w: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“CCS”</w:t>
            </w:r>
          </w:p>
        </w:tc>
        <w:tc>
          <w:tcPr>
            <w:tcW w:w="6305" w:type="dxa"/>
          </w:tcPr>
          <w:p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tc>
          <w:tcPr>
            <w:tcW w:w="1939" w:type="dxa"/>
          </w:tcPr>
          <w:p w:rsidR="009D71C0" w:rsidRDefault="009D71C0">
            <w:pPr>
              <w:widowControl w:val="0"/>
              <w:tabs>
                <w:tab w:val="left" w:pos="709"/>
              </w:tabs>
              <w:rPr>
                <w:b/>
              </w:rPr>
            </w:pPr>
          </w:p>
        </w:tc>
        <w:tc>
          <w:tcPr>
            <w:tcW w:w="6305" w:type="dxa"/>
          </w:tcPr>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"Central Government Body"</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rsidR="009D71C0" w:rsidRDefault="00A234F8">
            <w:pPr>
              <w:widowControl w:val="0"/>
              <w:numPr>
                <w:ilvl w:val="0"/>
                <w:numId w:val="3"/>
              </w:numPr>
              <w:tabs>
                <w:tab w:val="left" w:pos="709"/>
              </w:tabs>
              <w:ind w:left="0" w:firstLine="0"/>
              <w:jc w:val="both"/>
            </w:pPr>
            <w:r>
              <w:t>Government Department;</w:t>
            </w:r>
          </w:p>
          <w:p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rsidR="009D71C0" w:rsidRDefault="00A234F8">
            <w:pPr>
              <w:widowControl w:val="0"/>
              <w:numPr>
                <w:ilvl w:val="0"/>
                <w:numId w:val="3"/>
              </w:numPr>
              <w:tabs>
                <w:tab w:val="left" w:pos="709"/>
              </w:tabs>
              <w:ind w:left="0" w:firstLine="0"/>
              <w:jc w:val="both"/>
            </w:pPr>
            <w:r>
              <w:t>Non-Ministerial Department; or</w:t>
            </w:r>
          </w:p>
          <w:p w:rsidR="009D71C0" w:rsidRDefault="00A234F8">
            <w:pPr>
              <w:widowControl w:val="0"/>
              <w:numPr>
                <w:ilvl w:val="0"/>
                <w:numId w:val="3"/>
              </w:numPr>
              <w:tabs>
                <w:tab w:val="left" w:pos="709"/>
              </w:tabs>
              <w:ind w:left="0" w:firstLine="0"/>
              <w:jc w:val="both"/>
            </w:pPr>
            <w:r>
              <w:t>Executive Agency;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"Charges"</w:t>
            </w:r>
          </w:p>
        </w:tc>
        <w:tc>
          <w:tcPr>
            <w:tcW w:w="6305" w:type="dxa"/>
          </w:tcPr>
          <w:p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“Commercially Sensitive Information”</w:t>
            </w:r>
          </w:p>
        </w:tc>
        <w:tc>
          <w:tcPr>
            <w:tcW w:w="6305" w:type="dxa"/>
          </w:tcPr>
          <w:p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"Confidential Information"</w:t>
            </w:r>
          </w:p>
        </w:tc>
        <w:tc>
          <w:tcPr>
            <w:tcW w:w="6305" w:type="dxa"/>
          </w:tcPr>
          <w:p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"Controller"</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"Data Protection Impact Assessment"</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an assessment by the Controller of the impact of the envisaged Processing on the protection of Personal Data; </w:t>
            </w:r>
          </w:p>
        </w:tc>
      </w:tr>
      <w:tr w:rsidR="009D71C0">
        <w:tc>
          <w:tcPr>
            <w:tcW w:w="1939" w:type="dxa"/>
          </w:tcPr>
          <w:p w:rsidR="009D71C0" w:rsidRDefault="00A234F8">
            <w:pPr>
              <w:widowControl w:val="0"/>
              <w:tabs>
                <w:tab w:val="left" w:pos="709"/>
              </w:tabs>
              <w:rPr>
                <w:b/>
              </w:rPr>
            </w:pPr>
            <w:r>
              <w:rPr>
                <w:b/>
              </w:rPr>
              <w:t xml:space="preserve">"Data Protection Legislation"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 xml:space="preserve">"Data Protection Officer"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Access </w:t>
            </w:r>
          </w:p>
          <w:p w:rsidR="009D71C0" w:rsidRDefault="00A234F8">
            <w:pPr>
              <w:widowControl w:val="0"/>
              <w:tabs>
                <w:tab w:val="left" w:pos="709"/>
              </w:tabs>
              <w:rPr>
                <w:b/>
              </w:rPr>
            </w:pPr>
            <w:r>
              <w:rPr>
                <w:b/>
              </w:rPr>
              <w:t xml:space="preserve">Request"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tc>
          <w:tcPr>
            <w:tcW w:w="1939" w:type="dxa"/>
          </w:tcPr>
          <w:p w:rsidR="009D71C0" w:rsidRDefault="00A234F8">
            <w:pPr>
              <w:widowControl w:val="0"/>
              <w:tabs>
                <w:tab w:val="left" w:pos="709"/>
              </w:tabs>
              <w:rPr>
                <w:b/>
              </w:rPr>
            </w:pPr>
            <w:r>
              <w:rPr>
                <w:b/>
              </w:rPr>
              <w:t>"Deliver"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“Deliverables”</w:t>
            </w:r>
          </w:p>
        </w:tc>
        <w:tc>
          <w:tcPr>
            <w:tcW w:w="6305" w:type="dxa"/>
          </w:tcPr>
          <w:p w:rsidR="009D71C0" w:rsidRDefault="00A234F8">
            <w:pPr>
              <w:widowControl w:val="0"/>
              <w:tabs>
                <w:tab w:val="left" w:pos="709"/>
              </w:tabs>
            </w:pPr>
            <w:r>
              <w:t>Offered Deliverables that are ordered under the Buyer Contract and described in Part 1 of Annex F;</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“DOTAS”</w:t>
            </w:r>
          </w:p>
        </w:tc>
        <w:tc>
          <w:tcPr>
            <w:tcW w:w="6305" w:type="dxa"/>
          </w:tcPr>
          <w:p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9D71C0" w:rsidRDefault="009D71C0">
            <w:pPr>
              <w:widowControl w:val="0"/>
              <w:tabs>
                <w:tab w:val="left" w:pos="709"/>
              </w:tabs>
            </w:pPr>
          </w:p>
        </w:tc>
      </w:tr>
      <w:tr w:rsidR="009D71C0">
        <w:tc>
          <w:tcPr>
            <w:tcW w:w="1939" w:type="dxa"/>
          </w:tcPr>
          <w:p w:rsidR="009D71C0" w:rsidRDefault="00A234F8" w:rsidP="004A7A08">
            <w:pPr>
              <w:pBdr>
                <w:top w:val="nil"/>
                <w:left w:val="nil"/>
                <w:bottom w:val="nil"/>
                <w:right w:val="nil"/>
                <w:between w:val="nil"/>
              </w:pBdr>
              <w:tabs>
                <w:tab w:val="left" w:pos="709"/>
              </w:tabs>
              <w:spacing w:after="120" w:line="360" w:lineRule="auto"/>
              <w:rPr>
                <w:b/>
                <w:color w:val="000000"/>
              </w:rPr>
            </w:pPr>
            <w:r>
              <w:rPr>
                <w:b/>
                <w:color w:val="000000"/>
              </w:rPr>
              <w:t>“Electronic Invoice”</w:t>
            </w:r>
          </w:p>
          <w:p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tc>
          <w:tcPr>
            <w:tcW w:w="1939" w:type="dxa"/>
          </w:tcPr>
          <w:p w:rsidR="009D71C0" w:rsidRDefault="00A234F8">
            <w:pPr>
              <w:widowControl w:val="0"/>
              <w:tabs>
                <w:tab w:val="left" w:pos="709"/>
              </w:tabs>
              <w:rPr>
                <w:b/>
              </w:rPr>
            </w:pPr>
            <w:r>
              <w:rPr>
                <w:b/>
              </w:rPr>
              <w:t>"Existing IPR"</w:t>
            </w:r>
          </w:p>
          <w:p w:rsidR="009D71C0" w:rsidRDefault="009D71C0">
            <w:pPr>
              <w:widowControl w:val="0"/>
              <w:tabs>
                <w:tab w:val="left" w:pos="709"/>
              </w:tabs>
              <w:rPr>
                <w:b/>
              </w:rPr>
            </w:pPr>
          </w:p>
        </w:tc>
        <w:tc>
          <w:tcPr>
            <w:tcW w:w="6305" w:type="dxa"/>
          </w:tcPr>
          <w:p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tc>
          <w:tcPr>
            <w:tcW w:w="1939" w:type="dxa"/>
          </w:tcPr>
          <w:p w:rsidR="009D71C0" w:rsidRDefault="00A234F8">
            <w:pPr>
              <w:widowControl w:val="0"/>
              <w:tabs>
                <w:tab w:val="left" w:pos="709"/>
              </w:tabs>
              <w:rPr>
                <w:b/>
              </w:rPr>
            </w:pPr>
            <w:r>
              <w:rPr>
                <w:b/>
              </w:rPr>
              <w:t>"Expiry Date"</w:t>
            </w:r>
          </w:p>
        </w:tc>
        <w:tc>
          <w:tcPr>
            <w:tcW w:w="6305" w:type="dxa"/>
          </w:tcPr>
          <w:p w:rsidR="009D71C0" w:rsidRDefault="00A234F8">
            <w:pPr>
              <w:widowControl w:val="0"/>
              <w:tabs>
                <w:tab w:val="left" w:pos="709"/>
              </w:tabs>
            </w:pPr>
            <w:r>
              <w:t>means the date for expiry of the Buyer Contract as set out in the Letter;</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"FOIA"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"Force Majeure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rsidR="009D71C0" w:rsidRDefault="009D71C0">
            <w:pPr>
              <w:widowControl w:val="0"/>
              <w:tabs>
                <w:tab w:val="left" w:pos="709"/>
              </w:tabs>
            </w:pPr>
          </w:p>
          <w:p w:rsidR="009D71C0" w:rsidRDefault="00A234F8">
            <w:pPr>
              <w:widowControl w:val="0"/>
              <w:tabs>
                <w:tab w:val="left" w:pos="709"/>
              </w:tabs>
            </w:pPr>
            <w:r>
              <w:t>a)</w:t>
            </w:r>
            <w:r>
              <w:tab/>
              <w:t>riots, civil commotion, war or armed conflict;</w:t>
            </w:r>
          </w:p>
          <w:p w:rsidR="009D71C0" w:rsidRDefault="009D71C0">
            <w:pPr>
              <w:widowControl w:val="0"/>
              <w:tabs>
                <w:tab w:val="left" w:pos="709"/>
              </w:tabs>
            </w:pPr>
          </w:p>
          <w:p w:rsidR="009D71C0" w:rsidRDefault="00A234F8">
            <w:pPr>
              <w:widowControl w:val="0"/>
              <w:tabs>
                <w:tab w:val="left" w:pos="709"/>
              </w:tabs>
            </w:pPr>
            <w:r>
              <w:t>b)</w:t>
            </w:r>
            <w:r>
              <w:tab/>
              <w:t>acts of terrorism;</w:t>
            </w:r>
          </w:p>
          <w:p w:rsidR="009D71C0" w:rsidRDefault="009D71C0">
            <w:pPr>
              <w:widowControl w:val="0"/>
              <w:tabs>
                <w:tab w:val="left" w:pos="709"/>
              </w:tabs>
            </w:pPr>
          </w:p>
          <w:p w:rsidR="009D71C0" w:rsidRDefault="00A234F8">
            <w:pPr>
              <w:widowControl w:val="0"/>
              <w:tabs>
                <w:tab w:val="left" w:pos="709"/>
              </w:tabs>
            </w:pPr>
            <w:r>
              <w:t>c)</w:t>
            </w:r>
            <w:r>
              <w:tab/>
              <w:t>acts of a Central Government Body, local government or regulatory bodies;</w:t>
            </w:r>
          </w:p>
          <w:p w:rsidR="009D71C0" w:rsidRDefault="009D71C0">
            <w:pPr>
              <w:widowControl w:val="0"/>
              <w:tabs>
                <w:tab w:val="left" w:pos="709"/>
              </w:tabs>
            </w:pPr>
          </w:p>
          <w:p w:rsidR="009D71C0" w:rsidRDefault="00A234F8">
            <w:pPr>
              <w:widowControl w:val="0"/>
              <w:tabs>
                <w:tab w:val="left" w:pos="709"/>
              </w:tabs>
            </w:pPr>
            <w:r>
              <w:t>d)</w:t>
            </w:r>
            <w:r>
              <w:tab/>
              <w:t>fire, flood, storm or earthquake or other natural disaster,</w:t>
            </w:r>
          </w:p>
          <w:p w:rsidR="009D71C0" w:rsidRDefault="009D71C0">
            <w:pPr>
              <w:widowControl w:val="0"/>
              <w:tabs>
                <w:tab w:val="left" w:pos="709"/>
              </w:tabs>
            </w:pPr>
          </w:p>
          <w:p w:rsidR="009D71C0" w:rsidRDefault="00A234F8">
            <w:pPr>
              <w:widowControl w:val="0"/>
              <w:tabs>
                <w:tab w:val="left" w:pos="709"/>
              </w:tabs>
            </w:pPr>
            <w:r>
              <w:t>but excluding any industrial dispute relating to the Supplier, the Supplier Staff, or any other failure in the Supplier or the subcontractor's supply chain;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"General Anti-Abuse Rule"</w:t>
            </w:r>
          </w:p>
        </w:tc>
        <w:tc>
          <w:tcPr>
            <w:tcW w:w="6305" w:type="dxa"/>
          </w:tcPr>
          <w:p w:rsidR="009D71C0" w:rsidRDefault="00A234F8">
            <w:pPr>
              <w:widowControl w:val="0"/>
              <w:tabs>
                <w:tab w:val="left" w:pos="709"/>
              </w:tabs>
            </w:pPr>
            <w:r>
              <w:t>a)</w:t>
            </w:r>
            <w:r>
              <w:tab/>
              <w:t xml:space="preserve">the legislation in Part 5 of the Finance Act 2013; and </w:t>
            </w:r>
          </w:p>
          <w:p w:rsidR="009D71C0" w:rsidRDefault="009D71C0">
            <w:pPr>
              <w:widowControl w:val="0"/>
              <w:tabs>
                <w:tab w:val="left" w:pos="709"/>
              </w:tabs>
            </w:pPr>
          </w:p>
          <w:p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"Goods"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goods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"Good Industry Practice"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tc>
          <w:tcPr>
            <w:tcW w:w="1939" w:type="dxa"/>
          </w:tcPr>
          <w:p w:rsidR="009D71C0" w:rsidRDefault="00A234F8">
            <w:pPr>
              <w:widowControl w:val="0"/>
              <w:tabs>
                <w:tab w:val="left" w:pos="709"/>
              </w:tabs>
              <w:rPr>
                <w:b/>
              </w:rPr>
            </w:pPr>
            <w:r>
              <w:rPr>
                <w:b/>
              </w:rPr>
              <w:t>"Government Data"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tc>
          <w:tcPr>
            <w:tcW w:w="1939" w:type="dxa"/>
          </w:tcPr>
          <w:p w:rsidR="009D71C0" w:rsidRDefault="00A234F8">
            <w:pPr>
              <w:widowControl w:val="0"/>
              <w:tabs>
                <w:tab w:val="left" w:pos="709"/>
              </w:tabs>
              <w:rPr>
                <w:b/>
              </w:rPr>
            </w:pPr>
            <w:r>
              <w:rPr>
                <w:b/>
              </w:rPr>
              <w:t>“Halifax Abuse Principle”</w:t>
            </w:r>
          </w:p>
        </w:tc>
        <w:tc>
          <w:tcPr>
            <w:tcW w:w="6305" w:type="dxa"/>
          </w:tcPr>
          <w:p w:rsidR="009D71C0" w:rsidRDefault="00A234F8">
            <w:pPr>
              <w:widowControl w:val="0"/>
              <w:tabs>
                <w:tab w:val="left" w:pos="709"/>
              </w:tabs>
            </w:pPr>
            <w:r>
              <w:t>the principle explained in the CJEU Case C-255/02 Halifax and others;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t>“</w:t>
            </w:r>
            <w:r>
              <w:rPr>
                <w:b/>
              </w:rPr>
              <w:t>Independent Control</w:t>
            </w:r>
            <w:r>
              <w:t>”</w:t>
            </w:r>
          </w:p>
        </w:tc>
        <w:tc>
          <w:tcPr>
            <w:tcW w:w="6305" w:type="dxa"/>
          </w:tcPr>
          <w:p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"Information"</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under section 84 of the FOIA; </w:t>
            </w:r>
          </w:p>
        </w:tc>
      </w:tr>
      <w:tr w:rsidR="009D71C0">
        <w:tc>
          <w:tcPr>
            <w:tcW w:w="1939" w:type="dxa"/>
          </w:tcPr>
          <w:p w:rsidR="009D71C0" w:rsidRDefault="00A234F8">
            <w:pPr>
              <w:widowControl w:val="0"/>
              <w:tabs>
                <w:tab w:val="left" w:pos="709"/>
              </w:tabs>
              <w:rPr>
                <w:b/>
              </w:rPr>
            </w:pPr>
            <w:r>
              <w:rPr>
                <w:b/>
              </w:rPr>
              <w:t xml:space="preserve">"Information Commissioner"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tc>
          <w:tcPr>
            <w:tcW w:w="1939" w:type="dxa"/>
          </w:tcPr>
          <w:p w:rsidR="009D71C0" w:rsidRDefault="00A234F8">
            <w:pPr>
              <w:widowControl w:val="0"/>
              <w:tabs>
                <w:tab w:val="left" w:pos="709"/>
              </w:tabs>
              <w:rPr>
                <w:b/>
              </w:rPr>
            </w:pPr>
            <w:r>
              <w:rPr>
                <w:b/>
              </w:rPr>
              <w:lastRenderedPageBreak/>
              <w:t>"Insolvency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“IR35”</w:t>
            </w:r>
          </w:p>
        </w:tc>
        <w:tc>
          <w:tcPr>
            <w:tcW w:w="6305" w:type="dxa"/>
          </w:tcPr>
          <w:p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Controller Agreement”</w:t>
            </w:r>
          </w:p>
        </w:tc>
        <w:tc>
          <w:tcPr>
            <w:tcW w:w="6305" w:type="dxa"/>
          </w:tcPr>
          <w:p w:rsidR="009D71C0" w:rsidRDefault="00A234F8">
            <w:pPr>
              <w:widowControl w:val="0"/>
              <w:tabs>
                <w:tab w:val="left" w:pos="709"/>
              </w:tabs>
            </w:pPr>
            <w:r>
              <w:t>the agreement (if any) entered into between the Buyer and the Supplier substantially in the form set out in Appendix 2 of Annex 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w:t>
            </w:r>
          </w:p>
        </w:tc>
        <w:tc>
          <w:tcPr>
            <w:tcW w:w="6305" w:type="dxa"/>
          </w:tcPr>
          <w:p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“Law”</w:t>
            </w:r>
          </w:p>
        </w:tc>
        <w:tc>
          <w:tcPr>
            <w:tcW w:w="6305" w:type="dxa"/>
          </w:tcPr>
          <w:p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“Letter”</w:t>
            </w:r>
          </w:p>
        </w:tc>
        <w:tc>
          <w:tcPr>
            <w:tcW w:w="6305" w:type="dxa"/>
          </w:tcPr>
          <w:p w:rsidR="009D71C0" w:rsidRDefault="00A234F8">
            <w:pPr>
              <w:widowControl w:val="0"/>
              <w:tabs>
                <w:tab w:val="left" w:pos="709"/>
              </w:tabs>
            </w:pPr>
            <w:r>
              <w:t>the letter from the Buyer to the Supplier offering to enter into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“Losses”</w:t>
            </w:r>
          </w:p>
        </w:tc>
        <w:tc>
          <w:tcPr>
            <w:tcW w:w="6305" w:type="dxa"/>
          </w:tcPr>
          <w:p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 Contract”</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tc>
          <w:tcPr>
            <w:tcW w:w="1939" w:type="dxa"/>
          </w:tcPr>
          <w:p w:rsidR="009D71C0" w:rsidRDefault="00A234F8">
            <w:pPr>
              <w:widowControl w:val="0"/>
              <w:tabs>
                <w:tab w:val="left" w:pos="709"/>
              </w:tabs>
              <w:rPr>
                <w:b/>
              </w:rPr>
            </w:pPr>
            <w:r>
              <w:rPr>
                <w:b/>
              </w:rPr>
              <w:t>“Maximum Liability Amount”</w:t>
            </w:r>
          </w:p>
        </w:tc>
        <w:tc>
          <w:tcPr>
            <w:tcW w:w="6305" w:type="dxa"/>
          </w:tcPr>
          <w:p w:rsidR="009D71C0" w:rsidRDefault="00A234F8">
            <w:pPr>
              <w:widowControl w:val="0"/>
              <w:tabs>
                <w:tab w:val="left" w:pos="709"/>
              </w:tabs>
            </w:pPr>
            <w:r>
              <w:t>the amount specified in Annex C of the Letter;</w:t>
            </w:r>
          </w:p>
          <w:p w:rsidR="009D71C0" w:rsidRDefault="009D71C0">
            <w:pPr>
              <w:widowControl w:val="0"/>
              <w:tabs>
                <w:tab w:val="left" w:pos="709"/>
              </w:tabs>
            </w:pP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“Minimum Warranty Period”</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minimum period for which the Supplier warrants the Deliverables specified in Annex C of Letter;</w:t>
            </w:r>
          </w:p>
        </w:tc>
      </w:tr>
      <w:tr w:rsidR="009D71C0">
        <w:tc>
          <w:tcPr>
            <w:tcW w:w="1939" w:type="dxa"/>
          </w:tcPr>
          <w:p w:rsidR="009D71C0" w:rsidRDefault="00A234F8">
            <w:pPr>
              <w:widowControl w:val="0"/>
              <w:tabs>
                <w:tab w:val="left" w:pos="709"/>
              </w:tabs>
              <w:rPr>
                <w:b/>
              </w:rPr>
            </w:pPr>
            <w:r>
              <w:rPr>
                <w:b/>
              </w:rPr>
              <w:t>"New IPR"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tc>
          <w:tcPr>
            <w:tcW w:w="1939" w:type="dxa"/>
          </w:tcPr>
          <w:p w:rsidR="009D71C0" w:rsidRDefault="00A234F8">
            <w:pPr>
              <w:widowControl w:val="0"/>
              <w:tabs>
                <w:tab w:val="left" w:pos="709"/>
              </w:tabs>
              <w:rPr>
                <w:b/>
              </w:rPr>
            </w:pPr>
            <w:r>
              <w:rPr>
                <w:b/>
              </w:rPr>
              <w:t>“Occasion of Tax Non-Compliance”</w:t>
            </w:r>
          </w:p>
        </w:tc>
        <w:tc>
          <w:tcPr>
            <w:tcW w:w="6305" w:type="dxa"/>
          </w:tcPr>
          <w:p w:rsidR="009D71C0" w:rsidRDefault="00A234F8">
            <w:pPr>
              <w:widowControl w:val="0"/>
              <w:tabs>
                <w:tab w:val="left" w:pos="709"/>
              </w:tabs>
            </w:pPr>
            <w:r>
              <w:t xml:space="preserve">where: </w:t>
            </w:r>
          </w:p>
          <w:p w:rsidR="009D71C0" w:rsidRDefault="009D71C0">
            <w:pPr>
              <w:widowControl w:val="0"/>
              <w:tabs>
                <w:tab w:val="left" w:pos="709"/>
              </w:tabs>
            </w:pPr>
          </w:p>
          <w:p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9D71C0" w:rsidRDefault="009D71C0">
            <w:pPr>
              <w:widowControl w:val="0"/>
              <w:tabs>
                <w:tab w:val="left" w:pos="709"/>
              </w:tabs>
            </w:pPr>
          </w:p>
          <w:p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9D71C0" w:rsidRDefault="009D71C0">
            <w:pPr>
              <w:widowControl w:val="0"/>
              <w:tabs>
                <w:tab w:val="left" w:pos="709"/>
              </w:tabs>
            </w:pPr>
          </w:p>
          <w:p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"Offered Deliverables"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tc>
          <w:tcPr>
            <w:tcW w:w="1939" w:type="dxa"/>
          </w:tcPr>
          <w:p w:rsidR="009D71C0" w:rsidRDefault="00A234F8">
            <w:pPr>
              <w:widowControl w:val="0"/>
              <w:tabs>
                <w:tab w:val="left" w:pos="709"/>
              </w:tabs>
              <w:rPr>
                <w:b/>
              </w:rPr>
            </w:pPr>
            <w:r>
              <w:rPr>
                <w:b/>
              </w:rPr>
              <w:t>"Party"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Supplier or the Buyer (as appropriate) and "Parties" shall mean both of them; </w:t>
            </w:r>
          </w:p>
        </w:tc>
      </w:tr>
      <w:tr w:rsidR="009D71C0">
        <w:tc>
          <w:tcPr>
            <w:tcW w:w="1939" w:type="dxa"/>
          </w:tcPr>
          <w:p w:rsidR="009D71C0" w:rsidRDefault="00A234F8">
            <w:pPr>
              <w:widowControl w:val="0"/>
              <w:tabs>
                <w:tab w:val="left" w:pos="709"/>
              </w:tabs>
              <w:rPr>
                <w:b/>
              </w:rPr>
            </w:pPr>
            <w:r>
              <w:rPr>
                <w:b/>
              </w:rPr>
              <w:t>"Personal Data"</w:t>
            </w:r>
          </w:p>
          <w:p w:rsidR="009D71C0" w:rsidRDefault="00A234F8">
            <w:pPr>
              <w:widowControl w:val="0"/>
              <w:tabs>
                <w:tab w:val="left" w:pos="709"/>
              </w:tabs>
              <w:rPr>
                <w:b/>
              </w:rPr>
            </w:pPr>
            <w:r>
              <w:rPr>
                <w:b/>
              </w:rPr>
              <w:t xml:space="preserve"> </w:t>
            </w: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rPr>
                <w:b/>
              </w:rPr>
              <w:t xml:space="preserve">"Personal Data Breach"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t>“</w:t>
            </w:r>
            <w:r>
              <w:rPr>
                <w:b/>
              </w:rPr>
              <w:t>Processing</w:t>
            </w:r>
            <w:r>
              <w:t>”</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"Processor"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“Processor Personnel”</w:t>
            </w:r>
          </w:p>
        </w:tc>
        <w:tc>
          <w:tcPr>
            <w:tcW w:w="6305" w:type="dxa"/>
          </w:tcPr>
          <w:p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“Prohibited Acts”</w:t>
            </w:r>
          </w:p>
        </w:tc>
        <w:tc>
          <w:tcPr>
            <w:tcW w:w="6305" w:type="dxa"/>
          </w:tcPr>
          <w:p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induce that person to perform improperly a relevant function or activity; or</w:t>
            </w:r>
          </w:p>
          <w:p w:rsidR="009D71C0" w:rsidRDefault="009D71C0">
            <w:pPr>
              <w:widowControl w:val="0"/>
              <w:tabs>
                <w:tab w:val="left" w:pos="709"/>
              </w:tabs>
            </w:pPr>
          </w:p>
          <w:p w:rsidR="009D71C0" w:rsidRDefault="00A234F8">
            <w:pPr>
              <w:widowControl w:val="0"/>
              <w:tabs>
                <w:tab w:val="left" w:pos="709"/>
              </w:tabs>
            </w:pPr>
            <w:r>
              <w:t>ii)</w:t>
            </w:r>
            <w:r>
              <w:tab/>
              <w:t xml:space="preserve">reward that person for improper performance of a relevant function or activity; </w:t>
            </w:r>
          </w:p>
          <w:p w:rsidR="009D71C0" w:rsidRDefault="009D71C0">
            <w:pPr>
              <w:widowControl w:val="0"/>
              <w:tabs>
                <w:tab w:val="left" w:pos="709"/>
              </w:tabs>
            </w:pPr>
          </w:p>
          <w:p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9D71C0" w:rsidRDefault="009D71C0">
            <w:pPr>
              <w:widowControl w:val="0"/>
              <w:tabs>
                <w:tab w:val="left" w:pos="709"/>
              </w:tabs>
            </w:pPr>
          </w:p>
          <w:p w:rsidR="009D71C0" w:rsidRDefault="00A234F8">
            <w:pPr>
              <w:widowControl w:val="0"/>
              <w:tabs>
                <w:tab w:val="left" w:pos="709"/>
              </w:tabs>
            </w:pPr>
            <w:r>
              <w:t>c)</w:t>
            </w:r>
            <w:r>
              <w:tab/>
              <w:t>committing any offence:</w:t>
            </w:r>
            <w:r>
              <w:tab/>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rsidR="009D71C0" w:rsidRDefault="009D71C0">
            <w:pPr>
              <w:widowControl w:val="0"/>
              <w:tabs>
                <w:tab w:val="left" w:pos="709"/>
              </w:tabs>
            </w:pPr>
          </w:p>
          <w:p w:rsidR="009D71C0" w:rsidRDefault="00A234F8">
            <w:pPr>
              <w:widowControl w:val="0"/>
              <w:tabs>
                <w:tab w:val="left" w:pos="709"/>
              </w:tabs>
            </w:pPr>
            <w:r>
              <w:t>ii)</w:t>
            </w:r>
            <w:r>
              <w:tab/>
              <w:t>under legislation or common law concerning fraudulent acts; or</w:t>
            </w:r>
          </w:p>
          <w:p w:rsidR="009D71C0" w:rsidRDefault="009D71C0">
            <w:pPr>
              <w:widowControl w:val="0"/>
              <w:tabs>
                <w:tab w:val="left" w:pos="709"/>
              </w:tabs>
            </w:pPr>
          </w:p>
          <w:p w:rsidR="009D71C0" w:rsidRDefault="00A234F8">
            <w:pPr>
              <w:widowControl w:val="0"/>
              <w:tabs>
                <w:tab w:val="left" w:pos="709"/>
              </w:tabs>
            </w:pPr>
            <w:r>
              <w:t>iii)</w:t>
            </w:r>
            <w:r>
              <w:tab/>
              <w:t xml:space="preserve">defrauding, attempting to defraud or conspiring to defraud the Buyer or other public body; or </w:t>
            </w:r>
          </w:p>
          <w:p w:rsidR="009D71C0" w:rsidRDefault="009D71C0">
            <w:pPr>
              <w:widowControl w:val="0"/>
              <w:tabs>
                <w:tab w:val="left" w:pos="709"/>
              </w:tabs>
            </w:pPr>
          </w:p>
          <w:p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“Protective Measures”</w:t>
            </w:r>
          </w:p>
        </w:tc>
        <w:tc>
          <w:tcPr>
            <w:tcW w:w="6305" w:type="dxa"/>
          </w:tcPr>
          <w:p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"Purchase Order Number"</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tc>
          <w:tcPr>
            <w:tcW w:w="1939" w:type="dxa"/>
          </w:tcPr>
          <w:p w:rsidR="009D71C0" w:rsidRDefault="00A234F8">
            <w:pPr>
              <w:widowControl w:val="0"/>
              <w:tabs>
                <w:tab w:val="left" w:pos="709"/>
              </w:tabs>
              <w:rPr>
                <w:b/>
              </w:rPr>
            </w:pPr>
            <w:r>
              <w:rPr>
                <w:b/>
              </w:rPr>
              <w:t>“Recall”</w:t>
            </w:r>
          </w:p>
        </w:tc>
        <w:tc>
          <w:tcPr>
            <w:tcW w:w="6305" w:type="dxa"/>
          </w:tcPr>
          <w:p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Requirements”</w:t>
            </w:r>
          </w:p>
        </w:tc>
        <w:tc>
          <w:tcPr>
            <w:tcW w:w="6305" w:type="dxa"/>
          </w:tcPr>
          <w:p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Tax Authority”</w:t>
            </w:r>
          </w:p>
        </w:tc>
        <w:tc>
          <w:tcPr>
            <w:tcW w:w="6305" w:type="dxa"/>
          </w:tcPr>
          <w:p w:rsidR="009D71C0" w:rsidRDefault="00A234F8">
            <w:pPr>
              <w:widowControl w:val="0"/>
              <w:tabs>
                <w:tab w:val="left" w:pos="709"/>
              </w:tabs>
            </w:pPr>
            <w:r>
              <w:t>HMRC, or, if applicable, the tax authority in the jurisdiction in which the Supplier is established;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"Regulations"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the Public Contracts Regulations 2015 and/or the Public Contracts (Scotland) Regulations 2015 (as the context requires) as amended from time to time;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"Request for Information"</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tc>
          <w:tcPr>
            <w:tcW w:w="1939" w:type="dxa"/>
          </w:tcPr>
          <w:p w:rsidR="009D71C0" w:rsidRDefault="00A234F8">
            <w:pPr>
              <w:widowControl w:val="0"/>
              <w:tabs>
                <w:tab w:val="left" w:pos="709"/>
              </w:tabs>
              <w:rPr>
                <w:b/>
              </w:rPr>
            </w:pPr>
            <w:r>
              <w:rPr>
                <w:b/>
              </w:rPr>
              <w:t>"Services"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services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“Special Term” </w:t>
            </w:r>
          </w:p>
        </w:tc>
        <w:tc>
          <w:tcPr>
            <w:tcW w:w="6305" w:type="dxa"/>
          </w:tcPr>
          <w:p w:rsidR="009D71C0" w:rsidRDefault="00A234F8">
            <w:pPr>
              <w:widowControl w:val="0"/>
              <w:tabs>
                <w:tab w:val="left" w:pos="709"/>
              </w:tabs>
            </w:pPr>
            <w:r>
              <w:t>any special term specified in Annex B to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"Staff Vetting Procedures"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tc>
          <w:tcPr>
            <w:tcW w:w="1939" w:type="dxa"/>
          </w:tcPr>
          <w:p w:rsidR="009D71C0" w:rsidRDefault="00A234F8">
            <w:pPr>
              <w:widowControl w:val="0"/>
              <w:tabs>
                <w:tab w:val="left" w:pos="709"/>
              </w:tabs>
              <w:rPr>
                <w:b/>
              </w:rPr>
            </w:pPr>
            <w:r>
              <w:rPr>
                <w:b/>
              </w:rPr>
              <w:t>“Suitability Assessment Questionnaire”</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questionnaire completed by the Supplier as part of its application for inclusion in the LVPS, as set out at Annex E;</w:t>
            </w:r>
          </w:p>
        </w:tc>
      </w:tr>
      <w:tr w:rsidR="009D71C0">
        <w:tc>
          <w:tcPr>
            <w:tcW w:w="1939" w:type="dxa"/>
          </w:tcPr>
          <w:p w:rsidR="009D71C0" w:rsidRDefault="00A234F8">
            <w:pPr>
              <w:widowControl w:val="0"/>
              <w:tabs>
                <w:tab w:val="left" w:pos="709"/>
              </w:tabs>
              <w:rPr>
                <w:b/>
              </w:rPr>
            </w:pPr>
            <w:r>
              <w:rPr>
                <w:b/>
              </w:rPr>
              <w:t>"</w:t>
            </w:r>
            <w:proofErr w:type="spellStart"/>
            <w:r>
              <w:rPr>
                <w:b/>
              </w:rPr>
              <w:t>Subprocessor</w:t>
            </w:r>
            <w:proofErr w:type="spellEnd"/>
            <w:r>
              <w:rPr>
                <w:b/>
              </w:rPr>
              <w: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tc>
          <w:tcPr>
            <w:tcW w:w="1939" w:type="dxa"/>
          </w:tcPr>
          <w:p w:rsidR="009D71C0" w:rsidRDefault="00A234F8">
            <w:pPr>
              <w:widowControl w:val="0"/>
              <w:tabs>
                <w:tab w:val="left" w:pos="709"/>
              </w:tabs>
              <w:rPr>
                <w:b/>
              </w:rPr>
            </w:pPr>
            <w:r>
              <w:rPr>
                <w:b/>
              </w:rPr>
              <w:lastRenderedPageBreak/>
              <w:t xml:space="preserve">"Supplier Staff"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"Supplier"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person named as Supplier in the Letter;</w:t>
            </w:r>
          </w:p>
        </w:tc>
      </w:tr>
      <w:tr w:rsidR="009D71C0">
        <w:tc>
          <w:tcPr>
            <w:tcW w:w="1939" w:type="dxa"/>
          </w:tcPr>
          <w:p w:rsidR="009D71C0" w:rsidRDefault="00A234F8">
            <w:pPr>
              <w:widowControl w:val="0"/>
              <w:tabs>
                <w:tab w:val="left" w:pos="709"/>
              </w:tabs>
              <w:rPr>
                <w:b/>
              </w:rPr>
            </w:pPr>
            <w:r>
              <w:rPr>
                <w:b/>
              </w:rPr>
              <w:t>"Term"</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“Transparency Information”</w:t>
            </w:r>
          </w:p>
        </w:tc>
        <w:tc>
          <w:tcPr>
            <w:tcW w:w="6305" w:type="dxa"/>
          </w:tcPr>
          <w:p w:rsidR="009D71C0" w:rsidRDefault="00A234F8">
            <w:pPr>
              <w:widowControl w:val="0"/>
              <w:tabs>
                <w:tab w:val="left" w:pos="709"/>
              </w:tabs>
            </w:pPr>
            <w:r>
              <w:t>the content of the Buyer Contract, including any changes to the Buyer Contract agreed from time to time, except for:</w:t>
            </w:r>
          </w:p>
          <w:p w:rsidR="009D71C0" w:rsidRDefault="009D71C0">
            <w:pPr>
              <w:widowControl w:val="0"/>
              <w:tabs>
                <w:tab w:val="left" w:pos="709"/>
              </w:tabs>
            </w:pPr>
          </w:p>
          <w:p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9D71C0" w:rsidRDefault="00A234F8">
            <w:pPr>
              <w:widowControl w:val="0"/>
              <w:tabs>
                <w:tab w:val="left" w:pos="709"/>
              </w:tabs>
            </w:pPr>
            <w:r>
              <w:tab/>
            </w:r>
          </w:p>
          <w:p w:rsidR="009D71C0" w:rsidRDefault="00A234F8">
            <w:pPr>
              <w:widowControl w:val="0"/>
              <w:tabs>
                <w:tab w:val="left" w:pos="709"/>
              </w:tabs>
            </w:pPr>
            <w:r>
              <w:t>(ii)</w:t>
            </w:r>
            <w:r>
              <w:tab/>
              <w:t>Commercially Sensitive Information;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 xml:space="preserve">"UK GDPR"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retained EU law version of the General Data Protection Regulation (Regulation (EU) 2016/679);</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"VAT"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value added tax in accordance with the provisions of the Value Added Tax Act 1994; </w:t>
            </w:r>
          </w:p>
        </w:tc>
      </w:tr>
      <w:tr w:rsidR="009D71C0">
        <w:tc>
          <w:tcPr>
            <w:tcW w:w="1939" w:type="dxa"/>
          </w:tcPr>
          <w:p w:rsidR="009D71C0" w:rsidRDefault="00A234F8">
            <w:pPr>
              <w:widowControl w:val="0"/>
              <w:tabs>
                <w:tab w:val="left" w:pos="709"/>
              </w:tabs>
              <w:rPr>
                <w:b/>
              </w:rPr>
            </w:pPr>
            <w:r>
              <w:rPr>
                <w:b/>
              </w:rPr>
              <w:t>"Workers"</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"Working Day"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a day (other than a Saturday or Sunday) on which banks are open for business in the City of London.</w:t>
            </w:r>
          </w:p>
        </w:tc>
      </w:tr>
    </w:tbl>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rsidR="009D71C0" w:rsidRDefault="009D71C0">
      <w:pPr>
        <w:widowControl w:val="0"/>
        <w:pBdr>
          <w:top w:val="nil"/>
          <w:left w:val="nil"/>
          <w:bottom w:val="nil"/>
          <w:right w:val="nil"/>
          <w:between w:val="nil"/>
        </w:pBdr>
        <w:tabs>
          <w:tab w:val="left" w:pos="709"/>
        </w:tabs>
        <w:ind w:left="709" w:firstLine="540"/>
        <w:rPr>
          <w:color w:val="000000"/>
        </w:rPr>
      </w:pPr>
    </w:p>
    <w:p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9D71C0" w:rsidRDefault="009D71C0">
      <w:pPr>
        <w:pStyle w:val="Heading2"/>
        <w:keepNext w:val="0"/>
        <w:tabs>
          <w:tab w:val="left" w:pos="993"/>
        </w:tabs>
        <w:spacing w:before="0" w:after="240"/>
        <w:ind w:left="709"/>
        <w:rPr>
          <w:color w:val="000000"/>
          <w:sz w:val="20"/>
          <w:szCs w:val="20"/>
        </w:rPr>
      </w:pP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9D71C0" w:rsidRDefault="009D71C0">
      <w:pPr>
        <w:tabs>
          <w:tab w:val="left" w:pos="709"/>
        </w:tabs>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rsidR="009D71C0" w:rsidRDefault="009D71C0"/>
    <w:p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9D71C0" w:rsidRDefault="009D71C0">
      <w:pPr>
        <w:pStyle w:val="Heading2"/>
        <w:tabs>
          <w:tab w:val="left" w:pos="709"/>
        </w:tabs>
        <w:spacing w:before="0" w:after="0"/>
        <w:ind w:left="709"/>
        <w:rPr>
          <w:b/>
          <w:color w:val="000000"/>
          <w:sz w:val="20"/>
          <w:szCs w:val="20"/>
        </w:rPr>
      </w:pPr>
    </w:p>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9D71C0" w:rsidRDefault="009D71C0"/>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rsidR="009D71C0" w:rsidRDefault="009D71C0">
      <w:pPr>
        <w:pStyle w:val="Heading3"/>
        <w:keepNext w:val="0"/>
        <w:keepLines w:val="0"/>
        <w:tabs>
          <w:tab w:val="left" w:pos="1276"/>
        </w:tabs>
        <w:spacing w:before="0" w:after="0"/>
        <w:ind w:left="1276"/>
        <w:rPr>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rsidR="009D71C0" w:rsidRDefault="009D71C0">
      <w:pPr>
        <w:pStyle w:val="Heading2"/>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rsidR="009D71C0" w:rsidRDefault="009D71C0">
      <w:pPr>
        <w:pStyle w:val="Heading3"/>
        <w:tabs>
          <w:tab w:val="left" w:pos="709"/>
        </w:tabs>
        <w:spacing w:after="0"/>
        <w:ind w:left="1440" w:firstLine="1263"/>
        <w:rPr>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9D71C0" w:rsidRDefault="009D71C0">
      <w:pPr>
        <w:tabs>
          <w:tab w:val="left" w:pos="709"/>
        </w:tabs>
        <w:ind w:firstLine="1264"/>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rsidR="009D71C0" w:rsidRDefault="009D71C0">
      <w:pPr>
        <w:pStyle w:val="Heading2"/>
        <w:tabs>
          <w:tab w:val="left" w:pos="709"/>
        </w:tabs>
        <w:spacing w:before="0" w:after="0"/>
        <w:rPr>
          <w:color w:val="000000"/>
          <w:sz w:val="20"/>
          <w:szCs w:val="20"/>
        </w:rPr>
      </w:pPr>
    </w:p>
    <w:p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9D71C0" w:rsidRDefault="009D71C0"/>
    <w:p w:rsidR="009D71C0" w:rsidRDefault="00A234F8">
      <w:pPr>
        <w:numPr>
          <w:ilvl w:val="2"/>
          <w:numId w:val="1"/>
        </w:numPr>
        <w:pBdr>
          <w:top w:val="nil"/>
          <w:left w:val="nil"/>
          <w:bottom w:val="nil"/>
          <w:right w:val="nil"/>
          <w:between w:val="nil"/>
        </w:pBdr>
      </w:pPr>
      <w:r>
        <w:rPr>
          <w:color w:val="000000"/>
        </w:rPr>
        <w:t>in accordance with UK GDPR.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9D71C0" w:rsidRDefault="009D71C0">
      <w:pPr>
        <w:pStyle w:val="Heading2"/>
        <w:tabs>
          <w:tab w:val="left" w:pos="709"/>
        </w:tabs>
        <w:spacing w:before="0" w:after="0"/>
        <w:ind w:left="709"/>
        <w:rPr>
          <w:color w:val="000000"/>
          <w:sz w:val="20"/>
          <w:szCs w:val="20"/>
        </w:rPr>
      </w:pPr>
    </w:p>
    <w:p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rsidR="009D71C0" w:rsidRDefault="009D71C0"/>
    <w:p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9D71C0" w:rsidRDefault="009D71C0"/>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rsidR="009D71C0" w:rsidRDefault="009D71C0"/>
    <w:p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rsidR="009D71C0" w:rsidRDefault="009D71C0">
      <w:pPr>
        <w:pStyle w:val="Heading2"/>
        <w:tabs>
          <w:tab w:val="left" w:pos="709"/>
        </w:tabs>
        <w:spacing w:before="0" w:after="0"/>
        <w:ind w:left="3272"/>
        <w:rPr>
          <w:b/>
          <w:color w:val="000000"/>
          <w:sz w:val="20"/>
          <w:szCs w:val="20"/>
        </w:rPr>
      </w:pPr>
    </w:p>
    <w:p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9D71C0" w:rsidRDefault="009D71C0"/>
    <w:p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9D71C0" w:rsidRDefault="009D71C0"/>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rsidR="009D71C0" w:rsidRDefault="009D71C0">
      <w:pPr>
        <w:pStyle w:val="Heading3"/>
        <w:keepNext w:val="0"/>
        <w:keepLines w:val="0"/>
        <w:tabs>
          <w:tab w:val="left" w:pos="709"/>
        </w:tabs>
        <w:spacing w:before="0" w:after="0"/>
        <w:ind w:left="1276"/>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9D71C0" w:rsidRDefault="009D71C0"/>
    <w:p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9D71C0" w:rsidRDefault="009D71C0">
      <w:pPr>
        <w:pBdr>
          <w:top w:val="nil"/>
          <w:left w:val="nil"/>
          <w:bottom w:val="nil"/>
          <w:right w:val="nil"/>
          <w:between w:val="nil"/>
        </w:pBdr>
        <w:ind w:left="720"/>
        <w:rPr>
          <w:color w:val="000000"/>
        </w:rPr>
      </w:pP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9D71C0" w:rsidRDefault="009D71C0">
      <w:pPr>
        <w:pStyle w:val="Heading3"/>
        <w:keepNext w:val="0"/>
        <w:keepLines w:val="0"/>
        <w:tabs>
          <w:tab w:val="left" w:pos="709"/>
        </w:tabs>
        <w:spacing w:before="0" w:after="0"/>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9D71C0" w:rsidRDefault="009D71C0">
      <w:pPr>
        <w:pStyle w:val="Heading2"/>
        <w:keepNext w:val="0"/>
        <w:tabs>
          <w:tab w:val="left" w:pos="709"/>
        </w:tabs>
        <w:spacing w:before="0" w:after="0"/>
        <w:ind w:left="3402"/>
        <w:rPr>
          <w:sz w:val="20"/>
          <w:szCs w:val="20"/>
        </w:rPr>
      </w:pPr>
    </w:p>
    <w:p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9D71C0" w:rsidRDefault="009D71C0"/>
    <w:p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rsidR="009D71C0" w:rsidRDefault="009D71C0">
      <w:pPr>
        <w:pStyle w:val="Heading3"/>
        <w:keepNext w:val="0"/>
        <w:keepLines w:val="0"/>
        <w:tabs>
          <w:tab w:val="left" w:pos="709"/>
        </w:tabs>
        <w:spacing w:before="0" w:after="0"/>
        <w:ind w:left="1276"/>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rsidR="009D71C0" w:rsidRDefault="009D71C0"/>
    <w:p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rsidR="009D71C0" w:rsidRDefault="009D71C0">
      <w:pPr>
        <w:pStyle w:val="Heading2"/>
        <w:keepNext w:val="0"/>
        <w:tabs>
          <w:tab w:val="left" w:pos="709"/>
        </w:tabs>
        <w:spacing w:before="0"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rsidR="009D71C0" w:rsidRDefault="009D71C0">
      <w:pPr>
        <w:keepNext/>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9D71C0" w:rsidRDefault="009D71C0">
      <w:pPr>
        <w:pStyle w:val="Heading1"/>
        <w:tabs>
          <w:tab w:val="left" w:pos="709"/>
        </w:tabs>
        <w:spacing w:before="120" w:after="0"/>
        <w:ind w:left="709"/>
        <w:rPr>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9D71C0" w:rsidRDefault="009D71C0"/>
    <w:p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9D71C0" w:rsidRDefault="009D71C0"/>
    <w:p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rsidR="009D71C0" w:rsidRDefault="009D71C0"/>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9D71C0" w:rsidRDefault="009D71C0">
      <w:pPr>
        <w:pStyle w:val="Heading2"/>
        <w:tabs>
          <w:tab w:val="left" w:pos="709"/>
        </w:tabs>
        <w:spacing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9D71C0" w:rsidRDefault="00A234F8">
      <w:pPr>
        <w:jc w:val="center"/>
      </w:pPr>
      <w:r>
        <w:br w:type="page"/>
      </w:r>
      <w:r>
        <w:rPr>
          <w:b/>
          <w:color w:val="000000"/>
        </w:rPr>
        <w:lastRenderedPageBreak/>
        <w:t>Annex B</w:t>
      </w:r>
    </w:p>
    <w:p w:rsidR="009D71C0" w:rsidRPr="00B37755" w:rsidRDefault="00A234F8">
      <w:pPr>
        <w:jc w:val="center"/>
        <w:rPr>
          <w:b/>
          <w:strike/>
          <w:color w:val="000000"/>
        </w:rPr>
      </w:pPr>
      <w:r w:rsidRPr="00B37755">
        <w:rPr>
          <w:b/>
          <w:strike/>
          <w:color w:val="000000"/>
        </w:rPr>
        <w:t>Special Terms</w:t>
      </w:r>
      <w:r w:rsidR="00B37755">
        <w:rPr>
          <w:b/>
          <w:strike/>
          <w:color w:val="000000"/>
        </w:rPr>
        <w:t xml:space="preserve"> </w:t>
      </w:r>
      <w:r w:rsidR="00B37755" w:rsidRPr="00B37755">
        <w:rPr>
          <w:b/>
          <w:color w:val="000000"/>
        </w:rPr>
        <w:t>NOT USED</w:t>
      </w:r>
    </w:p>
    <w:p w:rsidR="009D71C0" w:rsidRDefault="009D71C0">
      <w:pPr>
        <w:jc w:val="center"/>
        <w:rPr>
          <w:b/>
          <w:color w:val="000000"/>
        </w:rPr>
      </w:pPr>
    </w:p>
    <w:p w:rsidR="009D71C0" w:rsidRDefault="009D71C0">
      <w:pPr>
        <w:rPr>
          <w:b/>
          <w:color w:val="000000"/>
        </w:rPr>
      </w:pPr>
    </w:p>
    <w:p w:rsidR="009D71C0" w:rsidRDefault="00A234F8">
      <w:pPr>
        <w:rPr>
          <w:b/>
          <w:color w:val="000000"/>
        </w:rPr>
      </w:pPr>
      <w:r>
        <w:br w:type="page"/>
      </w:r>
    </w:p>
    <w:p w:rsidR="009D71C0" w:rsidRDefault="00A234F8">
      <w:pPr>
        <w:jc w:val="center"/>
        <w:rPr>
          <w:b/>
          <w:color w:val="000000"/>
        </w:rPr>
      </w:pPr>
      <w:r>
        <w:rPr>
          <w:b/>
          <w:color w:val="000000"/>
        </w:rPr>
        <w:lastRenderedPageBreak/>
        <w:t>Annex C</w:t>
      </w:r>
    </w:p>
    <w:p w:rsidR="009D71C0" w:rsidRDefault="00A234F8">
      <w:pPr>
        <w:jc w:val="center"/>
        <w:rPr>
          <w:b/>
          <w:color w:val="000000"/>
        </w:rPr>
      </w:pPr>
      <w:r>
        <w:rPr>
          <w:b/>
          <w:color w:val="000000"/>
        </w:rPr>
        <w:t>Contract Management Information</w:t>
      </w:r>
    </w:p>
    <w:p w:rsidR="009D71C0" w:rsidRDefault="009D71C0">
      <w:pPr>
        <w:jc w:val="center"/>
        <w:rPr>
          <w:color w:val="000000"/>
        </w:rPr>
      </w:pPr>
    </w:p>
    <w:p w:rsidR="009D71C0" w:rsidRDefault="00A234F8">
      <w:pPr>
        <w:tabs>
          <w:tab w:val="left" w:pos="2257"/>
        </w:tabs>
      </w:pPr>
      <w:r>
        <w:t>PAYMENT</w:t>
      </w:r>
    </w:p>
    <w:p w:rsidR="009D71C0" w:rsidRDefault="00A234F8">
      <w:pPr>
        <w:tabs>
          <w:tab w:val="left" w:pos="2257"/>
        </w:tabs>
      </w:pPr>
      <w:r>
        <w:t xml:space="preserve">All invoices must be sent, quoting a valid purchase order number (PO Number), to: </w:t>
      </w:r>
    </w:p>
    <w:p w:rsidR="0065300E" w:rsidRDefault="0065300E">
      <w:pPr>
        <w:tabs>
          <w:tab w:val="left" w:pos="2257"/>
        </w:tabs>
      </w:pPr>
    </w:p>
    <w:p w:rsidR="009D71C0" w:rsidRPr="007E1C50" w:rsidRDefault="0065300E">
      <w:pPr>
        <w:tabs>
          <w:tab w:val="left" w:pos="2257"/>
        </w:tabs>
        <w:rPr>
          <w:b/>
          <w:color w:val="FF0000"/>
        </w:rPr>
      </w:pPr>
      <w:r w:rsidRPr="007E1C50">
        <w:rPr>
          <w:b/>
          <w:color w:val="FF0000"/>
        </w:rPr>
        <w:t>REDACTED TEXT under FOIA Section 40, Personal Information.</w:t>
      </w:r>
    </w:p>
    <w:p w:rsidR="009D71C0" w:rsidRPr="007E1C50" w:rsidRDefault="009D71C0">
      <w:pPr>
        <w:tabs>
          <w:tab w:val="left" w:pos="2257"/>
        </w:tabs>
        <w:rPr>
          <w:b/>
          <w:color w:val="FF0000"/>
        </w:rPr>
      </w:pPr>
    </w:p>
    <w:p w:rsidR="009D71C0" w:rsidRDefault="00A234F8">
      <w:pPr>
        <w:tabs>
          <w:tab w:val="left" w:pos="2257"/>
        </w:tabs>
      </w:pPr>
      <w:r>
        <w:t xml:space="preserve">Within </w:t>
      </w:r>
      <w:r w:rsidR="004A7A08">
        <w:t>5</w:t>
      </w:r>
      <w:r>
        <w:t xml:space="preserve"> Working Days of receipt of your countersigned copy of this letter, we will send you a unique PO Number.  You must be in receipt of a valid PO Number before submitting an invoice. </w:t>
      </w:r>
    </w:p>
    <w:p w:rsidR="009D71C0" w:rsidRDefault="00A234F8">
      <w:pPr>
        <w:tabs>
          <w:tab w:val="left" w:pos="2257"/>
        </w:tabs>
      </w:pPr>
      <w:r>
        <w:t xml:space="preserve"> </w:t>
      </w:r>
    </w:p>
    <w:p w:rsidR="009D71C0" w:rsidRDefault="00A234F8" w:rsidP="007E1C50">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9D71C0" w:rsidRDefault="009D71C0">
      <w:pPr>
        <w:tabs>
          <w:tab w:val="left" w:pos="2257"/>
        </w:tabs>
      </w:pPr>
    </w:p>
    <w:p w:rsidR="009D71C0" w:rsidRDefault="00A234F8">
      <w:pPr>
        <w:tabs>
          <w:tab w:val="left" w:pos="2257"/>
        </w:tabs>
      </w:pPr>
      <w:r>
        <w:t xml:space="preserve">If you have a query regarding an outstanding payment please contact our Accounts Payable section either by email to </w:t>
      </w:r>
    </w:p>
    <w:p w:rsidR="009D71C0" w:rsidRDefault="009D71C0">
      <w:pPr>
        <w:tabs>
          <w:tab w:val="left" w:pos="2257"/>
        </w:tabs>
      </w:pPr>
    </w:p>
    <w:p w:rsidR="009D71C0" w:rsidRPr="007E1C50" w:rsidRDefault="007E1C50">
      <w:pPr>
        <w:tabs>
          <w:tab w:val="left" w:pos="2257"/>
        </w:tabs>
        <w:rPr>
          <w:b/>
          <w:color w:val="FF0000"/>
        </w:rPr>
      </w:pPr>
      <w:r w:rsidRPr="007E1C50">
        <w:rPr>
          <w:b/>
          <w:color w:val="FF0000"/>
        </w:rPr>
        <w:t xml:space="preserve">REDACTED TEXT under FOIA Section 40, Personal </w:t>
      </w:r>
      <w:r>
        <w:rPr>
          <w:b/>
          <w:color w:val="FF0000"/>
        </w:rPr>
        <w:t>Information.</w:t>
      </w:r>
    </w:p>
    <w:p w:rsidR="007E1C50" w:rsidRPr="007E1C50" w:rsidRDefault="007E1C50">
      <w:pPr>
        <w:tabs>
          <w:tab w:val="left" w:pos="2257"/>
        </w:tabs>
        <w:rPr>
          <w:b/>
          <w:color w:val="FF0000"/>
        </w:rPr>
      </w:pPr>
    </w:p>
    <w:p w:rsidR="009D71C0" w:rsidRDefault="00A234F8">
      <w:pPr>
        <w:tabs>
          <w:tab w:val="left" w:pos="2257"/>
        </w:tabs>
      </w:pPr>
      <w:r>
        <w:t xml:space="preserve">Date and address for Delivery: </w:t>
      </w:r>
    </w:p>
    <w:p w:rsidR="007E1C50" w:rsidRDefault="007E1C50">
      <w:pPr>
        <w:tabs>
          <w:tab w:val="left" w:pos="2257"/>
        </w:tabs>
        <w:rPr>
          <w:b/>
          <w:color w:val="FF0000"/>
        </w:rPr>
      </w:pPr>
      <w:r w:rsidRPr="007E1C50">
        <w:rPr>
          <w:b/>
          <w:color w:val="FF0000"/>
        </w:rPr>
        <w:t>REDACTED TEXT under FOIA Section 40, Personal Information.</w:t>
      </w:r>
    </w:p>
    <w:p w:rsidR="007E1C50" w:rsidRPr="007E1C50" w:rsidRDefault="007E1C50">
      <w:pPr>
        <w:tabs>
          <w:tab w:val="left" w:pos="2257"/>
        </w:tabs>
        <w:rPr>
          <w:b/>
          <w:color w:val="FF0000"/>
        </w:rPr>
      </w:pPr>
    </w:p>
    <w:p w:rsidR="009D71C0" w:rsidRDefault="00A234F8">
      <w:pPr>
        <w:tabs>
          <w:tab w:val="left" w:pos="2257"/>
        </w:tabs>
      </w:pPr>
      <w:r>
        <w:t>BUYER’S ADDRESS FOR NOTICES</w:t>
      </w:r>
      <w:r w:rsidR="004A7A08">
        <w:t xml:space="preserve"> / BUYER AUTHORISED REPRESENTATIVE</w:t>
      </w:r>
      <w:r>
        <w:t xml:space="preserve">: </w:t>
      </w:r>
    </w:p>
    <w:p w:rsidR="009D71C0" w:rsidRPr="007E1C50" w:rsidRDefault="007E1C50">
      <w:pPr>
        <w:tabs>
          <w:tab w:val="left" w:pos="2257"/>
        </w:tabs>
        <w:rPr>
          <w:b/>
          <w:color w:val="FF0000"/>
        </w:rPr>
      </w:pPr>
      <w:r w:rsidRPr="007E1C50">
        <w:rPr>
          <w:b/>
          <w:color w:val="FF0000"/>
        </w:rPr>
        <w:t>REDACTED TEXT under FOIA Section 40, Personal Information.</w:t>
      </w:r>
    </w:p>
    <w:p w:rsidR="009D71C0" w:rsidRDefault="009D71C0">
      <w:pPr>
        <w:tabs>
          <w:tab w:val="left" w:pos="2257"/>
        </w:tabs>
      </w:pPr>
    </w:p>
    <w:p w:rsidR="009D71C0" w:rsidRDefault="00A234F8">
      <w:pPr>
        <w:tabs>
          <w:tab w:val="left" w:pos="2257"/>
        </w:tabs>
      </w:pPr>
      <w:r>
        <w:t>PROCEDURES AND POLICIES</w:t>
      </w:r>
    </w:p>
    <w:p w:rsidR="004A7A08" w:rsidRDefault="00A234F8">
      <w:pPr>
        <w:tabs>
          <w:tab w:val="left" w:pos="2257"/>
        </w:tabs>
        <w:rPr>
          <w:highlight w:val="yellow"/>
        </w:rPr>
      </w:pPr>
      <w:r>
        <w:t xml:space="preserve">For the purposes of the Buyer Contract </w:t>
      </w:r>
      <w:r w:rsidRPr="004A7A08">
        <w:t>the data security requirements</w:t>
      </w:r>
      <w:r w:rsidR="004A7A08" w:rsidRPr="004A7A08">
        <w:t xml:space="preserve"> can be found here: https://www.gov.uk/government/publications/security-policy-framework</w:t>
      </w:r>
    </w:p>
    <w:p w:rsidR="004A7A08" w:rsidRDefault="004A7A08">
      <w:pPr>
        <w:tabs>
          <w:tab w:val="left" w:pos="2257"/>
        </w:tabs>
      </w:pPr>
    </w:p>
    <w:p w:rsidR="009D71C0" w:rsidRDefault="00A234F8">
      <w:pPr>
        <w:tabs>
          <w:tab w:val="left" w:pos="2257"/>
        </w:tabs>
      </w:pPr>
      <w:r>
        <w:t xml:space="preserve">The Buyer may require the Supplier to ensure that any person employed in the delivery of the Deliverables has undertaken a Disclosure and Barring Service check.  </w:t>
      </w:r>
    </w:p>
    <w:p w:rsidR="009D71C0" w:rsidRDefault="009D71C0">
      <w:pPr>
        <w:tabs>
          <w:tab w:val="left" w:pos="2257"/>
        </w:tabs>
      </w:pPr>
    </w:p>
    <w:p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9D71C0" w:rsidRDefault="009D71C0">
      <w:pPr>
        <w:tabs>
          <w:tab w:val="left" w:pos="2257"/>
        </w:tabs>
      </w:pPr>
    </w:p>
    <w:p w:rsidR="009D71C0" w:rsidRDefault="009D71C0">
      <w:pPr>
        <w:tabs>
          <w:tab w:val="left" w:pos="2257"/>
        </w:tabs>
      </w:pPr>
    </w:p>
    <w:p w:rsidR="009D71C0" w:rsidRDefault="00A234F8">
      <w:pPr>
        <w:tabs>
          <w:tab w:val="left" w:pos="2257"/>
        </w:tabs>
      </w:pPr>
      <w:r>
        <w:t>MINIMUM WARRANTY PERIOD</w:t>
      </w:r>
    </w:p>
    <w:p w:rsidR="009D71C0" w:rsidRDefault="00106EF1">
      <w:pPr>
        <w:tabs>
          <w:tab w:val="left" w:pos="2257"/>
        </w:tabs>
      </w:pPr>
      <w:r>
        <w:t>6 months</w:t>
      </w:r>
    </w:p>
    <w:p w:rsidR="009D71C0" w:rsidRDefault="009D71C0">
      <w:pPr>
        <w:tabs>
          <w:tab w:val="left" w:pos="2257"/>
        </w:tabs>
      </w:pPr>
    </w:p>
    <w:p w:rsidR="009D71C0" w:rsidRDefault="00A234F8">
      <w:pPr>
        <w:tabs>
          <w:tab w:val="left" w:pos="2257"/>
        </w:tabs>
      </w:pPr>
      <w:r>
        <w:t>MAXIMUM LIABILITY AMOUNT</w:t>
      </w:r>
    </w:p>
    <w:p w:rsidR="009D71C0" w:rsidRPr="007E1C50" w:rsidRDefault="007E1C50">
      <w:pPr>
        <w:tabs>
          <w:tab w:val="left" w:pos="2257"/>
        </w:tabs>
        <w:rPr>
          <w:b/>
          <w:color w:val="FF0000"/>
        </w:rPr>
      </w:pPr>
      <w:r w:rsidRPr="007E1C50">
        <w:rPr>
          <w:b/>
          <w:color w:val="FF0000"/>
        </w:rPr>
        <w:t>REDACTED TEXT under FOIA Section 43 Commercial Interests.</w:t>
      </w:r>
    </w:p>
    <w:p w:rsidR="009D71C0" w:rsidRDefault="009D71C0">
      <w:pPr>
        <w:tabs>
          <w:tab w:val="left" w:pos="2257"/>
        </w:tabs>
      </w:pPr>
    </w:p>
    <w:p w:rsidR="009D71C0" w:rsidRDefault="00A234F8">
      <w:r>
        <w:br w:type="page"/>
      </w:r>
    </w:p>
    <w:p w:rsidR="009D71C0" w:rsidRDefault="00A234F8">
      <w:pPr>
        <w:tabs>
          <w:tab w:val="left" w:pos="2257"/>
        </w:tabs>
        <w:jc w:val="center"/>
        <w:rPr>
          <w:b/>
        </w:rPr>
      </w:pPr>
      <w:r>
        <w:rPr>
          <w:b/>
        </w:rPr>
        <w:lastRenderedPageBreak/>
        <w:t>Annex D</w:t>
      </w:r>
    </w:p>
    <w:p w:rsidR="009D71C0" w:rsidRDefault="00A234F8">
      <w:pPr>
        <w:tabs>
          <w:tab w:val="left" w:pos="2257"/>
        </w:tabs>
        <w:jc w:val="center"/>
        <w:rPr>
          <w:b/>
        </w:rPr>
      </w:pPr>
      <w:r>
        <w:rPr>
          <w:b/>
        </w:rPr>
        <w:t>Processing Data</w:t>
      </w:r>
    </w:p>
    <w:p w:rsidR="009D71C0" w:rsidRDefault="009D71C0">
      <w:pPr>
        <w:tabs>
          <w:tab w:val="left" w:pos="2257"/>
        </w:tabs>
        <w:jc w:val="center"/>
        <w:rPr>
          <w:b/>
        </w:rPr>
      </w:pPr>
    </w:p>
    <w:p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9D71C0" w:rsidRDefault="00A234F8">
      <w:pPr>
        <w:numPr>
          <w:ilvl w:val="2"/>
          <w:numId w:val="5"/>
        </w:numPr>
        <w:pBdr>
          <w:top w:val="nil"/>
          <w:left w:val="nil"/>
          <w:bottom w:val="nil"/>
          <w:right w:val="nil"/>
          <w:between w:val="nil"/>
        </w:pBdr>
        <w:spacing w:after="120"/>
        <w:jc w:val="both"/>
      </w:pPr>
      <w:r>
        <w:t>becomes aware of a Personal Data Breach.</w:t>
      </w:r>
    </w:p>
    <w:p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9D71C0" w:rsidRDefault="00A234F8">
      <w:pPr>
        <w:rPr>
          <w:b/>
        </w:rPr>
      </w:pPr>
      <w:r>
        <w:br w:type="page"/>
      </w:r>
    </w:p>
    <w:p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rsidR="009D71C0" w:rsidRDefault="00060157">
      <w:r>
        <w:t>NOT USED</w:t>
      </w:r>
    </w:p>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060157" w:rsidRDefault="00060157"/>
    <w:p w:rsidR="009D71C0" w:rsidRDefault="00A234F8">
      <w:pPr>
        <w:jc w:val="center"/>
        <w:rPr>
          <w:b/>
        </w:rPr>
      </w:pPr>
      <w:r>
        <w:rPr>
          <w:b/>
        </w:rPr>
        <w:lastRenderedPageBreak/>
        <w:t>Appendix 2 - Joint Controller Agreement</w:t>
      </w:r>
    </w:p>
    <w:p w:rsidR="009D71C0" w:rsidRDefault="009D71C0">
      <w:pPr>
        <w:jc w:val="center"/>
      </w:pPr>
    </w:p>
    <w:p w:rsidR="00060157" w:rsidRDefault="00060157">
      <w:pPr>
        <w:tabs>
          <w:tab w:val="left" w:pos="2257"/>
        </w:tabs>
        <w:jc w:val="center"/>
        <w:rPr>
          <w:b/>
          <w:color w:val="000000"/>
        </w:rPr>
      </w:pPr>
      <w:r>
        <w:rPr>
          <w:b/>
          <w:color w:val="000000"/>
        </w:rPr>
        <w:t>NOT USED</w:t>
      </w: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9D71C0" w:rsidRDefault="00A234F8">
      <w:pPr>
        <w:tabs>
          <w:tab w:val="left" w:pos="2257"/>
        </w:tabs>
        <w:jc w:val="center"/>
        <w:rPr>
          <w:b/>
        </w:rPr>
      </w:pPr>
      <w:r>
        <w:rPr>
          <w:b/>
        </w:rPr>
        <w:lastRenderedPageBreak/>
        <w:t>Annex E</w:t>
      </w:r>
    </w:p>
    <w:p w:rsidR="009D71C0" w:rsidRDefault="00A234F8">
      <w:pPr>
        <w:tabs>
          <w:tab w:val="left" w:pos="2257"/>
        </w:tabs>
        <w:jc w:val="center"/>
        <w:rPr>
          <w:b/>
        </w:rPr>
      </w:pPr>
      <w:r>
        <w:rPr>
          <w:b/>
        </w:rPr>
        <w:t>Suitability Assessment Questionnaire</w:t>
      </w:r>
    </w:p>
    <w:p w:rsidR="00060157" w:rsidRDefault="00060157">
      <w:pPr>
        <w:tabs>
          <w:tab w:val="left" w:pos="2257"/>
        </w:tabs>
        <w:jc w:val="center"/>
        <w:rPr>
          <w:b/>
        </w:rPr>
      </w:pPr>
    </w:p>
    <w:p w:rsidR="00060157" w:rsidRPr="007E1C50" w:rsidRDefault="007E1C50">
      <w:pPr>
        <w:tabs>
          <w:tab w:val="left" w:pos="2257"/>
        </w:tabs>
        <w:jc w:val="center"/>
        <w:rPr>
          <w:b/>
          <w:color w:val="FF0000"/>
        </w:rPr>
      </w:pPr>
      <w:r w:rsidRPr="007E1C50">
        <w:rPr>
          <w:b/>
          <w:color w:val="FF0000"/>
        </w:rPr>
        <w:t>REDACTED TEXT under FOIA Section 40, Personal Information.</w:t>
      </w: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tabs>
          <w:tab w:val="left" w:pos="2257"/>
        </w:tabs>
        <w:jc w:val="center"/>
        <w:rPr>
          <w:b/>
        </w:rPr>
      </w:pPr>
    </w:p>
    <w:p w:rsidR="00060157" w:rsidRDefault="00060157">
      <w:pPr>
        <w:rPr>
          <w:b/>
        </w:rPr>
      </w:pPr>
    </w:p>
    <w:p w:rsidR="007E1C50" w:rsidRDefault="007E1C50">
      <w:pPr>
        <w:tabs>
          <w:tab w:val="left" w:pos="2257"/>
        </w:tabs>
        <w:jc w:val="center"/>
        <w:rPr>
          <w:b/>
        </w:rPr>
      </w:pPr>
    </w:p>
    <w:p w:rsidR="009D71C0" w:rsidRDefault="00A234F8">
      <w:pPr>
        <w:tabs>
          <w:tab w:val="left" w:pos="2257"/>
        </w:tabs>
        <w:jc w:val="center"/>
        <w:rPr>
          <w:b/>
        </w:rPr>
      </w:pPr>
      <w:bookmarkStart w:id="63" w:name="_GoBack"/>
      <w:bookmarkEnd w:id="63"/>
      <w:r>
        <w:rPr>
          <w:b/>
        </w:rPr>
        <w:lastRenderedPageBreak/>
        <w:t>Annex F</w:t>
      </w:r>
    </w:p>
    <w:p w:rsidR="009D71C0" w:rsidRDefault="009D71C0">
      <w:pPr>
        <w:tabs>
          <w:tab w:val="left" w:pos="2257"/>
        </w:tabs>
        <w:jc w:val="center"/>
        <w:rPr>
          <w:b/>
        </w:rPr>
      </w:pPr>
    </w:p>
    <w:p w:rsidR="009D71C0" w:rsidRDefault="00A234F8">
      <w:pPr>
        <w:tabs>
          <w:tab w:val="left" w:pos="2257"/>
        </w:tabs>
        <w:jc w:val="center"/>
        <w:rPr>
          <w:b/>
        </w:rPr>
      </w:pPr>
      <w:r>
        <w:rPr>
          <w:b/>
        </w:rPr>
        <w:t>Part 1 – Deliverables</w:t>
      </w:r>
    </w:p>
    <w:p w:rsidR="009D71C0" w:rsidRDefault="009D71C0">
      <w:pPr>
        <w:tabs>
          <w:tab w:val="left" w:pos="2257"/>
        </w:tabs>
        <w:jc w:val="center"/>
        <w:rPr>
          <w:b/>
        </w:rPr>
      </w:pPr>
    </w:p>
    <w:p w:rsidR="009D71C0" w:rsidRDefault="009D71C0">
      <w:pPr>
        <w:tabs>
          <w:tab w:val="left" w:pos="2257"/>
        </w:tabs>
        <w:jc w:val="center"/>
        <w:rPr>
          <w:b/>
        </w:rPr>
      </w:pPr>
    </w:p>
    <w:p w:rsidR="009D71C0" w:rsidRPr="007E1C50" w:rsidRDefault="007E1C50">
      <w:pPr>
        <w:tabs>
          <w:tab w:val="left" w:pos="2257"/>
        </w:tabs>
        <w:jc w:val="center"/>
        <w:rPr>
          <w:b/>
          <w:color w:val="FF0000"/>
          <w:sz w:val="18"/>
          <w:szCs w:val="18"/>
        </w:rPr>
      </w:pPr>
      <w:r w:rsidRPr="007E1C50">
        <w:rPr>
          <w:b/>
          <w:color w:val="FF0000"/>
          <w:sz w:val="18"/>
          <w:szCs w:val="18"/>
        </w:rPr>
        <w:t>REDACTED TEXT under FOIA Section 43 Commercial Interests.</w:t>
      </w:r>
    </w:p>
    <w:p w:rsidR="009D71C0" w:rsidRPr="007E1C50" w:rsidRDefault="009D71C0">
      <w:pPr>
        <w:tabs>
          <w:tab w:val="left" w:pos="2257"/>
        </w:tabs>
        <w:jc w:val="center"/>
        <w:rPr>
          <w:b/>
          <w:color w:val="FF0000"/>
          <w:sz w:val="18"/>
          <w:szCs w:val="18"/>
        </w:rPr>
      </w:pPr>
    </w:p>
    <w:p w:rsidR="009D71C0" w:rsidRDefault="009D71C0" w:rsidP="00AE5FFB">
      <w:pPr>
        <w:tabs>
          <w:tab w:val="left" w:pos="2257"/>
        </w:tabs>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9D71C0">
      <w:pPr>
        <w:tabs>
          <w:tab w:val="left" w:pos="2257"/>
        </w:tabs>
        <w:jc w:val="center"/>
        <w:rPr>
          <w:sz w:val="18"/>
          <w:szCs w:val="18"/>
        </w:rPr>
      </w:pPr>
    </w:p>
    <w:p w:rsidR="009D71C0" w:rsidRDefault="00A234F8">
      <w:pPr>
        <w:tabs>
          <w:tab w:val="left" w:pos="2257"/>
        </w:tabs>
        <w:jc w:val="center"/>
        <w:rPr>
          <w:b/>
          <w:sz w:val="18"/>
          <w:szCs w:val="18"/>
        </w:rPr>
      </w:pPr>
      <w:r>
        <w:rPr>
          <w:b/>
          <w:sz w:val="18"/>
          <w:szCs w:val="18"/>
        </w:rPr>
        <w:t>Part 2 – Charges</w:t>
      </w:r>
    </w:p>
    <w:p w:rsidR="009D71C0" w:rsidRDefault="009D71C0">
      <w:pPr>
        <w:tabs>
          <w:tab w:val="left" w:pos="2257"/>
        </w:tabs>
        <w:jc w:val="center"/>
        <w:rPr>
          <w:b/>
          <w:sz w:val="18"/>
          <w:szCs w:val="18"/>
        </w:rPr>
      </w:pPr>
    </w:p>
    <w:p w:rsidR="00060157" w:rsidRDefault="00060157">
      <w:pPr>
        <w:tabs>
          <w:tab w:val="left" w:pos="2257"/>
        </w:tabs>
        <w:jc w:val="center"/>
        <w:rPr>
          <w:b/>
          <w:sz w:val="18"/>
          <w:szCs w:val="18"/>
        </w:rPr>
      </w:pPr>
    </w:p>
    <w:p w:rsidR="00AE5FFB" w:rsidRPr="007E1C50" w:rsidRDefault="00AE5FFB">
      <w:pPr>
        <w:tabs>
          <w:tab w:val="left" w:pos="2257"/>
        </w:tabs>
        <w:jc w:val="center"/>
        <w:rPr>
          <w:b/>
          <w:color w:val="FF0000"/>
          <w:sz w:val="18"/>
          <w:szCs w:val="18"/>
        </w:rPr>
      </w:pPr>
      <w:r>
        <w:rPr>
          <w:b/>
          <w:sz w:val="18"/>
          <w:szCs w:val="18"/>
        </w:rPr>
        <w:t xml:space="preserve">Total Charges: </w:t>
      </w:r>
      <w:r w:rsidR="007E1C50" w:rsidRPr="007E1C50">
        <w:rPr>
          <w:b/>
          <w:color w:val="FF0000"/>
          <w:sz w:val="18"/>
          <w:szCs w:val="18"/>
        </w:rPr>
        <w:t>REDACTED TEXT under FOIA Section 43 Commercial Interests.</w:t>
      </w:r>
    </w:p>
    <w:p w:rsidR="007E1C50" w:rsidRPr="007E1C50" w:rsidRDefault="007E1C50">
      <w:pPr>
        <w:tabs>
          <w:tab w:val="left" w:pos="2257"/>
        </w:tabs>
        <w:jc w:val="center"/>
        <w:rPr>
          <w:b/>
          <w:color w:val="FF0000"/>
          <w:sz w:val="18"/>
          <w:szCs w:val="18"/>
        </w:rPr>
      </w:pPr>
    </w:p>
    <w:p w:rsidR="00AE5FFB" w:rsidRDefault="00AE5FFB">
      <w:pPr>
        <w:tabs>
          <w:tab w:val="left" w:pos="2257"/>
        </w:tabs>
        <w:jc w:val="center"/>
        <w:rPr>
          <w:b/>
          <w:sz w:val="18"/>
          <w:szCs w:val="18"/>
        </w:rPr>
      </w:pPr>
      <w:r>
        <w:rPr>
          <w:b/>
          <w:sz w:val="18"/>
          <w:szCs w:val="18"/>
        </w:rPr>
        <w:t>Payment Schedule:</w:t>
      </w:r>
    </w:p>
    <w:p w:rsidR="00AE5FFB" w:rsidRDefault="00AE5FFB">
      <w:pPr>
        <w:tabs>
          <w:tab w:val="left" w:pos="2257"/>
        </w:tabs>
        <w:jc w:val="center"/>
        <w:rPr>
          <w:b/>
          <w:sz w:val="18"/>
          <w:szCs w:val="18"/>
        </w:rPr>
      </w:pPr>
    </w:p>
    <w:p w:rsidR="00060157" w:rsidRPr="007E1C50" w:rsidRDefault="007E1C50">
      <w:pPr>
        <w:tabs>
          <w:tab w:val="left" w:pos="2257"/>
        </w:tabs>
        <w:jc w:val="center"/>
        <w:rPr>
          <w:b/>
          <w:color w:val="FF0000"/>
          <w:sz w:val="18"/>
          <w:szCs w:val="18"/>
        </w:rPr>
      </w:pPr>
      <w:r w:rsidRPr="007E1C50">
        <w:rPr>
          <w:b/>
          <w:color w:val="FF0000"/>
          <w:sz w:val="18"/>
          <w:szCs w:val="18"/>
        </w:rPr>
        <w:t>REDACTED TEXT under FOIA Section 43 Commercial Interests.</w:t>
      </w:r>
    </w:p>
    <w:p w:rsidR="00AE5FFB" w:rsidRPr="007E1C50" w:rsidRDefault="00AE5FFB">
      <w:pPr>
        <w:rPr>
          <w:color w:val="FF0000"/>
        </w:rPr>
      </w:pPr>
    </w:p>
    <w:sectPr w:rsidR="00AE5FFB" w:rsidRPr="007E1C50">
      <w:headerReference w:type="default" r:id="rId16"/>
      <w:footerReference w:type="default" r:id="rId17"/>
      <w:headerReference w:type="first" r:id="rId18"/>
      <w:footerReference w:type="first" r:id="rId19"/>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1D0" w:rsidRDefault="007771D0">
      <w:r>
        <w:separator/>
      </w:r>
    </w:p>
  </w:endnote>
  <w:endnote w:type="continuationSeparator" w:id="0">
    <w:p w:rsidR="007771D0" w:rsidRDefault="0077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F15827" w:rsidRDefault="00F15827">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15827" w:rsidRDefault="00F15827">
    <w:pPr>
      <w:tabs>
        <w:tab w:val="center" w:pos="4513"/>
        <w:tab w:val="right" w:pos="9026"/>
      </w:tabs>
      <w:rPr>
        <w:sz w:val="16"/>
        <w:szCs w:val="16"/>
      </w:rPr>
    </w:pPr>
    <w:r>
      <w:rPr>
        <w:sz w:val="16"/>
        <w:szCs w:val="16"/>
      </w:rPr>
      <w:t>RM6237 Low Value Purchase System</w:t>
    </w:r>
    <w:r>
      <w:rPr>
        <w:sz w:val="16"/>
        <w:szCs w:val="16"/>
      </w:rPr>
      <w:tab/>
    </w:r>
  </w:p>
  <w:p w:rsidR="00F15827" w:rsidRDefault="00F15827">
    <w:pPr>
      <w:tabs>
        <w:tab w:val="center" w:pos="4513"/>
        <w:tab w:val="right" w:pos="9026"/>
      </w:tabs>
      <w:rPr>
        <w:sz w:val="16"/>
        <w:szCs w:val="16"/>
      </w:rPr>
    </w:pPr>
    <w:r>
      <w:rPr>
        <w:sz w:val="16"/>
        <w:szCs w:val="16"/>
      </w:rPr>
      <w:t>Buyer-Supplier Contract</w:t>
    </w:r>
  </w:p>
  <w:p w:rsidR="00F15827" w:rsidRDefault="00F15827">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F15827" w:rsidRDefault="00F15827">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F15827" w:rsidRDefault="00F1582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1D0" w:rsidRDefault="007771D0">
      <w:r>
        <w:separator/>
      </w:r>
    </w:p>
  </w:footnote>
  <w:footnote w:type="continuationSeparator" w:id="0">
    <w:p w:rsidR="007771D0" w:rsidRDefault="0077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rPr>
        <w:b/>
        <w:sz w:val="36"/>
        <w:szCs w:val="36"/>
      </w:rPr>
    </w:pPr>
  </w:p>
  <w:p w:rsidR="00F15827" w:rsidRDefault="00F15827">
    <w:pPr>
      <w:rPr>
        <w:b/>
        <w:sz w:val="24"/>
        <w:szCs w:val="24"/>
      </w:rPr>
    </w:pPr>
    <w:r>
      <w:rPr>
        <w:noProof/>
        <w:lang w:val="en-GB"/>
      </w:rPr>
      <w:drawing>
        <wp:anchor distT="0" distB="0" distL="114300" distR="114300" simplePos="0" relativeHeight="251658240" behindDoc="0" locked="0" layoutInCell="1" hidden="0" allowOverlap="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F15827" w:rsidRDefault="00F15827">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pPr>
      <w:widowControl w:val="0"/>
      <w:pBdr>
        <w:top w:val="nil"/>
        <w:left w:val="nil"/>
        <w:bottom w:val="nil"/>
        <w:right w:val="nil"/>
        <w:between w:val="nil"/>
      </w:pBdr>
      <w:spacing w:line="276" w:lineRule="auto"/>
      <w:rPr>
        <w:color w:val="000000"/>
        <w:sz w:val="16"/>
        <w:szCs w:val="16"/>
      </w:rPr>
    </w:pPr>
  </w:p>
  <w:p w:rsidR="00F15827" w:rsidRDefault="00F15827">
    <w:pPr>
      <w:pBdr>
        <w:top w:val="nil"/>
        <w:left w:val="nil"/>
        <w:bottom w:val="nil"/>
        <w:right w:val="nil"/>
        <w:between w:val="nil"/>
      </w:pBdr>
      <w:rPr>
        <w:color w:val="000000"/>
        <w:sz w:val="16"/>
        <w:szCs w:val="16"/>
      </w:rPr>
    </w:pPr>
  </w:p>
  <w:p w:rsidR="00F15827" w:rsidRDefault="00F15827">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27" w:rsidRDefault="00F15827" w:rsidP="00E02635">
    <w:pPr>
      <w:widowControl w:val="0"/>
      <w:pBdr>
        <w:top w:val="nil"/>
        <w:left w:val="nil"/>
        <w:bottom w:val="nil"/>
        <w:right w:val="nil"/>
        <w:between w:val="nil"/>
      </w:pBdr>
      <w:spacing w:line="276" w:lineRule="auto"/>
      <w:rPr>
        <w:color w:val="000000"/>
        <w:sz w:val="16"/>
        <w:szCs w:val="16"/>
      </w:rPr>
    </w:pPr>
  </w:p>
  <w:p w:rsidR="00F15827" w:rsidRDefault="00F15827" w:rsidP="00E02635">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7984"/>
    <w:multiLevelType w:val="multilevel"/>
    <w:tmpl w:val="4118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2"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DC26412"/>
    <w:multiLevelType w:val="multilevel"/>
    <w:tmpl w:val="A83C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5"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6"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11"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2"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4"/>
  </w:num>
  <w:num w:numId="2">
    <w:abstractNumId w:val="9"/>
  </w:num>
  <w:num w:numId="3">
    <w:abstractNumId w:val="7"/>
  </w:num>
  <w:num w:numId="4">
    <w:abstractNumId w:val="1"/>
  </w:num>
  <w:num w:numId="5">
    <w:abstractNumId w:val="12"/>
  </w:num>
  <w:num w:numId="6">
    <w:abstractNumId w:val="8"/>
  </w:num>
  <w:num w:numId="7">
    <w:abstractNumId w:val="2"/>
  </w:num>
  <w:num w:numId="8">
    <w:abstractNumId w:val="13"/>
  </w:num>
  <w:num w:numId="9">
    <w:abstractNumId w:val="11"/>
  </w:num>
  <w:num w:numId="10">
    <w:abstractNumId w:val="5"/>
  </w:num>
  <w:num w:numId="11">
    <w:abstractNumId w:val="14"/>
  </w:num>
  <w:num w:numId="12">
    <w:abstractNumId w:val="10"/>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60157"/>
    <w:rsid w:val="00106EF1"/>
    <w:rsid w:val="001F2A96"/>
    <w:rsid w:val="0031237F"/>
    <w:rsid w:val="003A0EC7"/>
    <w:rsid w:val="004A7A08"/>
    <w:rsid w:val="0065300E"/>
    <w:rsid w:val="007771D0"/>
    <w:rsid w:val="0079459C"/>
    <w:rsid w:val="007E1C50"/>
    <w:rsid w:val="009D71C0"/>
    <w:rsid w:val="00A234F8"/>
    <w:rsid w:val="00AE5FFB"/>
    <w:rsid w:val="00B37755"/>
    <w:rsid w:val="00B60F03"/>
    <w:rsid w:val="00B80FEE"/>
    <w:rsid w:val="00E02635"/>
    <w:rsid w:val="00E256D7"/>
    <w:rsid w:val="00E52CA4"/>
    <w:rsid w:val="00EA7293"/>
    <w:rsid w:val="00F15827"/>
    <w:rsid w:val="00F2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517A"/>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4A7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5561">
      <w:bodyDiv w:val="1"/>
      <w:marLeft w:val="0"/>
      <w:marRight w:val="0"/>
      <w:marTop w:val="0"/>
      <w:marBottom w:val="0"/>
      <w:divBdr>
        <w:top w:val="none" w:sz="0" w:space="0" w:color="auto"/>
        <w:left w:val="none" w:sz="0" w:space="0" w:color="auto"/>
        <w:bottom w:val="none" w:sz="0" w:space="0" w:color="auto"/>
        <w:right w:val="none" w:sz="0" w:space="0" w:color="auto"/>
      </w:divBdr>
    </w:div>
    <w:div w:id="802769995">
      <w:bodyDiv w:val="1"/>
      <w:marLeft w:val="0"/>
      <w:marRight w:val="0"/>
      <w:marTop w:val="0"/>
      <w:marBottom w:val="0"/>
      <w:divBdr>
        <w:top w:val="none" w:sz="0" w:space="0" w:color="auto"/>
        <w:left w:val="none" w:sz="0" w:space="0" w:color="auto"/>
        <w:bottom w:val="none" w:sz="0" w:space="0" w:color="auto"/>
        <w:right w:val="none" w:sz="0" w:space="0" w:color="auto"/>
      </w:divBdr>
    </w:div>
    <w:div w:id="1478885949">
      <w:bodyDiv w:val="1"/>
      <w:marLeft w:val="0"/>
      <w:marRight w:val="0"/>
      <w:marTop w:val="0"/>
      <w:marBottom w:val="0"/>
      <w:divBdr>
        <w:top w:val="none" w:sz="0" w:space="0" w:color="auto"/>
        <w:left w:val="none" w:sz="0" w:space="0" w:color="auto"/>
        <w:bottom w:val="none" w:sz="0" w:space="0" w:color="auto"/>
        <w:right w:val="none" w:sz="0" w:space="0" w:color="auto"/>
      </w:divBdr>
    </w:div>
    <w:div w:id="1529222577">
      <w:bodyDiv w:val="1"/>
      <w:marLeft w:val="0"/>
      <w:marRight w:val="0"/>
      <w:marTop w:val="0"/>
      <w:marBottom w:val="0"/>
      <w:divBdr>
        <w:top w:val="none" w:sz="0" w:space="0" w:color="auto"/>
        <w:left w:val="none" w:sz="0" w:space="0" w:color="auto"/>
        <w:bottom w:val="none" w:sz="0" w:space="0" w:color="auto"/>
        <w:right w:val="none" w:sz="0" w:space="0" w:color="auto"/>
      </w:divBdr>
    </w:div>
    <w:div w:id="1959986440">
      <w:bodyDiv w:val="1"/>
      <w:marLeft w:val="0"/>
      <w:marRight w:val="0"/>
      <w:marTop w:val="0"/>
      <w:marBottom w:val="0"/>
      <w:divBdr>
        <w:top w:val="none" w:sz="0" w:space="0" w:color="auto"/>
        <w:left w:val="none" w:sz="0" w:space="0" w:color="auto"/>
        <w:bottom w:val="none" w:sz="0" w:space="0" w:color="auto"/>
        <w:right w:val="none" w:sz="0" w:space="0" w:color="auto"/>
      </w:divBdr>
    </w:div>
    <w:div w:id="197351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uploads/system/uploads/attachment_data/fi%20le/646497/2017-09-%2013_Official_Sensitive_Supplier_Code_of_Conduct_September_201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B44293-53B4-41C9-B0A5-03042B6E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12151</Words>
  <Characters>69267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Kelly Hughes</cp:lastModifiedBy>
  <cp:revision>5</cp:revision>
  <dcterms:created xsi:type="dcterms:W3CDTF">2024-01-19T11:42:00Z</dcterms:created>
  <dcterms:modified xsi:type="dcterms:W3CDTF">2024-01-19T12:13:00Z</dcterms:modified>
</cp:coreProperties>
</file>