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47FB2" w14:textId="77777777" w:rsidR="00A46CAE" w:rsidRDefault="00712166">
      <w:pPr>
        <w:pBdr>
          <w:top w:val="none" w:sz="0" w:space="0" w:color="auto"/>
          <w:left w:val="none" w:sz="0" w:space="0" w:color="auto"/>
          <w:bottom w:val="none" w:sz="0" w:space="0" w:color="auto"/>
          <w:right w:val="none" w:sz="0" w:space="0" w:color="auto"/>
        </w:pBdr>
      </w:pPr>
      <w:bookmarkStart w:id="0" w:name="_Hlk78881962"/>
      <w:r>
        <w:rPr>
          <w:rFonts w:ascii="Arial" w:eastAsia="Arial" w:hAnsi="Arial" w:cs="Arial"/>
          <w:b/>
          <w:sz w:val="36"/>
          <w:szCs w:val="36"/>
        </w:rPr>
        <w:t xml:space="preserve">  </w:t>
      </w:r>
      <w:r>
        <w:rPr>
          <w:rFonts w:ascii="Arial" w:eastAsia="Arial" w:hAnsi="Arial" w:cs="Arial"/>
          <w:b/>
          <w:sz w:val="36"/>
          <w:szCs w:val="36"/>
        </w:rPr>
        <w:tab/>
        <w:t>Schedule 26 (</w:t>
      </w:r>
      <w:r>
        <w:rPr>
          <w:rFonts w:ascii="Arial" w:eastAsia="Arial" w:hAnsi="Arial" w:cs="Arial"/>
          <w:b/>
          <w:color w:val="auto"/>
          <w:sz w:val="36"/>
          <w:szCs w:val="36"/>
        </w:rPr>
        <w:t>Sustainability</w:t>
      </w:r>
      <w:r>
        <w:rPr>
          <w:rFonts w:ascii="Arial" w:eastAsia="Arial" w:hAnsi="Arial" w:cs="Arial"/>
          <w:b/>
          <w:sz w:val="36"/>
          <w:szCs w:val="36"/>
        </w:rPr>
        <w:t>)</w:t>
      </w:r>
    </w:p>
    <w:p w14:paraId="6CEF3DB6" w14:textId="28AE6A28" w:rsidR="00A46CAE" w:rsidRDefault="00712166" w:rsidP="005C2A89">
      <w:pPr>
        <w:pStyle w:val="GPSL1Numbered"/>
        <w:rPr>
          <w:rFonts w:ascii="Arial" w:hAnsi="Arial" w:cs="Arial"/>
          <w:szCs w:val="24"/>
        </w:rPr>
      </w:pPr>
      <w:r>
        <w:rPr>
          <w:rFonts w:ascii="Arial" w:hAnsi="Arial" w:cs="Arial"/>
          <w:szCs w:val="24"/>
        </w:rPr>
        <w:t>Definitions</w:t>
      </w:r>
    </w:p>
    <w:tbl>
      <w:tblPr>
        <w:tblW w:w="8414" w:type="dxa"/>
        <w:tblInd w:w="612" w:type="dxa"/>
        <w:tblCellMar>
          <w:left w:w="10" w:type="dxa"/>
          <w:right w:w="10" w:type="dxa"/>
        </w:tblCellMar>
        <w:tblLook w:val="04A0" w:firstRow="1" w:lastRow="0" w:firstColumn="1" w:lastColumn="0" w:noHBand="0" w:noVBand="1"/>
      </w:tblPr>
      <w:tblGrid>
        <w:gridCol w:w="2608"/>
        <w:gridCol w:w="5806"/>
      </w:tblGrid>
      <w:tr w:rsidR="00A46CAE" w14:paraId="0A210CB8" w14:textId="77777777">
        <w:tc>
          <w:tcPr>
            <w:tcW w:w="2608" w:type="dxa"/>
            <w:shd w:val="clear" w:color="auto" w:fill="auto"/>
            <w:tcMar>
              <w:top w:w="0" w:type="dxa"/>
              <w:left w:w="108" w:type="dxa"/>
              <w:bottom w:w="0" w:type="dxa"/>
              <w:right w:w="108" w:type="dxa"/>
            </w:tcMar>
          </w:tcPr>
          <w:p w14:paraId="311F6295" w14:textId="0F6C9358" w:rsidR="00A46CAE" w:rsidRDefault="00712166">
            <w:pPr>
              <w:pStyle w:val="StdBodyTextBold"/>
              <w:rPr>
                <w:rFonts w:cs="Arial"/>
              </w:rPr>
            </w:pPr>
            <w:r>
              <w:rPr>
                <w:rFonts w:cs="Arial"/>
              </w:rPr>
              <w:t>“Modern Slavery Assessment Tool”</w:t>
            </w:r>
          </w:p>
        </w:tc>
        <w:tc>
          <w:tcPr>
            <w:tcW w:w="5806" w:type="dxa"/>
            <w:shd w:val="clear" w:color="auto" w:fill="auto"/>
            <w:tcMar>
              <w:top w:w="0" w:type="dxa"/>
              <w:left w:w="108" w:type="dxa"/>
              <w:bottom w:w="0" w:type="dxa"/>
              <w:right w:w="108" w:type="dxa"/>
            </w:tcMar>
          </w:tcPr>
          <w:p w14:paraId="1C15C486" w14:textId="77777777" w:rsidR="00A46CAE" w:rsidRDefault="00712166">
            <w:pPr>
              <w:pStyle w:val="StdBodyText"/>
            </w:pPr>
            <w:r>
              <w:rPr>
                <w:rFonts w:cs="Arial"/>
              </w:rPr>
              <w:t xml:space="preserve">means the modern slavery risk identification and management tool which can be found online at: </w:t>
            </w:r>
            <w:hyperlink r:id="rId10" w:history="1">
              <w:r>
                <w:rPr>
                  <w:rStyle w:val="Hyperlink"/>
                  <w:rFonts w:cs="Arial"/>
                </w:rPr>
                <w:t>https://supplierregistration.cabinetoffice.gov.uk/msat</w:t>
              </w:r>
            </w:hyperlink>
            <w:r>
              <w:rPr>
                <w:rFonts w:cs="Arial"/>
              </w:rPr>
              <w:t xml:space="preserve">] </w:t>
            </w:r>
          </w:p>
        </w:tc>
      </w:tr>
      <w:tr w:rsidR="00A46CAE" w14:paraId="179E0A4A" w14:textId="77777777">
        <w:tc>
          <w:tcPr>
            <w:tcW w:w="2608" w:type="dxa"/>
            <w:shd w:val="clear" w:color="auto" w:fill="auto"/>
            <w:tcMar>
              <w:top w:w="0" w:type="dxa"/>
              <w:left w:w="108" w:type="dxa"/>
              <w:bottom w:w="0" w:type="dxa"/>
              <w:right w:w="108" w:type="dxa"/>
            </w:tcMar>
          </w:tcPr>
          <w:p w14:paraId="30F19FA0" w14:textId="535D46C6" w:rsidR="00A46CAE" w:rsidRDefault="00712166">
            <w:pPr>
              <w:pStyle w:val="StdBodyTextBold"/>
              <w:rPr>
                <w:rFonts w:cs="Arial"/>
              </w:rPr>
            </w:pPr>
            <w:r>
              <w:rPr>
                <w:rFonts w:cs="Arial"/>
              </w:rPr>
              <w:t>“Supply Chain Map”</w:t>
            </w:r>
          </w:p>
        </w:tc>
        <w:tc>
          <w:tcPr>
            <w:tcW w:w="5806" w:type="dxa"/>
            <w:shd w:val="clear" w:color="auto" w:fill="auto"/>
            <w:tcMar>
              <w:top w:w="0" w:type="dxa"/>
              <w:left w:w="108" w:type="dxa"/>
              <w:bottom w:w="0" w:type="dxa"/>
              <w:right w:w="108" w:type="dxa"/>
            </w:tcMar>
          </w:tcPr>
          <w:p w14:paraId="40857A1E" w14:textId="77777777" w:rsidR="00A46CAE" w:rsidRDefault="00712166">
            <w:pPr>
              <w:pStyle w:val="StdBodyText"/>
              <w:rPr>
                <w:rFonts w:cs="Arial"/>
              </w:rPr>
            </w:pPr>
            <w:r>
              <w:rPr>
                <w:rFonts w:cs="Arial"/>
              </w:rPr>
              <w:t>means details of (i) the Supplier, (ii) all Subcontractors and (iii) any other entity that the Supplier is aware is in its supply chain that is not a Subcontractor, setting out at least:</w:t>
            </w:r>
          </w:p>
          <w:p w14:paraId="5BAAA531" w14:textId="77777777" w:rsidR="00A46CAE" w:rsidRDefault="00712166">
            <w:pPr>
              <w:pStyle w:val="DefinitionList"/>
              <w:numPr>
                <w:ilvl w:val="0"/>
                <w:numId w:val="2"/>
              </w:numPr>
              <w:spacing w:after="0"/>
              <w:rPr>
                <w:rFonts w:cs="Arial"/>
              </w:rPr>
            </w:pPr>
            <w:r>
              <w:rPr>
                <w:rFonts w:cs="Arial"/>
              </w:rPr>
              <w:t>the name, registered office and company registration number of each entity in the supply chain;</w:t>
            </w:r>
          </w:p>
          <w:p w14:paraId="3C902FE7" w14:textId="77777777" w:rsidR="00A46CAE" w:rsidRDefault="00712166">
            <w:pPr>
              <w:pStyle w:val="DefinitionList"/>
              <w:numPr>
                <w:ilvl w:val="0"/>
                <w:numId w:val="2"/>
              </w:numPr>
              <w:spacing w:after="0"/>
              <w:rPr>
                <w:rFonts w:cs="Arial"/>
              </w:rPr>
            </w:pPr>
            <w:r>
              <w:rPr>
                <w:rFonts w:cs="Arial"/>
              </w:rPr>
              <w:t>the function of each entity in the supply chain; and</w:t>
            </w:r>
          </w:p>
          <w:p w14:paraId="028A885D" w14:textId="77777777" w:rsidR="00A46CAE" w:rsidRDefault="00712166">
            <w:pPr>
              <w:pStyle w:val="DefinitionList"/>
              <w:numPr>
                <w:ilvl w:val="0"/>
                <w:numId w:val="2"/>
              </w:numPr>
              <w:spacing w:after="0"/>
              <w:rPr>
                <w:rFonts w:cs="Arial"/>
              </w:rPr>
            </w:pPr>
            <w:r>
              <w:rPr>
                <w:rFonts w:cs="Arial"/>
              </w:rPr>
              <w:t>the location of any premises at which an entity in the supply chain carries out a function in the supply chain;]</w:t>
            </w:r>
          </w:p>
        </w:tc>
      </w:tr>
      <w:tr w:rsidR="00A46CAE" w14:paraId="0666259D" w14:textId="77777777">
        <w:tc>
          <w:tcPr>
            <w:tcW w:w="2608" w:type="dxa"/>
            <w:shd w:val="clear" w:color="auto" w:fill="auto"/>
            <w:tcMar>
              <w:top w:w="0" w:type="dxa"/>
              <w:left w:w="108" w:type="dxa"/>
              <w:bottom w:w="0" w:type="dxa"/>
              <w:right w:w="108" w:type="dxa"/>
            </w:tcMar>
          </w:tcPr>
          <w:p w14:paraId="24FD7CB2" w14:textId="77777777" w:rsidR="00A46CAE" w:rsidRDefault="00712166">
            <w:pPr>
              <w:pStyle w:val="StdBodyTextBold"/>
              <w:rPr>
                <w:rFonts w:cs="Arial"/>
              </w:rPr>
            </w:pPr>
            <w:r>
              <w:rPr>
                <w:rFonts w:cs="Arial"/>
              </w:rPr>
              <w:t>“Waste Hierarchy”</w:t>
            </w:r>
          </w:p>
        </w:tc>
        <w:tc>
          <w:tcPr>
            <w:tcW w:w="5806" w:type="dxa"/>
            <w:shd w:val="clear" w:color="auto" w:fill="auto"/>
            <w:tcMar>
              <w:top w:w="0" w:type="dxa"/>
              <w:left w:w="108" w:type="dxa"/>
              <w:bottom w:w="0" w:type="dxa"/>
              <w:right w:w="108" w:type="dxa"/>
            </w:tcMar>
          </w:tcPr>
          <w:p w14:paraId="2BA591E8" w14:textId="77777777" w:rsidR="00A46CAE" w:rsidRDefault="00712166">
            <w:pPr>
              <w:pStyle w:val="StdBodyText"/>
              <w:rPr>
                <w:rFonts w:cs="Arial"/>
              </w:rPr>
            </w:pPr>
            <w:r>
              <w:rPr>
                <w:rFonts w:cs="Arial"/>
              </w:rPr>
              <w:t>means prioritisation of waste management in the following order of preference as set out in the Waste (England and Wales) Regulation 2011:</w:t>
            </w:r>
          </w:p>
          <w:p w14:paraId="09DB3193" w14:textId="77777777" w:rsidR="00A46CAE" w:rsidRDefault="00712166">
            <w:pPr>
              <w:pStyle w:val="DefinitionList"/>
              <w:numPr>
                <w:ilvl w:val="0"/>
                <w:numId w:val="2"/>
              </w:numPr>
              <w:spacing w:after="0"/>
              <w:rPr>
                <w:rFonts w:cs="Arial"/>
              </w:rPr>
            </w:pPr>
            <w:r>
              <w:rPr>
                <w:rFonts w:cs="Arial"/>
              </w:rPr>
              <w:t>Prevention;</w:t>
            </w:r>
          </w:p>
          <w:p w14:paraId="39098209" w14:textId="77777777" w:rsidR="00A46CAE" w:rsidRDefault="00712166">
            <w:pPr>
              <w:pStyle w:val="DefinitionList"/>
              <w:numPr>
                <w:ilvl w:val="0"/>
                <w:numId w:val="2"/>
              </w:numPr>
              <w:spacing w:after="0"/>
              <w:rPr>
                <w:rFonts w:cs="Arial"/>
              </w:rPr>
            </w:pPr>
            <w:r>
              <w:rPr>
                <w:rFonts w:cs="Arial"/>
              </w:rPr>
              <w:t>Preparing for re-use;</w:t>
            </w:r>
          </w:p>
          <w:p w14:paraId="3CCE5E80" w14:textId="77777777" w:rsidR="00A46CAE" w:rsidRDefault="00712166">
            <w:pPr>
              <w:pStyle w:val="DefinitionList"/>
              <w:numPr>
                <w:ilvl w:val="0"/>
                <w:numId w:val="2"/>
              </w:numPr>
              <w:spacing w:after="0"/>
              <w:rPr>
                <w:rFonts w:cs="Arial"/>
              </w:rPr>
            </w:pPr>
            <w:r>
              <w:rPr>
                <w:rFonts w:cs="Arial"/>
              </w:rPr>
              <w:t>Recycling;</w:t>
            </w:r>
          </w:p>
          <w:p w14:paraId="540C1610" w14:textId="77777777" w:rsidR="00A46CAE" w:rsidRDefault="00712166">
            <w:pPr>
              <w:pStyle w:val="DefinitionList"/>
              <w:numPr>
                <w:ilvl w:val="0"/>
                <w:numId w:val="2"/>
              </w:numPr>
              <w:spacing w:after="0"/>
              <w:rPr>
                <w:rFonts w:cs="Arial"/>
              </w:rPr>
            </w:pPr>
            <w:r>
              <w:rPr>
                <w:rFonts w:cs="Arial"/>
              </w:rPr>
              <w:t>Other Recovery; and</w:t>
            </w:r>
          </w:p>
          <w:p w14:paraId="6EB73B2D" w14:textId="77777777" w:rsidR="00A46CAE" w:rsidRDefault="00712166">
            <w:pPr>
              <w:pStyle w:val="DefinitionList"/>
              <w:numPr>
                <w:ilvl w:val="0"/>
                <w:numId w:val="2"/>
              </w:numPr>
              <w:spacing w:after="0"/>
              <w:rPr>
                <w:rFonts w:cs="Arial"/>
              </w:rPr>
            </w:pPr>
            <w:r>
              <w:rPr>
                <w:rFonts w:cs="Arial"/>
              </w:rPr>
              <w:lastRenderedPageBreak/>
              <w:t>Disposal.</w:t>
            </w:r>
          </w:p>
        </w:tc>
      </w:tr>
    </w:tbl>
    <w:p w14:paraId="17BD99AE" w14:textId="77777777" w:rsidR="00A46CAE" w:rsidRDefault="00712166">
      <w:pPr>
        <w:pBdr>
          <w:top w:val="none" w:sz="0" w:space="0" w:color="auto"/>
          <w:left w:val="none" w:sz="0" w:space="0" w:color="auto"/>
          <w:bottom w:val="none" w:sz="0" w:space="0" w:color="auto"/>
          <w:right w:val="none" w:sz="0" w:space="0" w:color="auto"/>
        </w:pBdr>
        <w:rPr>
          <w:rFonts w:ascii="Arial" w:eastAsia="Arial" w:hAnsi="Arial" w:cs="Arial"/>
          <w:b/>
          <w:sz w:val="28"/>
          <w:szCs w:val="24"/>
        </w:rPr>
      </w:pPr>
      <w:r>
        <w:rPr>
          <w:rFonts w:ascii="Arial" w:eastAsia="Arial" w:hAnsi="Arial" w:cs="Arial"/>
          <w:b/>
          <w:sz w:val="28"/>
          <w:szCs w:val="24"/>
        </w:rPr>
        <w:lastRenderedPageBreak/>
        <w:t>Part A</w:t>
      </w:r>
    </w:p>
    <w:p w14:paraId="5FBD710A" w14:textId="77777777" w:rsidR="00A46CAE" w:rsidRDefault="00712166">
      <w:pPr>
        <w:pStyle w:val="GPSL1Numbered"/>
        <w:numPr>
          <w:ilvl w:val="0"/>
          <w:numId w:val="3"/>
        </w:numPr>
        <w:rPr>
          <w:rFonts w:ascii="Arial" w:hAnsi="Arial" w:cs="Arial"/>
          <w:szCs w:val="24"/>
        </w:rPr>
      </w:pPr>
      <w:bookmarkStart w:id="1" w:name="_Ref89429971"/>
      <w:r>
        <w:rPr>
          <w:rFonts w:ascii="Arial" w:hAnsi="Arial" w:cs="Arial"/>
          <w:szCs w:val="24"/>
        </w:rPr>
        <w:t>Public Sector Equality Duty</w:t>
      </w:r>
      <w:bookmarkEnd w:id="1"/>
    </w:p>
    <w:p w14:paraId="01A67BC1" w14:textId="77777777" w:rsidR="00A46CAE" w:rsidRDefault="00712166">
      <w:pPr>
        <w:pStyle w:val="GPSL3NUMBERED"/>
        <w:numPr>
          <w:ilvl w:val="1"/>
          <w:numId w:val="3"/>
        </w:numPr>
        <w:rPr>
          <w:rFonts w:ascii="Arial" w:hAnsi="Arial" w:cs="Arial"/>
          <w:szCs w:val="24"/>
        </w:rPr>
      </w:pPr>
      <w:r>
        <w:rPr>
          <w:rFonts w:ascii="Arial" w:hAnsi="Arial" w:cs="Arial"/>
          <w:szCs w:val="24"/>
        </w:rPr>
        <w:t>In addition to legal obligations, where the Supplier is providing a Deliverable to which the Public Sector Equality duty applies, the Supplier shall support the Buyer in fulfilling its Public Sector Equality duty under S149 of the Equality Act 2010 by ensuring that it fulfils its obligations under the Contract in a way that seeks to:</w:t>
      </w:r>
    </w:p>
    <w:p w14:paraId="6AE65CE6"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eliminate discrimination, harassment or victimisation and any other conduct prohibited by the Equality Act 2010; and</w:t>
      </w:r>
    </w:p>
    <w:p w14:paraId="2286CFD4" w14:textId="77777777" w:rsidR="00A46CAE" w:rsidRDefault="00712166">
      <w:pPr>
        <w:pStyle w:val="GPSL4numbered"/>
        <w:numPr>
          <w:ilvl w:val="2"/>
          <w:numId w:val="3"/>
        </w:numPr>
        <w:ind w:left="1418" w:hanging="709"/>
        <w:rPr>
          <w:rFonts w:ascii="Arial" w:hAnsi="Arial" w:cs="Arial"/>
          <w:szCs w:val="24"/>
        </w:rPr>
      </w:pPr>
      <w:r>
        <w:rPr>
          <w:rFonts w:ascii="Arial" w:hAnsi="Arial" w:cs="Arial"/>
          <w:szCs w:val="24"/>
        </w:rPr>
        <w:t>advance:</w:t>
      </w:r>
    </w:p>
    <w:p w14:paraId="28DFC92A" w14:textId="77777777" w:rsidR="00A46CAE" w:rsidRDefault="00712166">
      <w:pPr>
        <w:pStyle w:val="GPSL4numbered"/>
        <w:numPr>
          <w:ilvl w:val="3"/>
          <w:numId w:val="3"/>
        </w:numPr>
        <w:rPr>
          <w:rFonts w:ascii="Arial" w:hAnsi="Arial" w:cs="Arial"/>
          <w:szCs w:val="24"/>
        </w:rPr>
      </w:pPr>
      <w:r>
        <w:rPr>
          <w:rFonts w:ascii="Arial" w:hAnsi="Arial" w:cs="Arial"/>
          <w:szCs w:val="24"/>
        </w:rPr>
        <w:lastRenderedPageBreak/>
        <w:t xml:space="preserve">equality of opportunity; and </w:t>
      </w:r>
    </w:p>
    <w:p w14:paraId="2C351F3C" w14:textId="77777777" w:rsidR="00A46CAE" w:rsidRDefault="00712166">
      <w:pPr>
        <w:pStyle w:val="GPSL4numbered"/>
        <w:numPr>
          <w:ilvl w:val="3"/>
          <w:numId w:val="3"/>
        </w:numPr>
        <w:rPr>
          <w:rFonts w:ascii="Arial" w:hAnsi="Arial" w:cs="Arial"/>
          <w:szCs w:val="24"/>
        </w:rPr>
      </w:pPr>
      <w:r>
        <w:rPr>
          <w:rFonts w:ascii="Arial" w:hAnsi="Arial" w:cs="Arial"/>
          <w:szCs w:val="24"/>
        </w:rPr>
        <w:t>good relations,</w:t>
      </w:r>
    </w:p>
    <w:p w14:paraId="0CFC0582" w14:textId="77777777" w:rsidR="00A46CAE" w:rsidRDefault="00712166">
      <w:pPr>
        <w:pStyle w:val="GPSL4numbered"/>
        <w:ind w:left="1728"/>
        <w:rPr>
          <w:rFonts w:ascii="Arial" w:hAnsi="Arial" w:cs="Arial"/>
          <w:szCs w:val="24"/>
        </w:rPr>
      </w:pPr>
      <w:r>
        <w:rPr>
          <w:rFonts w:ascii="Arial" w:hAnsi="Arial" w:cs="Arial"/>
          <w:szCs w:val="24"/>
        </w:rPr>
        <w:t>between those with a protected characteristic (age, disability, gender reassignment, pregnancy and maternity, race, religion or belief, sex, sexual orientation, and marriage and civil partnership) and those who do not share it.</w:t>
      </w:r>
    </w:p>
    <w:p w14:paraId="3B6C155B" w14:textId="77777777" w:rsidR="00A46CAE" w:rsidRDefault="00712166">
      <w:pPr>
        <w:pStyle w:val="GPSL1Numbered"/>
        <w:numPr>
          <w:ilvl w:val="0"/>
          <w:numId w:val="3"/>
        </w:numPr>
        <w:rPr>
          <w:rFonts w:ascii="Arial" w:hAnsi="Arial" w:cs="Arial"/>
          <w:szCs w:val="24"/>
        </w:rPr>
      </w:pPr>
      <w:bookmarkStart w:id="2" w:name="_Ref89430004"/>
      <w:r>
        <w:rPr>
          <w:rFonts w:ascii="Arial" w:hAnsi="Arial" w:cs="Arial"/>
          <w:szCs w:val="24"/>
        </w:rPr>
        <w:t>Employment Law</w:t>
      </w:r>
      <w:bookmarkEnd w:id="2"/>
    </w:p>
    <w:p w14:paraId="3C7C28B0" w14:textId="77777777" w:rsidR="00A46CAE" w:rsidRDefault="00712166">
      <w:pPr>
        <w:pStyle w:val="GPSL3NUMBERED"/>
        <w:numPr>
          <w:ilvl w:val="1"/>
          <w:numId w:val="3"/>
        </w:numPr>
      </w:pPr>
      <w:r>
        <w:rPr>
          <w:rFonts w:ascii="Arial" w:hAnsi="Arial" w:cs="Arial"/>
          <w:szCs w:val="24"/>
        </w:rPr>
        <w:t xml:space="preserve">The Supplier must perform its obligations meeting the requirements of all applicable Law regarding employment. </w:t>
      </w:r>
      <w:r>
        <w:rPr>
          <w:rFonts w:ascii="Arial" w:hAnsi="Arial" w:cs="Arial"/>
          <w:szCs w:val="24"/>
        </w:rPr>
        <w:tab/>
      </w:r>
      <w:r>
        <w:rPr>
          <w:rFonts w:ascii="Arial" w:hAnsi="Arial" w:cs="Arial"/>
          <w:szCs w:val="24"/>
        </w:rPr>
        <w:tab/>
        <w:t xml:space="preserve"> </w:t>
      </w:r>
    </w:p>
    <w:p w14:paraId="0231BF9C" w14:textId="77777777" w:rsidR="00A46CAE" w:rsidRDefault="00712166">
      <w:pPr>
        <w:pStyle w:val="GPSL3NUMBERED"/>
        <w:ind w:left="792"/>
        <w:rPr>
          <w:rFonts w:ascii="Arial" w:hAnsi="Arial" w:cs="Arial"/>
          <w:szCs w:val="24"/>
        </w:rPr>
      </w:pPr>
      <w:r>
        <w:rPr>
          <w:rFonts w:ascii="Arial" w:hAnsi="Arial" w:cs="Arial"/>
          <w:szCs w:val="24"/>
        </w:rPr>
        <w:lastRenderedPageBreak/>
        <w:t xml:space="preserve"> </w:t>
      </w:r>
    </w:p>
    <w:p w14:paraId="499064B7" w14:textId="77777777" w:rsidR="00A46CAE" w:rsidRDefault="00712166">
      <w:pPr>
        <w:pStyle w:val="GPSL1Numbered"/>
        <w:numPr>
          <w:ilvl w:val="0"/>
          <w:numId w:val="3"/>
        </w:numPr>
        <w:rPr>
          <w:rFonts w:ascii="Arial" w:hAnsi="Arial" w:cs="Arial"/>
          <w:szCs w:val="24"/>
        </w:rPr>
      </w:pPr>
      <w:bookmarkStart w:id="3" w:name="_Ref89430030"/>
      <w:r>
        <w:rPr>
          <w:rFonts w:ascii="Arial" w:hAnsi="Arial" w:cs="Arial"/>
          <w:szCs w:val="24"/>
        </w:rPr>
        <w:t>Modern Slavery</w:t>
      </w:r>
      <w:bookmarkEnd w:id="3"/>
    </w:p>
    <w:p w14:paraId="43749E4B" w14:textId="77777777" w:rsidR="00A46CAE" w:rsidRDefault="00712166">
      <w:pPr>
        <w:pStyle w:val="GPSL3NUMBERED"/>
        <w:numPr>
          <w:ilvl w:val="1"/>
          <w:numId w:val="3"/>
        </w:numPr>
        <w:rPr>
          <w:rFonts w:ascii="Arial" w:hAnsi="Arial" w:cs="Arial"/>
          <w:szCs w:val="24"/>
        </w:rPr>
      </w:pPr>
      <w:r>
        <w:rPr>
          <w:rFonts w:ascii="Arial" w:hAnsi="Arial" w:cs="Arial"/>
          <w:szCs w:val="24"/>
        </w:rPr>
        <w:t>The Supplier:</w:t>
      </w:r>
    </w:p>
    <w:p w14:paraId="6BE97D9B"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not use, nor allow its Subcontractors to use forced, bonded or involuntary prison labour;</w:t>
      </w:r>
    </w:p>
    <w:p w14:paraId="7784A5C1"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 xml:space="preserve">shall not require any Supplier Staff or Subcontractor Staff to lodge deposits or identity papers with the employer and shall be free to leave their employer after reasonable notice;  </w:t>
      </w:r>
    </w:p>
    <w:p w14:paraId="36D7E675"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warrants and represents that it has not been convicted of any slavery or human trafficking offences anywhere around the world;</w:t>
      </w:r>
    </w:p>
    <w:p w14:paraId="13B0EE66"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warrants that to the best of its knowledge it is not currently under investigation, inquiry or enforcement proceedings in relation to any allegation of slavery or human trafficking offences anywhere around the world;</w:t>
      </w:r>
    </w:p>
    <w:p w14:paraId="05B67502"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lastRenderedPageBreak/>
        <w:t>shall make reasonable enquires to ensure that its officers, employees and Subcontractors have not been convicted of slavery or human trafficking offences anywhere around the world;</w:t>
      </w:r>
    </w:p>
    <w:p w14:paraId="43B378CF"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have and maintain throughout the Term its own policies and procedures to ensure its compliance with the Modern Slavery Act 2015 and include in its contracts with its Subcontractors anti-slavery and human trafficking provisions;</w:t>
      </w:r>
    </w:p>
    <w:p w14:paraId="572E880C"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implement due diligence procedures to ensure that there is no slavery or human trafficking in any part of its supply chain performing obligations under the Contract;</w:t>
      </w:r>
    </w:p>
    <w:p w14:paraId="2F260EF3" w14:textId="7B8C5199" w:rsidR="00A46CAE" w:rsidRDefault="00712166">
      <w:pPr>
        <w:pStyle w:val="GPSL4numbered"/>
        <w:numPr>
          <w:ilvl w:val="2"/>
          <w:numId w:val="3"/>
        </w:numPr>
        <w:ind w:left="1560" w:hanging="840"/>
      </w:pPr>
      <w:r>
        <w:rPr>
          <w:rFonts w:ascii="Arial" w:hAnsi="Arial" w:cs="Arial"/>
          <w:szCs w:val="24"/>
        </w:rPr>
        <w:t xml:space="preserve">shall prepare and deliver to the Buyer, an annual slavery and human trafficking report setting out the steps it has taken to ensure that slavery and human trafficking is not taking place in any of its supply chains or in any part of its business with its annual certification of compliance with this Paragraph </w:t>
      </w:r>
      <w:r>
        <w:rPr>
          <w:rFonts w:ascii="Arial" w:hAnsi="Arial" w:cs="Arial"/>
          <w:szCs w:val="24"/>
        </w:rPr>
        <w:fldChar w:fldCharType="begin"/>
      </w:r>
      <w:r>
        <w:rPr>
          <w:rFonts w:ascii="Arial" w:hAnsi="Arial" w:cs="Arial"/>
          <w:szCs w:val="24"/>
        </w:rPr>
        <w:instrText xml:space="preserve"> REF _Ref89430030 </w:instrText>
      </w:r>
      <w:r>
        <w:rPr>
          <w:rFonts w:ascii="Arial" w:hAnsi="Arial" w:cs="Arial"/>
          <w:szCs w:val="24"/>
        </w:rPr>
        <w:fldChar w:fldCharType="separate"/>
      </w:r>
      <w:r w:rsidR="000F2CA0">
        <w:rPr>
          <w:rFonts w:ascii="Arial" w:hAnsi="Arial" w:cs="Arial"/>
          <w:szCs w:val="24"/>
        </w:rPr>
        <w:t>Modern Slavery</w:t>
      </w:r>
      <w:r>
        <w:rPr>
          <w:rFonts w:ascii="Arial" w:hAnsi="Arial" w:cs="Arial"/>
          <w:szCs w:val="24"/>
        </w:rPr>
        <w:fldChar w:fldCharType="end"/>
      </w:r>
      <w:r>
        <w:rPr>
          <w:rFonts w:ascii="Arial" w:hAnsi="Arial" w:cs="Arial"/>
          <w:szCs w:val="24"/>
        </w:rPr>
        <w:t>;</w:t>
      </w:r>
    </w:p>
    <w:p w14:paraId="58FE7CD2"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not use, nor allow its employees or Subcontractors to use physical abuse or discipline, the threat of physical abuse, sexual or other harassment and verbal abuse or other forms of intimidation of its employees or Subcontractors;</w:t>
      </w:r>
    </w:p>
    <w:p w14:paraId="36077CA0"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not use or allow child or slave labour to be used by its Subcontractors; and</w:t>
      </w:r>
    </w:p>
    <w:p w14:paraId="5844D506"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report the discovery or suspicion of any slavery or trafficking by it or its Subcontractors to the Buyer and Modern Slavery Helpline.</w:t>
      </w:r>
    </w:p>
    <w:p w14:paraId="63AD2B48" w14:textId="77777777" w:rsidR="00A46CAE" w:rsidRDefault="00712166">
      <w:pPr>
        <w:pStyle w:val="GPSL1Numbered"/>
        <w:numPr>
          <w:ilvl w:val="0"/>
          <w:numId w:val="3"/>
        </w:numPr>
        <w:rPr>
          <w:rFonts w:ascii="Arial" w:hAnsi="Arial" w:cs="Arial"/>
          <w:szCs w:val="24"/>
        </w:rPr>
      </w:pPr>
      <w:bookmarkStart w:id="4" w:name="_gjdgxs"/>
      <w:bookmarkEnd w:id="4"/>
      <w:r>
        <w:rPr>
          <w:rFonts w:ascii="Arial" w:hAnsi="Arial" w:cs="Arial"/>
          <w:szCs w:val="24"/>
        </w:rPr>
        <w:lastRenderedPageBreak/>
        <w:t>Environmental Requirements</w:t>
      </w:r>
      <w:bookmarkStart w:id="5" w:name="_9kR3WTr8E8458B"/>
      <w:bookmarkEnd w:id="5"/>
    </w:p>
    <w:p w14:paraId="05625CC6" w14:textId="77777777" w:rsidR="00A46CAE" w:rsidRDefault="00712166">
      <w:pPr>
        <w:pStyle w:val="GPSL3NUMBERED"/>
        <w:numPr>
          <w:ilvl w:val="1"/>
          <w:numId w:val="3"/>
        </w:numPr>
        <w:rPr>
          <w:rFonts w:ascii="Arial" w:hAnsi="Arial" w:cs="Arial"/>
          <w:szCs w:val="24"/>
        </w:rPr>
      </w:pPr>
      <w:r>
        <w:rPr>
          <w:rFonts w:ascii="Arial" w:hAnsi="Arial" w:cs="Arial"/>
          <w:szCs w:val="24"/>
        </w:rPr>
        <w:t xml:space="preserve">The Supplier must perform its obligations meeting in all material respects the requirements of all applicable Laws regarding the environment. </w:t>
      </w:r>
    </w:p>
    <w:p w14:paraId="298DD5D2" w14:textId="77777777" w:rsidR="00A46CAE" w:rsidRDefault="00712166">
      <w:pPr>
        <w:pStyle w:val="GPSL3NUMBERED"/>
        <w:numPr>
          <w:ilvl w:val="1"/>
          <w:numId w:val="3"/>
        </w:numPr>
        <w:rPr>
          <w:rFonts w:ascii="Arial" w:hAnsi="Arial" w:cs="Arial"/>
          <w:szCs w:val="24"/>
        </w:rPr>
      </w:pPr>
      <w:r>
        <w:rPr>
          <w:rFonts w:ascii="Arial" w:hAnsi="Arial" w:cs="Arial"/>
          <w:szCs w:val="24"/>
        </w:rPr>
        <w:t>In performing its obligations under the Contract, the Supplier shall, where applicable to the Contract, to the reasonable satisfaction of the Buyer:</w:t>
      </w:r>
    </w:p>
    <w:p w14:paraId="4150B47A"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 xml:space="preserve">prioritise waste management in accordance with the Waste Hierarchy as set out in Law;  </w:t>
      </w:r>
    </w:p>
    <w:p w14:paraId="50288855"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be responsible for ensuring that any waste generated by the Supplier and sent for recycling, disposal or other recovery as a consequence of this Contract is taken by a licensed waste carrier to an authorised site for treatment or disposal and that the disposal or treatment of waste complies with the Law; and</w:t>
      </w:r>
    </w:p>
    <w:p w14:paraId="3E0300D1"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 xml:space="preserve">ensure that it and any third parties used to undertake recycling, disposal or other recovery as a consequence of this Contract do so in a legally compliant way, and can demonstrate that reasonable checks are undertaken to ensure this on a regular basis and provide relevant data and evidence of recycling, recovery and disposal. </w:t>
      </w:r>
    </w:p>
    <w:p w14:paraId="144326E6" w14:textId="77777777" w:rsidR="00A46CAE" w:rsidRDefault="00712166">
      <w:pPr>
        <w:pStyle w:val="GPSL4numbered"/>
        <w:numPr>
          <w:ilvl w:val="1"/>
          <w:numId w:val="3"/>
        </w:numPr>
        <w:rPr>
          <w:rFonts w:ascii="Arial" w:hAnsi="Arial" w:cs="Arial"/>
          <w:szCs w:val="24"/>
        </w:rPr>
      </w:pPr>
      <w:r>
        <w:rPr>
          <w:rFonts w:ascii="Arial" w:hAnsi="Arial" w:cs="Arial"/>
          <w:szCs w:val="24"/>
        </w:rPr>
        <w:lastRenderedPageBreak/>
        <w:t>In circumstances that a permit, licence or exemption to carry or send waste generated under this Contract is revoked, the Supplier shall cease to carry or send waste or allow waste to be carried by any Subcontractor until authorisation is obtained from the Environment Agency.</w:t>
      </w:r>
    </w:p>
    <w:p w14:paraId="6F37F847" w14:textId="77777777" w:rsidR="00A46CAE" w:rsidRDefault="00712166">
      <w:pPr>
        <w:pStyle w:val="GPSL3NUMBERED"/>
        <w:numPr>
          <w:ilvl w:val="1"/>
          <w:numId w:val="3"/>
        </w:numPr>
      </w:pPr>
      <w:r>
        <w:rPr>
          <w:rFonts w:ascii="Arial" w:hAnsi="Arial" w:cs="Arial"/>
          <w:szCs w:val="24"/>
        </w:rPr>
        <w:t xml:space="preserve">In performing its obligations under the Contract, the Supplier shall to the reasonable satisfaction of the Buyer (where the anticipated Charges in any Contract Year are above £5 million per annum (excluding VAT)), </w:t>
      </w:r>
      <w:r>
        <w:rPr>
          <w:rFonts w:ascii="Arial" w:hAnsi="Arial" w:cs="Arial"/>
        </w:rPr>
        <w:t>where related to and proportionate to the contract in accordance with PPN 06/21), publish and maintain a credible Carbon Reduction Plan in accordance with PPN 06/21</w:t>
      </w:r>
      <w:r>
        <w:rPr>
          <w:rFonts w:ascii="Arial" w:hAnsi="Arial" w:cs="Arial"/>
          <w:szCs w:val="24"/>
        </w:rPr>
        <w:t>.</w:t>
      </w:r>
    </w:p>
    <w:p w14:paraId="513CBADF" w14:textId="77777777" w:rsidR="00A46CAE" w:rsidRDefault="00712166">
      <w:pPr>
        <w:pStyle w:val="GPSL3NUMBERED"/>
        <w:numPr>
          <w:ilvl w:val="1"/>
          <w:numId w:val="3"/>
        </w:numPr>
      </w:pPr>
      <w:r>
        <w:rPr>
          <w:rFonts w:ascii="Arial" w:hAnsi="Arial" w:cs="Arial"/>
          <w:szCs w:val="24"/>
        </w:rPr>
        <w:t xml:space="preserve">The Supplier </w:t>
      </w:r>
      <w:r>
        <w:rPr>
          <w:rFonts w:ascii="Arial" w:eastAsia="Arial" w:hAnsi="Arial" w:cs="Arial"/>
          <w:szCs w:val="24"/>
        </w:rPr>
        <w:t>shall</w:t>
      </w:r>
      <w:r>
        <w:rPr>
          <w:rFonts w:ascii="Arial" w:hAnsi="Arial" w:cs="Arial"/>
          <w:szCs w:val="24"/>
        </w:rPr>
        <w:t xml:space="preserve"> meet the applicable Government Buying Standards applicable to Deliverables which can be found online at: </w:t>
      </w:r>
    </w:p>
    <w:p w14:paraId="21D9D940" w14:textId="77777777" w:rsidR="00A46CAE" w:rsidRDefault="006918D1">
      <w:pPr>
        <w:pStyle w:val="GPSL1Numbered"/>
        <w:ind w:left="792"/>
      </w:pPr>
      <w:hyperlink r:id="rId11" w:history="1">
        <w:r w:rsidR="00712166">
          <w:rPr>
            <w:rStyle w:val="Hyperlink"/>
            <w:rFonts w:ascii="Arial" w:eastAsia="Arial" w:hAnsi="Arial" w:cs="Arial"/>
            <w:b w:val="0"/>
            <w:i/>
            <w:szCs w:val="24"/>
          </w:rPr>
          <w:t>https://www.gov.uk/government/collections/sustainable-procurement-the-government-buying-standards-gbs</w:t>
        </w:r>
      </w:hyperlink>
      <w:r w:rsidR="00712166">
        <w:rPr>
          <w:rStyle w:val="Hyperlink"/>
          <w:rFonts w:ascii="Arial" w:eastAsia="Arial" w:hAnsi="Arial" w:cs="Arial"/>
          <w:b w:val="0"/>
          <w:i/>
          <w:szCs w:val="24"/>
        </w:rPr>
        <w:t>.</w:t>
      </w:r>
    </w:p>
    <w:p w14:paraId="3D7036BB" w14:textId="77777777" w:rsidR="00A46CAE" w:rsidRDefault="00712166">
      <w:pPr>
        <w:pStyle w:val="GPSL1Numbered"/>
        <w:numPr>
          <w:ilvl w:val="0"/>
          <w:numId w:val="3"/>
        </w:numPr>
        <w:rPr>
          <w:rFonts w:ascii="Arial" w:hAnsi="Arial" w:cs="Arial"/>
          <w:szCs w:val="24"/>
        </w:rPr>
      </w:pPr>
      <w:bookmarkStart w:id="6" w:name="_Ref89429980"/>
      <w:r>
        <w:rPr>
          <w:rFonts w:ascii="Arial" w:hAnsi="Arial" w:cs="Arial"/>
          <w:szCs w:val="24"/>
        </w:rPr>
        <w:t>Supplier Code of Conduct</w:t>
      </w:r>
      <w:bookmarkEnd w:id="6"/>
    </w:p>
    <w:p w14:paraId="14F06C8B" w14:textId="77777777" w:rsidR="00A46CAE" w:rsidRDefault="00712166">
      <w:pPr>
        <w:pStyle w:val="GPSL3NUMBERED"/>
        <w:numPr>
          <w:ilvl w:val="1"/>
          <w:numId w:val="3"/>
        </w:numPr>
        <w:rPr>
          <w:rFonts w:ascii="Arial" w:hAnsi="Arial" w:cs="Arial"/>
          <w:szCs w:val="24"/>
        </w:rPr>
      </w:pPr>
      <w:r>
        <w:rPr>
          <w:rFonts w:ascii="Arial" w:hAnsi="Arial" w:cs="Arial"/>
          <w:szCs w:val="24"/>
        </w:rPr>
        <w:t>In February 2019, HM Government published a Supplier Code of Conduct setting out the standards and behaviours expected of suppliers who work with government which can be found online at:</w:t>
      </w:r>
    </w:p>
    <w:p w14:paraId="6680C458" w14:textId="77777777" w:rsidR="00A46CAE" w:rsidRDefault="006918D1">
      <w:pPr>
        <w:pStyle w:val="GPSL2numberedclause"/>
        <w:ind w:left="936"/>
      </w:pPr>
      <w:hyperlink r:id="rId12" w:history="1">
        <w:r w:rsidR="00712166">
          <w:rPr>
            <w:rStyle w:val="Hyperlink"/>
            <w:rFonts w:ascii="Arial" w:hAnsi="Arial" w:cs="Arial"/>
            <w:i/>
            <w:iCs/>
            <w:szCs w:val="24"/>
          </w:rPr>
          <w:t>https://assets.publishing.service.gov.uk/government/uploads/system/uploads/attachment_data/file/779660/20190220-Supplier_Code_of_Conduct.pdf</w:t>
        </w:r>
      </w:hyperlink>
    </w:p>
    <w:p w14:paraId="74F9587B" w14:textId="77777777" w:rsidR="00A46CAE" w:rsidRDefault="00712166">
      <w:pPr>
        <w:pStyle w:val="GPSL2numberedclause"/>
        <w:ind w:left="851"/>
        <w:rPr>
          <w:rFonts w:ascii="Arial" w:hAnsi="Arial" w:cs="Arial"/>
          <w:szCs w:val="24"/>
        </w:rPr>
      </w:pPr>
      <w:r>
        <w:rPr>
          <w:rFonts w:ascii="Arial" w:hAnsi="Arial" w:cs="Arial"/>
          <w:szCs w:val="24"/>
        </w:rPr>
        <w:t>The Buyer expects to meet, and expects its suppliers and subcontractors to meet, the standards set out in that Code.</w:t>
      </w:r>
    </w:p>
    <w:p w14:paraId="1CC451D5" w14:textId="77777777" w:rsidR="00A46CAE" w:rsidRDefault="00712166">
      <w:pPr>
        <w:pStyle w:val="GPSL1Numbered"/>
        <w:numPr>
          <w:ilvl w:val="0"/>
          <w:numId w:val="3"/>
        </w:numPr>
        <w:rPr>
          <w:rFonts w:ascii="Arial" w:hAnsi="Arial" w:cs="Arial"/>
          <w:szCs w:val="24"/>
        </w:rPr>
      </w:pPr>
      <w:r>
        <w:rPr>
          <w:rFonts w:ascii="Arial" w:hAnsi="Arial" w:cs="Arial"/>
          <w:szCs w:val="24"/>
        </w:rPr>
        <w:lastRenderedPageBreak/>
        <w:t>Reporting</w:t>
      </w:r>
    </w:p>
    <w:p w14:paraId="328428A1" w14:textId="34438BEC" w:rsidR="00A46CAE" w:rsidRDefault="00712166">
      <w:pPr>
        <w:pStyle w:val="GPSL3NUMBERED"/>
        <w:ind w:left="792"/>
      </w:pPr>
      <w:r>
        <w:rPr>
          <w:rFonts w:ascii="Arial" w:hAnsi="Arial" w:cs="Arial"/>
          <w:szCs w:val="24"/>
        </w:rPr>
        <w:t xml:space="preserve">The Supplier shall comply with reasonable requests by the Buyer for information evidencing compliance with any of the requirements in Paragraphs </w:t>
      </w:r>
      <w:r>
        <w:rPr>
          <w:rFonts w:ascii="Arial" w:hAnsi="Arial" w:cs="Arial"/>
          <w:szCs w:val="24"/>
        </w:rPr>
        <w:fldChar w:fldCharType="begin"/>
      </w:r>
      <w:r>
        <w:rPr>
          <w:rFonts w:ascii="Arial" w:hAnsi="Arial" w:cs="Arial"/>
          <w:szCs w:val="24"/>
        </w:rPr>
        <w:instrText xml:space="preserve"> REF _Ref89429971 </w:instrText>
      </w:r>
      <w:r>
        <w:rPr>
          <w:rFonts w:ascii="Arial" w:hAnsi="Arial" w:cs="Arial"/>
          <w:szCs w:val="24"/>
        </w:rPr>
        <w:fldChar w:fldCharType="separate"/>
      </w:r>
      <w:r w:rsidR="000F2CA0">
        <w:rPr>
          <w:rFonts w:ascii="Arial" w:hAnsi="Arial" w:cs="Arial"/>
          <w:szCs w:val="24"/>
        </w:rPr>
        <w:t>Public Sector Equality Duty</w:t>
      </w:r>
      <w:r>
        <w:rPr>
          <w:rFonts w:ascii="Arial" w:hAnsi="Arial" w:cs="Arial"/>
          <w:szCs w:val="24"/>
        </w:rPr>
        <w:fldChar w:fldCharType="end"/>
      </w:r>
      <w:r>
        <w:rPr>
          <w:rFonts w:ascii="Arial" w:hAnsi="Arial" w:cs="Arial"/>
          <w:szCs w:val="24"/>
        </w:rPr>
        <w:t>-</w:t>
      </w:r>
      <w:r>
        <w:rPr>
          <w:rFonts w:ascii="Arial" w:hAnsi="Arial" w:cs="Arial"/>
          <w:szCs w:val="24"/>
        </w:rPr>
        <w:fldChar w:fldCharType="begin"/>
      </w:r>
      <w:r>
        <w:rPr>
          <w:rFonts w:ascii="Arial" w:hAnsi="Arial" w:cs="Arial"/>
          <w:szCs w:val="24"/>
        </w:rPr>
        <w:instrText xml:space="preserve"> REF _Ref89429980 </w:instrText>
      </w:r>
      <w:r>
        <w:rPr>
          <w:rFonts w:ascii="Arial" w:hAnsi="Arial" w:cs="Arial"/>
          <w:szCs w:val="24"/>
        </w:rPr>
        <w:fldChar w:fldCharType="separate"/>
      </w:r>
      <w:r w:rsidR="000F2CA0">
        <w:rPr>
          <w:rFonts w:ascii="Arial" w:hAnsi="Arial" w:cs="Arial"/>
          <w:szCs w:val="24"/>
        </w:rPr>
        <w:t>Supplier Code of Conduct</w:t>
      </w:r>
      <w:r>
        <w:rPr>
          <w:rFonts w:ascii="Arial" w:hAnsi="Arial" w:cs="Arial"/>
          <w:szCs w:val="24"/>
        </w:rPr>
        <w:fldChar w:fldCharType="end"/>
      </w:r>
      <w:r>
        <w:rPr>
          <w:rFonts w:ascii="Arial" w:hAnsi="Arial" w:cs="Arial"/>
          <w:szCs w:val="24"/>
        </w:rPr>
        <w:t xml:space="preserve"> of this Part A above within fourteen (14) days of such request, [provided that such requests are limited to [two] per requirement per Contract Year].</w:t>
      </w:r>
    </w:p>
    <w:p w14:paraId="13177093" w14:textId="77777777" w:rsidR="00A46CAE" w:rsidRDefault="00712166">
      <w:pPr>
        <w:pStyle w:val="GPSL1Numbered"/>
        <w:ind w:left="360" w:hanging="360"/>
        <w:rPr>
          <w:rFonts w:ascii="Arial" w:hAnsi="Arial" w:cs="Arial"/>
          <w:sz w:val="28"/>
          <w:szCs w:val="24"/>
        </w:rPr>
      </w:pPr>
      <w:r>
        <w:rPr>
          <w:rFonts w:ascii="Arial" w:hAnsi="Arial" w:cs="Arial"/>
          <w:sz w:val="28"/>
          <w:szCs w:val="24"/>
        </w:rPr>
        <w:t xml:space="preserve">Part B </w:t>
      </w:r>
    </w:p>
    <w:p w14:paraId="5D5FC454" w14:textId="5187ECDB" w:rsidR="00A46CAE" w:rsidRPr="00211BF8" w:rsidRDefault="00C76597" w:rsidP="00C76597">
      <w:pPr>
        <w:pStyle w:val="GPSL1Numbered"/>
        <w:rPr>
          <w:rFonts w:ascii="Arial" w:hAnsi="Arial" w:cs="Arial"/>
          <w:b w:val="0"/>
          <w:szCs w:val="24"/>
        </w:rPr>
      </w:pPr>
      <w:r w:rsidRPr="00C76597">
        <w:rPr>
          <w:rFonts w:ascii="Arial" w:hAnsi="Arial" w:cs="Arial"/>
          <w:b w:val="0"/>
          <w:szCs w:val="24"/>
        </w:rPr>
        <w:t xml:space="preserve">Not </w:t>
      </w:r>
      <w:r w:rsidRPr="00211BF8">
        <w:rPr>
          <w:rFonts w:ascii="Arial" w:hAnsi="Arial" w:cs="Arial"/>
          <w:b w:val="0"/>
          <w:szCs w:val="24"/>
        </w:rPr>
        <w:t>Used</w:t>
      </w:r>
    </w:p>
    <w:p w14:paraId="3DFBBDAE" w14:textId="77777777" w:rsidR="00A46CAE" w:rsidRPr="00211BF8" w:rsidRDefault="00712166">
      <w:pPr>
        <w:spacing w:before="120" w:after="120" w:line="240" w:lineRule="auto"/>
      </w:pPr>
      <w:r w:rsidRPr="00211BF8">
        <w:rPr>
          <w:rFonts w:ascii="Arial" w:eastAsia="Arial" w:hAnsi="Arial" w:cs="Arial"/>
          <w:b/>
          <w:sz w:val="28"/>
          <w:szCs w:val="28"/>
        </w:rPr>
        <w:t>Part C</w:t>
      </w:r>
      <w:r w:rsidRPr="00211BF8">
        <w:rPr>
          <w:rFonts w:ascii="Arial" w:hAnsi="Arial" w:cs="Arial"/>
          <w:sz w:val="28"/>
          <w:szCs w:val="28"/>
        </w:rPr>
        <w:t xml:space="preserve">     </w:t>
      </w:r>
    </w:p>
    <w:p w14:paraId="11FBCA6C" w14:textId="1B31C839" w:rsidR="00A46CAE" w:rsidRPr="00211BF8" w:rsidRDefault="00211BF8" w:rsidP="00211BF8">
      <w:pPr>
        <w:pStyle w:val="GPSL1Numbered"/>
        <w:rPr>
          <w:rFonts w:ascii="Arial" w:hAnsi="Arial" w:cs="Arial"/>
          <w:b w:val="0"/>
          <w:szCs w:val="24"/>
        </w:rPr>
      </w:pPr>
      <w:r w:rsidRPr="00211BF8">
        <w:rPr>
          <w:rFonts w:ascii="Arial" w:hAnsi="Arial" w:cs="Arial"/>
          <w:b w:val="0"/>
          <w:szCs w:val="24"/>
        </w:rPr>
        <w:t xml:space="preserve">Addressed in Schedule 10 (Service Levels) </w:t>
      </w:r>
      <w:bookmarkEnd w:id="0"/>
    </w:p>
    <w:sectPr w:rsidR="00A46CAE" w:rsidRPr="00211BF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60DF2" w14:textId="77777777" w:rsidR="0059501D" w:rsidRDefault="0059501D">
      <w:pPr>
        <w:spacing w:after="0" w:line="240" w:lineRule="auto"/>
      </w:pPr>
      <w:r>
        <w:separator/>
      </w:r>
    </w:p>
  </w:endnote>
  <w:endnote w:type="continuationSeparator" w:id="0">
    <w:p w14:paraId="0430AF93" w14:textId="77777777" w:rsidR="0059501D" w:rsidRDefault="0059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05A10" w14:textId="77777777" w:rsidR="001F1EDA" w:rsidRDefault="001F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3BA68" w14:textId="77777777" w:rsidR="00AF138F" w:rsidRDefault="00712166">
    <w:pPr>
      <w:tabs>
        <w:tab w:val="center" w:pos="4513"/>
        <w:tab w:val="right" w:pos="9026"/>
      </w:tabs>
      <w:spacing w:after="0"/>
    </w:pPr>
    <w:r>
      <w:rPr>
        <w:rFonts w:ascii="Arial" w:hAnsi="Arial"/>
        <w:noProof/>
        <w:color w:val="BFBFBF"/>
        <w:sz w:val="20"/>
        <w:szCs w:val="20"/>
      </w:rPr>
      <mc:AlternateContent>
        <mc:Choice Requires="wps">
          <w:drawing>
            <wp:anchor distT="0" distB="0" distL="114300" distR="114300" simplePos="0" relativeHeight="251659264" behindDoc="0" locked="0" layoutInCell="1" allowOverlap="1" wp14:anchorId="6D7C4502" wp14:editId="53703F22">
              <wp:simplePos x="0" y="0"/>
              <wp:positionH relativeFrom="page">
                <wp:posOffset>0</wp:posOffset>
              </wp:positionH>
              <wp:positionV relativeFrom="page">
                <wp:posOffset>10227948</wp:posOffset>
              </wp:positionV>
              <wp:extent cx="7560314" cy="273048"/>
              <wp:effectExtent l="0" t="0" r="0" b="12702"/>
              <wp:wrapNone/>
              <wp:docPr id="1" name="MSIPCM4be34ddd984f391db57ffc01"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73048"/>
                      </a:xfrm>
                      <a:prstGeom prst="rect">
                        <a:avLst/>
                      </a:prstGeom>
                      <a:noFill/>
                      <a:ln>
                        <a:noFill/>
                        <a:prstDash/>
                      </a:ln>
                    </wps:spPr>
                    <wps:txbx>
                      <w:txbxContent>
                        <w:p w14:paraId="1432DA4A" w14:textId="77777777" w:rsidR="00AF138F" w:rsidRDefault="00AF138F">
                          <w:pPr>
                            <w:spacing w:after="0"/>
                            <w:jc w:val="center"/>
                            <w:rPr>
                              <w:sz w:val="20"/>
                            </w:rPr>
                          </w:pPr>
                        </w:p>
                      </w:txbxContent>
                    </wps:txbx>
                    <wps:bodyPr vert="horz" wrap="square" lIns="91440" tIns="0" rIns="91440" bIns="0" anchor="b" anchorCtr="0" compatLnSpc="1">
                      <a:noAutofit/>
                    </wps:bodyPr>
                  </wps:wsp>
                </a:graphicData>
              </a:graphic>
            </wp:anchor>
          </w:drawing>
        </mc:Choice>
        <mc:Fallback>
          <w:pict>
            <v:shapetype w14:anchorId="6D7C4502" id="_x0000_t202" coordsize="21600,21600" o:spt="202" path="m,l,21600r21600,l21600,xe">
              <v:stroke joinstyle="miter"/>
              <v:path gradientshapeok="t" o:connecttype="rect"/>
            </v:shapetype>
            <v:shape id="MSIPCM4be34ddd984f391db57ffc01"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6mkuQEAAGQDAAAOAAAAZHJzL2Uyb0RvYy54bWysU8Fu2zAMvQ/YPwi6L3LSrO2MOMW2oMOA&#10;Yh2Q9QNkWYoFSKImKbGzrx8lp0nR3YpdaIqknh4f6dXdaA05yBA1uIbOZxUl0gnotNs19OnX/Ydb&#10;SmLiruMGnGzoUUZ6t37/bjX4Wi6gB9PJQBDExXrwDe1T8jVjUfTS8jgDLx0mFQTLEx7DjnWBD4hu&#10;DVtU1TUbIHQ+gJAxYnQzJem64CslRXpUKspETEORWyo2FNtmy9YrXu8C970WJxr8DSws1w4fPUNt&#10;eOJkH/Q/UFaLABFUmgmwDJTSQpYesJt59aqbbc+9LL2gONGfZYr/D1b8OGz9z0DS+AVGHGAWZPCx&#10;jhjM/Ywq2PxFpgTzKOHxLJscExEYvPl4XV3Nl5QIzC1urqrlbYZhl9s+xPRNgiXZaWjAsRS1+OEh&#10;pqn0uSQ/5uBeG1NGY9yrQK7b8NhPt3KaXfhmL43tiMnsttAdsTdcT3y0h/CHkgFH3dD4e8+DpMR8&#10;d6jlp/lymXejHNAJL6Ptc5Q7gRANbSmZ3K9p2iMcpOfpwW29yAJOfD/vEyhderswOXHFURZ1TmuX&#10;d+XluVRdfo71XwAAAP//AwBQSwMEFAAGAAgAAAAhAOX22j/gAAAACwEAAA8AAABkcnMvZG93bnJl&#10;di54bWxMj81OwzAQhO9IvIO1SFwQtQMiDSFOVSEhjoWWVuLmxpsfEa+t2G1Tnh7nRI87M5r9pliM&#10;pmdHHHxnSUIyE8CQKqs7aiR8bd7uM2A+KNKqt4QSzuhhUV5fFSrX9kSfeFyHhsUS8rmS0Ibgcs59&#10;1aJRfmYdUvRqOxgV4jk0XA/qFMtNzx+ESLlRHcUPrXL42mL1sz4YCXXiPrbLFcf6jn9nVfZLzuze&#10;pby9GZcvwAKO4T8ME35EhzIy7e2BtGe9hDgkRDVNxBzY5CfPIgW2n7SnxznwsuCXG8o/AAAA//8D&#10;AFBLAQItABQABgAIAAAAIQC2gziS/gAAAOEBAAATAAAAAAAAAAAAAAAAAAAAAABbQ29udGVudF9U&#10;eXBlc10ueG1sUEsBAi0AFAAGAAgAAAAhADj9If/WAAAAlAEAAAsAAAAAAAAAAAAAAAAALwEAAF9y&#10;ZWxzLy5yZWxzUEsBAi0AFAAGAAgAAAAhAPpDqaS5AQAAZAMAAA4AAAAAAAAAAAAAAAAALgIAAGRy&#10;cy9lMm9Eb2MueG1sUEsBAi0AFAAGAAgAAAAhAOX22j/gAAAACwEAAA8AAAAAAAAAAAAAAAAAEwQA&#10;AGRycy9kb3ducmV2LnhtbFBLBQYAAAAABAAEAPMAAAAgBQAAAAA=&#10;" filled="f" stroked="f">
              <v:textbox inset=",0,,0">
                <w:txbxContent>
                  <w:p w14:paraId="1432DA4A" w14:textId="77777777" w:rsidR="0051619A" w:rsidRDefault="0051619A">
                    <w:pPr>
                      <w:spacing w:after="0"/>
                      <w:jc w:val="center"/>
                      <w:rPr>
                        <w:sz w:val="20"/>
                      </w:rPr>
                    </w:pPr>
                  </w:p>
                </w:txbxContent>
              </v:textbox>
              <w10:wrap anchorx="page" anchory="page"/>
            </v:shape>
          </w:pict>
        </mc:Fallback>
      </mc:AlternateContent>
    </w:r>
    <w:r>
      <w:rPr>
        <w:rFonts w:ascii="Arial" w:hAnsi="Arial"/>
        <w:color w:val="BFBFBF"/>
        <w:sz w:val="20"/>
        <w:szCs w:val="20"/>
      </w:rPr>
      <w:t>Mid-Tier Contract – Version 1.1</w:t>
    </w:r>
  </w:p>
  <w:p w14:paraId="5312FE79" w14:textId="77777777" w:rsidR="00AF138F" w:rsidRDefault="00712166">
    <w:pPr>
      <w:pStyle w:val="Footer"/>
    </w:pPr>
    <w:r>
      <w:rPr>
        <w:rFonts w:ascii="Arial" w:hAnsi="Arial"/>
        <w:color w:val="BFBFBF"/>
        <w:sz w:val="20"/>
        <w:szCs w:val="20"/>
      </w:rPr>
      <w:tab/>
    </w:r>
    <w:r>
      <w:rPr>
        <w:rFonts w:ascii="Arial" w:hAnsi="Arial"/>
        <w:color w:val="BFBFBF"/>
        <w:sz w:val="20"/>
        <w:szCs w:val="20"/>
      </w:rPr>
      <w:tab/>
      <w:t xml:space="preserve"> </w:t>
    </w:r>
    <w:r>
      <w:rPr>
        <w:rFonts w:ascii="Arial" w:hAnsi="Arial"/>
        <w:color w:val="BFBFBF"/>
        <w:sz w:val="20"/>
        <w:szCs w:val="20"/>
      </w:rPr>
      <w:fldChar w:fldCharType="begin"/>
    </w:r>
    <w:r>
      <w:rPr>
        <w:rFonts w:ascii="Arial" w:hAnsi="Arial"/>
        <w:color w:val="BFBFBF"/>
        <w:sz w:val="20"/>
        <w:szCs w:val="20"/>
      </w:rPr>
      <w:instrText xml:space="preserve"> PAGE </w:instrText>
    </w:r>
    <w:r>
      <w:rPr>
        <w:rFonts w:ascii="Arial" w:hAnsi="Arial"/>
        <w:color w:val="BFBFBF"/>
        <w:sz w:val="20"/>
        <w:szCs w:val="20"/>
      </w:rPr>
      <w:fldChar w:fldCharType="separate"/>
    </w:r>
    <w:r>
      <w:rPr>
        <w:rFonts w:ascii="Arial" w:hAnsi="Arial"/>
        <w:color w:val="BFBFBF"/>
        <w:sz w:val="20"/>
        <w:szCs w:val="20"/>
      </w:rPr>
      <w:t>4</w:t>
    </w:r>
    <w:r>
      <w:rPr>
        <w:rFonts w:ascii="Arial" w:hAnsi="Arial"/>
        <w:color w:val="BFBFBF"/>
        <w:sz w:val="20"/>
        <w:szCs w:val="20"/>
      </w:rPr>
      <w:fldChar w:fldCharType="end"/>
    </w:r>
  </w:p>
  <w:p w14:paraId="1AB947DE" w14:textId="77777777" w:rsidR="00AF138F" w:rsidRDefault="00AF138F">
    <w:pPr>
      <w:tabs>
        <w:tab w:val="center" w:pos="4513"/>
        <w:tab w:val="right" w:pos="9026"/>
      </w:tabs>
      <w:spacing w:after="0" w:line="240" w:lineRule="auto"/>
      <w:rPr>
        <w:rFonts w:ascii="Arial" w:eastAsia="Arial" w:hAnsi="Arial" w:cs="Arial"/>
        <w:sz w:val="20"/>
        <w:szCs w:val="20"/>
      </w:rPr>
    </w:pPr>
    <w:bookmarkStart w:id="7" w:name="1fob9te"/>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A6BE5" w14:textId="77777777" w:rsidR="001F1EDA" w:rsidRDefault="001F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5BF22" w14:textId="77777777" w:rsidR="0059501D" w:rsidRDefault="0059501D">
      <w:pPr>
        <w:spacing w:after="0" w:line="240" w:lineRule="auto"/>
      </w:pPr>
      <w:r>
        <w:separator/>
      </w:r>
    </w:p>
  </w:footnote>
  <w:footnote w:type="continuationSeparator" w:id="0">
    <w:p w14:paraId="3B3DB46E" w14:textId="77777777" w:rsidR="0059501D" w:rsidRDefault="00595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8037D" w14:textId="77777777" w:rsidR="001F1EDA" w:rsidRDefault="001F1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96914" w14:textId="77777777" w:rsidR="001F1EDA" w:rsidRDefault="001F1EDA">
    <w:pPr>
      <w:tabs>
        <w:tab w:val="center" w:pos="4513"/>
        <w:tab w:val="right" w:pos="9026"/>
      </w:tabs>
      <w:spacing w:after="0" w:line="240" w:lineRule="auto"/>
      <w:rPr>
        <w:rFonts w:ascii="Arial" w:eastAsia="Arial" w:hAnsi="Arial" w:cs="Arial"/>
        <w:sz w:val="20"/>
        <w:szCs w:val="20"/>
      </w:rPr>
    </w:pPr>
    <w:r w:rsidRPr="001F1EDA">
      <w:rPr>
        <w:rFonts w:ascii="Arial" w:eastAsia="Arial" w:hAnsi="Arial" w:cs="Arial"/>
        <w:sz w:val="20"/>
        <w:szCs w:val="20"/>
      </w:rPr>
      <w:t>K280021955 - Dangerous Goods Qualification Services</w:t>
    </w:r>
  </w:p>
  <w:p w14:paraId="1EF60415" w14:textId="2FCA8628" w:rsidR="00AF138F" w:rsidRDefault="00712166">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Schedule 26 (Sustainability)</w:t>
    </w:r>
  </w:p>
  <w:p w14:paraId="5F075678" w14:textId="77777777" w:rsidR="00AF138F" w:rsidRDefault="0071216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EE9E2" w14:textId="77777777" w:rsidR="001F1EDA" w:rsidRDefault="001F1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7110"/>
    <w:multiLevelType w:val="multilevel"/>
    <w:tmpl w:val="A6A48FD6"/>
    <w:styleLink w:val="Style1"/>
    <w:lvl w:ilvl="0">
      <w:start w:val="3"/>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 w15:restartNumberingAfterBreak="0">
    <w:nsid w:val="151F72C7"/>
    <w:multiLevelType w:val="multilevel"/>
    <w:tmpl w:val="220EE03A"/>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8"/>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6"/>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4E0B33"/>
    <w:multiLevelType w:val="multilevel"/>
    <w:tmpl w:val="95544B48"/>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8"/>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6"/>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3C22B0"/>
    <w:multiLevelType w:val="multilevel"/>
    <w:tmpl w:val="FC9A3BEA"/>
    <w:styleLink w:val="LFO2"/>
    <w:lvl w:ilvl="0">
      <w:start w:val="1"/>
      <w:numFmt w:val="lowerLetter"/>
      <w:pStyle w:val="DefinitionListLevel2"/>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4" w15:restartNumberingAfterBreak="0">
    <w:nsid w:val="614448F4"/>
    <w:multiLevelType w:val="multilevel"/>
    <w:tmpl w:val="E15042C2"/>
    <w:lvl w:ilvl="0">
      <w:start w:val="1"/>
      <w:numFmt w:val="decimal"/>
      <w:lvlText w:val="%1."/>
      <w:lvlJc w:val="left"/>
      <w:pPr>
        <w:ind w:left="360" w:hanging="360"/>
      </w:pPr>
      <w:rPr>
        <w:rFonts w:ascii="Arial" w:eastAsia="Arial" w:hAnsi="Arial" w:cs="Arial"/>
        <w:b w:val="0"/>
        <w:i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70BE70DB"/>
    <w:multiLevelType w:val="multilevel"/>
    <w:tmpl w:val="87D2E266"/>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8"/>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6"/>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5355836">
    <w:abstractNumId w:val="0"/>
  </w:num>
  <w:num w:numId="2" w16cid:durableId="1413431496">
    <w:abstractNumId w:val="3"/>
  </w:num>
  <w:num w:numId="3" w16cid:durableId="477579912">
    <w:abstractNumId w:val="1"/>
  </w:num>
  <w:num w:numId="4" w16cid:durableId="1696299491">
    <w:abstractNumId w:val="5"/>
  </w:num>
  <w:num w:numId="5" w16cid:durableId="831725544">
    <w:abstractNumId w:val="2"/>
  </w:num>
  <w:num w:numId="6" w16cid:durableId="1678579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AE"/>
    <w:rsid w:val="000F2CA0"/>
    <w:rsid w:val="00154AED"/>
    <w:rsid w:val="001F1EDA"/>
    <w:rsid w:val="00211BF8"/>
    <w:rsid w:val="003A7305"/>
    <w:rsid w:val="00557111"/>
    <w:rsid w:val="0059501D"/>
    <w:rsid w:val="005C2A89"/>
    <w:rsid w:val="006918D1"/>
    <w:rsid w:val="006A38B2"/>
    <w:rsid w:val="00712166"/>
    <w:rsid w:val="00A46CAE"/>
    <w:rsid w:val="00AA3BD9"/>
    <w:rsid w:val="00AF138F"/>
    <w:rsid w:val="00C60EC8"/>
    <w:rsid w:val="00C76597"/>
    <w:rsid w:val="00CD13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27AA"/>
  <w15:docId w15:val="{4C058532-5C80-49BC-909A-D2CBAEDF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2" w:space="31" w:color="FFFFFF" w:shadow="1"/>
        <w:left w:val="single" w:sz="2" w:space="31" w:color="FFFFFF" w:shadow="1"/>
        <w:bottom w:val="single" w:sz="2" w:space="31" w:color="FFFFFF" w:shadow="1"/>
        <w:right w:val="single" w:sz="2" w:space="31" w:color="FFFFFF" w:shadow="1"/>
      </w:pBdr>
      <w:suppressAutoHyphens/>
      <w:spacing w:after="200" w:line="276" w:lineRule="auto"/>
    </w:pPr>
    <w:rPr>
      <w:rFonts w:cs="Calibri"/>
      <w:color w:val="000000"/>
      <w:lang w:eastAsia="en-GB"/>
    </w:rPr>
  </w:style>
  <w:style w:type="paragraph" w:styleId="Heading1">
    <w:name w:val="heading 1"/>
    <w:basedOn w:val="Normal"/>
    <w:next w:val="Normal"/>
    <w:uiPriority w:val="9"/>
    <w:qFormat/>
    <w:pPr>
      <w:keepNext/>
      <w:keepLines/>
      <w:pBdr>
        <w:top w:val="none" w:sz="0" w:space="0" w:color="auto"/>
        <w:left w:val="none" w:sz="0" w:space="0" w:color="auto"/>
        <w:bottom w:val="none" w:sz="0" w:space="0" w:color="auto"/>
        <w:right w:val="none" w:sz="0" w:space="0" w:color="auto"/>
      </w:pBdr>
      <w:spacing w:before="240" w:after="0" w:line="256" w:lineRule="auto"/>
      <w:outlineLvl w:val="0"/>
    </w:pPr>
    <w:rPr>
      <w:rFonts w:ascii="Calibri Light" w:eastAsia="Times New Roman" w:hAnsi="Calibri Light" w:cs="Times New Roman"/>
      <w:color w:val="2F5496"/>
      <w:sz w:val="32"/>
      <w:szCs w:val="32"/>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Calibri" w:eastAsia="Calibri" w:hAnsi="Calibri" w:cs="Calibri"/>
      <w:b/>
      <w:color w:val="000000"/>
      <w:sz w:val="36"/>
      <w:szCs w:val="36"/>
      <w:lang w:eastAsia="en-GB"/>
    </w:rPr>
  </w:style>
  <w:style w:type="character" w:customStyle="1" w:styleId="Heading3Char">
    <w:name w:val="Heading 3 Char"/>
    <w:basedOn w:val="DefaultParagraphFont"/>
    <w:rPr>
      <w:rFonts w:ascii="Calibri" w:eastAsia="Calibri" w:hAnsi="Calibri" w:cs="Calibri"/>
      <w:b/>
      <w:color w:val="000000"/>
      <w:sz w:val="28"/>
      <w:szCs w:val="28"/>
      <w:lang w:eastAsia="en-GB"/>
    </w:rPr>
  </w:style>
  <w:style w:type="character" w:styleId="Hyperlink">
    <w:name w:val="Hyperlink"/>
    <w:basedOn w:val="DefaultParagraphFont"/>
    <w:rPr>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Calibri"/>
      <w:color w:val="000000"/>
      <w:sz w:val="20"/>
      <w:szCs w:val="20"/>
      <w:lang w:eastAsia="en-GB"/>
    </w:rPr>
  </w:style>
  <w:style w:type="paragraph" w:styleId="Footer">
    <w:name w:val="footer"/>
    <w:basedOn w:val="Normal"/>
    <w:pPr>
      <w:pBdr>
        <w:top w:val="none" w:sz="0" w:space="0" w:color="auto"/>
        <w:left w:val="none" w:sz="0" w:space="0" w:color="auto"/>
        <w:bottom w:val="none" w:sz="0" w:space="0" w:color="auto"/>
        <w:right w:val="none" w:sz="0" w:space="0" w:color="auto"/>
      </w:pBdr>
      <w:tabs>
        <w:tab w:val="center" w:pos="4513"/>
        <w:tab w:val="right" w:pos="9026"/>
      </w:tabs>
      <w:spacing w:after="0" w:line="240" w:lineRule="auto"/>
    </w:pPr>
    <w:rPr>
      <w:rFonts w:cs="Times New Roman"/>
      <w:color w:val="auto"/>
      <w:lang w:eastAsia="en-US"/>
    </w:rPr>
  </w:style>
  <w:style w:type="character" w:customStyle="1" w:styleId="FooterChar">
    <w:name w:val="Footer Char"/>
    <w:basedOn w:val="DefaultParagraphFont"/>
  </w:style>
  <w:style w:type="paragraph" w:customStyle="1" w:styleId="GPSL1Numbered">
    <w:name w:val="GPS L1 Numbered"/>
    <w:basedOn w:val="Normal"/>
    <w:pPr>
      <w:keepNext/>
      <w:spacing w:before="120" w:after="240" w:line="240" w:lineRule="auto"/>
    </w:pPr>
    <w:rPr>
      <w:rFonts w:ascii="Times New Roman" w:hAnsi="Times New Roman"/>
      <w:b/>
      <w:sz w:val="24"/>
    </w:rPr>
  </w:style>
  <w:style w:type="paragraph" w:customStyle="1" w:styleId="GPSL2numberedclause">
    <w:name w:val="GPS L2 numbered clause"/>
    <w:basedOn w:val="Normal"/>
    <w:pPr>
      <w:spacing w:before="120" w:after="120" w:line="240" w:lineRule="auto"/>
    </w:pPr>
    <w:rPr>
      <w:rFonts w:ascii="Times New Roman" w:hAnsi="Times New Roman"/>
      <w:sz w:val="24"/>
    </w:rPr>
  </w:style>
  <w:style w:type="paragraph" w:customStyle="1" w:styleId="GPSL3NUMBERED">
    <w:name w:val="GPS L3 NUMBERED"/>
    <w:basedOn w:val="Normal"/>
    <w:pPr>
      <w:spacing w:before="120" w:after="120" w:line="240" w:lineRule="auto"/>
    </w:pPr>
    <w:rPr>
      <w:rFonts w:ascii="Times New Roman" w:hAnsi="Times New Roman"/>
      <w:sz w:val="24"/>
    </w:rPr>
  </w:style>
  <w:style w:type="paragraph" w:customStyle="1" w:styleId="GPSL4numbered">
    <w:name w:val="GPS L4 numbered"/>
    <w:basedOn w:val="Normal"/>
    <w:rPr>
      <w:rFonts w:ascii="Times New Roman" w:hAnsi="Times New Roman"/>
      <w:sz w:val="24"/>
    </w:rPr>
  </w:style>
  <w:style w:type="paragraph" w:customStyle="1" w:styleId="StdBodyText">
    <w:name w:val="Std Body Text"/>
    <w:basedOn w:val="Normal"/>
    <w:pPr>
      <w:pBdr>
        <w:top w:val="none" w:sz="0" w:space="0" w:color="auto"/>
        <w:left w:val="none" w:sz="0" w:space="0" w:color="auto"/>
        <w:bottom w:val="none" w:sz="0" w:space="0" w:color="auto"/>
        <w:right w:val="none" w:sz="0" w:space="0" w:color="auto"/>
      </w:pBdr>
      <w:spacing w:before="100" w:line="240" w:lineRule="auto"/>
    </w:pPr>
    <w:rPr>
      <w:rFonts w:ascii="Arial" w:eastAsia="Times New Roman" w:hAnsi="Arial" w:cs="Times New Roman"/>
      <w:color w:val="auto"/>
      <w:sz w:val="24"/>
      <w:szCs w:val="24"/>
    </w:rPr>
  </w:style>
  <w:style w:type="paragraph" w:customStyle="1" w:styleId="StdBodyTextBold">
    <w:name w:val="Std Body Text Bold"/>
    <w:basedOn w:val="Normal"/>
    <w:next w:val="StdBodyText"/>
    <w:pPr>
      <w:pBdr>
        <w:top w:val="none" w:sz="0" w:space="0" w:color="auto"/>
        <w:left w:val="none" w:sz="0" w:space="0" w:color="auto"/>
        <w:bottom w:val="none" w:sz="0" w:space="0" w:color="auto"/>
        <w:right w:val="none" w:sz="0" w:space="0" w:color="auto"/>
      </w:pBdr>
      <w:spacing w:before="100" w:line="240" w:lineRule="auto"/>
    </w:pPr>
    <w:rPr>
      <w:rFonts w:ascii="Arial" w:eastAsia="Times New Roman" w:hAnsi="Arial" w:cs="Times New Roman"/>
      <w:b/>
      <w:color w:val="auto"/>
      <w:sz w:val="24"/>
      <w:szCs w:val="24"/>
    </w:rPr>
  </w:style>
  <w:style w:type="character" w:customStyle="1" w:styleId="StdBodyTextBoldChar">
    <w:name w:val="Std Body Text Bold Char"/>
    <w:basedOn w:val="DefaultParagraphFont"/>
    <w:rPr>
      <w:rFonts w:ascii="Arial" w:eastAsia="Times New Roman" w:hAnsi="Arial" w:cs="Times New Roman"/>
      <w:b/>
      <w:sz w:val="24"/>
      <w:szCs w:val="24"/>
      <w:lang w:eastAsia="en-GB"/>
    </w:rPr>
  </w:style>
  <w:style w:type="paragraph" w:customStyle="1" w:styleId="DefinitionList">
    <w:name w:val="Definition List"/>
    <w:basedOn w:val="Normal"/>
    <w:pPr>
      <w:pBdr>
        <w:top w:val="none" w:sz="0" w:space="0" w:color="auto"/>
        <w:left w:val="none" w:sz="0" w:space="0" w:color="auto"/>
        <w:bottom w:val="none" w:sz="0" w:space="0" w:color="auto"/>
        <w:right w:val="none" w:sz="0" w:space="0" w:color="auto"/>
      </w:pBdr>
      <w:spacing w:before="100" w:line="240" w:lineRule="auto"/>
    </w:pPr>
    <w:rPr>
      <w:rFonts w:ascii="Arial" w:eastAsia="Times New Roman" w:hAnsi="Arial" w:cs="Times New Roman"/>
      <w:color w:val="auto"/>
      <w:sz w:val="24"/>
      <w:szCs w:val="24"/>
    </w:rPr>
  </w:style>
  <w:style w:type="paragraph" w:customStyle="1" w:styleId="DefinitionListLevel1">
    <w:name w:val="Definition List Level 1"/>
    <w:basedOn w:val="DefinitionList"/>
  </w:style>
  <w:style w:type="paragraph" w:customStyle="1" w:styleId="DefinitionListLevel2">
    <w:name w:val="Definition List Level 2"/>
    <w:basedOn w:val="DefinitionListLevel1"/>
    <w:pPr>
      <w:numPr>
        <w:numId w:val="2"/>
      </w:numPr>
    </w:pPr>
  </w:style>
  <w:style w:type="paragraph" w:customStyle="1" w:styleId="Default">
    <w:name w:val="Default"/>
    <w:pPr>
      <w:suppressAutoHyphens/>
      <w:autoSpaceDE w:val="0"/>
      <w:spacing w:after="0" w:line="240" w:lineRule="auto"/>
    </w:pPr>
    <w:rPr>
      <w:rFonts w:ascii="Arial" w:hAnsi="Arial" w:cs="Arial"/>
      <w:color w:val="000000"/>
      <w:sz w:val="24"/>
      <w:szCs w:val="24"/>
      <w:lang w:eastAsia="en-GB"/>
    </w:rPr>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color w:val="000000"/>
      <w:sz w:val="18"/>
      <w:szCs w:val="18"/>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Calibri"/>
      <w:b/>
      <w:bCs/>
      <w:color w:val="000000"/>
      <w:sz w:val="20"/>
      <w:szCs w:val="20"/>
      <w:lang w:eastAsia="en-GB"/>
    </w:rPr>
  </w:style>
  <w:style w:type="character" w:customStyle="1" w:styleId="UnresolvedMention1">
    <w:name w:val="Unresolved Mention1"/>
    <w:basedOn w:val="DefaultParagraphFont"/>
    <w:rPr>
      <w:color w:val="605E5C"/>
      <w:shd w:val="clear" w:color="auto" w:fill="E1DFDD"/>
    </w:rPr>
  </w:style>
  <w:style w:type="paragraph" w:styleId="Revision">
    <w:name w:val="Revision"/>
    <w:pPr>
      <w:suppressAutoHyphens/>
      <w:spacing w:after="0" w:line="240" w:lineRule="auto"/>
    </w:pPr>
    <w:rPr>
      <w:rFonts w:cs="Calibri"/>
      <w:color w:val="000000"/>
      <w:lang w:eastAsia="en-GB"/>
    </w:rPr>
  </w:style>
  <w:style w:type="character" w:styleId="FollowedHyperlink">
    <w:name w:val="FollowedHyperlink"/>
    <w:basedOn w:val="DefaultParagraphFont"/>
    <w:rPr>
      <w:color w:val="954F72"/>
      <w:u w:val="single"/>
    </w:rPr>
  </w:style>
  <w:style w:type="paragraph" w:styleId="NormalWeb">
    <w:name w:val="Normal (Web)"/>
    <w:basedOn w:val="Normal"/>
    <w:pPr>
      <w:pBdr>
        <w:top w:val="none" w:sz="0" w:space="0" w:color="auto"/>
        <w:left w:val="none" w:sz="0" w:space="0" w:color="auto"/>
        <w:bottom w:val="none" w:sz="0" w:space="0" w:color="auto"/>
        <w:right w:val="none" w:sz="0" w:space="0" w:color="auto"/>
      </w:pBdr>
      <w:spacing w:before="100" w:after="100"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ListParagraphChar">
    <w:name w:val="List Paragraph Char"/>
    <w:rPr>
      <w:rFonts w:ascii="Calibri" w:eastAsia="Calibri" w:hAnsi="Calibri" w:cs="Calibri"/>
      <w:color w:val="000000"/>
      <w:lang w:eastAsia="en-GB"/>
    </w:rPr>
  </w:style>
  <w:style w:type="numbering" w:customStyle="1" w:styleId="Style1">
    <w:name w:val="Style1"/>
    <w:basedOn w:val="NoList"/>
    <w:pPr>
      <w:numPr>
        <w:numId w:val="1"/>
      </w:numPr>
    </w:pPr>
  </w:style>
  <w:style w:type="numbering" w:customStyle="1" w:styleId="LFO2">
    <w:name w:val="LFO2"/>
    <w:basedOn w:val="NoList"/>
    <w:pPr>
      <w:numPr>
        <w:numId w:val="2"/>
      </w:numPr>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779660/20190220-Supplier_Code_of_Conduct.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sustainable-procurement-the-government-buying-standards-gb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upplierregistration.cabinetoffice.gov.uk/msa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73713-6AF3-4622-9AF2-62B39B6932B7}">
  <ds:schemaRefs>
    <ds:schemaRef ds:uri="http://schemas.microsoft.com/sharepoint/v3/contenttype/forms"/>
  </ds:schemaRefs>
</ds:datastoreItem>
</file>

<file path=customXml/itemProps2.xml><?xml version="1.0" encoding="utf-8"?>
<ds:datastoreItem xmlns:ds="http://schemas.openxmlformats.org/officeDocument/2006/customXml" ds:itemID="{E2E3CA28-2E72-4804-8648-A341B6635BEB}">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3.xml><?xml version="1.0" encoding="utf-8"?>
<ds:datastoreItem xmlns:ds="http://schemas.openxmlformats.org/officeDocument/2006/customXml" ds:itemID="{986B0343-B5BE-4546-91E6-F5132778C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1059</Words>
  <Characters>6038</Characters>
  <Application>Microsoft Office Word</Application>
  <DocSecurity>4</DocSecurity>
  <Lines>50</Lines>
  <Paragraphs>14</Paragraphs>
  <ScaleCrop>false</ScaleCrop>
  <Company>Department for Transport</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Williams</dc:creator>
  <dc:description/>
  <cp:lastModifiedBy>Griffiths, Stacey</cp:lastModifiedBy>
  <cp:revision>2</cp:revision>
  <cp:lastPrinted>2024-05-08T20:19:00Z</cp:lastPrinted>
  <dcterms:created xsi:type="dcterms:W3CDTF">2024-07-30T12:36:00Z</dcterms:created>
  <dcterms:modified xsi:type="dcterms:W3CDTF">2024-07-30T12:36:00Z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