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D658" w14:textId="65DA643B" w:rsidR="00664266" w:rsidRDefault="00075843">
      <w:pPr>
        <w:rPr>
          <w:rFonts w:ascii="Arial" w:hAnsi="Arial" w:cs="Arial"/>
        </w:rPr>
      </w:pPr>
      <w:r w:rsidRPr="00051EFE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6B169AF" wp14:editId="2F302A7A">
            <wp:extent cx="1009650" cy="897467"/>
            <wp:effectExtent l="0" t="0" r="0" b="0"/>
            <wp:docPr id="1" name="Picture 1" descr="MCA_3298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A_3298_SML_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22" cy="90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42A71" w14:textId="001CDFF6" w:rsidR="00075843" w:rsidRDefault="00075843">
      <w:pPr>
        <w:rPr>
          <w:rFonts w:ascii="Arial" w:hAnsi="Arial" w:cs="Arial"/>
        </w:rPr>
      </w:pPr>
    </w:p>
    <w:p w14:paraId="6EC8889A" w14:textId="25A21AA5" w:rsidR="00075843" w:rsidRDefault="00075843" w:rsidP="0007584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TCA 3/7/1000</w:t>
      </w:r>
    </w:p>
    <w:p w14:paraId="56E4F7C5" w14:textId="77871597" w:rsidR="00075843" w:rsidRDefault="00075843" w:rsidP="000758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INTRINSICALLY SAFE HYDRAULIC POWER PACKS – PRICING SCHEDULE</w:t>
      </w:r>
    </w:p>
    <w:p w14:paraId="04B7E7A7" w14:textId="18E904E5" w:rsidR="00075843" w:rsidRPr="00075843" w:rsidRDefault="00075843" w:rsidP="00075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Tenderers for the above contract should complete the table below, indicating what they would charge for each required element.  Please note that</w:t>
      </w:r>
      <w:r w:rsidR="002A6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p</w:t>
      </w:r>
      <w:r w:rsidRPr="00075843">
        <w:rPr>
          <w:rFonts w:ascii="Arial" w:hAnsi="Arial" w:cs="Arial"/>
        </w:rPr>
        <w:t>rices must:</w:t>
      </w:r>
    </w:p>
    <w:p w14:paraId="1E3EB016" w14:textId="77777777" w:rsidR="00075843" w:rsidRPr="00A6052F" w:rsidRDefault="00075843" w:rsidP="00075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 stated in Pounds Sterling;</w:t>
      </w:r>
    </w:p>
    <w:p w14:paraId="7601559A" w14:textId="77777777" w:rsidR="00075843" w:rsidRDefault="00075843" w:rsidP="00075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Include all other charges and overheads associated with the element being priced;</w:t>
      </w:r>
    </w:p>
    <w:p w14:paraId="72C20AF3" w14:textId="6E882F11" w:rsidR="00075843" w:rsidRDefault="00075843" w:rsidP="00075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A6632">
        <w:rPr>
          <w:rFonts w:ascii="Arial" w:hAnsi="Arial" w:cs="Arial"/>
        </w:rPr>
        <w:t>Exclude VAT.</w:t>
      </w:r>
    </w:p>
    <w:p w14:paraId="5871E59E" w14:textId="2482B159" w:rsidR="00075843" w:rsidRDefault="00075843" w:rsidP="0007584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075843" w14:paraId="4380B0CC" w14:textId="77777777" w:rsidTr="003F656A">
        <w:tc>
          <w:tcPr>
            <w:tcW w:w="5098" w:type="dxa"/>
          </w:tcPr>
          <w:p w14:paraId="1C63EE0D" w14:textId="601370AC" w:rsidR="00075843" w:rsidRPr="00FB20BA" w:rsidRDefault="00FB20BA" w:rsidP="00FB20BA">
            <w:pPr>
              <w:jc w:val="center"/>
              <w:rPr>
                <w:rFonts w:ascii="Arial" w:hAnsi="Arial" w:cs="Arial"/>
                <w:b/>
              </w:rPr>
            </w:pPr>
            <w:r w:rsidRPr="00FB20BA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4252" w:type="dxa"/>
          </w:tcPr>
          <w:p w14:paraId="40B038D2" w14:textId="3EE70BE9" w:rsidR="00075843" w:rsidRPr="00FB20BA" w:rsidRDefault="00FB20BA" w:rsidP="00FB20BA">
            <w:pPr>
              <w:jc w:val="center"/>
              <w:rPr>
                <w:rFonts w:ascii="Arial" w:hAnsi="Arial" w:cs="Arial"/>
                <w:b/>
              </w:rPr>
            </w:pPr>
            <w:r w:rsidRPr="00FB20BA">
              <w:rPr>
                <w:rFonts w:ascii="Arial" w:hAnsi="Arial" w:cs="Arial"/>
                <w:b/>
              </w:rPr>
              <w:t>Price (excl VAT)</w:t>
            </w:r>
          </w:p>
        </w:tc>
      </w:tr>
      <w:tr w:rsidR="00075843" w14:paraId="1755384B" w14:textId="77777777" w:rsidTr="003F656A">
        <w:tc>
          <w:tcPr>
            <w:tcW w:w="5098" w:type="dxa"/>
          </w:tcPr>
          <w:p w14:paraId="3B0B5A27" w14:textId="3F271A9D" w:rsidR="00075843" w:rsidRDefault="003F656A" w:rsidP="003F6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ATEX Zone 2-compliant Intrinsically Safe Hydraulic Power Pack, including your standard guarantee (please quote a price per unit)</w:t>
            </w:r>
          </w:p>
        </w:tc>
        <w:tc>
          <w:tcPr>
            <w:tcW w:w="4252" w:type="dxa"/>
          </w:tcPr>
          <w:p w14:paraId="3D8E4E0E" w14:textId="77777777" w:rsidR="00075843" w:rsidRDefault="00075843" w:rsidP="003F656A">
            <w:pPr>
              <w:rPr>
                <w:rFonts w:ascii="Arial" w:hAnsi="Arial" w:cs="Arial"/>
              </w:rPr>
            </w:pPr>
          </w:p>
        </w:tc>
      </w:tr>
      <w:tr w:rsidR="00075843" w14:paraId="46FA4337" w14:textId="77777777" w:rsidTr="003F656A">
        <w:tc>
          <w:tcPr>
            <w:tcW w:w="5098" w:type="dxa"/>
          </w:tcPr>
          <w:p w14:paraId="3B5D5A7B" w14:textId="2851EF8E" w:rsidR="00075843" w:rsidRDefault="003F656A" w:rsidP="003F6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Delivery costs to </w:t>
            </w:r>
            <w:proofErr w:type="spellStart"/>
            <w:r>
              <w:rPr>
                <w:rFonts w:ascii="Arial" w:hAnsi="Arial" w:cs="Arial"/>
              </w:rPr>
              <w:t>Barnsley</w:t>
            </w:r>
            <w:proofErr w:type="spellEnd"/>
          </w:p>
        </w:tc>
        <w:tc>
          <w:tcPr>
            <w:tcW w:w="4252" w:type="dxa"/>
          </w:tcPr>
          <w:p w14:paraId="0764F43B" w14:textId="77777777" w:rsidR="00075843" w:rsidRDefault="00075843" w:rsidP="003F656A">
            <w:pPr>
              <w:rPr>
                <w:rFonts w:ascii="Arial" w:hAnsi="Arial" w:cs="Arial"/>
              </w:rPr>
            </w:pPr>
          </w:p>
        </w:tc>
      </w:tr>
      <w:tr w:rsidR="00075843" w14:paraId="418A151A" w14:textId="77777777" w:rsidTr="003F656A">
        <w:tc>
          <w:tcPr>
            <w:tcW w:w="5098" w:type="dxa"/>
          </w:tcPr>
          <w:p w14:paraId="09F16F46" w14:textId="53FD18E5" w:rsidR="00075843" w:rsidRDefault="003F656A" w:rsidP="003F6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Commissioning and initial training on the equipment</w:t>
            </w:r>
          </w:p>
        </w:tc>
        <w:tc>
          <w:tcPr>
            <w:tcW w:w="4252" w:type="dxa"/>
          </w:tcPr>
          <w:p w14:paraId="0E467F30" w14:textId="77777777" w:rsidR="00075843" w:rsidRDefault="00075843" w:rsidP="003F656A">
            <w:pPr>
              <w:rPr>
                <w:rFonts w:ascii="Arial" w:hAnsi="Arial" w:cs="Arial"/>
              </w:rPr>
            </w:pPr>
          </w:p>
        </w:tc>
      </w:tr>
      <w:tr w:rsidR="00075843" w14:paraId="366356DC" w14:textId="77777777" w:rsidTr="003F656A">
        <w:tc>
          <w:tcPr>
            <w:tcW w:w="5098" w:type="dxa"/>
          </w:tcPr>
          <w:p w14:paraId="695856EB" w14:textId="319AE188" w:rsidR="00075843" w:rsidRDefault="003F656A" w:rsidP="003F656A">
            <w:pPr>
              <w:rPr>
                <w:rFonts w:ascii="Arial" w:hAnsi="Arial" w:cs="Arial"/>
              </w:rPr>
            </w:pPr>
            <w:bookmarkStart w:id="1" w:name="_Hlk518897195"/>
            <w:r>
              <w:rPr>
                <w:rFonts w:ascii="Arial" w:hAnsi="Arial" w:cs="Arial"/>
              </w:rPr>
              <w:t>Annual fee for ongoing maintenance</w:t>
            </w:r>
            <w:r w:rsidR="002508E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technical support</w:t>
            </w:r>
            <w:bookmarkEnd w:id="1"/>
            <w:r w:rsidR="002508E4">
              <w:rPr>
                <w:rFonts w:ascii="Arial" w:hAnsi="Arial" w:cs="Arial"/>
              </w:rPr>
              <w:t xml:space="preserve"> and training</w:t>
            </w:r>
          </w:p>
        </w:tc>
        <w:tc>
          <w:tcPr>
            <w:tcW w:w="4252" w:type="dxa"/>
          </w:tcPr>
          <w:p w14:paraId="7D0B525B" w14:textId="77777777" w:rsidR="00075843" w:rsidRDefault="00075843" w:rsidP="003F656A">
            <w:pPr>
              <w:rPr>
                <w:rFonts w:ascii="Arial" w:hAnsi="Arial" w:cs="Arial"/>
              </w:rPr>
            </w:pPr>
          </w:p>
        </w:tc>
      </w:tr>
    </w:tbl>
    <w:p w14:paraId="69924AF2" w14:textId="2C52139C" w:rsidR="006D6485" w:rsidRDefault="006D6485" w:rsidP="00075843">
      <w:pPr>
        <w:spacing w:after="0" w:line="240" w:lineRule="auto"/>
        <w:jc w:val="both"/>
        <w:rPr>
          <w:rFonts w:ascii="Arial" w:hAnsi="Arial" w:cs="Arial"/>
        </w:rPr>
      </w:pPr>
    </w:p>
    <w:p w14:paraId="4EF68A15" w14:textId="57C1CF0A" w:rsidR="002A6632" w:rsidRDefault="002A6632" w:rsidP="002A66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Stage Payments</w:t>
      </w:r>
    </w:p>
    <w:p w14:paraId="113366FD" w14:textId="2C9CDC13" w:rsidR="002A6632" w:rsidRDefault="002A6632" w:rsidP="002A6632">
      <w:pPr>
        <w:rPr>
          <w:rFonts w:ascii="Arial" w:hAnsi="Arial" w:cs="Arial"/>
        </w:rPr>
      </w:pPr>
      <w:r>
        <w:rPr>
          <w:rFonts w:ascii="Arial" w:hAnsi="Arial" w:cs="Arial"/>
        </w:rPr>
        <w:t>Please indicate below whether you would like payment for the power pack(s) to be made in increments in line with section 1</w:t>
      </w:r>
      <w:r w:rsidR="005C499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of the specification and if so, whether you are willing to accept the MCA’s proposed increment levels.  This is for information only and will not be scored.</w:t>
      </w:r>
    </w:p>
    <w:p w14:paraId="7929F8AF" w14:textId="0BE0FFA1" w:rsidR="002A6632" w:rsidRDefault="002A6632" w:rsidP="002A6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do / do not wish to be paid in increments.   </w:t>
      </w:r>
      <w:r w:rsidRPr="002A6632">
        <w:rPr>
          <w:rFonts w:ascii="Arial" w:hAnsi="Arial" w:cs="Arial"/>
          <w:i/>
        </w:rPr>
        <w:t>(please delete as applicable, and if you would like to be paid in increments, complete the table below)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1984"/>
      </w:tblGrid>
      <w:tr w:rsidR="002A6632" w14:paraId="50C27352" w14:textId="77777777" w:rsidTr="002A6632">
        <w:tc>
          <w:tcPr>
            <w:tcW w:w="3114" w:type="dxa"/>
          </w:tcPr>
          <w:p w14:paraId="0846C110" w14:textId="56D2BC30" w:rsidR="002A6632" w:rsidRPr="002A6632" w:rsidRDefault="002A6632" w:rsidP="002A6632">
            <w:pPr>
              <w:jc w:val="center"/>
              <w:rPr>
                <w:rFonts w:ascii="Arial" w:hAnsi="Arial" w:cs="Arial"/>
                <w:b/>
              </w:rPr>
            </w:pPr>
            <w:r w:rsidRPr="002A6632">
              <w:rPr>
                <w:rFonts w:ascii="Arial" w:hAnsi="Arial" w:cs="Arial"/>
                <w:b/>
              </w:rPr>
              <w:t>Milestone</w:t>
            </w:r>
          </w:p>
        </w:tc>
        <w:tc>
          <w:tcPr>
            <w:tcW w:w="2126" w:type="dxa"/>
          </w:tcPr>
          <w:p w14:paraId="1D692D86" w14:textId="38315A64" w:rsidR="002A6632" w:rsidRPr="002A6632" w:rsidRDefault="002A6632" w:rsidP="002A6632">
            <w:pPr>
              <w:jc w:val="center"/>
              <w:rPr>
                <w:rFonts w:ascii="Arial" w:hAnsi="Arial" w:cs="Arial"/>
                <w:b/>
              </w:rPr>
            </w:pPr>
            <w:r w:rsidRPr="002A6632">
              <w:rPr>
                <w:rFonts w:ascii="Arial" w:hAnsi="Arial" w:cs="Arial"/>
                <w:b/>
              </w:rPr>
              <w:t>MCA’s Proposed Percentage of the Price</w:t>
            </w:r>
          </w:p>
        </w:tc>
        <w:tc>
          <w:tcPr>
            <w:tcW w:w="2126" w:type="dxa"/>
          </w:tcPr>
          <w:p w14:paraId="670435AF" w14:textId="0508C809" w:rsidR="002A6632" w:rsidRPr="002A6632" w:rsidRDefault="002A6632" w:rsidP="002A6632">
            <w:pPr>
              <w:jc w:val="center"/>
              <w:rPr>
                <w:rFonts w:ascii="Arial" w:hAnsi="Arial" w:cs="Arial"/>
                <w:b/>
              </w:rPr>
            </w:pPr>
            <w:r w:rsidRPr="002A6632">
              <w:rPr>
                <w:rFonts w:ascii="Arial" w:hAnsi="Arial" w:cs="Arial"/>
                <w:b/>
              </w:rPr>
              <w:t>Accept MCA’s Proposed Percentage?</w:t>
            </w:r>
          </w:p>
        </w:tc>
        <w:tc>
          <w:tcPr>
            <w:tcW w:w="1984" w:type="dxa"/>
          </w:tcPr>
          <w:p w14:paraId="278C69C5" w14:textId="3DAE6C78" w:rsidR="002A6632" w:rsidRPr="002A6632" w:rsidRDefault="002A6632" w:rsidP="002A6632">
            <w:pPr>
              <w:jc w:val="center"/>
              <w:rPr>
                <w:rFonts w:ascii="Arial" w:hAnsi="Arial" w:cs="Arial"/>
                <w:b/>
              </w:rPr>
            </w:pPr>
            <w:r w:rsidRPr="002A6632">
              <w:rPr>
                <w:rFonts w:ascii="Arial" w:hAnsi="Arial" w:cs="Arial"/>
                <w:b/>
              </w:rPr>
              <w:t>Tenderer’s Proposed Percentage</w:t>
            </w:r>
          </w:p>
        </w:tc>
      </w:tr>
      <w:tr w:rsidR="002A6632" w14:paraId="664952B1" w14:textId="77777777" w:rsidTr="002A6632">
        <w:tc>
          <w:tcPr>
            <w:tcW w:w="3114" w:type="dxa"/>
          </w:tcPr>
          <w:p w14:paraId="4ECEF8F0" w14:textId="7F816863" w:rsidR="002A6632" w:rsidRDefault="002A6632" w:rsidP="002A6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Drawings</w:t>
            </w:r>
          </w:p>
        </w:tc>
        <w:tc>
          <w:tcPr>
            <w:tcW w:w="2126" w:type="dxa"/>
          </w:tcPr>
          <w:p w14:paraId="42DD289F" w14:textId="2DC6422B" w:rsidR="002A6632" w:rsidRDefault="005C4993" w:rsidP="002A6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A6632">
              <w:rPr>
                <w:rFonts w:ascii="Arial" w:hAnsi="Arial" w:cs="Arial"/>
              </w:rPr>
              <w:t>0%</w:t>
            </w:r>
          </w:p>
          <w:p w14:paraId="7530FB75" w14:textId="3C8E86FB" w:rsidR="002A6632" w:rsidRDefault="002A6632" w:rsidP="002A6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2BA366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286F78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</w:tr>
      <w:tr w:rsidR="002A6632" w14:paraId="7B29063C" w14:textId="77777777" w:rsidTr="002A6632">
        <w:tc>
          <w:tcPr>
            <w:tcW w:w="3114" w:type="dxa"/>
          </w:tcPr>
          <w:p w14:paraId="25F63322" w14:textId="19E3BE04" w:rsidR="002A6632" w:rsidRDefault="002A6632" w:rsidP="002A6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of Components to Manufacturer</w:t>
            </w:r>
          </w:p>
        </w:tc>
        <w:tc>
          <w:tcPr>
            <w:tcW w:w="2126" w:type="dxa"/>
          </w:tcPr>
          <w:p w14:paraId="7114693A" w14:textId="5AB51C67" w:rsidR="002A6632" w:rsidRDefault="005C4993" w:rsidP="002A6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A6632">
              <w:rPr>
                <w:rFonts w:ascii="Arial" w:hAnsi="Arial" w:cs="Arial"/>
              </w:rPr>
              <w:t>0%</w:t>
            </w:r>
          </w:p>
        </w:tc>
        <w:tc>
          <w:tcPr>
            <w:tcW w:w="2126" w:type="dxa"/>
          </w:tcPr>
          <w:p w14:paraId="3715DA05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59C6B5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</w:tr>
      <w:tr w:rsidR="002A6632" w14:paraId="0A919BB4" w14:textId="77777777" w:rsidTr="002A6632">
        <w:tc>
          <w:tcPr>
            <w:tcW w:w="3114" w:type="dxa"/>
          </w:tcPr>
          <w:p w14:paraId="6FE12EFE" w14:textId="0690640E" w:rsidR="002A6632" w:rsidRDefault="002A6632" w:rsidP="002A6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Factory Test</w:t>
            </w:r>
          </w:p>
        </w:tc>
        <w:tc>
          <w:tcPr>
            <w:tcW w:w="2126" w:type="dxa"/>
          </w:tcPr>
          <w:p w14:paraId="0479E757" w14:textId="7045F72E" w:rsidR="002A6632" w:rsidRDefault="005C4993" w:rsidP="002A6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A6632">
              <w:rPr>
                <w:rFonts w:ascii="Arial" w:hAnsi="Arial" w:cs="Arial"/>
              </w:rPr>
              <w:t>%</w:t>
            </w:r>
          </w:p>
          <w:p w14:paraId="2CD4C893" w14:textId="396C22A5" w:rsidR="002A6632" w:rsidRDefault="002A6632" w:rsidP="002A6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A1F8471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628E979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</w:tr>
      <w:tr w:rsidR="002A6632" w14:paraId="73C1DC39" w14:textId="77777777" w:rsidTr="002A6632">
        <w:tc>
          <w:tcPr>
            <w:tcW w:w="3114" w:type="dxa"/>
          </w:tcPr>
          <w:p w14:paraId="0F0F0C94" w14:textId="12FD2B50" w:rsidR="002A6632" w:rsidRDefault="002A6632" w:rsidP="002A6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Delivery to </w:t>
            </w:r>
            <w:proofErr w:type="spellStart"/>
            <w:r>
              <w:rPr>
                <w:rFonts w:ascii="Arial" w:hAnsi="Arial" w:cs="Arial"/>
              </w:rPr>
              <w:t>Barnsley</w:t>
            </w:r>
            <w:proofErr w:type="spellEnd"/>
          </w:p>
        </w:tc>
        <w:tc>
          <w:tcPr>
            <w:tcW w:w="2126" w:type="dxa"/>
          </w:tcPr>
          <w:p w14:paraId="22AD544F" w14:textId="784FF695" w:rsidR="002A6632" w:rsidRDefault="002A6632" w:rsidP="002A6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499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  <w:p w14:paraId="4F62487B" w14:textId="53ACAE73" w:rsidR="002A6632" w:rsidRDefault="002A6632" w:rsidP="002A6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8371CD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B17427" w14:textId="77777777" w:rsidR="002A6632" w:rsidRDefault="002A6632" w:rsidP="002A6632">
            <w:pPr>
              <w:rPr>
                <w:rFonts w:ascii="Arial" w:hAnsi="Arial" w:cs="Arial"/>
              </w:rPr>
            </w:pPr>
          </w:p>
        </w:tc>
      </w:tr>
    </w:tbl>
    <w:p w14:paraId="1CF35692" w14:textId="0AB447D4" w:rsidR="002A6632" w:rsidRPr="005C4993" w:rsidRDefault="002508E4" w:rsidP="00920F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</w:t>
      </w:r>
      <w:r w:rsidR="005C4993" w:rsidRPr="005C4993">
        <w:rPr>
          <w:rFonts w:ascii="Arial" w:hAnsi="Arial" w:cs="Arial"/>
          <w:b/>
        </w:rPr>
        <w:t>dditional Extras</w:t>
      </w:r>
    </w:p>
    <w:p w14:paraId="320B5EF1" w14:textId="2669F48C" w:rsidR="005C4993" w:rsidRDefault="005C4993" w:rsidP="00920F13">
      <w:pPr>
        <w:rPr>
          <w:rFonts w:ascii="Arial" w:hAnsi="Arial" w:cs="Arial"/>
        </w:rPr>
      </w:pPr>
      <w:r>
        <w:rPr>
          <w:rFonts w:ascii="Arial" w:hAnsi="Arial" w:cs="Arial"/>
        </w:rPr>
        <w:t>Please state below your r</w:t>
      </w:r>
      <w:r w:rsidRPr="00DA05A2">
        <w:rPr>
          <w:rFonts w:ascii="Arial" w:hAnsi="Arial" w:cs="Arial"/>
        </w:rPr>
        <w:t xml:space="preserve">ecommendations for any ancillaries, spare parts or consumables for the power packs, not already included in the price of </w:t>
      </w:r>
      <w:r>
        <w:rPr>
          <w:rFonts w:ascii="Arial" w:hAnsi="Arial" w:cs="Arial"/>
        </w:rPr>
        <w:t xml:space="preserve">the </w:t>
      </w:r>
      <w:r w:rsidRPr="00DA05A2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or annual maintenance</w:t>
      </w:r>
      <w:r w:rsidR="001B3374">
        <w:rPr>
          <w:rFonts w:ascii="Arial" w:hAnsi="Arial" w:cs="Arial"/>
        </w:rPr>
        <w:t>/training</w:t>
      </w:r>
      <w:r>
        <w:rPr>
          <w:rFonts w:ascii="Arial" w:hAnsi="Arial" w:cs="Arial"/>
        </w:rPr>
        <w:t xml:space="preserve"> charge, together with their prices.  This is for information only and will not be scored.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488"/>
        <w:gridCol w:w="2338"/>
      </w:tblGrid>
      <w:tr w:rsidR="005C4993" w14:paraId="79CFB2EF" w14:textId="77777777" w:rsidTr="005C4993">
        <w:tc>
          <w:tcPr>
            <w:tcW w:w="3823" w:type="dxa"/>
          </w:tcPr>
          <w:p w14:paraId="76070328" w14:textId="1F8C3BB7" w:rsidR="005C4993" w:rsidRPr="005C4993" w:rsidRDefault="005C4993" w:rsidP="005C4993">
            <w:pPr>
              <w:jc w:val="center"/>
              <w:rPr>
                <w:rFonts w:ascii="Arial" w:hAnsi="Arial" w:cs="Arial"/>
                <w:b/>
              </w:rPr>
            </w:pPr>
            <w:r w:rsidRPr="005C499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01" w:type="dxa"/>
          </w:tcPr>
          <w:p w14:paraId="06110A33" w14:textId="68722ABB" w:rsidR="005C4993" w:rsidRPr="005C4993" w:rsidRDefault="005C4993" w:rsidP="005C4993">
            <w:pPr>
              <w:jc w:val="center"/>
              <w:rPr>
                <w:rFonts w:ascii="Arial" w:hAnsi="Arial" w:cs="Arial"/>
                <w:b/>
              </w:rPr>
            </w:pPr>
            <w:r w:rsidRPr="005C4993">
              <w:rPr>
                <w:rFonts w:ascii="Arial" w:hAnsi="Arial" w:cs="Arial"/>
                <w:b/>
              </w:rPr>
              <w:t>Unit Cost</w:t>
            </w:r>
          </w:p>
        </w:tc>
        <w:tc>
          <w:tcPr>
            <w:tcW w:w="1488" w:type="dxa"/>
          </w:tcPr>
          <w:p w14:paraId="56C0F2F5" w14:textId="0DA356DD" w:rsidR="005C4993" w:rsidRPr="005C4993" w:rsidRDefault="005C4993" w:rsidP="005C4993">
            <w:pPr>
              <w:jc w:val="center"/>
              <w:rPr>
                <w:rFonts w:ascii="Arial" w:hAnsi="Arial" w:cs="Arial"/>
                <w:b/>
              </w:rPr>
            </w:pPr>
            <w:r w:rsidRPr="005C4993">
              <w:rPr>
                <w:rFonts w:ascii="Arial" w:hAnsi="Arial" w:cs="Arial"/>
                <w:b/>
              </w:rPr>
              <w:t>Size of Unit</w:t>
            </w:r>
          </w:p>
        </w:tc>
        <w:tc>
          <w:tcPr>
            <w:tcW w:w="2338" w:type="dxa"/>
          </w:tcPr>
          <w:p w14:paraId="43359631" w14:textId="090BDD73" w:rsidR="005C4993" w:rsidRPr="005C4993" w:rsidRDefault="005C4993" w:rsidP="005C4993">
            <w:pPr>
              <w:jc w:val="center"/>
              <w:rPr>
                <w:rFonts w:ascii="Arial" w:hAnsi="Arial" w:cs="Arial"/>
                <w:b/>
              </w:rPr>
            </w:pPr>
            <w:r w:rsidRPr="005C4993">
              <w:rPr>
                <w:rFonts w:ascii="Arial" w:hAnsi="Arial" w:cs="Arial"/>
                <w:b/>
              </w:rPr>
              <w:t>Recommended Number of Units / Frequency of Purchase</w:t>
            </w:r>
          </w:p>
        </w:tc>
      </w:tr>
      <w:tr w:rsidR="005C4993" w14:paraId="25423720" w14:textId="77777777" w:rsidTr="005C4993">
        <w:tc>
          <w:tcPr>
            <w:tcW w:w="3823" w:type="dxa"/>
          </w:tcPr>
          <w:p w14:paraId="12B42D90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30107290" w14:textId="794622DB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07BBFC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7DC35276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93F879C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2A60BF23" w14:textId="77777777" w:rsidTr="005C4993">
        <w:tc>
          <w:tcPr>
            <w:tcW w:w="3823" w:type="dxa"/>
          </w:tcPr>
          <w:p w14:paraId="55B3AD3A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78499D17" w14:textId="2544A67C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1C6CB9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C83C84D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6A81CAB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62C2E9AE" w14:textId="77777777" w:rsidTr="005C4993">
        <w:tc>
          <w:tcPr>
            <w:tcW w:w="3823" w:type="dxa"/>
          </w:tcPr>
          <w:p w14:paraId="2747FEF5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5C9174A9" w14:textId="69095D2A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355428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3FEA576D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C28C2B9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77207D45" w14:textId="77777777" w:rsidTr="005C4993">
        <w:tc>
          <w:tcPr>
            <w:tcW w:w="3823" w:type="dxa"/>
          </w:tcPr>
          <w:p w14:paraId="55A104E7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6A8B9412" w14:textId="100CC9A9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BC6AE8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625DFD21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AC4B354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13C63E11" w14:textId="77777777" w:rsidTr="005C4993">
        <w:tc>
          <w:tcPr>
            <w:tcW w:w="3823" w:type="dxa"/>
          </w:tcPr>
          <w:p w14:paraId="1DD70A22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3472C584" w14:textId="1D45E7B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01FC3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F9F4845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CA43D09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267CFD72" w14:textId="77777777" w:rsidTr="005C4993">
        <w:tc>
          <w:tcPr>
            <w:tcW w:w="3823" w:type="dxa"/>
          </w:tcPr>
          <w:p w14:paraId="3F877B71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3747C3B4" w14:textId="5DAC8C19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2BACB4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418D46D7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3E36A97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  <w:tr w:rsidR="005C4993" w14:paraId="0F9F3AF0" w14:textId="77777777" w:rsidTr="005C4993">
        <w:tc>
          <w:tcPr>
            <w:tcW w:w="3823" w:type="dxa"/>
          </w:tcPr>
          <w:p w14:paraId="0A8392A9" w14:textId="77777777" w:rsidR="005C4993" w:rsidRDefault="005C4993" w:rsidP="00920F13">
            <w:pPr>
              <w:rPr>
                <w:rFonts w:ascii="Arial" w:hAnsi="Arial" w:cs="Arial"/>
              </w:rPr>
            </w:pPr>
          </w:p>
          <w:p w14:paraId="2413C90B" w14:textId="4B976828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14818A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7BBA5D1A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792A3B5" w14:textId="77777777" w:rsidR="005C4993" w:rsidRDefault="005C4993" w:rsidP="00920F13">
            <w:pPr>
              <w:rPr>
                <w:rFonts w:ascii="Arial" w:hAnsi="Arial" w:cs="Arial"/>
              </w:rPr>
            </w:pPr>
          </w:p>
        </w:tc>
      </w:tr>
    </w:tbl>
    <w:p w14:paraId="35B291AA" w14:textId="77777777" w:rsidR="005C4993" w:rsidRPr="002A6632" w:rsidRDefault="005C4993" w:rsidP="00920F13">
      <w:pPr>
        <w:rPr>
          <w:rFonts w:ascii="Arial" w:hAnsi="Arial" w:cs="Arial"/>
        </w:rPr>
      </w:pPr>
    </w:p>
    <w:sectPr w:rsidR="005C4993" w:rsidRPr="002A6632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4D33"/>
    <w:multiLevelType w:val="hybridMultilevel"/>
    <w:tmpl w:val="D12E4F5A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C6698"/>
    <w:multiLevelType w:val="hybridMultilevel"/>
    <w:tmpl w:val="2E56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43"/>
    <w:rsid w:val="00075843"/>
    <w:rsid w:val="00095140"/>
    <w:rsid w:val="001B3374"/>
    <w:rsid w:val="001C2600"/>
    <w:rsid w:val="002508E4"/>
    <w:rsid w:val="002A6632"/>
    <w:rsid w:val="003F656A"/>
    <w:rsid w:val="005C4993"/>
    <w:rsid w:val="00664266"/>
    <w:rsid w:val="006D6485"/>
    <w:rsid w:val="00747486"/>
    <w:rsid w:val="00920F13"/>
    <w:rsid w:val="0098263E"/>
    <w:rsid w:val="00F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05D2"/>
  <w15:chartTrackingRefBased/>
  <w15:docId w15:val="{2ABD478D-69EE-475E-8000-D24AE7F2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843"/>
    <w:pPr>
      <w:ind w:left="720"/>
      <w:contextualSpacing/>
    </w:pPr>
  </w:style>
  <w:style w:type="table" w:styleId="TableGrid">
    <w:name w:val="Table Grid"/>
    <w:basedOn w:val="TableNormal"/>
    <w:uiPriority w:val="59"/>
    <w:rsid w:val="0007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3</cp:revision>
  <dcterms:created xsi:type="dcterms:W3CDTF">2018-07-24T13:24:00Z</dcterms:created>
  <dcterms:modified xsi:type="dcterms:W3CDTF">2018-07-27T10:25:00Z</dcterms:modified>
</cp:coreProperties>
</file>