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BC9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AABBC93" w14:textId="77777777" w:rsidTr="00061C01">
        <w:tc>
          <w:tcPr>
            <w:tcW w:w="4539" w:type="dxa"/>
          </w:tcPr>
          <w:p w14:paraId="2AABBC91"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AABBE5F" wp14:editId="2AABBE60">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AABBC92"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AABBE61" wp14:editId="2AABBE62">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ABBC94" w14:textId="77777777" w:rsidR="00582B96" w:rsidRDefault="00582B96" w:rsidP="00582B96"/>
    <w:p w14:paraId="2AABBC95" w14:textId="77777777" w:rsidR="00582B96" w:rsidRPr="00D144D9" w:rsidRDefault="00582B96" w:rsidP="00582B96">
      <w:pPr>
        <w:rPr>
          <w:color w:val="FF0000"/>
        </w:rPr>
      </w:pPr>
    </w:p>
    <w:p w14:paraId="2AABBC96" w14:textId="77777777" w:rsidR="00582B96" w:rsidRDefault="00582B96" w:rsidP="00582B96"/>
    <w:p w14:paraId="2AABBC97" w14:textId="77777777" w:rsidR="00582B96" w:rsidRDefault="00582B96" w:rsidP="00582B96"/>
    <w:p w14:paraId="2AABBC98" w14:textId="77777777" w:rsidR="00582B96" w:rsidRDefault="00582B96" w:rsidP="00582B96"/>
    <w:p w14:paraId="2AABBC99" w14:textId="77777777" w:rsidR="00C5289B" w:rsidRDefault="00C5289B" w:rsidP="00582B96">
      <w:pPr>
        <w:rPr>
          <w:b/>
          <w:sz w:val="52"/>
          <w:szCs w:val="52"/>
        </w:rPr>
      </w:pPr>
    </w:p>
    <w:p w14:paraId="2AABBC9A" w14:textId="2E1B6C88" w:rsidR="00582B96" w:rsidRPr="00F02B5B" w:rsidRDefault="00582B96" w:rsidP="00582B96">
      <w:pPr>
        <w:rPr>
          <w:b/>
          <w:sz w:val="48"/>
          <w:szCs w:val="48"/>
        </w:rPr>
      </w:pPr>
      <w:r w:rsidRPr="00F02B5B">
        <w:rPr>
          <w:b/>
          <w:sz w:val="48"/>
          <w:szCs w:val="48"/>
        </w:rPr>
        <w:t xml:space="preserve">SPECIFICATION </w:t>
      </w:r>
    </w:p>
    <w:p w14:paraId="2AABBC9B" w14:textId="77777777" w:rsidR="00582B96" w:rsidRDefault="00582B96" w:rsidP="00582B96">
      <w:pPr>
        <w:rPr>
          <w:b/>
          <w:sz w:val="48"/>
          <w:szCs w:val="48"/>
        </w:rPr>
      </w:pPr>
    </w:p>
    <w:p w14:paraId="2AABBC9C" w14:textId="77777777" w:rsidR="00582B96" w:rsidRDefault="00582B96" w:rsidP="00582B96">
      <w:pPr>
        <w:rPr>
          <w:b/>
          <w:sz w:val="48"/>
          <w:szCs w:val="48"/>
        </w:rPr>
      </w:pPr>
    </w:p>
    <w:p w14:paraId="2AABBC9D" w14:textId="77777777" w:rsidR="00582B96" w:rsidRDefault="00582B96" w:rsidP="00582B96">
      <w:pPr>
        <w:rPr>
          <w:b/>
          <w:sz w:val="48"/>
          <w:szCs w:val="48"/>
        </w:rPr>
      </w:pPr>
    </w:p>
    <w:p w14:paraId="2AABBC9E" w14:textId="084A82F8" w:rsidR="00582B96" w:rsidRPr="00F02B5B" w:rsidRDefault="00582B96" w:rsidP="00582B96">
      <w:pPr>
        <w:rPr>
          <w:b/>
          <w:color w:val="000000" w:themeColor="text1"/>
          <w:sz w:val="36"/>
          <w:szCs w:val="36"/>
        </w:rPr>
      </w:pPr>
      <w:r w:rsidRPr="00360CDD">
        <w:rPr>
          <w:b/>
          <w:sz w:val="36"/>
          <w:szCs w:val="36"/>
        </w:rPr>
        <w:t xml:space="preserve">INVITATION TO TENDER </w:t>
      </w:r>
      <w:r w:rsidR="00F02B5B" w:rsidRPr="00F02B5B">
        <w:rPr>
          <w:b/>
          <w:color w:val="000000" w:themeColor="text1"/>
          <w:sz w:val="36"/>
          <w:szCs w:val="36"/>
        </w:rPr>
        <w:t>itt_30118</w:t>
      </w:r>
    </w:p>
    <w:p w14:paraId="2AABBC9F" w14:textId="77777777" w:rsidR="00582B96" w:rsidRPr="00360CDD" w:rsidRDefault="00582B96" w:rsidP="00582B96">
      <w:pPr>
        <w:autoSpaceDE w:val="0"/>
        <w:autoSpaceDN w:val="0"/>
        <w:adjustRightInd w:val="0"/>
        <w:rPr>
          <w:rFonts w:cs="Arial"/>
          <w:b/>
          <w:bCs/>
          <w:sz w:val="48"/>
          <w:szCs w:val="48"/>
        </w:rPr>
      </w:pPr>
    </w:p>
    <w:p w14:paraId="2AABBCA0" w14:textId="77777777" w:rsidR="00582B96" w:rsidRPr="00360CDD" w:rsidRDefault="00582B96" w:rsidP="00582B96">
      <w:pPr>
        <w:autoSpaceDE w:val="0"/>
        <w:autoSpaceDN w:val="0"/>
        <w:adjustRightInd w:val="0"/>
        <w:rPr>
          <w:rFonts w:cs="Arial"/>
          <w:b/>
          <w:bCs/>
          <w:sz w:val="48"/>
          <w:szCs w:val="48"/>
        </w:rPr>
      </w:pPr>
    </w:p>
    <w:p w14:paraId="2AABBCA2" w14:textId="1A5F944C" w:rsidR="0082674C" w:rsidRPr="006B1CF9" w:rsidRDefault="00204192" w:rsidP="00582B96">
      <w:pPr>
        <w:autoSpaceDE w:val="0"/>
        <w:autoSpaceDN w:val="0"/>
        <w:adjustRightInd w:val="0"/>
        <w:rPr>
          <w:rFonts w:cs="Arial"/>
          <w:b/>
          <w:bCs/>
          <w:sz w:val="36"/>
          <w:szCs w:val="36"/>
        </w:rPr>
      </w:pPr>
      <w:r w:rsidRPr="006B1CF9">
        <w:rPr>
          <w:rFonts w:cs="Arial"/>
          <w:b/>
          <w:bCs/>
          <w:sz w:val="36"/>
          <w:szCs w:val="36"/>
        </w:rPr>
        <w:t>Inclusive Labour Markets</w:t>
      </w:r>
      <w:r w:rsidR="00F02B5B">
        <w:rPr>
          <w:rFonts w:cs="Arial"/>
          <w:b/>
          <w:bCs/>
          <w:sz w:val="36"/>
          <w:szCs w:val="36"/>
        </w:rPr>
        <w:t xml:space="preserve"> </w:t>
      </w:r>
      <w:r w:rsidR="0082674C">
        <w:rPr>
          <w:rFonts w:cs="Arial"/>
          <w:b/>
          <w:bCs/>
          <w:sz w:val="36"/>
          <w:szCs w:val="36"/>
        </w:rPr>
        <w:t>07-901</w:t>
      </w:r>
    </w:p>
    <w:p w14:paraId="2AABBCA3" w14:textId="77777777" w:rsidR="00582B96" w:rsidRDefault="00582B96" w:rsidP="00582B96">
      <w:pPr>
        <w:rPr>
          <w:b/>
          <w:sz w:val="48"/>
          <w:szCs w:val="48"/>
        </w:rPr>
      </w:pPr>
    </w:p>
    <w:p w14:paraId="2AABBCA4" w14:textId="77777777" w:rsidR="00582B96" w:rsidRDefault="00582B96" w:rsidP="00582B96">
      <w:pPr>
        <w:rPr>
          <w:b/>
          <w:sz w:val="48"/>
          <w:szCs w:val="48"/>
        </w:rPr>
      </w:pPr>
    </w:p>
    <w:p w14:paraId="2AABBCA5" w14:textId="77777777" w:rsidR="00582B96" w:rsidRPr="006B1CF9" w:rsidRDefault="00F86485" w:rsidP="00582B96">
      <w:pPr>
        <w:rPr>
          <w:b/>
          <w:sz w:val="36"/>
          <w:szCs w:val="36"/>
        </w:rPr>
      </w:pPr>
      <w:r w:rsidRPr="006B1CF9">
        <w:rPr>
          <w:b/>
          <w:sz w:val="36"/>
          <w:szCs w:val="36"/>
        </w:rPr>
        <w:t xml:space="preserve">Cumbria </w:t>
      </w:r>
      <w:r w:rsidR="00F4587B" w:rsidRPr="006B1CF9">
        <w:rPr>
          <w:b/>
          <w:sz w:val="36"/>
          <w:szCs w:val="36"/>
        </w:rPr>
        <w:t xml:space="preserve">LEP </w:t>
      </w:r>
    </w:p>
    <w:p w14:paraId="2AABBCA6" w14:textId="77777777" w:rsidR="00582B96" w:rsidRDefault="00582B96" w:rsidP="00582B96">
      <w:pPr>
        <w:rPr>
          <w:b/>
          <w:sz w:val="48"/>
          <w:szCs w:val="48"/>
        </w:rPr>
      </w:pPr>
    </w:p>
    <w:p w14:paraId="2AABBCA7" w14:textId="77777777" w:rsidR="00582B96" w:rsidRDefault="00582B96" w:rsidP="00582B96">
      <w:pPr>
        <w:rPr>
          <w:b/>
          <w:sz w:val="48"/>
          <w:szCs w:val="48"/>
        </w:rPr>
      </w:pPr>
    </w:p>
    <w:p w14:paraId="2AABBCA8" w14:textId="77777777" w:rsidR="00582B96" w:rsidRDefault="00582B96" w:rsidP="00582B96">
      <w:pPr>
        <w:rPr>
          <w:b/>
          <w:sz w:val="48"/>
          <w:szCs w:val="48"/>
        </w:rPr>
      </w:pPr>
    </w:p>
    <w:p w14:paraId="2AABBCA9" w14:textId="3AA8C8B6" w:rsidR="00582B96" w:rsidRPr="00360CDD" w:rsidRDefault="00582B96" w:rsidP="00582B96">
      <w:pPr>
        <w:rPr>
          <w:b/>
          <w:sz w:val="36"/>
          <w:szCs w:val="36"/>
        </w:rPr>
      </w:pPr>
      <w:r w:rsidRPr="00360CDD">
        <w:rPr>
          <w:b/>
          <w:sz w:val="36"/>
          <w:szCs w:val="36"/>
        </w:rPr>
        <w:t>DATE:</w:t>
      </w:r>
      <w:r w:rsidR="002F71DB">
        <w:rPr>
          <w:b/>
          <w:sz w:val="36"/>
          <w:szCs w:val="36"/>
        </w:rPr>
        <w:t xml:space="preserve"> </w:t>
      </w:r>
      <w:r w:rsidR="00F02B5B">
        <w:rPr>
          <w:b/>
          <w:sz w:val="36"/>
          <w:szCs w:val="36"/>
        </w:rPr>
        <w:t>July</w:t>
      </w:r>
      <w:r w:rsidR="0082674C">
        <w:rPr>
          <w:b/>
          <w:sz w:val="36"/>
          <w:szCs w:val="36"/>
        </w:rPr>
        <w:t xml:space="preserve"> </w:t>
      </w:r>
      <w:r w:rsidR="00204192">
        <w:rPr>
          <w:b/>
          <w:sz w:val="36"/>
          <w:szCs w:val="36"/>
        </w:rPr>
        <w:t>2016</w:t>
      </w:r>
    </w:p>
    <w:p w14:paraId="2AABBCAA" w14:textId="77777777" w:rsidR="00582B96" w:rsidRDefault="00582B96"/>
    <w:tbl>
      <w:tblPr>
        <w:tblW w:w="0" w:type="auto"/>
        <w:tblLook w:val="01E0" w:firstRow="1" w:lastRow="1" w:firstColumn="1" w:lastColumn="1" w:noHBand="0" w:noVBand="0"/>
      </w:tblPr>
      <w:tblGrid>
        <w:gridCol w:w="4421"/>
        <w:gridCol w:w="4366"/>
      </w:tblGrid>
      <w:tr w:rsidR="00ED67E0" w14:paraId="2AABBCAD" w14:textId="77777777" w:rsidTr="00B24D65">
        <w:tc>
          <w:tcPr>
            <w:tcW w:w="4421" w:type="dxa"/>
          </w:tcPr>
          <w:p w14:paraId="2AABBCAB" w14:textId="77777777" w:rsidR="00ED67E0" w:rsidRDefault="00ED67E0" w:rsidP="000419AD">
            <w:pPr>
              <w:pStyle w:val="Header"/>
              <w:tabs>
                <w:tab w:val="clear" w:pos="4153"/>
                <w:tab w:val="clear" w:pos="8306"/>
                <w:tab w:val="left" w:pos="1185"/>
              </w:tabs>
            </w:pPr>
            <w:r>
              <w:tab/>
            </w:r>
          </w:p>
        </w:tc>
        <w:tc>
          <w:tcPr>
            <w:tcW w:w="4366" w:type="dxa"/>
          </w:tcPr>
          <w:p w14:paraId="2AABBCAC" w14:textId="77777777" w:rsidR="00ED67E0" w:rsidRDefault="00ED67E0" w:rsidP="000419AD">
            <w:pPr>
              <w:pStyle w:val="Header"/>
              <w:jc w:val="right"/>
            </w:pPr>
          </w:p>
        </w:tc>
      </w:tr>
      <w:tr w:rsidR="00ED67E0" w:rsidRPr="002465E9" w14:paraId="2AABBCB0" w14:textId="77777777" w:rsidTr="00B24D65">
        <w:tc>
          <w:tcPr>
            <w:tcW w:w="4421" w:type="dxa"/>
          </w:tcPr>
          <w:p w14:paraId="2AABBCAE" w14:textId="77777777" w:rsidR="00ED67E0" w:rsidRDefault="00ED67E0" w:rsidP="000419AD">
            <w:pPr>
              <w:pStyle w:val="Header"/>
            </w:pPr>
            <w:r>
              <w:rPr>
                <w:noProof/>
                <w:lang w:eastAsia="en-GB"/>
              </w:rPr>
              <w:lastRenderedPageBreak/>
              <w:drawing>
                <wp:inline distT="0" distB="0" distL="0" distR="0" wp14:anchorId="2AABBE63" wp14:editId="2AABBE64">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AABBCAF" w14:textId="77777777" w:rsidR="00ED67E0" w:rsidRDefault="000D51DE" w:rsidP="000419AD">
            <w:pPr>
              <w:pStyle w:val="Header"/>
              <w:jc w:val="right"/>
            </w:pPr>
            <w:r>
              <w:rPr>
                <w:noProof/>
                <w:lang w:eastAsia="en-GB"/>
              </w:rPr>
              <w:drawing>
                <wp:inline distT="0" distB="0" distL="0" distR="0" wp14:anchorId="2AABBE65" wp14:editId="2AABBE6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AABBCB3" w14:textId="77777777" w:rsidTr="00B24D65">
        <w:tc>
          <w:tcPr>
            <w:tcW w:w="4421" w:type="dxa"/>
          </w:tcPr>
          <w:p w14:paraId="2AABBCB1" w14:textId="77777777" w:rsidR="008441FE" w:rsidRDefault="008441FE" w:rsidP="000419AD">
            <w:pPr>
              <w:pStyle w:val="Header"/>
              <w:rPr>
                <w:noProof/>
                <w:lang w:eastAsia="en-GB"/>
              </w:rPr>
            </w:pPr>
          </w:p>
        </w:tc>
        <w:tc>
          <w:tcPr>
            <w:tcW w:w="4366" w:type="dxa"/>
          </w:tcPr>
          <w:p w14:paraId="2AABBCB2" w14:textId="77777777" w:rsidR="008441FE" w:rsidRDefault="008441FE" w:rsidP="000419AD">
            <w:pPr>
              <w:pStyle w:val="Header"/>
              <w:jc w:val="right"/>
              <w:rPr>
                <w:noProof/>
                <w:lang w:eastAsia="en-GB"/>
              </w:rPr>
            </w:pPr>
          </w:p>
        </w:tc>
      </w:tr>
    </w:tbl>
    <w:p w14:paraId="2AABBCB4"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2AABBCB9" w14:textId="77777777" w:rsidTr="0082674C">
        <w:trPr>
          <w:trHeight w:val="597"/>
        </w:trPr>
        <w:tc>
          <w:tcPr>
            <w:tcW w:w="9088" w:type="dxa"/>
          </w:tcPr>
          <w:p w14:paraId="2AABBCB5" w14:textId="5043CB66" w:rsidR="007654E6" w:rsidRPr="00DB1C34" w:rsidRDefault="00F02B5B" w:rsidP="00A524B5">
            <w:pPr>
              <w:pStyle w:val="BodyText"/>
              <w:tabs>
                <w:tab w:val="num" w:pos="1134"/>
              </w:tabs>
              <w:spacing w:after="0"/>
              <w:jc w:val="both"/>
              <w:rPr>
                <w:rFonts w:ascii="Arial" w:hAnsi="Arial" w:cs="Arial"/>
                <w:b/>
              </w:rPr>
            </w:pPr>
            <w:r>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p>
          <w:p w14:paraId="2AABBCB7" w14:textId="4BA4593D" w:rsidR="006002A9" w:rsidRPr="00F02B5B" w:rsidRDefault="00F86485" w:rsidP="00A524B5">
            <w:pPr>
              <w:pStyle w:val="BodyText"/>
              <w:tabs>
                <w:tab w:val="num" w:pos="1134"/>
              </w:tabs>
              <w:spacing w:after="0"/>
              <w:jc w:val="both"/>
              <w:rPr>
                <w:rFonts w:ascii="Arial" w:hAnsi="Arial" w:cs="Arial"/>
                <w:b/>
                <w:color w:val="000000" w:themeColor="text1"/>
              </w:rPr>
            </w:pPr>
            <w:r w:rsidRPr="006B1CF9">
              <w:rPr>
                <w:rFonts w:ascii="Arial" w:hAnsi="Arial" w:cs="Arial"/>
                <w:b/>
              </w:rPr>
              <w:t>Cumbria</w:t>
            </w:r>
            <w:r w:rsidR="005B3F9D" w:rsidRPr="006B1CF9">
              <w:rPr>
                <w:rFonts w:ascii="Arial" w:hAnsi="Arial" w:cs="Arial"/>
                <w:b/>
              </w:rPr>
              <w:t xml:space="preserve"> LEP </w:t>
            </w:r>
            <w:r w:rsidR="006002A9" w:rsidRPr="006B1CF9">
              <w:rPr>
                <w:rFonts w:ascii="Arial" w:hAnsi="Arial" w:cs="Arial"/>
                <w:b/>
              </w:rPr>
              <w:t>–</w:t>
            </w:r>
            <w:r w:rsidR="005B3F9D" w:rsidRPr="006B1CF9">
              <w:rPr>
                <w:rFonts w:ascii="Arial" w:hAnsi="Arial" w:cs="Arial"/>
                <w:b/>
              </w:rPr>
              <w:t xml:space="preserve"> </w:t>
            </w:r>
            <w:r w:rsidR="00DB1C34" w:rsidRPr="00DB1C34">
              <w:rPr>
                <w:rFonts w:ascii="Arial" w:hAnsi="Arial" w:cs="Arial"/>
                <w:b/>
              </w:rPr>
              <w:t>Support for the Unemployed</w:t>
            </w:r>
            <w:r w:rsidR="00F02B5B">
              <w:rPr>
                <w:rFonts w:ascii="Arial" w:hAnsi="Arial" w:cs="Arial"/>
                <w:b/>
              </w:rPr>
              <w:t xml:space="preserve"> </w:t>
            </w:r>
            <w:r w:rsidR="006002A9" w:rsidRPr="00F02B5B">
              <w:rPr>
                <w:rFonts w:ascii="Arial" w:hAnsi="Arial" w:cs="Arial"/>
                <w:b/>
                <w:color w:val="000000" w:themeColor="text1"/>
              </w:rPr>
              <w:t>ITT</w:t>
            </w:r>
            <w:r w:rsidR="00F02B5B" w:rsidRPr="00F02B5B">
              <w:rPr>
                <w:rFonts w:ascii="Arial" w:hAnsi="Arial" w:cs="Arial"/>
                <w:b/>
                <w:color w:val="000000" w:themeColor="text1"/>
              </w:rPr>
              <w:t>_30118</w:t>
            </w:r>
          </w:p>
          <w:p w14:paraId="2AABBCB8"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AABBCBB" w14:textId="77777777" w:rsidTr="005574D0">
        <w:trPr>
          <w:trHeight w:val="567"/>
        </w:trPr>
        <w:tc>
          <w:tcPr>
            <w:tcW w:w="9088" w:type="dxa"/>
            <w:shd w:val="clear" w:color="auto" w:fill="D9D9D9" w:themeFill="background1" w:themeFillShade="D9"/>
            <w:vAlign w:val="center"/>
          </w:tcPr>
          <w:p w14:paraId="2AABBCBA" w14:textId="77777777" w:rsidR="00967429" w:rsidRPr="00FD3B0A" w:rsidRDefault="004C726D" w:rsidP="00FD3B0A">
            <w:pPr>
              <w:pStyle w:val="SpecificationHeading"/>
            </w:pPr>
            <w:r w:rsidRPr="00FD3B0A">
              <w:t>BACKGROUND</w:t>
            </w:r>
          </w:p>
        </w:tc>
      </w:tr>
      <w:tr w:rsidR="00967429" w:rsidRPr="00EF4406" w14:paraId="2AABBD43" w14:textId="77777777" w:rsidTr="0082674C">
        <w:tc>
          <w:tcPr>
            <w:tcW w:w="9088" w:type="dxa"/>
          </w:tcPr>
          <w:p w14:paraId="2AABBCBC" w14:textId="77777777" w:rsidR="00B24D65" w:rsidRPr="002833D9" w:rsidRDefault="00B24D65" w:rsidP="00A524B5">
            <w:pPr>
              <w:tabs>
                <w:tab w:val="num" w:pos="900"/>
              </w:tabs>
              <w:autoSpaceDE w:val="0"/>
              <w:autoSpaceDN w:val="0"/>
              <w:adjustRightInd w:val="0"/>
              <w:rPr>
                <w:rFonts w:cs="Arial"/>
                <w:b/>
              </w:rPr>
            </w:pPr>
          </w:p>
          <w:p w14:paraId="2AABBCBD" w14:textId="77777777" w:rsidR="001F0385" w:rsidRPr="00697329" w:rsidRDefault="002833D9" w:rsidP="00A524B5">
            <w:pPr>
              <w:tabs>
                <w:tab w:val="num" w:pos="900"/>
              </w:tabs>
              <w:autoSpaceDE w:val="0"/>
              <w:autoSpaceDN w:val="0"/>
              <w:adjustRightInd w:val="0"/>
              <w:rPr>
                <w:rFonts w:cs="Arial"/>
                <w:b/>
              </w:rPr>
            </w:pPr>
            <w:r w:rsidRPr="00697329">
              <w:rPr>
                <w:rFonts w:cs="Arial"/>
                <w:b/>
              </w:rPr>
              <w:t>General</w:t>
            </w:r>
          </w:p>
          <w:p w14:paraId="2AABBCBE" w14:textId="77777777" w:rsidR="002833D9" w:rsidRPr="00697329" w:rsidRDefault="002833D9" w:rsidP="00A524B5">
            <w:pPr>
              <w:tabs>
                <w:tab w:val="num" w:pos="900"/>
              </w:tabs>
              <w:autoSpaceDE w:val="0"/>
              <w:autoSpaceDN w:val="0"/>
              <w:adjustRightInd w:val="0"/>
              <w:rPr>
                <w:rFonts w:cs="Arial"/>
                <w:b/>
              </w:rPr>
            </w:pPr>
          </w:p>
          <w:p w14:paraId="2AABBCBF" w14:textId="77777777" w:rsidR="00B24D65" w:rsidRPr="00697329" w:rsidRDefault="00B24D65" w:rsidP="00A524B5">
            <w:pPr>
              <w:tabs>
                <w:tab w:val="num" w:pos="900"/>
              </w:tabs>
              <w:autoSpaceDE w:val="0"/>
              <w:autoSpaceDN w:val="0"/>
              <w:adjustRightInd w:val="0"/>
              <w:rPr>
                <w:rFonts w:cs="Arial"/>
              </w:rPr>
            </w:pPr>
            <w:r w:rsidRPr="00697329">
              <w:rPr>
                <w:rFonts w:cs="Arial"/>
              </w:rPr>
              <w:t xml:space="preserve">The contracting authority is the Secretary of State for Business Innovation and </w:t>
            </w:r>
            <w:r w:rsidR="002E3B40" w:rsidRPr="00697329">
              <w:rPr>
                <w:rFonts w:cs="Arial"/>
              </w:rPr>
              <w:t xml:space="preserve">Skills </w:t>
            </w:r>
            <w:r w:rsidRPr="00697329">
              <w:rPr>
                <w:rFonts w:cs="Arial"/>
              </w:rPr>
              <w:t>acting through the Skills Funding Agency</w:t>
            </w:r>
            <w:r w:rsidR="00442DA3" w:rsidRPr="00697329">
              <w:rPr>
                <w:rFonts w:cs="Arial"/>
              </w:rPr>
              <w:t xml:space="preserve"> </w:t>
            </w:r>
            <w:r w:rsidRPr="00697329">
              <w:rPr>
                <w:rFonts w:cs="Arial"/>
              </w:rPr>
              <w:t>(SFA), an executive agency of the Department for Business Innovation and Skills exercising functions to fund adult education and skills.</w:t>
            </w:r>
          </w:p>
          <w:p w14:paraId="2AABBCC0" w14:textId="77777777" w:rsidR="002833D9" w:rsidRPr="00697329" w:rsidRDefault="002833D9" w:rsidP="00A524B5">
            <w:pPr>
              <w:tabs>
                <w:tab w:val="num" w:pos="900"/>
              </w:tabs>
              <w:autoSpaceDE w:val="0"/>
              <w:autoSpaceDN w:val="0"/>
              <w:adjustRightInd w:val="0"/>
              <w:rPr>
                <w:rFonts w:cs="Arial"/>
              </w:rPr>
            </w:pPr>
          </w:p>
          <w:p w14:paraId="2AABBCC1" w14:textId="77777777" w:rsidR="002833D9" w:rsidRPr="00697329" w:rsidRDefault="002833D9" w:rsidP="00A524B5">
            <w:pPr>
              <w:rPr>
                <w:rFonts w:cs="Arial"/>
              </w:rPr>
            </w:pPr>
            <w:r w:rsidRPr="00697329">
              <w:rPr>
                <w:rFonts w:cs="Arial"/>
              </w:rPr>
              <w:t>T</w:t>
            </w:r>
            <w:r w:rsidR="009F51A8" w:rsidRPr="00697329">
              <w:rPr>
                <w:rFonts w:cs="Arial"/>
              </w:rPr>
              <w:t>he SFA, acting as an Opt-In Organisation</w:t>
            </w:r>
            <w:r w:rsidRPr="00697329">
              <w:rPr>
                <w:rFonts w:cs="Arial"/>
              </w:rPr>
              <w:t xml:space="preserve"> for the European Social Fund (ESF), is procuring education and training services to meet priorities identified by </w:t>
            </w:r>
            <w:r w:rsidR="00F3689D" w:rsidRPr="00697329">
              <w:t xml:space="preserve">Local Enterprise Partnership (LEP) area European Structural and Investment Funds Sub–Committees. </w:t>
            </w:r>
            <w:r w:rsidRPr="00697329">
              <w:rPr>
                <w:rFonts w:cs="Arial"/>
              </w:rPr>
              <w:t>As a</w:t>
            </w:r>
            <w:r w:rsidR="009F51A8" w:rsidRPr="00697329">
              <w:rPr>
                <w:rFonts w:cs="Arial"/>
              </w:rPr>
              <w:t>n</w:t>
            </w:r>
            <w:r w:rsidRPr="00697329">
              <w:rPr>
                <w:rFonts w:cs="Arial"/>
              </w:rPr>
              <w:t xml:space="preserve"> </w:t>
            </w:r>
            <w:r w:rsidR="009F51A8" w:rsidRPr="00697329">
              <w:rPr>
                <w:rFonts w:cs="Arial"/>
              </w:rPr>
              <w:t>Opt-In Organisation</w:t>
            </w:r>
            <w:r w:rsidRPr="00697329">
              <w:rPr>
                <w:rFonts w:cs="Arial"/>
              </w:rPr>
              <w:t xml:space="preserve"> the SFA provides match funding at Priority Axis level utilising sources of public funding as match for ESF funded activity.</w:t>
            </w:r>
          </w:p>
          <w:p w14:paraId="2AABBCC2" w14:textId="77777777" w:rsidR="002833D9" w:rsidRPr="00697329" w:rsidRDefault="002833D9" w:rsidP="00A524B5">
            <w:pPr>
              <w:rPr>
                <w:rFonts w:cs="Arial"/>
              </w:rPr>
            </w:pPr>
          </w:p>
          <w:p w14:paraId="2AABBCC3" w14:textId="77777777" w:rsidR="00A63E89" w:rsidRPr="00697329" w:rsidRDefault="00AD0B65" w:rsidP="00A63E89">
            <w:r w:rsidRPr="00697329">
              <w:rPr>
                <w:rFonts w:cs="Arial"/>
              </w:rPr>
              <w:t>This Invitation to Tender (ITT) is for Priority</w:t>
            </w:r>
            <w:r w:rsidR="00A63E89" w:rsidRPr="00697329">
              <w:rPr>
                <w:rFonts w:cs="Arial"/>
              </w:rPr>
              <w:t xml:space="preserve"> Axis</w:t>
            </w:r>
            <w:r w:rsidRPr="00697329">
              <w:rPr>
                <w:rFonts w:cs="Arial"/>
              </w:rPr>
              <w:t xml:space="preserve"> </w:t>
            </w:r>
            <w:r w:rsidR="00204192" w:rsidRPr="00697329">
              <w:rPr>
                <w:rFonts w:cs="Arial"/>
              </w:rPr>
              <w:t>1</w:t>
            </w:r>
            <w:r w:rsidR="00A63E89" w:rsidRPr="00697329">
              <w:rPr>
                <w:rFonts w:cs="Arial"/>
              </w:rPr>
              <w:t xml:space="preserve"> and </w:t>
            </w:r>
            <w:r w:rsidR="00204192" w:rsidRPr="00697329">
              <w:rPr>
                <w:rFonts w:cs="Arial"/>
              </w:rPr>
              <w:t>its</w:t>
            </w:r>
            <w:r w:rsidR="00A63E89" w:rsidRPr="00697329">
              <w:rPr>
                <w:rFonts w:cs="Arial"/>
              </w:rPr>
              <w:t xml:space="preserve"> Investment Priorit</w:t>
            </w:r>
            <w:r w:rsidR="00204192" w:rsidRPr="00697329">
              <w:rPr>
                <w:rFonts w:cs="Arial"/>
              </w:rPr>
              <w:t>ies</w:t>
            </w:r>
            <w:r w:rsidR="00A63E89" w:rsidRPr="00697329">
              <w:rPr>
                <w:rFonts w:cs="Arial"/>
              </w:rPr>
              <w:t xml:space="preserve"> (IP)</w:t>
            </w:r>
            <w:r w:rsidR="00204192" w:rsidRPr="00697329">
              <w:t>, wh</w:t>
            </w:r>
            <w:r w:rsidR="00A63E89" w:rsidRPr="00697329">
              <w:t xml:space="preserve">ere the need has been identified both in the LEP area and European Structural and Investment Fund Strategies.  </w:t>
            </w:r>
          </w:p>
          <w:p w14:paraId="2AABBCC4" w14:textId="77777777" w:rsidR="00AD0B65" w:rsidRPr="00697329" w:rsidRDefault="00AD0B65" w:rsidP="00AD0B65">
            <w:pPr>
              <w:rPr>
                <w:rFonts w:cs="Arial"/>
              </w:rPr>
            </w:pPr>
          </w:p>
          <w:p w14:paraId="2AABBCC5" w14:textId="77777777" w:rsidR="00204192" w:rsidRDefault="009E7A30" w:rsidP="00AD0B65">
            <w:r w:rsidRPr="00697329">
              <w:t>The</w:t>
            </w:r>
            <w:r w:rsidR="00A63E89" w:rsidRPr="00697329">
              <w:t xml:space="preserve"> </w:t>
            </w:r>
            <w:r w:rsidR="00204192" w:rsidRPr="00697329">
              <w:t xml:space="preserve">Priority Axis 1 </w:t>
            </w:r>
            <w:r w:rsidR="00A63E89" w:rsidRPr="00697329">
              <w:t xml:space="preserve">supports </w:t>
            </w:r>
            <w:r w:rsidR="00204192" w:rsidRPr="00697329">
              <w:t xml:space="preserve">activity to increase participation in the labour market and thereby improve social inclusion and mobility.   The objectives of Priority Axis 1 </w:t>
            </w:r>
            <w:r w:rsidR="00F0539E" w:rsidRPr="00697329">
              <w:t xml:space="preserve">covered in this specification </w:t>
            </w:r>
            <w:r w:rsidR="00204192" w:rsidRPr="00697329">
              <w:t>are:</w:t>
            </w:r>
          </w:p>
          <w:p w14:paraId="2D7FD216" w14:textId="77777777" w:rsidR="005574D0" w:rsidRPr="00697329" w:rsidRDefault="005574D0" w:rsidP="00AD0B65"/>
          <w:p w14:paraId="2AABBCC6" w14:textId="77777777" w:rsidR="00204192" w:rsidRPr="00697329" w:rsidRDefault="00204192" w:rsidP="00A503FD">
            <w:pPr>
              <w:pStyle w:val="ListParagraph"/>
              <w:numPr>
                <w:ilvl w:val="0"/>
                <w:numId w:val="11"/>
              </w:numPr>
            </w:pPr>
            <w:r w:rsidRPr="00697329">
              <w:t>To improve the employability of long-term unemployed people, so that they can compete effectively in the labour market.</w:t>
            </w:r>
          </w:p>
          <w:p w14:paraId="2AABBCC7" w14:textId="77777777" w:rsidR="00204192" w:rsidRPr="00697329" w:rsidRDefault="00204192" w:rsidP="00A503FD">
            <w:pPr>
              <w:pStyle w:val="ListParagraph"/>
              <w:numPr>
                <w:ilvl w:val="0"/>
                <w:numId w:val="11"/>
              </w:numPr>
            </w:pPr>
            <w:r w:rsidRPr="00697329">
              <w:t>To provide individuals from groups which face particular labour market disadvantage with additional support so that they can compete effectively in the labour market.</w:t>
            </w:r>
          </w:p>
          <w:p w14:paraId="2AABBCC8" w14:textId="77777777" w:rsidR="00204192" w:rsidRPr="00697329" w:rsidRDefault="00204192" w:rsidP="00A503FD">
            <w:pPr>
              <w:pStyle w:val="ListParagraph"/>
              <w:numPr>
                <w:ilvl w:val="0"/>
                <w:numId w:val="11"/>
              </w:numPr>
            </w:pPr>
            <w:r w:rsidRPr="00697329">
              <w:t>To encourage inactive people to participate in the labour market and to improve their employability.</w:t>
            </w:r>
          </w:p>
          <w:p w14:paraId="2AABBCC9" w14:textId="77777777" w:rsidR="00204192" w:rsidRPr="00697329" w:rsidRDefault="00204192" w:rsidP="00A503FD">
            <w:pPr>
              <w:pStyle w:val="ListParagraph"/>
              <w:numPr>
                <w:ilvl w:val="0"/>
                <w:numId w:val="11"/>
              </w:numPr>
            </w:pPr>
            <w:r w:rsidRPr="00697329">
              <w:t>To address the basic skills needs of unemployed and inactive people so that they can compete effectively in the labour market.</w:t>
            </w:r>
          </w:p>
          <w:p w14:paraId="2AABBCCA" w14:textId="77777777" w:rsidR="00204192" w:rsidRPr="00697329" w:rsidRDefault="00204192" w:rsidP="00A503FD">
            <w:pPr>
              <w:pStyle w:val="Default"/>
              <w:numPr>
                <w:ilvl w:val="0"/>
                <w:numId w:val="11"/>
              </w:numPr>
            </w:pPr>
            <w:r w:rsidRPr="00697329">
              <w:t xml:space="preserve">To provide support for women at a disadvantage in the labour market, and particularly those who are currently inactive, to contribute to our efforts to reduce the gender employment gap. </w:t>
            </w:r>
          </w:p>
          <w:p w14:paraId="2AABBCCB" w14:textId="77777777" w:rsidR="00F0539E" w:rsidRPr="00697329" w:rsidRDefault="00F0539E" w:rsidP="00A503FD">
            <w:pPr>
              <w:pStyle w:val="Default"/>
              <w:numPr>
                <w:ilvl w:val="0"/>
                <w:numId w:val="11"/>
              </w:numPr>
            </w:pPr>
            <w:r w:rsidRPr="00697329">
              <w:lastRenderedPageBreak/>
              <w:t xml:space="preserve">To support people with multiple and complex barriers to participation to address these underlying issues and to move closer to or into the labour market. </w:t>
            </w:r>
          </w:p>
          <w:p w14:paraId="2AABBCCC" w14:textId="77777777" w:rsidR="00204192" w:rsidRPr="00697329" w:rsidRDefault="00F0539E" w:rsidP="00A503FD">
            <w:pPr>
              <w:pStyle w:val="ListParagraph"/>
              <w:numPr>
                <w:ilvl w:val="0"/>
                <w:numId w:val="11"/>
              </w:numPr>
            </w:pPr>
            <w:r w:rsidRPr="00697329">
              <w:t>To support prisoners in custody and on release, and those without work who are serving sentences in the community, to improve their employability.</w:t>
            </w:r>
          </w:p>
          <w:p w14:paraId="2AABBCCD" w14:textId="77777777" w:rsidR="00204192" w:rsidRPr="00697329" w:rsidRDefault="00F0539E" w:rsidP="00A503FD">
            <w:pPr>
              <w:pStyle w:val="ListParagraph"/>
              <w:numPr>
                <w:ilvl w:val="0"/>
                <w:numId w:val="11"/>
              </w:numPr>
            </w:pPr>
            <w:r w:rsidRPr="00697329">
              <w:t>To engage marginalised individuals and support them to re-engage with education, training, or in employment.</w:t>
            </w:r>
          </w:p>
          <w:p w14:paraId="2AABBCCE" w14:textId="77777777" w:rsidR="0096491B" w:rsidRPr="00697329" w:rsidRDefault="0096491B" w:rsidP="0096491B">
            <w:pPr>
              <w:pStyle w:val="ListParagraph"/>
              <w:numPr>
                <w:ilvl w:val="0"/>
                <w:numId w:val="11"/>
              </w:numPr>
            </w:pPr>
            <w:r w:rsidRPr="00697329">
              <w:t>To support young lone parents to overcome the barriers they face in participating in the labour market (including childcare).</w:t>
            </w:r>
          </w:p>
          <w:p w14:paraId="2AABBCCF" w14:textId="77777777" w:rsidR="007E51DD" w:rsidRPr="00697329" w:rsidRDefault="007E51DD" w:rsidP="00AD0B65"/>
          <w:p w14:paraId="2AABBCD0" w14:textId="77777777" w:rsidR="004A2467" w:rsidRDefault="004A2467" w:rsidP="00AD0B65">
            <w:r w:rsidRPr="00697329">
              <w:t xml:space="preserve">The strands in </w:t>
            </w:r>
            <w:r w:rsidR="00204192" w:rsidRPr="00697329">
              <w:t>Priority Axis 1</w:t>
            </w:r>
            <w:r w:rsidRPr="00697329">
              <w:t xml:space="preserve"> </w:t>
            </w:r>
            <w:r w:rsidR="00F0539E" w:rsidRPr="00697329">
              <w:t xml:space="preserve">in this specification </w:t>
            </w:r>
            <w:r w:rsidRPr="00697329">
              <w:t>are:</w:t>
            </w:r>
          </w:p>
          <w:p w14:paraId="1BAB6019" w14:textId="77777777" w:rsidR="005574D0" w:rsidRPr="00697329" w:rsidRDefault="005574D0" w:rsidP="00AD0B65"/>
          <w:p w14:paraId="2AABBCD1"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2AABBCD2" w14:textId="77777777" w:rsidR="00AE17EA" w:rsidRDefault="00AE17EA" w:rsidP="009B1204">
            <w:pPr>
              <w:rPr>
                <w:b/>
              </w:rPr>
            </w:pPr>
          </w:p>
          <w:p w14:paraId="2AABBCD3"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2AABBCD4" w14:textId="77777777" w:rsidR="009B1204" w:rsidRDefault="009B1204" w:rsidP="009B1204">
            <w:pPr>
              <w:rPr>
                <w:rFonts w:cs="Arial"/>
                <w:b/>
              </w:rPr>
            </w:pPr>
          </w:p>
          <w:p w14:paraId="2AABBCD5" w14:textId="77777777" w:rsidR="009B1204" w:rsidRPr="00697329" w:rsidRDefault="009B1204" w:rsidP="009B1204">
            <w:pPr>
              <w:autoSpaceDE w:val="0"/>
              <w:autoSpaceDN w:val="0"/>
              <w:adjustRightInd w:val="0"/>
              <w:rPr>
                <w:rFonts w:cs="Arial"/>
                <w:color w:val="000000"/>
                <w:lang w:eastAsia="en-GB"/>
              </w:rPr>
            </w:pPr>
            <w:r w:rsidRPr="00697329">
              <w:rPr>
                <w:rFonts w:cs="Arial"/>
                <w:color w:val="000000"/>
                <w:lang w:eastAsia="en-GB"/>
              </w:rPr>
              <w:t xml:space="preserve">The Government is promoting employment for all by providing support mechanisms and benefits that incentivise work and reduce </w:t>
            </w:r>
            <w:proofErr w:type="spellStart"/>
            <w:r w:rsidRPr="00697329">
              <w:rPr>
                <w:rFonts w:cs="Arial"/>
                <w:color w:val="000000"/>
                <w:lang w:eastAsia="en-GB"/>
              </w:rPr>
              <w:t>worklessness</w:t>
            </w:r>
            <w:proofErr w:type="spellEnd"/>
            <w:r w:rsidRPr="00697329">
              <w:rPr>
                <w:rFonts w:cs="Arial"/>
                <w:color w:val="000000"/>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2AABBCD6" w14:textId="77777777" w:rsidR="009B1204" w:rsidRPr="00697329" w:rsidRDefault="009B1204" w:rsidP="009B1204">
            <w:pPr>
              <w:autoSpaceDE w:val="0"/>
              <w:autoSpaceDN w:val="0"/>
              <w:adjustRightInd w:val="0"/>
              <w:rPr>
                <w:rFonts w:cs="Arial"/>
                <w:color w:val="000000"/>
                <w:lang w:eastAsia="en-GB"/>
              </w:rPr>
            </w:pPr>
          </w:p>
          <w:p w14:paraId="2AABBCD7" w14:textId="18926B36" w:rsidR="009B1204" w:rsidRPr="003C3E48" w:rsidRDefault="009B1204" w:rsidP="009B1204">
            <w:pPr>
              <w:tabs>
                <w:tab w:val="num" w:pos="900"/>
              </w:tabs>
              <w:autoSpaceDE w:val="0"/>
              <w:autoSpaceDN w:val="0"/>
              <w:adjustRightInd w:val="0"/>
              <w:rPr>
                <w:rFonts w:cs="Arial"/>
              </w:rPr>
            </w:pPr>
            <w:r w:rsidRPr="00697329">
              <w:rPr>
                <w:rFonts w:cs="Arial"/>
                <w:color w:val="000000"/>
                <w:lang w:eastAsia="en-GB"/>
              </w:rPr>
              <w:t>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job</w:t>
            </w:r>
            <w:r w:rsidR="005574D0">
              <w:rPr>
                <w:rFonts w:cs="Arial"/>
                <w:color w:val="000000"/>
                <w:lang w:eastAsia="en-GB"/>
              </w:rPr>
              <w:t xml:space="preserve"> </w:t>
            </w:r>
            <w:r w:rsidRPr="00697329">
              <w:rPr>
                <w:rFonts w:cs="Arial"/>
                <w:color w:val="000000"/>
                <w:lang w:eastAsia="en-GB"/>
              </w:rPr>
              <w:t>seeking skills, or other material barriers like debt and working with them to tackle these barriers.</w:t>
            </w:r>
          </w:p>
          <w:p w14:paraId="2AABBCD8" w14:textId="77777777" w:rsidR="009B1204" w:rsidRPr="005A1D76" w:rsidRDefault="009B1204" w:rsidP="00A524B5">
            <w:pPr>
              <w:tabs>
                <w:tab w:val="num" w:pos="900"/>
              </w:tabs>
              <w:autoSpaceDE w:val="0"/>
              <w:autoSpaceDN w:val="0"/>
              <w:adjustRightInd w:val="0"/>
              <w:rPr>
                <w:rFonts w:cs="Arial"/>
              </w:rPr>
            </w:pPr>
          </w:p>
          <w:p w14:paraId="2AABBCD9"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2AABBCDA" w14:textId="77777777" w:rsidR="00F4587B" w:rsidRDefault="00F4587B" w:rsidP="00A524B5">
            <w:pPr>
              <w:rPr>
                <w:rFonts w:cs="Arial"/>
              </w:rPr>
            </w:pPr>
          </w:p>
          <w:p w14:paraId="2AABBCDB" w14:textId="77777777" w:rsidR="002833D9" w:rsidRDefault="00F86485" w:rsidP="00A524B5">
            <w:pPr>
              <w:rPr>
                <w:rFonts w:cs="Arial"/>
                <w:b/>
              </w:rPr>
            </w:pPr>
            <w:r>
              <w:rPr>
                <w:rFonts w:cs="Arial"/>
                <w:b/>
              </w:rPr>
              <w:t>Cumbria</w:t>
            </w:r>
            <w:r w:rsidR="000304B2">
              <w:rPr>
                <w:rFonts w:cs="Arial"/>
                <w:b/>
              </w:rPr>
              <w:t xml:space="preserve"> Local </w:t>
            </w:r>
            <w:r w:rsidR="00A76A58">
              <w:rPr>
                <w:rFonts w:cs="Arial"/>
                <w:b/>
              </w:rPr>
              <w:t>Enterprise Partnership</w:t>
            </w:r>
            <w:r w:rsidR="00F24C41">
              <w:rPr>
                <w:rFonts w:cs="Arial"/>
                <w:b/>
              </w:rPr>
              <w:t xml:space="preserve"> Background</w:t>
            </w:r>
          </w:p>
          <w:p w14:paraId="2AABBCDC" w14:textId="77777777" w:rsidR="000D51DE" w:rsidRPr="000D51DE" w:rsidRDefault="000D51DE" w:rsidP="00A524B5">
            <w:pPr>
              <w:rPr>
                <w:rFonts w:cs="Arial"/>
              </w:rPr>
            </w:pPr>
          </w:p>
          <w:p w14:paraId="2AABBCDD" w14:textId="77777777" w:rsidR="00AA32BC" w:rsidRPr="00612F7F" w:rsidRDefault="00AA32BC" w:rsidP="00AA32BC">
            <w:pPr>
              <w:pStyle w:val="NumberedParagraph0"/>
              <w:tabs>
                <w:tab w:val="clear" w:pos="360"/>
              </w:tabs>
              <w:rPr>
                <w:rFonts w:ascii="Arial" w:hAnsi="Arial" w:cs="Arial"/>
              </w:rPr>
            </w:pPr>
            <w:r w:rsidRPr="00612F7F">
              <w:rPr>
                <w:rFonts w:ascii="Arial" w:hAnsi="Arial" w:cs="Arial"/>
              </w:rPr>
              <w:t xml:space="preserve">Cumbria is the second largest county in England and accounts for almost half of the land mass of the North West. Home to 500,000 residents and with an employed workforce of 229,000, Cumbria’s economy is diverse and complex, encompassing world-class engineering, manufacturing and energy companies, high quality food and drink companies and a unique visitor offer. Cumbria is home to a number of large, multinational companies whose impact spreads much wider through their supply </w:t>
            </w:r>
            <w:r w:rsidRPr="00612F7F">
              <w:rPr>
                <w:rFonts w:ascii="Arial" w:hAnsi="Arial" w:cs="Arial"/>
              </w:rPr>
              <w:lastRenderedPageBreak/>
              <w:t>chains. Notwithstanding the significance of these employers, SMEs provide the backbone of the Cumbrian economy, with 99.7% of businesses employing fewer than 250 people and 89% employing fewer than 10.</w:t>
            </w:r>
          </w:p>
          <w:p w14:paraId="2AABBCDE" w14:textId="77777777" w:rsidR="00AA32BC" w:rsidRPr="00612F7F" w:rsidRDefault="00AA32BC" w:rsidP="00AA32BC">
            <w:pPr>
              <w:pStyle w:val="NumberedParagraph0"/>
              <w:tabs>
                <w:tab w:val="clear" w:pos="360"/>
              </w:tabs>
              <w:rPr>
                <w:rFonts w:ascii="Arial" w:hAnsi="Arial" w:cs="Arial"/>
              </w:rPr>
            </w:pPr>
            <w:r w:rsidRPr="00612F7F">
              <w:rPr>
                <w:rFonts w:ascii="Arial" w:hAnsi="Arial" w:cs="Arial"/>
              </w:rPr>
              <w:t xml:space="preserve">Published in 2014, Cumbria’s Strategic Economic Plan (SEP) identifies four key economic drivers.  Skills Development is one, alongside Business Support, Infrastructure Improvements and Environmental Sustainability.   These economic drivers are essential to grow the whole economy and, in particular, to maximise the key economic assets for the county, defined in the SEP as: </w:t>
            </w:r>
          </w:p>
          <w:p w14:paraId="2AABBCDF" w14:textId="77777777" w:rsidR="00AA32BC" w:rsidRPr="00612F7F" w:rsidRDefault="00AA32BC" w:rsidP="00AA32BC">
            <w:pPr>
              <w:pStyle w:val="Bullets"/>
              <w:ind w:left="993" w:hanging="426"/>
              <w:rPr>
                <w:rFonts w:ascii="Arial" w:hAnsi="Arial"/>
              </w:rPr>
            </w:pPr>
            <w:r w:rsidRPr="00612F7F">
              <w:rPr>
                <w:rFonts w:ascii="Arial" w:hAnsi="Arial"/>
                <w:b/>
              </w:rPr>
              <w:t>Advanced Manufacturing Growth:</w:t>
            </w:r>
            <w:r w:rsidRPr="00612F7F">
              <w:rPr>
                <w:rFonts w:ascii="Arial" w:hAnsi="Arial"/>
              </w:rPr>
              <w:t xml:space="preserve"> Cumbria has a rich industrial heritage and a highly regarded manufacturing sector.  Two of the UK’s largest industrial sites are located in the county, involving the nuclear industry at Sellafield in West Cumbria and the submarine shipyard operated by BAE Systems at Barrow-in-Furness, while food manufacture is very important to Carlisle.  Production units operated by multinational companies can be found throughout the county.</w:t>
            </w:r>
          </w:p>
          <w:p w14:paraId="2AABBCE0" w14:textId="77777777" w:rsidR="00AA32BC" w:rsidRPr="00612F7F" w:rsidRDefault="00AA32BC" w:rsidP="00AA32BC">
            <w:pPr>
              <w:pStyle w:val="Bullets"/>
              <w:ind w:left="993" w:hanging="426"/>
              <w:rPr>
                <w:rFonts w:ascii="Arial" w:hAnsi="Arial"/>
              </w:rPr>
            </w:pPr>
            <w:r w:rsidRPr="00612F7F">
              <w:rPr>
                <w:rFonts w:ascii="Arial" w:hAnsi="Arial"/>
                <w:b/>
              </w:rPr>
              <w:t>Nuclear and Energy Excellence:</w:t>
            </w:r>
            <w:r w:rsidRPr="00612F7F">
              <w:rPr>
                <w:rFonts w:ascii="Arial" w:hAnsi="Arial"/>
              </w:rPr>
              <w:t xml:space="preserve"> The nuclear industry is one of Cumbria’s key assets, with a hard-won global reputation for excellence and innovation. Sellafield is Europe’s most complex nuclear site and employs around 10,000 people, with thousands more in the supply chain in market-leading local companies.</w:t>
            </w:r>
          </w:p>
          <w:p w14:paraId="2AABBCE1" w14:textId="77777777" w:rsidR="00AA32BC" w:rsidRPr="00612F7F" w:rsidRDefault="00AA32BC" w:rsidP="00AA32BC">
            <w:pPr>
              <w:pStyle w:val="Bullets"/>
              <w:ind w:left="993" w:hanging="426"/>
              <w:rPr>
                <w:rFonts w:ascii="Arial" w:hAnsi="Arial"/>
              </w:rPr>
            </w:pPr>
            <w:r w:rsidRPr="00612F7F">
              <w:rPr>
                <w:rFonts w:ascii="Arial" w:hAnsi="Arial"/>
                <w:b/>
              </w:rPr>
              <w:t>Vibrant Rural and Visitor Economy:</w:t>
            </w:r>
            <w:r w:rsidRPr="00612F7F">
              <w:rPr>
                <w:rFonts w:ascii="Arial" w:hAnsi="Arial"/>
              </w:rPr>
              <w:t xml:space="preserve"> The majority of Cumbria’s businesses and its resident population are located in rural areas, and as such the county’s rural economy is diverse and multi-sectoral.  The rural nature of Cumbria is one of its defining features, boasting magnificent land and seascapes and tremendous resources.  The Lake District National Park attracts millions of visitors each year and is widely recognised as one of the most scenic areas of England. The west of the county has a stunning coastline that presents opportunities for economic growth, while the north of the county hosts a significant part of Hadrian’s Wall and the historic city of Carlisle.</w:t>
            </w:r>
          </w:p>
          <w:p w14:paraId="2AABBCE2" w14:textId="77777777" w:rsidR="00AA32BC" w:rsidRPr="00612F7F" w:rsidRDefault="00AA32BC" w:rsidP="00AA32BC">
            <w:pPr>
              <w:pStyle w:val="Bullets"/>
              <w:ind w:left="993" w:hanging="426"/>
              <w:rPr>
                <w:rFonts w:ascii="Arial" w:hAnsi="Arial"/>
              </w:rPr>
            </w:pPr>
            <w:r w:rsidRPr="00612F7F">
              <w:rPr>
                <w:rFonts w:ascii="Arial" w:hAnsi="Arial"/>
                <w:b/>
              </w:rPr>
              <w:t>Strategic Connectivity of the M6 Corridor:</w:t>
            </w:r>
            <w:r w:rsidRPr="00612F7F">
              <w:rPr>
                <w:rFonts w:ascii="Arial" w:hAnsi="Arial"/>
              </w:rPr>
              <w:t xml:space="preserve"> In the UK and Eire context, North Cumbria is at the geographical centre for distribution and redistribution.  </w:t>
            </w:r>
            <w:r w:rsidRPr="00612F7F">
              <w:rPr>
                <w:rFonts w:ascii="Arial" w:hAnsi="Arial"/>
                <w:szCs w:val="24"/>
              </w:rPr>
              <w:t xml:space="preserve">Logistics and </w:t>
            </w:r>
            <w:proofErr w:type="spellStart"/>
            <w:r w:rsidRPr="00612F7F">
              <w:rPr>
                <w:rFonts w:ascii="Arial" w:hAnsi="Arial"/>
                <w:szCs w:val="24"/>
              </w:rPr>
              <w:t>agri</w:t>
            </w:r>
            <w:proofErr w:type="spellEnd"/>
            <w:r w:rsidRPr="00612F7F">
              <w:rPr>
                <w:rFonts w:ascii="Arial" w:hAnsi="Arial"/>
                <w:szCs w:val="24"/>
              </w:rPr>
              <w:t>-related businesses are thriving along the M6, with Carlisle hosting Eddie Stobart, an iconic brand and a leader in the logistics and distribution sector.  Other leading businesses include the H&amp;H Auction Mart at Rosehill (the largest mart in England), AW Jenkinson in Penrith (a national distributor of timber products) and Houghton Parkhouse in South Lakeland (a leading agricultural haulage manufacturer).</w:t>
            </w:r>
            <w:r w:rsidRPr="00612F7F">
              <w:rPr>
                <w:rFonts w:ascii="Arial" w:hAnsi="Arial"/>
              </w:rPr>
              <w:t xml:space="preserve"> </w:t>
            </w:r>
          </w:p>
          <w:p w14:paraId="2AABBCE3" w14:textId="77777777" w:rsidR="00AA32BC" w:rsidRPr="00612F7F" w:rsidRDefault="00AA32BC" w:rsidP="00AA32BC">
            <w:pPr>
              <w:pStyle w:val="NumberedParagraph0"/>
              <w:tabs>
                <w:tab w:val="clear" w:pos="360"/>
              </w:tabs>
              <w:rPr>
                <w:rFonts w:ascii="Arial" w:hAnsi="Arial" w:cs="Arial"/>
              </w:rPr>
            </w:pPr>
            <w:r w:rsidRPr="00612F7F">
              <w:rPr>
                <w:rFonts w:ascii="Arial" w:hAnsi="Arial" w:cs="Arial"/>
              </w:rPr>
              <w:t>The LEP’s vision for Cumbria is to have one of the fastest growing economies in the UK, in an energised and healthy environment.  The SEP conveys the LEP’s ambition for 2024, which includes creating 15,000 additional full-time equivalent jobs, boosting Cumbria’s economy by £600m more than current predictions</w:t>
            </w:r>
            <w:r w:rsidRPr="00612F7F">
              <w:rPr>
                <w:rFonts w:ascii="Arial" w:hAnsi="Arial" w:cs="Arial"/>
                <w:vertAlign w:val="superscript"/>
              </w:rPr>
              <w:footnoteReference w:id="1"/>
            </w:r>
            <w:r w:rsidRPr="00612F7F">
              <w:rPr>
                <w:rFonts w:ascii="Arial" w:hAnsi="Arial" w:cs="Arial"/>
              </w:rPr>
              <w:t xml:space="preserve">, supporting local </w:t>
            </w:r>
            <w:r w:rsidRPr="00612F7F">
              <w:rPr>
                <w:rFonts w:ascii="Arial" w:hAnsi="Arial" w:cs="Arial"/>
              </w:rPr>
              <w:lastRenderedPageBreak/>
              <w:t xml:space="preserve">planning authorities to deliver 30,000 new homes, raising skills levels and reducing skills gaps. </w:t>
            </w:r>
          </w:p>
          <w:p w14:paraId="2AABBCE4" w14:textId="77777777" w:rsidR="00AA32BC" w:rsidRDefault="00AA32BC" w:rsidP="00AA32BC">
            <w:r>
              <w:t>Cumbria’s 5 year Skills Investment Plan was published in February 2016. This is a key document and bidding organisations are encouraged to refer to it</w:t>
            </w:r>
          </w:p>
          <w:p w14:paraId="2AABBCE5" w14:textId="77777777" w:rsidR="00D9105E" w:rsidRDefault="00D9105E" w:rsidP="00AA32BC">
            <w:pPr>
              <w:rPr>
                <w:rFonts w:cs="Arial"/>
                <w:b/>
              </w:rPr>
            </w:pPr>
          </w:p>
          <w:p w14:paraId="2AABBCE6" w14:textId="77777777" w:rsidR="00D9105E" w:rsidRPr="00697329" w:rsidRDefault="00D9105E" w:rsidP="00D9105E">
            <w:pPr>
              <w:pStyle w:val="NumberedParagraph0"/>
              <w:tabs>
                <w:tab w:val="clear" w:pos="360"/>
              </w:tabs>
              <w:rPr>
                <w:rFonts w:ascii="Arial" w:hAnsi="Arial" w:cs="Arial"/>
                <w:szCs w:val="24"/>
              </w:rPr>
            </w:pPr>
            <w:r w:rsidRPr="00697329">
              <w:rPr>
                <w:rFonts w:ascii="Arial" w:hAnsi="Arial" w:cs="Arial"/>
                <w:szCs w:val="24"/>
              </w:rPr>
              <w:t xml:space="preserve">The Cumbria Skills Investment Plan identifies the following </w:t>
            </w:r>
            <w:r>
              <w:rPr>
                <w:rFonts w:ascii="Arial" w:hAnsi="Arial" w:cs="Arial"/>
                <w:szCs w:val="24"/>
              </w:rPr>
              <w:t>a</w:t>
            </w:r>
            <w:r w:rsidRPr="00697329">
              <w:rPr>
                <w:rFonts w:ascii="Arial" w:hAnsi="Arial" w:cs="Arial"/>
                <w:szCs w:val="24"/>
              </w:rPr>
              <w:t>ims in tackling unemployment:</w:t>
            </w:r>
          </w:p>
          <w:p w14:paraId="2AABBCE7" w14:textId="77777777" w:rsidR="00D9105E" w:rsidRPr="00697329" w:rsidRDefault="00D9105E" w:rsidP="00D9105E">
            <w:pPr>
              <w:pStyle w:val="NumberedParagraph0"/>
              <w:numPr>
                <w:ilvl w:val="0"/>
                <w:numId w:val="33"/>
              </w:numPr>
              <w:rPr>
                <w:rFonts w:ascii="Arial" w:hAnsi="Arial" w:cs="Arial"/>
                <w:szCs w:val="24"/>
              </w:rPr>
            </w:pPr>
            <w:r w:rsidRPr="00697329">
              <w:rPr>
                <w:rFonts w:ascii="Arial" w:hAnsi="Arial" w:cs="Arial"/>
                <w:szCs w:val="24"/>
              </w:rPr>
              <w:t>Support employers to recruit from Cumbria’s cohort of unemployed residents;</w:t>
            </w:r>
          </w:p>
          <w:p w14:paraId="2AABBCE8" w14:textId="77777777" w:rsidR="00D9105E" w:rsidRPr="00697329" w:rsidRDefault="00D9105E" w:rsidP="00D9105E">
            <w:pPr>
              <w:pStyle w:val="NumberedParagraph0"/>
              <w:numPr>
                <w:ilvl w:val="0"/>
                <w:numId w:val="33"/>
              </w:numPr>
              <w:rPr>
                <w:rFonts w:ascii="Arial" w:hAnsi="Arial" w:cs="Arial"/>
                <w:szCs w:val="24"/>
              </w:rPr>
            </w:pPr>
            <w:r w:rsidRPr="00697329">
              <w:rPr>
                <w:rFonts w:ascii="Arial" w:hAnsi="Arial" w:cs="Arial"/>
                <w:szCs w:val="24"/>
              </w:rPr>
              <w:t xml:space="preserve">Support those that are unemployed in Cumbria to obtain skills in literacy, numeracy and ICT that enable them to progress, including to qualifications at Levels 2 and 3.  </w:t>
            </w:r>
          </w:p>
          <w:p w14:paraId="2AABBCE9" w14:textId="77777777" w:rsidR="00D9105E" w:rsidRPr="00697329" w:rsidRDefault="00D9105E" w:rsidP="00D9105E">
            <w:pPr>
              <w:pStyle w:val="NumberedParagraph0"/>
              <w:numPr>
                <w:ilvl w:val="0"/>
                <w:numId w:val="33"/>
              </w:numPr>
              <w:rPr>
                <w:rFonts w:ascii="Arial" w:hAnsi="Arial" w:cs="Arial"/>
                <w:szCs w:val="24"/>
              </w:rPr>
            </w:pPr>
            <w:r w:rsidRPr="00697329">
              <w:rPr>
                <w:rFonts w:ascii="Arial" w:hAnsi="Arial" w:cs="Arial"/>
                <w:szCs w:val="24"/>
              </w:rPr>
              <w:t>Support adults in Cumbria that are qualified below Level 2 to achieve a first full Level 2 qualification.</w:t>
            </w:r>
          </w:p>
          <w:p w14:paraId="2AABBCEA" w14:textId="77777777" w:rsidR="00D9105E" w:rsidRPr="00697329" w:rsidRDefault="00D9105E" w:rsidP="00D9105E">
            <w:pPr>
              <w:pStyle w:val="NumberedParagraph0"/>
              <w:numPr>
                <w:ilvl w:val="0"/>
                <w:numId w:val="33"/>
              </w:numPr>
              <w:rPr>
                <w:rFonts w:ascii="Arial" w:hAnsi="Arial" w:cs="Arial"/>
                <w:szCs w:val="24"/>
              </w:rPr>
            </w:pPr>
            <w:r w:rsidRPr="00697329">
              <w:rPr>
                <w:rFonts w:ascii="Arial" w:hAnsi="Arial" w:cs="Arial"/>
                <w:szCs w:val="24"/>
              </w:rPr>
              <w:t>Promote and support learning as a pathway out of economic inactivity</w:t>
            </w:r>
          </w:p>
          <w:p w14:paraId="2AABBCEB" w14:textId="77777777" w:rsidR="00AA32BC" w:rsidRDefault="008D1F7B" w:rsidP="000D51DE">
            <w:pPr>
              <w:rPr>
                <w:rFonts w:cs="Arial"/>
                <w:lang w:eastAsia="en-GB"/>
              </w:rPr>
            </w:pPr>
            <w:r w:rsidRPr="008D1F7B">
              <w:rPr>
                <w:rFonts w:cs="Arial"/>
                <w:lang w:eastAsia="en-GB"/>
              </w:rPr>
              <w:t>An estimated 79,000 adults of working age in Cumbria are not qualified to Level 2, which in many industries and occupations is the benchmark for sustained employment.  Supporting people to achieve qualifications at this level can not only improve the skills profile of Cumbria as a whole but can help those that are unemployed to take advantage of emerging employment opportunities.</w:t>
            </w:r>
          </w:p>
          <w:p w14:paraId="2AABBCEC" w14:textId="77777777" w:rsidR="00F83F05" w:rsidRDefault="00F83F05" w:rsidP="000D51DE">
            <w:pPr>
              <w:rPr>
                <w:rFonts w:cs="Arial"/>
                <w:lang w:eastAsia="en-GB"/>
              </w:rPr>
            </w:pPr>
          </w:p>
          <w:p w14:paraId="2AABBCED" w14:textId="77777777" w:rsidR="00F83F05" w:rsidRPr="004041F0" w:rsidRDefault="00F83F05" w:rsidP="00F83F05">
            <w:pPr>
              <w:numPr>
                <w:ilvl w:val="1"/>
                <w:numId w:val="0"/>
              </w:numPr>
              <w:tabs>
                <w:tab w:val="num" w:pos="0"/>
              </w:tabs>
              <w:spacing w:before="120" w:after="240"/>
              <w:jc w:val="both"/>
              <w:rPr>
                <w:rFonts w:cs="Arial"/>
                <w:szCs w:val="22"/>
              </w:rPr>
            </w:pPr>
            <w:r w:rsidRPr="004041F0">
              <w:rPr>
                <w:rFonts w:cs="Arial"/>
                <w:szCs w:val="22"/>
              </w:rPr>
              <w:t xml:space="preserve">At the time of writing, approximately 29,000 people claim working age benefits in Cumbria. This is comprised of Jobseekers Allowance (JSA), Employment and Support Allowance (ESA), Income Support (IS) and Universal Credit (UC) claimants who are unemployed or underemployed.  The following table provides a district level breakdown and shows that claimant rates are highest in Barrow-in-Furness and Copeland.  The table intentionally excludes the ESA Support Group – currently estimated at 13,000 residents – as this group has been assessed as unfit for work and work related activity in the foreseeable future.      </w:t>
            </w:r>
          </w:p>
          <w:tbl>
            <w:tblPr>
              <w:tblW w:w="4892" w:type="pct"/>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172"/>
              <w:gridCol w:w="799"/>
              <w:gridCol w:w="707"/>
              <w:gridCol w:w="707"/>
              <w:gridCol w:w="1227"/>
              <w:gridCol w:w="1133"/>
              <w:gridCol w:w="1117"/>
              <w:gridCol w:w="975"/>
              <w:gridCol w:w="834"/>
            </w:tblGrid>
            <w:tr w:rsidR="00F83F05" w:rsidRPr="00F712DE" w14:paraId="2AABBCF7" w14:textId="77777777" w:rsidTr="0082674C">
              <w:trPr>
                <w:jc w:val="center"/>
              </w:trPr>
              <w:tc>
                <w:tcPr>
                  <w:tcW w:w="686" w:type="pct"/>
                  <w:shd w:val="clear" w:color="auto" w:fill="6C2768"/>
                </w:tcPr>
                <w:p w14:paraId="2AABBCEE" w14:textId="77777777" w:rsidR="00F83F05" w:rsidRPr="00391DF4" w:rsidRDefault="00F83F05" w:rsidP="00F83F05">
                  <w:pPr>
                    <w:spacing w:before="120" w:after="120"/>
                    <w:jc w:val="center"/>
                    <w:rPr>
                      <w:rFonts w:cs="Arial"/>
                      <w:bCs/>
                      <w:color w:val="FFFFFF" w:themeColor="background1"/>
                      <w:sz w:val="16"/>
                      <w:szCs w:val="16"/>
                    </w:rPr>
                  </w:pPr>
                </w:p>
              </w:tc>
              <w:tc>
                <w:tcPr>
                  <w:tcW w:w="471" w:type="pct"/>
                  <w:shd w:val="clear" w:color="auto" w:fill="6C2768"/>
                </w:tcPr>
                <w:p w14:paraId="2AABBCEF" w14:textId="77777777" w:rsidR="00F83F05" w:rsidRPr="00391DF4"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JSA</w:t>
                  </w:r>
                </w:p>
              </w:tc>
              <w:tc>
                <w:tcPr>
                  <w:tcW w:w="418" w:type="pct"/>
                  <w:shd w:val="clear" w:color="auto" w:fill="6C2768"/>
                </w:tcPr>
                <w:p w14:paraId="2AABBCF0" w14:textId="77777777" w:rsidR="00F83F05" w:rsidRPr="00391DF4"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ESA</w:t>
                  </w:r>
                </w:p>
              </w:tc>
              <w:tc>
                <w:tcPr>
                  <w:tcW w:w="418" w:type="pct"/>
                  <w:shd w:val="clear" w:color="auto" w:fill="6C2768"/>
                </w:tcPr>
                <w:p w14:paraId="2AABBCF1" w14:textId="77777777" w:rsidR="00F83F05" w:rsidRPr="00391DF4"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IS</w:t>
                  </w:r>
                </w:p>
              </w:tc>
              <w:tc>
                <w:tcPr>
                  <w:tcW w:w="718" w:type="pct"/>
                  <w:shd w:val="clear" w:color="auto" w:fill="6C2768"/>
                </w:tcPr>
                <w:p w14:paraId="2AABBCF2" w14:textId="77777777" w:rsidR="00F83F05" w:rsidRPr="00391DF4"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UC unemp</w:t>
                  </w:r>
                  <w:r>
                    <w:rPr>
                      <w:rFonts w:cs="Arial"/>
                      <w:bCs/>
                      <w:color w:val="FFFFFF" w:themeColor="background1"/>
                      <w:sz w:val="16"/>
                      <w:szCs w:val="16"/>
                    </w:rPr>
                    <w:t>loyed</w:t>
                  </w:r>
                  <w:r w:rsidRPr="00391DF4">
                    <w:rPr>
                      <w:rFonts w:cs="Arial"/>
                      <w:bCs/>
                      <w:color w:val="FFFFFF" w:themeColor="background1"/>
                      <w:sz w:val="16"/>
                      <w:szCs w:val="16"/>
                    </w:rPr>
                    <w:t>.</w:t>
                  </w:r>
                </w:p>
              </w:tc>
              <w:tc>
                <w:tcPr>
                  <w:tcW w:w="572" w:type="pct"/>
                  <w:shd w:val="clear" w:color="auto" w:fill="6C2768"/>
                </w:tcPr>
                <w:p w14:paraId="2AABBCF3" w14:textId="77777777" w:rsidR="00F83F05" w:rsidRPr="00F83F05"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Total unemp</w:t>
                  </w:r>
                  <w:r>
                    <w:rPr>
                      <w:rFonts w:cs="Arial"/>
                      <w:bCs/>
                      <w:color w:val="FFFFFF" w:themeColor="background1"/>
                      <w:sz w:val="16"/>
                      <w:szCs w:val="16"/>
                    </w:rPr>
                    <w:t>loyed</w:t>
                  </w:r>
                  <w:r w:rsidRPr="00F83F05">
                    <w:rPr>
                      <w:rFonts w:cs="Arial"/>
                      <w:bCs/>
                      <w:color w:val="FFFFFF" w:themeColor="background1"/>
                      <w:sz w:val="16"/>
                      <w:szCs w:val="16"/>
                    </w:rPr>
                    <w:t>.</w:t>
                  </w:r>
                </w:p>
              </w:tc>
              <w:tc>
                <w:tcPr>
                  <w:tcW w:w="654" w:type="pct"/>
                  <w:shd w:val="clear" w:color="auto" w:fill="6C2768"/>
                </w:tcPr>
                <w:p w14:paraId="2AABBCF4" w14:textId="77777777" w:rsidR="00F83F05" w:rsidRPr="00F83F05"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UC under</w:t>
                  </w:r>
                  <w:r>
                    <w:rPr>
                      <w:rFonts w:cs="Arial"/>
                      <w:bCs/>
                      <w:color w:val="FFFFFF" w:themeColor="background1"/>
                      <w:sz w:val="16"/>
                      <w:szCs w:val="16"/>
                    </w:rPr>
                    <w:t>-</w:t>
                  </w:r>
                  <w:r w:rsidRPr="00F83F05">
                    <w:rPr>
                      <w:rFonts w:cs="Arial"/>
                      <w:bCs/>
                      <w:color w:val="FFFFFF" w:themeColor="background1"/>
                      <w:sz w:val="16"/>
                      <w:szCs w:val="16"/>
                    </w:rPr>
                    <w:t>emp</w:t>
                  </w:r>
                  <w:r>
                    <w:rPr>
                      <w:rFonts w:cs="Arial"/>
                      <w:bCs/>
                      <w:color w:val="FFFFFF" w:themeColor="background1"/>
                      <w:sz w:val="16"/>
                      <w:szCs w:val="16"/>
                    </w:rPr>
                    <w:t>loyed</w:t>
                  </w:r>
                  <w:r w:rsidRPr="00F83F05">
                    <w:rPr>
                      <w:rFonts w:cs="Arial"/>
                      <w:bCs/>
                      <w:color w:val="FFFFFF" w:themeColor="background1"/>
                      <w:sz w:val="16"/>
                      <w:szCs w:val="16"/>
                    </w:rPr>
                    <w:t>.</w:t>
                  </w:r>
                </w:p>
              </w:tc>
              <w:tc>
                <w:tcPr>
                  <w:tcW w:w="572" w:type="pct"/>
                  <w:shd w:val="clear" w:color="auto" w:fill="6C2768"/>
                </w:tcPr>
                <w:p w14:paraId="2AABBCF5" w14:textId="77777777" w:rsidR="00F83F05" w:rsidRPr="00F83F05"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All benefits</w:t>
                  </w:r>
                </w:p>
              </w:tc>
              <w:tc>
                <w:tcPr>
                  <w:tcW w:w="491" w:type="pct"/>
                  <w:shd w:val="clear" w:color="auto" w:fill="6C2768"/>
                </w:tcPr>
                <w:p w14:paraId="2AABBCF6" w14:textId="77777777" w:rsidR="00F83F05" w:rsidRPr="00F83F05" w:rsidRDefault="00F83F05" w:rsidP="00F83F05">
                  <w:pPr>
                    <w:spacing w:before="120" w:after="120"/>
                    <w:jc w:val="center"/>
                    <w:rPr>
                      <w:rFonts w:cs="Arial"/>
                      <w:bCs/>
                      <w:color w:val="FFFFFF" w:themeColor="background1"/>
                      <w:sz w:val="16"/>
                      <w:szCs w:val="16"/>
                    </w:rPr>
                  </w:pPr>
                  <w:r w:rsidRPr="00391DF4">
                    <w:rPr>
                      <w:rFonts w:cs="Arial"/>
                      <w:bCs/>
                      <w:color w:val="FFFFFF" w:themeColor="background1"/>
                      <w:sz w:val="16"/>
                      <w:szCs w:val="16"/>
                    </w:rPr>
                    <w:t>%  WAP*</w:t>
                  </w:r>
                </w:p>
              </w:tc>
            </w:tr>
            <w:tr w:rsidR="00F83F05" w:rsidRPr="00F712DE" w14:paraId="2AABBD01" w14:textId="77777777" w:rsidTr="0082674C">
              <w:trPr>
                <w:jc w:val="center"/>
              </w:trPr>
              <w:tc>
                <w:tcPr>
                  <w:tcW w:w="686" w:type="pct"/>
                </w:tcPr>
                <w:p w14:paraId="2AABBCF8" w14:textId="77777777" w:rsidR="00F83F05" w:rsidRPr="00F83F05" w:rsidRDefault="00F83F05" w:rsidP="00F83F05">
                  <w:pPr>
                    <w:spacing w:before="120" w:after="120"/>
                    <w:rPr>
                      <w:rFonts w:cs="Arial"/>
                      <w:bCs/>
                      <w:sz w:val="16"/>
                      <w:szCs w:val="16"/>
                    </w:rPr>
                  </w:pPr>
                  <w:r w:rsidRPr="00F83F05">
                    <w:rPr>
                      <w:rFonts w:cs="Arial"/>
                      <w:bCs/>
                      <w:sz w:val="16"/>
                      <w:szCs w:val="16"/>
                    </w:rPr>
                    <w:t>Barrow-in-Furness</w:t>
                  </w:r>
                </w:p>
              </w:tc>
              <w:tc>
                <w:tcPr>
                  <w:tcW w:w="471" w:type="pct"/>
                  <w:vAlign w:val="center"/>
                </w:tcPr>
                <w:p w14:paraId="2AABBCF9" w14:textId="77777777" w:rsidR="00F83F05" w:rsidRPr="00F83F05" w:rsidRDefault="00F83F05" w:rsidP="00F83F05">
                  <w:pPr>
                    <w:spacing w:before="120" w:after="120"/>
                    <w:jc w:val="right"/>
                    <w:rPr>
                      <w:rFonts w:cs="Arial"/>
                      <w:bCs/>
                      <w:sz w:val="16"/>
                      <w:szCs w:val="16"/>
                    </w:rPr>
                  </w:pPr>
                  <w:r w:rsidRPr="00F83F05">
                    <w:rPr>
                      <w:rFonts w:cs="Arial"/>
                      <w:bCs/>
                      <w:sz w:val="16"/>
                      <w:szCs w:val="16"/>
                    </w:rPr>
                    <w:t>933</w:t>
                  </w:r>
                </w:p>
              </w:tc>
              <w:tc>
                <w:tcPr>
                  <w:tcW w:w="418" w:type="pct"/>
                  <w:vAlign w:val="center"/>
                </w:tcPr>
                <w:p w14:paraId="2AABBCFA" w14:textId="77777777" w:rsidR="00F83F05" w:rsidRPr="00F83F05" w:rsidRDefault="00F83F05" w:rsidP="00F83F05">
                  <w:pPr>
                    <w:spacing w:before="120" w:after="120"/>
                    <w:jc w:val="right"/>
                    <w:rPr>
                      <w:rFonts w:cs="Arial"/>
                      <w:bCs/>
                      <w:sz w:val="16"/>
                      <w:szCs w:val="16"/>
                    </w:rPr>
                  </w:pPr>
                  <w:r w:rsidRPr="00F83F05">
                    <w:rPr>
                      <w:rFonts w:cs="Arial"/>
                      <w:bCs/>
                      <w:sz w:val="16"/>
                      <w:szCs w:val="16"/>
                    </w:rPr>
                    <w:t>1,240</w:t>
                  </w:r>
                </w:p>
              </w:tc>
              <w:tc>
                <w:tcPr>
                  <w:tcW w:w="418" w:type="pct"/>
                  <w:vAlign w:val="center"/>
                </w:tcPr>
                <w:p w14:paraId="2AABBCFB" w14:textId="77777777" w:rsidR="00F83F05" w:rsidRPr="00F83F05" w:rsidRDefault="00F83F05" w:rsidP="00F83F05">
                  <w:pPr>
                    <w:spacing w:before="120" w:after="120"/>
                    <w:jc w:val="right"/>
                    <w:rPr>
                      <w:rFonts w:cs="Arial"/>
                      <w:bCs/>
                      <w:sz w:val="16"/>
                      <w:szCs w:val="16"/>
                    </w:rPr>
                  </w:pPr>
                  <w:r w:rsidRPr="00F83F05">
                    <w:rPr>
                      <w:rFonts w:cs="Arial"/>
                      <w:bCs/>
                      <w:sz w:val="16"/>
                      <w:szCs w:val="16"/>
                    </w:rPr>
                    <w:t>925</w:t>
                  </w:r>
                </w:p>
              </w:tc>
              <w:tc>
                <w:tcPr>
                  <w:tcW w:w="718" w:type="pct"/>
                  <w:vAlign w:val="center"/>
                </w:tcPr>
                <w:p w14:paraId="2AABBCFC" w14:textId="77777777" w:rsidR="00F83F05" w:rsidRPr="00F83F05" w:rsidRDefault="00F83F05" w:rsidP="00F83F05">
                  <w:pPr>
                    <w:spacing w:before="120" w:after="120"/>
                    <w:jc w:val="right"/>
                    <w:rPr>
                      <w:rFonts w:cs="Arial"/>
                      <w:bCs/>
                      <w:sz w:val="16"/>
                      <w:szCs w:val="16"/>
                    </w:rPr>
                  </w:pPr>
                  <w:r w:rsidRPr="00F83F05">
                    <w:rPr>
                      <w:rFonts w:cs="Arial"/>
                      <w:bCs/>
                      <w:sz w:val="16"/>
                      <w:szCs w:val="16"/>
                    </w:rPr>
                    <w:t>97</w:t>
                  </w:r>
                </w:p>
              </w:tc>
              <w:tc>
                <w:tcPr>
                  <w:tcW w:w="572" w:type="pct"/>
                  <w:vAlign w:val="center"/>
                </w:tcPr>
                <w:p w14:paraId="2AABBCFD"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3,195</w:t>
                  </w:r>
                </w:p>
              </w:tc>
              <w:tc>
                <w:tcPr>
                  <w:tcW w:w="654" w:type="pct"/>
                  <w:vAlign w:val="center"/>
                </w:tcPr>
                <w:p w14:paraId="2AABBCFE" w14:textId="77777777" w:rsidR="00F83F05" w:rsidRPr="00F83F05" w:rsidRDefault="00F83F05" w:rsidP="00F83F05">
                  <w:pPr>
                    <w:spacing w:before="120" w:after="120"/>
                    <w:jc w:val="right"/>
                    <w:rPr>
                      <w:rFonts w:cs="Arial"/>
                      <w:bCs/>
                      <w:sz w:val="16"/>
                      <w:szCs w:val="16"/>
                    </w:rPr>
                  </w:pPr>
                  <w:r w:rsidRPr="00F83F05">
                    <w:rPr>
                      <w:rFonts w:cs="Arial"/>
                      <w:bCs/>
                      <w:sz w:val="16"/>
                      <w:szCs w:val="16"/>
                    </w:rPr>
                    <w:t>54</w:t>
                  </w:r>
                </w:p>
              </w:tc>
              <w:tc>
                <w:tcPr>
                  <w:tcW w:w="572" w:type="pct"/>
                  <w:vAlign w:val="center"/>
                </w:tcPr>
                <w:p w14:paraId="2AABBCFF"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3,249</w:t>
                  </w:r>
                </w:p>
              </w:tc>
              <w:tc>
                <w:tcPr>
                  <w:tcW w:w="491" w:type="pct"/>
                  <w:vAlign w:val="center"/>
                </w:tcPr>
                <w:p w14:paraId="2AABBD00" w14:textId="77777777" w:rsidR="00F83F05" w:rsidRPr="00F83F05" w:rsidRDefault="00F83F05" w:rsidP="00F83F05">
                  <w:pPr>
                    <w:spacing w:before="120" w:after="120"/>
                    <w:jc w:val="right"/>
                    <w:rPr>
                      <w:rFonts w:cs="Arial"/>
                      <w:bCs/>
                      <w:sz w:val="16"/>
                      <w:szCs w:val="16"/>
                    </w:rPr>
                  </w:pPr>
                  <w:r w:rsidRPr="00F83F05">
                    <w:rPr>
                      <w:rFonts w:cs="Arial"/>
                      <w:bCs/>
                      <w:sz w:val="16"/>
                      <w:szCs w:val="16"/>
                    </w:rPr>
                    <w:t>7.8%</w:t>
                  </w:r>
                </w:p>
              </w:tc>
            </w:tr>
            <w:tr w:rsidR="00F83F05" w:rsidRPr="00F712DE" w14:paraId="2AABBD0B" w14:textId="77777777" w:rsidTr="0082674C">
              <w:trPr>
                <w:jc w:val="center"/>
              </w:trPr>
              <w:tc>
                <w:tcPr>
                  <w:tcW w:w="686" w:type="pct"/>
                </w:tcPr>
                <w:p w14:paraId="2AABBD02" w14:textId="77777777" w:rsidR="00F83F05" w:rsidRPr="00F83F05" w:rsidRDefault="00F83F05" w:rsidP="00F83F05">
                  <w:pPr>
                    <w:spacing w:before="120" w:after="120"/>
                    <w:rPr>
                      <w:rFonts w:cs="Arial"/>
                      <w:bCs/>
                      <w:sz w:val="16"/>
                      <w:szCs w:val="16"/>
                    </w:rPr>
                  </w:pPr>
                  <w:r w:rsidRPr="00F83F05">
                    <w:rPr>
                      <w:rFonts w:cs="Arial"/>
                      <w:bCs/>
                      <w:sz w:val="16"/>
                      <w:szCs w:val="16"/>
                    </w:rPr>
                    <w:t>Copeland</w:t>
                  </w:r>
                </w:p>
              </w:tc>
              <w:tc>
                <w:tcPr>
                  <w:tcW w:w="471" w:type="pct"/>
                  <w:vAlign w:val="center"/>
                </w:tcPr>
                <w:p w14:paraId="2AABBD03" w14:textId="77777777" w:rsidR="00F83F05" w:rsidRPr="00F83F05" w:rsidRDefault="00F83F05" w:rsidP="00F83F05">
                  <w:pPr>
                    <w:spacing w:before="120" w:after="120"/>
                    <w:jc w:val="right"/>
                    <w:rPr>
                      <w:rFonts w:cs="Arial"/>
                      <w:bCs/>
                      <w:sz w:val="16"/>
                      <w:szCs w:val="16"/>
                    </w:rPr>
                  </w:pPr>
                  <w:r w:rsidRPr="00F83F05">
                    <w:rPr>
                      <w:rFonts w:cs="Arial"/>
                      <w:bCs/>
                      <w:sz w:val="16"/>
                      <w:szCs w:val="16"/>
                    </w:rPr>
                    <w:t>531</w:t>
                  </w:r>
                </w:p>
              </w:tc>
              <w:tc>
                <w:tcPr>
                  <w:tcW w:w="418" w:type="pct"/>
                  <w:vAlign w:val="center"/>
                </w:tcPr>
                <w:p w14:paraId="2AABBD04" w14:textId="77777777" w:rsidR="00F83F05" w:rsidRPr="00F83F05" w:rsidRDefault="00F83F05" w:rsidP="00F83F05">
                  <w:pPr>
                    <w:spacing w:before="120" w:after="120"/>
                    <w:jc w:val="right"/>
                    <w:rPr>
                      <w:rFonts w:cs="Arial"/>
                      <w:bCs/>
                      <w:sz w:val="16"/>
                      <w:szCs w:val="16"/>
                    </w:rPr>
                  </w:pPr>
                  <w:r w:rsidRPr="00F83F05">
                    <w:rPr>
                      <w:rFonts w:cs="Arial"/>
                      <w:bCs/>
                      <w:sz w:val="16"/>
                      <w:szCs w:val="16"/>
                    </w:rPr>
                    <w:t>1,060</w:t>
                  </w:r>
                </w:p>
              </w:tc>
              <w:tc>
                <w:tcPr>
                  <w:tcW w:w="418" w:type="pct"/>
                  <w:vAlign w:val="center"/>
                </w:tcPr>
                <w:p w14:paraId="2AABBD05" w14:textId="77777777" w:rsidR="00F83F05" w:rsidRPr="00F83F05" w:rsidRDefault="00F83F05" w:rsidP="00F83F05">
                  <w:pPr>
                    <w:spacing w:before="120" w:after="120"/>
                    <w:jc w:val="right"/>
                    <w:rPr>
                      <w:rFonts w:cs="Arial"/>
                      <w:bCs/>
                      <w:sz w:val="16"/>
                      <w:szCs w:val="16"/>
                    </w:rPr>
                  </w:pPr>
                  <w:r w:rsidRPr="00F83F05">
                    <w:rPr>
                      <w:rFonts w:cs="Arial"/>
                      <w:bCs/>
                      <w:sz w:val="16"/>
                      <w:szCs w:val="16"/>
                    </w:rPr>
                    <w:t>660</w:t>
                  </w:r>
                </w:p>
              </w:tc>
              <w:tc>
                <w:tcPr>
                  <w:tcW w:w="718" w:type="pct"/>
                  <w:vAlign w:val="center"/>
                </w:tcPr>
                <w:p w14:paraId="2AABBD06" w14:textId="77777777" w:rsidR="00F83F05" w:rsidRPr="00F83F05" w:rsidRDefault="00F83F05" w:rsidP="00F83F05">
                  <w:pPr>
                    <w:spacing w:before="120" w:after="120"/>
                    <w:jc w:val="right"/>
                    <w:rPr>
                      <w:rFonts w:cs="Arial"/>
                      <w:bCs/>
                      <w:sz w:val="16"/>
                      <w:szCs w:val="16"/>
                    </w:rPr>
                  </w:pPr>
                  <w:r w:rsidRPr="00F83F05">
                    <w:rPr>
                      <w:rFonts w:cs="Arial"/>
                      <w:bCs/>
                      <w:sz w:val="16"/>
                      <w:szCs w:val="16"/>
                    </w:rPr>
                    <w:t>421</w:t>
                  </w:r>
                </w:p>
              </w:tc>
              <w:tc>
                <w:tcPr>
                  <w:tcW w:w="572" w:type="pct"/>
                  <w:vAlign w:val="center"/>
                </w:tcPr>
                <w:p w14:paraId="2AABBD07"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2,672</w:t>
                  </w:r>
                </w:p>
              </w:tc>
              <w:tc>
                <w:tcPr>
                  <w:tcW w:w="654" w:type="pct"/>
                  <w:vAlign w:val="center"/>
                </w:tcPr>
                <w:p w14:paraId="2AABBD08" w14:textId="77777777" w:rsidR="00F83F05" w:rsidRPr="00F83F05" w:rsidRDefault="00F83F05" w:rsidP="00F83F05">
                  <w:pPr>
                    <w:spacing w:before="120" w:after="120"/>
                    <w:jc w:val="right"/>
                    <w:rPr>
                      <w:rFonts w:cs="Arial"/>
                      <w:bCs/>
                      <w:sz w:val="16"/>
                      <w:szCs w:val="16"/>
                    </w:rPr>
                  </w:pPr>
                  <w:r w:rsidRPr="00F83F05">
                    <w:rPr>
                      <w:rFonts w:cs="Arial"/>
                      <w:bCs/>
                      <w:sz w:val="16"/>
                      <w:szCs w:val="16"/>
                    </w:rPr>
                    <w:t>262</w:t>
                  </w:r>
                </w:p>
              </w:tc>
              <w:tc>
                <w:tcPr>
                  <w:tcW w:w="572" w:type="pct"/>
                  <w:vAlign w:val="center"/>
                </w:tcPr>
                <w:p w14:paraId="2AABBD09"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2,934</w:t>
                  </w:r>
                </w:p>
              </w:tc>
              <w:tc>
                <w:tcPr>
                  <w:tcW w:w="491" w:type="pct"/>
                  <w:vAlign w:val="center"/>
                </w:tcPr>
                <w:p w14:paraId="2AABBD0A" w14:textId="77777777" w:rsidR="00F83F05" w:rsidRPr="00F83F05" w:rsidRDefault="00F83F05" w:rsidP="00F83F05">
                  <w:pPr>
                    <w:spacing w:before="120" w:after="120"/>
                    <w:jc w:val="right"/>
                    <w:rPr>
                      <w:rFonts w:cs="Arial"/>
                      <w:bCs/>
                      <w:sz w:val="16"/>
                      <w:szCs w:val="16"/>
                    </w:rPr>
                  </w:pPr>
                  <w:r w:rsidRPr="00F83F05">
                    <w:rPr>
                      <w:rFonts w:cs="Arial"/>
                      <w:bCs/>
                      <w:sz w:val="16"/>
                      <w:szCs w:val="16"/>
                    </w:rPr>
                    <w:t>6.7%</w:t>
                  </w:r>
                </w:p>
              </w:tc>
            </w:tr>
            <w:tr w:rsidR="00F83F05" w:rsidRPr="00F712DE" w14:paraId="2AABBD15" w14:textId="77777777" w:rsidTr="0082674C">
              <w:trPr>
                <w:jc w:val="center"/>
              </w:trPr>
              <w:tc>
                <w:tcPr>
                  <w:tcW w:w="686" w:type="pct"/>
                </w:tcPr>
                <w:p w14:paraId="2AABBD0C" w14:textId="77777777" w:rsidR="00F83F05" w:rsidRPr="00F83F05" w:rsidRDefault="00F83F05" w:rsidP="00F83F05">
                  <w:pPr>
                    <w:spacing w:before="120" w:after="120"/>
                    <w:rPr>
                      <w:rFonts w:cs="Arial"/>
                      <w:bCs/>
                      <w:sz w:val="16"/>
                      <w:szCs w:val="16"/>
                    </w:rPr>
                  </w:pPr>
                  <w:r w:rsidRPr="00F83F05">
                    <w:rPr>
                      <w:rFonts w:cs="Arial"/>
                      <w:bCs/>
                      <w:sz w:val="16"/>
                      <w:szCs w:val="16"/>
                    </w:rPr>
                    <w:t>Carlisle</w:t>
                  </w:r>
                </w:p>
              </w:tc>
              <w:tc>
                <w:tcPr>
                  <w:tcW w:w="471" w:type="pct"/>
                  <w:vAlign w:val="center"/>
                </w:tcPr>
                <w:p w14:paraId="2AABBD0D" w14:textId="77777777" w:rsidR="00F83F05" w:rsidRPr="00F83F05" w:rsidRDefault="00F83F05" w:rsidP="00F83F05">
                  <w:pPr>
                    <w:spacing w:before="120" w:after="120"/>
                    <w:jc w:val="right"/>
                    <w:rPr>
                      <w:rFonts w:cs="Arial"/>
                      <w:bCs/>
                      <w:sz w:val="16"/>
                      <w:szCs w:val="16"/>
                    </w:rPr>
                  </w:pPr>
                  <w:r w:rsidRPr="00F83F05">
                    <w:rPr>
                      <w:rFonts w:cs="Arial"/>
                      <w:bCs/>
                      <w:sz w:val="16"/>
                      <w:szCs w:val="16"/>
                    </w:rPr>
                    <w:t>716</w:t>
                  </w:r>
                </w:p>
              </w:tc>
              <w:tc>
                <w:tcPr>
                  <w:tcW w:w="418" w:type="pct"/>
                  <w:vAlign w:val="center"/>
                </w:tcPr>
                <w:p w14:paraId="2AABBD0E" w14:textId="77777777" w:rsidR="00F83F05" w:rsidRPr="00F83F05" w:rsidRDefault="00F83F05" w:rsidP="00F83F05">
                  <w:pPr>
                    <w:spacing w:before="120" w:after="120"/>
                    <w:jc w:val="right"/>
                    <w:rPr>
                      <w:rFonts w:cs="Arial"/>
                      <w:bCs/>
                      <w:sz w:val="16"/>
                      <w:szCs w:val="16"/>
                    </w:rPr>
                  </w:pPr>
                  <w:r w:rsidRPr="00F83F05">
                    <w:rPr>
                      <w:rFonts w:cs="Arial"/>
                      <w:bCs/>
                      <w:sz w:val="16"/>
                      <w:szCs w:val="16"/>
                    </w:rPr>
                    <w:t>1,450</w:t>
                  </w:r>
                </w:p>
              </w:tc>
              <w:tc>
                <w:tcPr>
                  <w:tcW w:w="418" w:type="pct"/>
                  <w:vAlign w:val="center"/>
                </w:tcPr>
                <w:p w14:paraId="2AABBD0F" w14:textId="77777777" w:rsidR="00F83F05" w:rsidRPr="00F83F05" w:rsidRDefault="00F83F05" w:rsidP="00F83F05">
                  <w:pPr>
                    <w:spacing w:before="120" w:after="120"/>
                    <w:jc w:val="right"/>
                    <w:rPr>
                      <w:rFonts w:cs="Arial"/>
                      <w:bCs/>
                      <w:sz w:val="16"/>
                      <w:szCs w:val="16"/>
                    </w:rPr>
                  </w:pPr>
                  <w:r w:rsidRPr="00F83F05">
                    <w:rPr>
                      <w:rFonts w:cs="Arial"/>
                      <w:bCs/>
                      <w:sz w:val="16"/>
                      <w:szCs w:val="16"/>
                    </w:rPr>
                    <w:t>1,165</w:t>
                  </w:r>
                </w:p>
              </w:tc>
              <w:tc>
                <w:tcPr>
                  <w:tcW w:w="718" w:type="pct"/>
                  <w:vAlign w:val="center"/>
                </w:tcPr>
                <w:p w14:paraId="2AABBD10" w14:textId="77777777" w:rsidR="00F83F05" w:rsidRPr="00F83F05" w:rsidRDefault="00F83F05" w:rsidP="00F83F05">
                  <w:pPr>
                    <w:spacing w:before="120" w:after="120"/>
                    <w:jc w:val="right"/>
                    <w:rPr>
                      <w:rFonts w:cs="Arial"/>
                      <w:bCs/>
                      <w:sz w:val="16"/>
                      <w:szCs w:val="16"/>
                    </w:rPr>
                  </w:pPr>
                  <w:r w:rsidRPr="00F83F05">
                    <w:rPr>
                      <w:rFonts w:cs="Arial"/>
                      <w:bCs/>
                      <w:sz w:val="16"/>
                      <w:szCs w:val="16"/>
                    </w:rPr>
                    <w:t>366</w:t>
                  </w:r>
                </w:p>
              </w:tc>
              <w:tc>
                <w:tcPr>
                  <w:tcW w:w="572" w:type="pct"/>
                  <w:vAlign w:val="center"/>
                </w:tcPr>
                <w:p w14:paraId="2AABBD11"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3,697</w:t>
                  </w:r>
                </w:p>
              </w:tc>
              <w:tc>
                <w:tcPr>
                  <w:tcW w:w="654" w:type="pct"/>
                  <w:vAlign w:val="center"/>
                </w:tcPr>
                <w:p w14:paraId="2AABBD12" w14:textId="77777777" w:rsidR="00F83F05" w:rsidRPr="00F83F05" w:rsidRDefault="00F83F05" w:rsidP="00F83F05">
                  <w:pPr>
                    <w:spacing w:before="120" w:after="120"/>
                    <w:jc w:val="right"/>
                    <w:rPr>
                      <w:rFonts w:cs="Arial"/>
                      <w:bCs/>
                      <w:sz w:val="16"/>
                      <w:szCs w:val="16"/>
                    </w:rPr>
                  </w:pPr>
                  <w:r w:rsidRPr="00F83F05">
                    <w:rPr>
                      <w:rFonts w:cs="Arial"/>
                      <w:bCs/>
                      <w:sz w:val="16"/>
                      <w:szCs w:val="16"/>
                    </w:rPr>
                    <w:t>183</w:t>
                  </w:r>
                </w:p>
              </w:tc>
              <w:tc>
                <w:tcPr>
                  <w:tcW w:w="572" w:type="pct"/>
                  <w:vAlign w:val="center"/>
                </w:tcPr>
                <w:p w14:paraId="2AABBD13"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3,880</w:t>
                  </w:r>
                </w:p>
              </w:tc>
              <w:tc>
                <w:tcPr>
                  <w:tcW w:w="491" w:type="pct"/>
                  <w:vAlign w:val="center"/>
                </w:tcPr>
                <w:p w14:paraId="2AABBD14" w14:textId="77777777" w:rsidR="00F83F05" w:rsidRPr="00F83F05" w:rsidRDefault="00F83F05" w:rsidP="00F83F05">
                  <w:pPr>
                    <w:spacing w:before="120" w:after="120"/>
                    <w:jc w:val="right"/>
                    <w:rPr>
                      <w:rFonts w:cs="Arial"/>
                      <w:bCs/>
                      <w:sz w:val="16"/>
                      <w:szCs w:val="16"/>
                    </w:rPr>
                  </w:pPr>
                  <w:r w:rsidRPr="00F83F05">
                    <w:rPr>
                      <w:rFonts w:cs="Arial"/>
                      <w:bCs/>
                      <w:sz w:val="16"/>
                      <w:szCs w:val="16"/>
                    </w:rPr>
                    <w:t>5.7%</w:t>
                  </w:r>
                </w:p>
              </w:tc>
            </w:tr>
            <w:tr w:rsidR="00F83F05" w:rsidRPr="00F712DE" w14:paraId="2AABBD1F" w14:textId="77777777" w:rsidTr="0082674C">
              <w:trPr>
                <w:jc w:val="center"/>
              </w:trPr>
              <w:tc>
                <w:tcPr>
                  <w:tcW w:w="686" w:type="pct"/>
                </w:tcPr>
                <w:p w14:paraId="2AABBD16" w14:textId="77777777" w:rsidR="00F83F05" w:rsidRPr="00F83F05" w:rsidRDefault="00F83F05" w:rsidP="00F83F05">
                  <w:pPr>
                    <w:spacing w:before="120" w:after="120"/>
                    <w:rPr>
                      <w:rFonts w:cs="Arial"/>
                      <w:bCs/>
                      <w:sz w:val="16"/>
                      <w:szCs w:val="16"/>
                    </w:rPr>
                  </w:pPr>
                  <w:proofErr w:type="spellStart"/>
                  <w:r w:rsidRPr="00F83F05">
                    <w:rPr>
                      <w:rFonts w:cs="Arial"/>
                      <w:bCs/>
                      <w:sz w:val="16"/>
                      <w:szCs w:val="16"/>
                    </w:rPr>
                    <w:t>Allerdale</w:t>
                  </w:r>
                  <w:proofErr w:type="spellEnd"/>
                </w:p>
              </w:tc>
              <w:tc>
                <w:tcPr>
                  <w:tcW w:w="471" w:type="pct"/>
                  <w:vAlign w:val="center"/>
                </w:tcPr>
                <w:p w14:paraId="2AABBD17" w14:textId="77777777" w:rsidR="00F83F05" w:rsidRPr="00F83F05" w:rsidRDefault="00F83F05" w:rsidP="00F83F05">
                  <w:pPr>
                    <w:spacing w:before="120" w:after="120"/>
                    <w:jc w:val="right"/>
                    <w:rPr>
                      <w:rFonts w:cs="Arial"/>
                      <w:bCs/>
                      <w:sz w:val="16"/>
                      <w:szCs w:val="16"/>
                    </w:rPr>
                  </w:pPr>
                  <w:r w:rsidRPr="00F83F05">
                    <w:rPr>
                      <w:rFonts w:cs="Arial"/>
                      <w:bCs/>
                      <w:sz w:val="16"/>
                      <w:szCs w:val="16"/>
                    </w:rPr>
                    <w:t>810</w:t>
                  </w:r>
                </w:p>
              </w:tc>
              <w:tc>
                <w:tcPr>
                  <w:tcW w:w="418" w:type="pct"/>
                  <w:vAlign w:val="center"/>
                </w:tcPr>
                <w:p w14:paraId="2AABBD18" w14:textId="77777777" w:rsidR="00F83F05" w:rsidRPr="00F83F05" w:rsidRDefault="00F83F05" w:rsidP="00F83F05">
                  <w:pPr>
                    <w:spacing w:before="120" w:after="120"/>
                    <w:jc w:val="right"/>
                    <w:rPr>
                      <w:rFonts w:cs="Arial"/>
                      <w:bCs/>
                      <w:sz w:val="16"/>
                      <w:szCs w:val="16"/>
                    </w:rPr>
                  </w:pPr>
                  <w:r w:rsidRPr="00F83F05">
                    <w:rPr>
                      <w:rFonts w:cs="Arial"/>
                      <w:bCs/>
                      <w:sz w:val="16"/>
                      <w:szCs w:val="16"/>
                    </w:rPr>
                    <w:t>1,200</w:t>
                  </w:r>
                </w:p>
              </w:tc>
              <w:tc>
                <w:tcPr>
                  <w:tcW w:w="418" w:type="pct"/>
                  <w:vAlign w:val="center"/>
                </w:tcPr>
                <w:p w14:paraId="2AABBD19" w14:textId="77777777" w:rsidR="00F83F05" w:rsidRPr="00F83F05" w:rsidRDefault="00F83F05" w:rsidP="00F83F05">
                  <w:pPr>
                    <w:spacing w:before="120" w:after="120"/>
                    <w:jc w:val="right"/>
                    <w:rPr>
                      <w:rFonts w:cs="Arial"/>
                      <w:bCs/>
                      <w:sz w:val="16"/>
                      <w:szCs w:val="16"/>
                    </w:rPr>
                  </w:pPr>
                  <w:r w:rsidRPr="00F83F05">
                    <w:rPr>
                      <w:rFonts w:cs="Arial"/>
                      <w:bCs/>
                      <w:sz w:val="16"/>
                      <w:szCs w:val="16"/>
                    </w:rPr>
                    <w:t>865</w:t>
                  </w:r>
                </w:p>
              </w:tc>
              <w:tc>
                <w:tcPr>
                  <w:tcW w:w="718" w:type="pct"/>
                  <w:vAlign w:val="center"/>
                </w:tcPr>
                <w:p w14:paraId="2AABBD1A" w14:textId="77777777" w:rsidR="00F83F05" w:rsidRPr="00F83F05" w:rsidRDefault="00F83F05" w:rsidP="00F83F05">
                  <w:pPr>
                    <w:spacing w:before="120" w:after="120"/>
                    <w:jc w:val="right"/>
                    <w:rPr>
                      <w:rFonts w:cs="Arial"/>
                      <w:bCs/>
                      <w:sz w:val="16"/>
                      <w:szCs w:val="16"/>
                    </w:rPr>
                  </w:pPr>
                  <w:r w:rsidRPr="00F83F05">
                    <w:rPr>
                      <w:rFonts w:cs="Arial"/>
                      <w:bCs/>
                      <w:sz w:val="16"/>
                      <w:szCs w:val="16"/>
                    </w:rPr>
                    <w:t>413</w:t>
                  </w:r>
                </w:p>
              </w:tc>
              <w:tc>
                <w:tcPr>
                  <w:tcW w:w="572" w:type="pct"/>
                  <w:vAlign w:val="center"/>
                </w:tcPr>
                <w:p w14:paraId="2AABBD1B"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3,288</w:t>
                  </w:r>
                </w:p>
              </w:tc>
              <w:tc>
                <w:tcPr>
                  <w:tcW w:w="654" w:type="pct"/>
                  <w:vAlign w:val="center"/>
                </w:tcPr>
                <w:p w14:paraId="2AABBD1C" w14:textId="77777777" w:rsidR="00F83F05" w:rsidRPr="00F83F05" w:rsidRDefault="00F83F05" w:rsidP="00F83F05">
                  <w:pPr>
                    <w:spacing w:before="120" w:after="120"/>
                    <w:jc w:val="right"/>
                    <w:rPr>
                      <w:rFonts w:cs="Arial"/>
                      <w:bCs/>
                      <w:sz w:val="16"/>
                      <w:szCs w:val="16"/>
                    </w:rPr>
                  </w:pPr>
                  <w:r w:rsidRPr="00F83F05">
                    <w:rPr>
                      <w:rFonts w:cs="Arial"/>
                      <w:bCs/>
                      <w:sz w:val="16"/>
                      <w:szCs w:val="16"/>
                    </w:rPr>
                    <w:t>315</w:t>
                  </w:r>
                </w:p>
              </w:tc>
              <w:tc>
                <w:tcPr>
                  <w:tcW w:w="572" w:type="pct"/>
                  <w:vAlign w:val="center"/>
                </w:tcPr>
                <w:p w14:paraId="2AABBD1D"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3,603</w:t>
                  </w:r>
                </w:p>
              </w:tc>
              <w:tc>
                <w:tcPr>
                  <w:tcW w:w="491" w:type="pct"/>
                  <w:vAlign w:val="center"/>
                </w:tcPr>
                <w:p w14:paraId="2AABBD1E" w14:textId="77777777" w:rsidR="00F83F05" w:rsidRPr="00F83F05" w:rsidRDefault="00F83F05" w:rsidP="00F83F05">
                  <w:pPr>
                    <w:spacing w:before="120" w:after="120"/>
                    <w:jc w:val="right"/>
                    <w:rPr>
                      <w:rFonts w:cs="Arial"/>
                      <w:bCs/>
                      <w:sz w:val="16"/>
                      <w:szCs w:val="16"/>
                    </w:rPr>
                  </w:pPr>
                  <w:r w:rsidRPr="00F83F05">
                    <w:rPr>
                      <w:rFonts w:cs="Arial"/>
                      <w:bCs/>
                      <w:sz w:val="16"/>
                      <w:szCs w:val="16"/>
                    </w:rPr>
                    <w:t>6.2%</w:t>
                  </w:r>
                </w:p>
              </w:tc>
            </w:tr>
            <w:tr w:rsidR="00F83F05" w:rsidRPr="00F712DE" w14:paraId="2AABBD29" w14:textId="77777777" w:rsidTr="0082674C">
              <w:trPr>
                <w:jc w:val="center"/>
              </w:trPr>
              <w:tc>
                <w:tcPr>
                  <w:tcW w:w="686" w:type="pct"/>
                </w:tcPr>
                <w:p w14:paraId="2AABBD20" w14:textId="77777777" w:rsidR="00F83F05" w:rsidRPr="00F83F05" w:rsidRDefault="00F83F05" w:rsidP="00F83F05">
                  <w:pPr>
                    <w:spacing w:before="120" w:after="120"/>
                    <w:rPr>
                      <w:rFonts w:cs="Arial"/>
                      <w:bCs/>
                      <w:sz w:val="16"/>
                      <w:szCs w:val="16"/>
                    </w:rPr>
                  </w:pPr>
                  <w:r w:rsidRPr="00F83F05">
                    <w:rPr>
                      <w:rFonts w:cs="Arial"/>
                      <w:bCs/>
                      <w:sz w:val="16"/>
                      <w:szCs w:val="16"/>
                    </w:rPr>
                    <w:t>South Lakeland</w:t>
                  </w:r>
                </w:p>
              </w:tc>
              <w:tc>
                <w:tcPr>
                  <w:tcW w:w="471" w:type="pct"/>
                  <w:vAlign w:val="center"/>
                </w:tcPr>
                <w:p w14:paraId="2AABBD21" w14:textId="77777777" w:rsidR="00F83F05" w:rsidRPr="00F83F05" w:rsidRDefault="00F83F05" w:rsidP="00F83F05">
                  <w:pPr>
                    <w:spacing w:before="120" w:after="120"/>
                    <w:jc w:val="right"/>
                    <w:rPr>
                      <w:rFonts w:cs="Arial"/>
                      <w:bCs/>
                      <w:sz w:val="16"/>
                      <w:szCs w:val="16"/>
                    </w:rPr>
                  </w:pPr>
                  <w:r w:rsidRPr="00F83F05">
                    <w:rPr>
                      <w:rFonts w:cs="Arial"/>
                      <w:bCs/>
                      <w:sz w:val="16"/>
                      <w:szCs w:val="16"/>
                    </w:rPr>
                    <w:t>107</w:t>
                  </w:r>
                </w:p>
              </w:tc>
              <w:tc>
                <w:tcPr>
                  <w:tcW w:w="418" w:type="pct"/>
                  <w:vAlign w:val="center"/>
                </w:tcPr>
                <w:p w14:paraId="2AABBD22" w14:textId="77777777" w:rsidR="00F83F05" w:rsidRPr="00F83F05" w:rsidRDefault="00F83F05" w:rsidP="00F83F05">
                  <w:pPr>
                    <w:spacing w:before="120" w:after="120"/>
                    <w:jc w:val="right"/>
                    <w:rPr>
                      <w:rFonts w:cs="Arial"/>
                      <w:bCs/>
                      <w:sz w:val="16"/>
                      <w:szCs w:val="16"/>
                    </w:rPr>
                  </w:pPr>
                  <w:r w:rsidRPr="00F83F05">
                    <w:rPr>
                      <w:rFonts w:cs="Arial"/>
                      <w:bCs/>
                      <w:sz w:val="16"/>
                      <w:szCs w:val="16"/>
                    </w:rPr>
                    <w:t>630</w:t>
                  </w:r>
                </w:p>
              </w:tc>
              <w:tc>
                <w:tcPr>
                  <w:tcW w:w="418" w:type="pct"/>
                  <w:vAlign w:val="center"/>
                </w:tcPr>
                <w:p w14:paraId="2AABBD23" w14:textId="77777777" w:rsidR="00F83F05" w:rsidRPr="00F83F05" w:rsidRDefault="00F83F05" w:rsidP="00F83F05">
                  <w:pPr>
                    <w:spacing w:before="120" w:after="120"/>
                    <w:jc w:val="right"/>
                    <w:rPr>
                      <w:rFonts w:cs="Arial"/>
                      <w:bCs/>
                      <w:sz w:val="16"/>
                      <w:szCs w:val="16"/>
                    </w:rPr>
                  </w:pPr>
                  <w:r w:rsidRPr="00F83F05">
                    <w:rPr>
                      <w:rFonts w:cs="Arial"/>
                      <w:bCs/>
                      <w:sz w:val="16"/>
                      <w:szCs w:val="16"/>
                    </w:rPr>
                    <w:t>305</w:t>
                  </w:r>
                </w:p>
              </w:tc>
              <w:tc>
                <w:tcPr>
                  <w:tcW w:w="718" w:type="pct"/>
                  <w:vAlign w:val="center"/>
                </w:tcPr>
                <w:p w14:paraId="2AABBD24" w14:textId="77777777" w:rsidR="00F83F05" w:rsidRPr="00F83F05" w:rsidRDefault="00F83F05" w:rsidP="00F83F05">
                  <w:pPr>
                    <w:spacing w:before="120" w:after="120"/>
                    <w:jc w:val="right"/>
                    <w:rPr>
                      <w:rFonts w:cs="Arial"/>
                      <w:bCs/>
                      <w:sz w:val="16"/>
                      <w:szCs w:val="16"/>
                    </w:rPr>
                  </w:pPr>
                  <w:r w:rsidRPr="00F83F05">
                    <w:rPr>
                      <w:rFonts w:cs="Arial"/>
                      <w:bCs/>
                      <w:sz w:val="16"/>
                      <w:szCs w:val="16"/>
                    </w:rPr>
                    <w:t>168</w:t>
                  </w:r>
                </w:p>
              </w:tc>
              <w:tc>
                <w:tcPr>
                  <w:tcW w:w="572" w:type="pct"/>
                  <w:vAlign w:val="center"/>
                </w:tcPr>
                <w:p w14:paraId="2AABBD25"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1,210</w:t>
                  </w:r>
                </w:p>
              </w:tc>
              <w:tc>
                <w:tcPr>
                  <w:tcW w:w="654" w:type="pct"/>
                  <w:vAlign w:val="center"/>
                </w:tcPr>
                <w:p w14:paraId="2AABBD26" w14:textId="77777777" w:rsidR="00F83F05" w:rsidRPr="00F83F05" w:rsidRDefault="00F83F05" w:rsidP="00F83F05">
                  <w:pPr>
                    <w:spacing w:before="120" w:after="120"/>
                    <w:jc w:val="right"/>
                    <w:rPr>
                      <w:rFonts w:cs="Arial"/>
                      <w:bCs/>
                      <w:sz w:val="16"/>
                      <w:szCs w:val="16"/>
                    </w:rPr>
                  </w:pPr>
                  <w:r w:rsidRPr="00F83F05">
                    <w:rPr>
                      <w:rFonts w:cs="Arial"/>
                      <w:bCs/>
                      <w:sz w:val="16"/>
                      <w:szCs w:val="16"/>
                    </w:rPr>
                    <w:t>107</w:t>
                  </w:r>
                </w:p>
              </w:tc>
              <w:tc>
                <w:tcPr>
                  <w:tcW w:w="572" w:type="pct"/>
                  <w:vAlign w:val="center"/>
                </w:tcPr>
                <w:p w14:paraId="2AABBD27"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1,317</w:t>
                  </w:r>
                </w:p>
              </w:tc>
              <w:tc>
                <w:tcPr>
                  <w:tcW w:w="491" w:type="pct"/>
                  <w:vAlign w:val="center"/>
                </w:tcPr>
                <w:p w14:paraId="2AABBD28" w14:textId="77777777" w:rsidR="00F83F05" w:rsidRPr="00F83F05" w:rsidRDefault="00F83F05" w:rsidP="00F83F05">
                  <w:pPr>
                    <w:spacing w:before="120" w:after="120"/>
                    <w:jc w:val="right"/>
                    <w:rPr>
                      <w:rFonts w:cs="Arial"/>
                      <w:bCs/>
                      <w:sz w:val="16"/>
                      <w:szCs w:val="16"/>
                    </w:rPr>
                  </w:pPr>
                  <w:r w:rsidRPr="00F83F05">
                    <w:rPr>
                      <w:rFonts w:cs="Arial"/>
                      <w:bCs/>
                      <w:sz w:val="16"/>
                      <w:szCs w:val="16"/>
                    </w:rPr>
                    <w:t>2.2%</w:t>
                  </w:r>
                </w:p>
              </w:tc>
            </w:tr>
            <w:tr w:rsidR="00F83F05" w:rsidRPr="00F712DE" w14:paraId="2AABBD33" w14:textId="77777777" w:rsidTr="0082674C">
              <w:trPr>
                <w:jc w:val="center"/>
              </w:trPr>
              <w:tc>
                <w:tcPr>
                  <w:tcW w:w="686" w:type="pct"/>
                </w:tcPr>
                <w:p w14:paraId="2AABBD2A" w14:textId="77777777" w:rsidR="00F83F05" w:rsidRPr="00F83F05" w:rsidRDefault="00F83F05" w:rsidP="00F83F05">
                  <w:pPr>
                    <w:spacing w:before="120" w:after="120"/>
                    <w:rPr>
                      <w:rFonts w:cs="Arial"/>
                      <w:bCs/>
                      <w:sz w:val="16"/>
                      <w:szCs w:val="16"/>
                    </w:rPr>
                  </w:pPr>
                  <w:r w:rsidRPr="00F83F05">
                    <w:rPr>
                      <w:rFonts w:cs="Arial"/>
                      <w:bCs/>
                      <w:sz w:val="16"/>
                      <w:szCs w:val="16"/>
                    </w:rPr>
                    <w:t>Eden</w:t>
                  </w:r>
                </w:p>
              </w:tc>
              <w:tc>
                <w:tcPr>
                  <w:tcW w:w="471" w:type="pct"/>
                  <w:vAlign w:val="center"/>
                </w:tcPr>
                <w:p w14:paraId="2AABBD2B" w14:textId="77777777" w:rsidR="00F83F05" w:rsidRPr="00F83F05" w:rsidRDefault="00F83F05" w:rsidP="00F83F05">
                  <w:pPr>
                    <w:spacing w:before="120" w:after="120"/>
                    <w:jc w:val="right"/>
                    <w:rPr>
                      <w:rFonts w:cs="Arial"/>
                      <w:bCs/>
                      <w:sz w:val="16"/>
                      <w:szCs w:val="16"/>
                    </w:rPr>
                  </w:pPr>
                  <w:r w:rsidRPr="00F83F05">
                    <w:rPr>
                      <w:rFonts w:cs="Arial"/>
                      <w:bCs/>
                      <w:sz w:val="16"/>
                      <w:szCs w:val="16"/>
                    </w:rPr>
                    <w:t>124</w:t>
                  </w:r>
                </w:p>
              </w:tc>
              <w:tc>
                <w:tcPr>
                  <w:tcW w:w="418" w:type="pct"/>
                  <w:vAlign w:val="center"/>
                </w:tcPr>
                <w:p w14:paraId="2AABBD2C" w14:textId="77777777" w:rsidR="00F83F05" w:rsidRPr="00F83F05" w:rsidRDefault="00F83F05" w:rsidP="00F83F05">
                  <w:pPr>
                    <w:spacing w:before="120" w:after="120"/>
                    <w:jc w:val="right"/>
                    <w:rPr>
                      <w:rFonts w:cs="Arial"/>
                      <w:bCs/>
                      <w:sz w:val="16"/>
                      <w:szCs w:val="16"/>
                    </w:rPr>
                  </w:pPr>
                  <w:r w:rsidRPr="00F83F05">
                    <w:rPr>
                      <w:rFonts w:cs="Arial"/>
                      <w:bCs/>
                      <w:sz w:val="16"/>
                      <w:szCs w:val="16"/>
                    </w:rPr>
                    <w:t>320</w:t>
                  </w:r>
                </w:p>
              </w:tc>
              <w:tc>
                <w:tcPr>
                  <w:tcW w:w="418" w:type="pct"/>
                  <w:vAlign w:val="center"/>
                </w:tcPr>
                <w:p w14:paraId="2AABBD2D" w14:textId="77777777" w:rsidR="00F83F05" w:rsidRPr="00F83F05" w:rsidRDefault="00F83F05" w:rsidP="00F83F05">
                  <w:pPr>
                    <w:spacing w:before="120" w:after="120"/>
                    <w:jc w:val="right"/>
                    <w:rPr>
                      <w:rFonts w:cs="Arial"/>
                      <w:bCs/>
                      <w:sz w:val="16"/>
                      <w:szCs w:val="16"/>
                    </w:rPr>
                  </w:pPr>
                  <w:r w:rsidRPr="00F83F05">
                    <w:rPr>
                      <w:rFonts w:cs="Arial"/>
                      <w:bCs/>
                      <w:sz w:val="16"/>
                      <w:szCs w:val="16"/>
                    </w:rPr>
                    <w:t>240</w:t>
                  </w:r>
                </w:p>
              </w:tc>
              <w:tc>
                <w:tcPr>
                  <w:tcW w:w="718" w:type="pct"/>
                  <w:vAlign w:val="center"/>
                </w:tcPr>
                <w:p w14:paraId="2AABBD2E" w14:textId="77777777" w:rsidR="00F83F05" w:rsidRPr="00F83F05" w:rsidRDefault="00F83F05" w:rsidP="00F83F05">
                  <w:pPr>
                    <w:spacing w:before="120" w:after="120"/>
                    <w:jc w:val="right"/>
                    <w:rPr>
                      <w:rFonts w:cs="Arial"/>
                      <w:bCs/>
                      <w:sz w:val="16"/>
                      <w:szCs w:val="16"/>
                    </w:rPr>
                  </w:pPr>
                  <w:r w:rsidRPr="00F83F05">
                    <w:rPr>
                      <w:rFonts w:cs="Arial"/>
                      <w:bCs/>
                      <w:sz w:val="16"/>
                      <w:szCs w:val="16"/>
                    </w:rPr>
                    <w:t>455</w:t>
                  </w:r>
                </w:p>
              </w:tc>
              <w:tc>
                <w:tcPr>
                  <w:tcW w:w="572" w:type="pct"/>
                  <w:vAlign w:val="center"/>
                </w:tcPr>
                <w:p w14:paraId="2AABBD2F" w14:textId="77777777" w:rsidR="00F83F05" w:rsidRPr="00F83F05" w:rsidRDefault="00F83F05" w:rsidP="00F83F05">
                  <w:pPr>
                    <w:spacing w:before="120" w:after="120"/>
                    <w:jc w:val="right"/>
                    <w:rPr>
                      <w:rFonts w:cs="Arial"/>
                      <w:bCs/>
                      <w:sz w:val="16"/>
                      <w:szCs w:val="16"/>
                    </w:rPr>
                  </w:pPr>
                  <w:r w:rsidRPr="00F83F05">
                    <w:rPr>
                      <w:rFonts w:cs="Arial"/>
                      <w:color w:val="000000"/>
                      <w:sz w:val="16"/>
                      <w:szCs w:val="16"/>
                    </w:rPr>
                    <w:t>1,139</w:t>
                  </w:r>
                </w:p>
              </w:tc>
              <w:tc>
                <w:tcPr>
                  <w:tcW w:w="654" w:type="pct"/>
                  <w:vAlign w:val="center"/>
                </w:tcPr>
                <w:p w14:paraId="2AABBD30" w14:textId="77777777" w:rsidR="00F83F05" w:rsidRPr="00F83F05" w:rsidRDefault="00F83F05" w:rsidP="00F83F05">
                  <w:pPr>
                    <w:spacing w:before="120" w:after="120"/>
                    <w:jc w:val="right"/>
                    <w:rPr>
                      <w:rFonts w:cs="Arial"/>
                      <w:bCs/>
                      <w:sz w:val="16"/>
                      <w:szCs w:val="16"/>
                    </w:rPr>
                  </w:pPr>
                  <w:r w:rsidRPr="00F83F05">
                    <w:rPr>
                      <w:rFonts w:cs="Arial"/>
                      <w:bCs/>
                      <w:sz w:val="16"/>
                      <w:szCs w:val="16"/>
                    </w:rPr>
                    <w:t>202</w:t>
                  </w:r>
                </w:p>
              </w:tc>
              <w:tc>
                <w:tcPr>
                  <w:tcW w:w="572" w:type="pct"/>
                  <w:vAlign w:val="center"/>
                </w:tcPr>
                <w:p w14:paraId="2AABBD31"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1,341</w:t>
                  </w:r>
                </w:p>
              </w:tc>
              <w:tc>
                <w:tcPr>
                  <w:tcW w:w="491" w:type="pct"/>
                  <w:vAlign w:val="center"/>
                </w:tcPr>
                <w:p w14:paraId="2AABBD32" w14:textId="77777777" w:rsidR="00F83F05" w:rsidRPr="00F83F05" w:rsidRDefault="00F83F05" w:rsidP="00F83F05">
                  <w:pPr>
                    <w:spacing w:before="120" w:after="120"/>
                    <w:jc w:val="right"/>
                    <w:rPr>
                      <w:rFonts w:cs="Arial"/>
                      <w:bCs/>
                      <w:sz w:val="16"/>
                      <w:szCs w:val="16"/>
                    </w:rPr>
                  </w:pPr>
                  <w:r w:rsidRPr="00F83F05">
                    <w:rPr>
                      <w:rFonts w:cs="Arial"/>
                      <w:bCs/>
                      <w:sz w:val="16"/>
                      <w:szCs w:val="16"/>
                    </w:rPr>
                    <w:t>4.2%</w:t>
                  </w:r>
                </w:p>
              </w:tc>
            </w:tr>
            <w:tr w:rsidR="00F83F05" w:rsidRPr="00F712DE" w14:paraId="2AABBD3D" w14:textId="77777777" w:rsidTr="0082674C">
              <w:trPr>
                <w:jc w:val="center"/>
              </w:trPr>
              <w:tc>
                <w:tcPr>
                  <w:tcW w:w="686" w:type="pct"/>
                </w:tcPr>
                <w:p w14:paraId="2AABBD34" w14:textId="77777777" w:rsidR="00F83F05" w:rsidRPr="00F83F05" w:rsidRDefault="00F83F05" w:rsidP="00F83F05">
                  <w:pPr>
                    <w:spacing w:before="120" w:after="120"/>
                    <w:rPr>
                      <w:rFonts w:cs="Arial"/>
                      <w:b/>
                      <w:bCs/>
                      <w:sz w:val="16"/>
                      <w:szCs w:val="16"/>
                    </w:rPr>
                  </w:pPr>
                  <w:r w:rsidRPr="00F83F05">
                    <w:rPr>
                      <w:rFonts w:cs="Arial"/>
                      <w:b/>
                      <w:bCs/>
                      <w:sz w:val="16"/>
                      <w:szCs w:val="16"/>
                    </w:rPr>
                    <w:lastRenderedPageBreak/>
                    <w:t>Totals</w:t>
                  </w:r>
                </w:p>
              </w:tc>
              <w:tc>
                <w:tcPr>
                  <w:tcW w:w="471" w:type="pct"/>
                  <w:vAlign w:val="center"/>
                </w:tcPr>
                <w:p w14:paraId="2AABBD35"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3,221</w:t>
                  </w:r>
                </w:p>
              </w:tc>
              <w:tc>
                <w:tcPr>
                  <w:tcW w:w="418" w:type="pct"/>
                  <w:vAlign w:val="center"/>
                </w:tcPr>
                <w:p w14:paraId="2AABBD36"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5,900</w:t>
                  </w:r>
                </w:p>
              </w:tc>
              <w:tc>
                <w:tcPr>
                  <w:tcW w:w="418" w:type="pct"/>
                  <w:vAlign w:val="center"/>
                </w:tcPr>
                <w:p w14:paraId="2AABBD37"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4,160</w:t>
                  </w:r>
                </w:p>
              </w:tc>
              <w:tc>
                <w:tcPr>
                  <w:tcW w:w="718" w:type="pct"/>
                  <w:vAlign w:val="center"/>
                </w:tcPr>
                <w:p w14:paraId="2AABBD38"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1,920</w:t>
                  </w:r>
                </w:p>
              </w:tc>
              <w:tc>
                <w:tcPr>
                  <w:tcW w:w="572" w:type="pct"/>
                  <w:vAlign w:val="center"/>
                </w:tcPr>
                <w:p w14:paraId="2AABBD39" w14:textId="77777777" w:rsidR="00F83F05" w:rsidRPr="00F83F05" w:rsidRDefault="00F83F05" w:rsidP="00F83F05">
                  <w:pPr>
                    <w:spacing w:before="120" w:after="120"/>
                    <w:jc w:val="right"/>
                    <w:rPr>
                      <w:rFonts w:cs="Arial"/>
                      <w:b/>
                      <w:bCs/>
                      <w:sz w:val="16"/>
                      <w:szCs w:val="16"/>
                    </w:rPr>
                  </w:pPr>
                  <w:r w:rsidRPr="00F83F05">
                    <w:rPr>
                      <w:rFonts w:cs="Arial"/>
                      <w:b/>
                      <w:color w:val="000000"/>
                      <w:sz w:val="16"/>
                      <w:szCs w:val="16"/>
                    </w:rPr>
                    <w:t>15,201</w:t>
                  </w:r>
                </w:p>
              </w:tc>
              <w:tc>
                <w:tcPr>
                  <w:tcW w:w="654" w:type="pct"/>
                  <w:vAlign w:val="center"/>
                </w:tcPr>
                <w:p w14:paraId="2AABBD3A"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1,123</w:t>
                  </w:r>
                </w:p>
              </w:tc>
              <w:tc>
                <w:tcPr>
                  <w:tcW w:w="572" w:type="pct"/>
                  <w:vAlign w:val="center"/>
                </w:tcPr>
                <w:p w14:paraId="2AABBD3B" w14:textId="77777777" w:rsidR="00F83F05" w:rsidRPr="00F83F05" w:rsidRDefault="00F83F05" w:rsidP="00F83F05">
                  <w:pPr>
                    <w:spacing w:before="120" w:after="120"/>
                    <w:jc w:val="right"/>
                    <w:rPr>
                      <w:rFonts w:cs="Arial"/>
                      <w:b/>
                      <w:bCs/>
                      <w:sz w:val="16"/>
                      <w:szCs w:val="16"/>
                    </w:rPr>
                  </w:pPr>
                  <w:r w:rsidRPr="00F83F05">
                    <w:rPr>
                      <w:rFonts w:cs="Arial"/>
                      <w:b/>
                      <w:bCs/>
                      <w:sz w:val="16"/>
                      <w:szCs w:val="16"/>
                    </w:rPr>
                    <w:t>16,324</w:t>
                  </w:r>
                </w:p>
              </w:tc>
              <w:tc>
                <w:tcPr>
                  <w:tcW w:w="491" w:type="pct"/>
                  <w:vAlign w:val="center"/>
                </w:tcPr>
                <w:p w14:paraId="2AABBD3C" w14:textId="77777777" w:rsidR="00F83F05" w:rsidRPr="00F83F05" w:rsidRDefault="00F83F05" w:rsidP="00F83F05">
                  <w:pPr>
                    <w:spacing w:before="120" w:after="120"/>
                    <w:jc w:val="right"/>
                    <w:rPr>
                      <w:rFonts w:cs="Arial"/>
                      <w:bCs/>
                      <w:sz w:val="16"/>
                      <w:szCs w:val="16"/>
                    </w:rPr>
                  </w:pPr>
                  <w:r w:rsidRPr="00F83F05">
                    <w:rPr>
                      <w:rFonts w:cs="Arial"/>
                      <w:bCs/>
                      <w:sz w:val="16"/>
                      <w:szCs w:val="16"/>
                    </w:rPr>
                    <w:t>5.4%</w:t>
                  </w:r>
                </w:p>
              </w:tc>
            </w:tr>
          </w:tbl>
          <w:p w14:paraId="2AABBD3E" w14:textId="77777777" w:rsidR="00F83F05" w:rsidRPr="00F83F05" w:rsidRDefault="00F83F05" w:rsidP="00F83F05">
            <w:pPr>
              <w:spacing w:after="240"/>
              <w:ind w:left="567"/>
              <w:jc w:val="both"/>
              <w:rPr>
                <w:rFonts w:cs="Arial"/>
                <w:sz w:val="18"/>
                <w:szCs w:val="18"/>
              </w:rPr>
            </w:pPr>
            <w:r w:rsidRPr="00F83F05">
              <w:rPr>
                <w:rFonts w:cs="Arial"/>
                <w:sz w:val="18"/>
                <w:szCs w:val="18"/>
              </w:rPr>
              <w:t>*Working Age Population.  Source: DWP</w:t>
            </w:r>
          </w:p>
          <w:p w14:paraId="2AABBD42" w14:textId="4427BF13" w:rsidR="000D51DE" w:rsidRPr="002833D9" w:rsidRDefault="00F83F05" w:rsidP="005574D0">
            <w:pPr>
              <w:numPr>
                <w:ilvl w:val="1"/>
                <w:numId w:val="0"/>
              </w:numPr>
              <w:tabs>
                <w:tab w:val="num" w:pos="0"/>
              </w:tabs>
              <w:spacing w:before="120" w:after="240"/>
              <w:jc w:val="both"/>
              <w:rPr>
                <w:rFonts w:cs="Arial"/>
              </w:rPr>
            </w:pPr>
            <w:r w:rsidRPr="00F83F05">
              <w:rPr>
                <w:rFonts w:cs="Arial"/>
                <w:szCs w:val="22"/>
              </w:rPr>
              <w:t xml:space="preserve">DWP evidence shows that an estimated 40% of customers claiming JSA/UC will move into work within the first 13 weeks of their claim through the support of their DWP Work Coach and will not require any further intervention. </w:t>
            </w:r>
          </w:p>
        </w:tc>
      </w:tr>
      <w:tr w:rsidR="00967429" w14:paraId="2AABBD45" w14:textId="77777777" w:rsidTr="005574D0">
        <w:trPr>
          <w:trHeight w:val="567"/>
        </w:trPr>
        <w:tc>
          <w:tcPr>
            <w:tcW w:w="9088" w:type="dxa"/>
            <w:shd w:val="clear" w:color="auto" w:fill="D9D9D9" w:themeFill="background1" w:themeFillShade="D9"/>
            <w:vAlign w:val="center"/>
          </w:tcPr>
          <w:p w14:paraId="2AABBD44"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AABBD65" w14:textId="77777777" w:rsidTr="0082674C">
        <w:tc>
          <w:tcPr>
            <w:tcW w:w="9088" w:type="dxa"/>
          </w:tcPr>
          <w:p w14:paraId="2AABBD46" w14:textId="77777777" w:rsidR="002E25F4" w:rsidRDefault="002E25F4" w:rsidP="00A524B5">
            <w:pPr>
              <w:rPr>
                <w:rFonts w:cs="Arial"/>
                <w:i/>
              </w:rPr>
            </w:pPr>
          </w:p>
          <w:p w14:paraId="2AABBD47"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AABBD48" w14:textId="77777777" w:rsidR="005C44C5" w:rsidRDefault="005C44C5" w:rsidP="000304B2">
            <w:pPr>
              <w:ind w:left="360" w:hanging="360"/>
              <w:rPr>
                <w:b/>
              </w:rPr>
            </w:pPr>
          </w:p>
          <w:p w14:paraId="2AABBD49"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2AABBD4A" w14:textId="77777777" w:rsidR="000304B2" w:rsidRPr="005A1D76" w:rsidRDefault="000304B2" w:rsidP="000304B2">
            <w:pPr>
              <w:ind w:left="360" w:hanging="360"/>
              <w:rPr>
                <w:b/>
              </w:rPr>
            </w:pPr>
          </w:p>
          <w:p w14:paraId="2AABBD4B"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2AABBD4C" w14:textId="77777777" w:rsidR="000304B2" w:rsidRPr="005A1D76" w:rsidRDefault="000304B2" w:rsidP="000304B2">
            <w:pPr>
              <w:ind w:left="360" w:hanging="360"/>
              <w:rPr>
                <w:b/>
              </w:rPr>
            </w:pPr>
          </w:p>
          <w:p w14:paraId="2AABBD4D"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2AABBD4E" w14:textId="77777777" w:rsidR="00AA0B4C" w:rsidRDefault="00AA0B4C" w:rsidP="00AA0B4C">
            <w:pPr>
              <w:autoSpaceDE w:val="0"/>
              <w:autoSpaceDN w:val="0"/>
              <w:adjustRightInd w:val="0"/>
              <w:ind w:left="360" w:hanging="360"/>
            </w:pPr>
          </w:p>
          <w:p w14:paraId="2AABBD4F"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2AABBD50" w14:textId="77777777" w:rsidR="008E2A7B" w:rsidRDefault="008E2A7B" w:rsidP="000304B2">
            <w:pPr>
              <w:autoSpaceDE w:val="0"/>
              <w:autoSpaceDN w:val="0"/>
              <w:adjustRightInd w:val="0"/>
              <w:ind w:left="360" w:hanging="360"/>
              <w:rPr>
                <w:b/>
              </w:rPr>
            </w:pPr>
          </w:p>
          <w:p w14:paraId="2AABBD51"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2AABBD52" w14:textId="77777777" w:rsidR="003A723F" w:rsidRDefault="003A723F" w:rsidP="005A1D76">
            <w:pPr>
              <w:autoSpaceDE w:val="0"/>
              <w:autoSpaceDN w:val="0"/>
              <w:adjustRightInd w:val="0"/>
            </w:pPr>
          </w:p>
          <w:p w14:paraId="2AABBD53" w14:textId="77777777" w:rsidR="005C5B32" w:rsidRDefault="005C5B32" w:rsidP="005574D0">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2AABBD54" w14:textId="77777777" w:rsidR="005C5B32" w:rsidRDefault="005C5B32" w:rsidP="005A1D76">
            <w:pPr>
              <w:autoSpaceDE w:val="0"/>
              <w:autoSpaceDN w:val="0"/>
              <w:adjustRightInd w:val="0"/>
            </w:pPr>
          </w:p>
          <w:p w14:paraId="2AABBD55"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2AABBD56" w14:textId="77777777" w:rsidR="005C5B32" w:rsidRPr="005A1D76" w:rsidRDefault="005C5B32" w:rsidP="005A1D76">
            <w:pPr>
              <w:autoSpaceDE w:val="0"/>
              <w:autoSpaceDN w:val="0"/>
              <w:adjustRightInd w:val="0"/>
            </w:pPr>
          </w:p>
          <w:p w14:paraId="2AABBD57"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AABBD58" w14:textId="77777777" w:rsidR="000304B2" w:rsidRPr="005A1D76" w:rsidRDefault="000304B2" w:rsidP="000304B2">
            <w:pPr>
              <w:autoSpaceDE w:val="0"/>
              <w:autoSpaceDN w:val="0"/>
              <w:adjustRightInd w:val="0"/>
              <w:ind w:left="360" w:hanging="360"/>
            </w:pPr>
          </w:p>
          <w:p w14:paraId="2AABBD59"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AABBD5A" w14:textId="77777777" w:rsidR="000304B2" w:rsidRPr="005A1D76" w:rsidRDefault="000304B2" w:rsidP="00C107CE">
            <w:pPr>
              <w:autoSpaceDE w:val="0"/>
              <w:autoSpaceDN w:val="0"/>
              <w:adjustRightInd w:val="0"/>
              <w:ind w:left="360" w:hanging="360"/>
            </w:pPr>
          </w:p>
          <w:p w14:paraId="2AABBD5B"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2AABBD5C" w14:textId="77777777" w:rsidR="000304B2" w:rsidRPr="005A1D76" w:rsidRDefault="000304B2" w:rsidP="000304B2">
            <w:pPr>
              <w:autoSpaceDE w:val="0"/>
              <w:autoSpaceDN w:val="0"/>
              <w:adjustRightInd w:val="0"/>
              <w:ind w:left="360" w:hanging="360"/>
            </w:pPr>
          </w:p>
          <w:p w14:paraId="2AABBD5D"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2AABBD5E" w14:textId="77777777" w:rsidR="000304B2" w:rsidRPr="005A1D76" w:rsidRDefault="000304B2" w:rsidP="000304B2">
            <w:pPr>
              <w:autoSpaceDE w:val="0"/>
              <w:autoSpaceDN w:val="0"/>
              <w:adjustRightInd w:val="0"/>
              <w:ind w:left="360" w:hanging="360"/>
            </w:pPr>
          </w:p>
          <w:p w14:paraId="2AABBD5F"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2AABBD60" w14:textId="77777777" w:rsidR="000304B2" w:rsidRPr="006002A9" w:rsidRDefault="000304B2" w:rsidP="000304B2">
            <w:pPr>
              <w:autoSpaceDE w:val="0"/>
              <w:autoSpaceDN w:val="0"/>
              <w:adjustRightInd w:val="0"/>
              <w:ind w:left="360" w:hanging="360"/>
            </w:pPr>
          </w:p>
          <w:p w14:paraId="2AABBD61"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2AABBD62" w14:textId="77777777" w:rsidR="005A1D76" w:rsidRPr="006002A9" w:rsidRDefault="005A1D76" w:rsidP="000304B2">
            <w:pPr>
              <w:autoSpaceDE w:val="0"/>
              <w:autoSpaceDN w:val="0"/>
              <w:adjustRightInd w:val="0"/>
              <w:ind w:left="360" w:hanging="360"/>
            </w:pPr>
          </w:p>
          <w:p w14:paraId="2AABBD63"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AABBD64" w14:textId="77777777" w:rsidR="00200BC6" w:rsidRPr="00590073" w:rsidRDefault="00200BC6" w:rsidP="005A1D76">
            <w:pPr>
              <w:autoSpaceDE w:val="0"/>
              <w:autoSpaceDN w:val="0"/>
              <w:adjustRightInd w:val="0"/>
              <w:ind w:left="360" w:hanging="360"/>
            </w:pPr>
          </w:p>
        </w:tc>
      </w:tr>
      <w:tr w:rsidR="00967429" w:rsidRPr="00544738" w14:paraId="2AABBD67" w14:textId="77777777" w:rsidTr="005574D0">
        <w:trPr>
          <w:trHeight w:val="567"/>
        </w:trPr>
        <w:tc>
          <w:tcPr>
            <w:tcW w:w="9088" w:type="dxa"/>
            <w:shd w:val="clear" w:color="auto" w:fill="D9D9D9" w:themeFill="background1" w:themeFillShade="D9"/>
            <w:vAlign w:val="center"/>
          </w:tcPr>
          <w:p w14:paraId="2AABBD66"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2AABBDC9" w14:textId="77777777" w:rsidTr="0082674C">
        <w:tc>
          <w:tcPr>
            <w:tcW w:w="9088" w:type="dxa"/>
          </w:tcPr>
          <w:p w14:paraId="2AABBD68" w14:textId="77777777" w:rsidR="000D51DE" w:rsidRDefault="000D51DE" w:rsidP="00A524B5">
            <w:pPr>
              <w:rPr>
                <w:rFonts w:cs="Arial"/>
                <w:b/>
              </w:rPr>
            </w:pPr>
          </w:p>
          <w:p w14:paraId="2AABBD69"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AABBD6A" w14:textId="77777777" w:rsidR="00EA180F" w:rsidRPr="001A4B05" w:rsidRDefault="00EA180F" w:rsidP="00A524B5">
            <w:pPr>
              <w:rPr>
                <w:rFonts w:cs="Arial"/>
                <w:b/>
              </w:rPr>
            </w:pPr>
          </w:p>
          <w:p w14:paraId="2AABBD6B"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2AABBD6C" w14:textId="77777777" w:rsidR="00ED156A" w:rsidRPr="00D535E6" w:rsidRDefault="00ED156A" w:rsidP="00A524B5">
            <w:pPr>
              <w:rPr>
                <w:rFonts w:cs="Arial"/>
              </w:rPr>
            </w:pPr>
          </w:p>
          <w:p w14:paraId="2AABBD6D" w14:textId="77777777" w:rsidR="0031325C" w:rsidRPr="00D535E6" w:rsidRDefault="00ED156A" w:rsidP="00A524B5">
            <w:pPr>
              <w:rPr>
                <w:rFonts w:cs="Arial"/>
                <w:b/>
                <w:i/>
              </w:rPr>
            </w:pPr>
            <w:r w:rsidRPr="00D535E6">
              <w:rPr>
                <w:rFonts w:cs="Arial"/>
                <w:b/>
                <w:i/>
              </w:rPr>
              <w:t>Capacity and readiness to deliver</w:t>
            </w:r>
          </w:p>
          <w:p w14:paraId="2AABBD6E" w14:textId="77777777" w:rsidR="00ED156A" w:rsidRPr="00D535E6" w:rsidRDefault="00ED156A" w:rsidP="00ED156A">
            <w:pPr>
              <w:autoSpaceDE w:val="0"/>
              <w:autoSpaceDN w:val="0"/>
              <w:adjustRightInd w:val="0"/>
              <w:rPr>
                <w:rFonts w:cs="Arial"/>
              </w:rPr>
            </w:pPr>
            <w:r w:rsidRPr="00D535E6">
              <w:rPr>
                <w:rFonts w:cs="Arial"/>
              </w:rPr>
              <w:t>Candidates must have:</w:t>
            </w:r>
          </w:p>
          <w:p w14:paraId="2AABBD6F"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2AABBD70"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AABBD71"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2AABBD72" w14:textId="77777777" w:rsidR="00ED156A" w:rsidRDefault="00ED156A" w:rsidP="00515602">
            <w:pPr>
              <w:rPr>
                <w:rFonts w:cs="Arial"/>
                <w:lang w:eastAsia="en-GB"/>
              </w:rPr>
            </w:pPr>
          </w:p>
          <w:p w14:paraId="2AABBD75" w14:textId="77777777" w:rsidR="00ED156A" w:rsidRPr="005A1D76" w:rsidRDefault="00ED156A" w:rsidP="00515602">
            <w:pPr>
              <w:rPr>
                <w:rFonts w:cs="Arial"/>
                <w:b/>
                <w:i/>
                <w:lang w:eastAsia="en-GB"/>
              </w:rPr>
            </w:pPr>
            <w:r w:rsidRPr="005A1D76">
              <w:rPr>
                <w:rFonts w:cs="Arial"/>
                <w:b/>
                <w:i/>
                <w:lang w:eastAsia="en-GB"/>
              </w:rPr>
              <w:t>Track record</w:t>
            </w:r>
          </w:p>
          <w:p w14:paraId="2AABBD76"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AABBD77" w14:textId="77777777" w:rsidR="00E43DDB" w:rsidRPr="005A1D76" w:rsidRDefault="00E43DDB" w:rsidP="00515602">
            <w:pPr>
              <w:rPr>
                <w:rFonts w:cs="Arial"/>
                <w:szCs w:val="22"/>
              </w:rPr>
            </w:pPr>
          </w:p>
          <w:p w14:paraId="2AABBD78" w14:textId="77777777" w:rsidR="00E43DDB" w:rsidRPr="00E43DDB" w:rsidRDefault="00E43DDB" w:rsidP="00E43DDB">
            <w:pPr>
              <w:rPr>
                <w:rFonts w:cs="Arial"/>
                <w:b/>
                <w:i/>
                <w:lang w:eastAsia="en-GB"/>
              </w:rPr>
            </w:pPr>
            <w:r w:rsidRPr="00E43DDB">
              <w:rPr>
                <w:rFonts w:cs="Arial"/>
                <w:b/>
                <w:i/>
                <w:lang w:eastAsia="en-GB"/>
              </w:rPr>
              <w:t>Information, Advice and Guidance</w:t>
            </w:r>
          </w:p>
          <w:p w14:paraId="2AABBD79"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2AABBD7A"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2AABBD7B"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2AABBD7C" w14:textId="77777777" w:rsidR="00E43DDB" w:rsidRPr="00E43DDB" w:rsidRDefault="00E43DDB" w:rsidP="00E43DDB">
            <w:pPr>
              <w:rPr>
                <w:rFonts w:cs="Arial"/>
                <w:lang w:eastAsia="en-GB"/>
              </w:rPr>
            </w:pPr>
          </w:p>
          <w:p w14:paraId="2AABBD7D" w14:textId="77777777" w:rsidR="00ED156A" w:rsidRPr="005A1D76" w:rsidRDefault="002E25F4" w:rsidP="00A524B5">
            <w:pPr>
              <w:rPr>
                <w:rFonts w:cs="Arial"/>
              </w:rPr>
            </w:pPr>
            <w:r w:rsidRPr="005A1D76">
              <w:rPr>
                <w:rFonts w:cs="Arial"/>
                <w:b/>
                <w:i/>
              </w:rPr>
              <w:t>Management and quality assurance</w:t>
            </w:r>
          </w:p>
          <w:p w14:paraId="2AABBD7E"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2AABBD7F" w14:textId="77777777" w:rsidR="00B06A9F" w:rsidRPr="005A1D76" w:rsidRDefault="00B06A9F" w:rsidP="00A524B5">
            <w:pPr>
              <w:rPr>
                <w:rFonts w:cs="Arial"/>
              </w:rPr>
            </w:pPr>
          </w:p>
          <w:p w14:paraId="2AABBD80"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AABBD81" w14:textId="77777777" w:rsidR="001A4B05" w:rsidRPr="005A1D76" w:rsidRDefault="001A4B05" w:rsidP="00A524B5">
            <w:pPr>
              <w:rPr>
                <w:rFonts w:cs="Arial"/>
              </w:rPr>
            </w:pPr>
          </w:p>
          <w:p w14:paraId="2AABBD82" w14:textId="77777777" w:rsidR="002E25F4" w:rsidRPr="005A1D76" w:rsidRDefault="002E25F4" w:rsidP="00A524B5">
            <w:pPr>
              <w:rPr>
                <w:rFonts w:cs="Arial"/>
              </w:rPr>
            </w:pPr>
            <w:r w:rsidRPr="005A1D76">
              <w:rPr>
                <w:rFonts w:cs="Arial"/>
                <w:b/>
                <w:i/>
              </w:rPr>
              <w:t>Partnership working</w:t>
            </w:r>
          </w:p>
          <w:p w14:paraId="2AABBD83"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AABBD84" w14:textId="77777777" w:rsidR="002E25F4" w:rsidRPr="005A1D76" w:rsidRDefault="002E25F4" w:rsidP="00A524B5">
            <w:pPr>
              <w:rPr>
                <w:rFonts w:cs="Arial"/>
              </w:rPr>
            </w:pPr>
          </w:p>
          <w:p w14:paraId="2AABBD85"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AABBD86" w14:textId="77777777" w:rsidR="00ED156A" w:rsidRPr="006C64F5" w:rsidRDefault="00ED156A" w:rsidP="00A524B5">
            <w:pPr>
              <w:rPr>
                <w:rFonts w:cs="Arial"/>
                <w:highlight w:val="yellow"/>
              </w:rPr>
            </w:pPr>
          </w:p>
          <w:p w14:paraId="2AABBD87"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2AABBD88"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AABBD89" w14:textId="77777777" w:rsidR="000E66D3" w:rsidRDefault="000E66D3" w:rsidP="00A524B5">
            <w:pPr>
              <w:rPr>
                <w:rFonts w:cs="Arial"/>
              </w:rPr>
            </w:pPr>
          </w:p>
          <w:p w14:paraId="2AABBD8A" w14:textId="77777777" w:rsidR="002E25F4" w:rsidRPr="00BC7F87" w:rsidRDefault="002E25F4" w:rsidP="00A524B5">
            <w:pPr>
              <w:rPr>
                <w:rFonts w:cs="Arial"/>
              </w:rPr>
            </w:pPr>
            <w:r w:rsidRPr="00BC7F87">
              <w:rPr>
                <w:rFonts w:cs="Arial"/>
                <w:b/>
                <w:i/>
              </w:rPr>
              <w:t>Market intelligence and local knowledge</w:t>
            </w:r>
          </w:p>
          <w:p w14:paraId="2AABBD8B"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2AABBD8C" w14:textId="77777777" w:rsidR="00812EC6" w:rsidRPr="00BC7F87" w:rsidRDefault="00812EC6" w:rsidP="00A524B5">
            <w:pPr>
              <w:rPr>
                <w:rFonts w:cs="Arial"/>
              </w:rPr>
            </w:pPr>
          </w:p>
          <w:p w14:paraId="2AABBD8D"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2AABBD8E"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w:t>
            </w:r>
            <w:r w:rsidRPr="00BC7F87">
              <w:lastRenderedPageBreak/>
              <w:t xml:space="preserve">place robust arrangements for ensuring that the evidence required to support payments is collected and retained.  </w:t>
            </w:r>
          </w:p>
          <w:p w14:paraId="2AABBD8F" w14:textId="77777777" w:rsidR="002E25F4" w:rsidRPr="00BC7F87" w:rsidRDefault="002E25F4" w:rsidP="00A524B5">
            <w:pPr>
              <w:rPr>
                <w:rFonts w:cs="Arial"/>
              </w:rPr>
            </w:pPr>
          </w:p>
          <w:p w14:paraId="2AABBD90"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2AABBD91" w14:textId="77777777" w:rsidR="00204794" w:rsidRDefault="00204794" w:rsidP="009E7A30">
            <w:pPr>
              <w:rPr>
                <w:rFonts w:cs="Arial"/>
              </w:rPr>
            </w:pPr>
          </w:p>
          <w:p w14:paraId="2AABBD92" w14:textId="77777777" w:rsidR="00B85F61" w:rsidRPr="00466FA7" w:rsidRDefault="00EA180F" w:rsidP="009E7A30">
            <w:pPr>
              <w:rPr>
                <w:rFonts w:cs="Arial"/>
                <w:b/>
                <w:i/>
              </w:rPr>
            </w:pPr>
            <w:r>
              <w:rPr>
                <w:rFonts w:cs="Arial"/>
                <w:b/>
              </w:rPr>
              <w:t>Specific Service Requirements</w:t>
            </w:r>
          </w:p>
          <w:p w14:paraId="2AABBD93" w14:textId="77777777" w:rsidR="00204794" w:rsidRDefault="00204794" w:rsidP="009E7A30">
            <w:pPr>
              <w:rPr>
                <w:rFonts w:cs="Arial"/>
                <w:b/>
              </w:rPr>
            </w:pPr>
          </w:p>
          <w:p w14:paraId="2AABBD94" w14:textId="77777777" w:rsidR="00F65D61" w:rsidRPr="00F4587B" w:rsidRDefault="00F65D61" w:rsidP="00F65D61">
            <w:pPr>
              <w:rPr>
                <w:rFonts w:cs="Arial"/>
                <w:b/>
              </w:rPr>
            </w:pPr>
            <w:r w:rsidRPr="00F4587B">
              <w:rPr>
                <w:rFonts w:cs="Arial"/>
                <w:b/>
              </w:rPr>
              <w:t>SUPPORT FOR THE UNEMPLOYED</w:t>
            </w:r>
            <w:r w:rsidR="006B1CF9">
              <w:rPr>
                <w:rFonts w:cs="Arial"/>
                <w:b/>
              </w:rPr>
              <w:t xml:space="preserve"> </w:t>
            </w:r>
          </w:p>
          <w:p w14:paraId="2AABBD95" w14:textId="77777777" w:rsidR="00F65D61" w:rsidRPr="00F4587B" w:rsidRDefault="00F65D61" w:rsidP="00F65D61">
            <w:pPr>
              <w:rPr>
                <w:rFonts w:cs="Arial"/>
              </w:rPr>
            </w:pPr>
          </w:p>
          <w:p w14:paraId="2AABBD96" w14:textId="77777777" w:rsidR="00F65D61" w:rsidRPr="00F4587B" w:rsidRDefault="00F65D61" w:rsidP="00F65D61">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F4587B">
              <w:rPr>
                <w:rFonts w:cs="Arial"/>
              </w:rPr>
              <w:t xml:space="preserve"> Services </w:t>
            </w:r>
            <w:r w:rsidRPr="00F4587B">
              <w:rPr>
                <w:rFonts w:cs="Arial"/>
              </w:rPr>
              <w:t>will deliver the vocationally related skills needed by local employers</w:t>
            </w:r>
          </w:p>
          <w:p w14:paraId="2AABBD97"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2AABBD98" w14:textId="77777777" w:rsidR="00F65D61" w:rsidRPr="00F4587B" w:rsidRDefault="00F65D61" w:rsidP="00F65D61">
            <w:pPr>
              <w:rPr>
                <w:rFonts w:cs="Arial"/>
              </w:rPr>
            </w:pPr>
          </w:p>
          <w:p w14:paraId="2AABBD99"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2AABBD9A" w14:textId="77777777" w:rsidR="00F65D61" w:rsidRPr="00F4587B" w:rsidRDefault="00F65D61" w:rsidP="00F65D61">
            <w:pPr>
              <w:rPr>
                <w:rFonts w:cs="Arial"/>
              </w:rPr>
            </w:pPr>
          </w:p>
          <w:p w14:paraId="2AABBD9B" w14:textId="77777777" w:rsidR="00F65D61" w:rsidRPr="00F4587B" w:rsidRDefault="00F65D61" w:rsidP="00F65D61">
            <w:pPr>
              <w:rPr>
                <w:rFonts w:cs="Arial"/>
                <w:bCs/>
                <w:color w:val="000000"/>
                <w:sz w:val="20"/>
              </w:rPr>
            </w:pPr>
            <w:r w:rsidRPr="00F4587B">
              <w:rPr>
                <w:rFonts w:cs="Arial"/>
                <w:szCs w:val="23"/>
              </w:rPr>
              <w:t>The Services must provide individual and continuous mentor/key worker support for each participant.</w:t>
            </w:r>
          </w:p>
          <w:p w14:paraId="2AABBD9C" w14:textId="77777777" w:rsidR="00F65D61" w:rsidRPr="00F4587B" w:rsidRDefault="00F65D61" w:rsidP="00F65D61">
            <w:pPr>
              <w:rPr>
                <w:rFonts w:cs="Arial"/>
              </w:rPr>
            </w:pPr>
          </w:p>
          <w:p w14:paraId="2AABBD9D"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r:id="rId15" w:history="1">
              <w:r w:rsidRPr="00F4587B">
                <w:rPr>
                  <w:rStyle w:val="Hyperlink"/>
                  <w:rFonts w:cs="Arial"/>
                </w:rPr>
                <w:t>www.apprenticeships.org.uk</w:t>
              </w:r>
            </w:hyperlink>
            <w:r w:rsidRPr="00F4587B">
              <w:rPr>
                <w:rFonts w:cs="Arial"/>
              </w:rPr>
              <w:t xml:space="preserve"> as well as independent study and career skills.</w:t>
            </w:r>
          </w:p>
          <w:p w14:paraId="2AABBD9E" w14:textId="77777777" w:rsidR="00F65D61" w:rsidRPr="00F4587B" w:rsidRDefault="00F65D61" w:rsidP="00F65D61">
            <w:pPr>
              <w:rPr>
                <w:rFonts w:cs="Arial"/>
              </w:rPr>
            </w:pPr>
          </w:p>
          <w:p w14:paraId="2AABBD9F" w14:textId="77777777" w:rsidR="00F65D61" w:rsidRPr="00F4587B" w:rsidRDefault="00F65D61" w:rsidP="00F65D61">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w:t>
            </w:r>
            <w:r w:rsidR="003A7E7A">
              <w:rPr>
                <w:rFonts w:cs="Arial"/>
              </w:rPr>
              <w:t xml:space="preserve"> or </w:t>
            </w:r>
            <w:r w:rsidRPr="00F4587B">
              <w:rPr>
                <w:rFonts w:cs="Arial"/>
              </w:rPr>
              <w:t>Apprenticeships</w:t>
            </w:r>
            <w:r w:rsidR="003A7E7A">
              <w:rPr>
                <w:rFonts w:cs="Arial"/>
              </w:rPr>
              <w:t xml:space="preserve">. </w:t>
            </w:r>
            <w:r w:rsidR="00C1183A" w:rsidRPr="00F4587B">
              <w:rPr>
                <w:rFonts w:cs="Arial"/>
              </w:rPr>
              <w:t xml:space="preserve"> </w:t>
            </w:r>
          </w:p>
          <w:p w14:paraId="2AABBDA0" w14:textId="77777777" w:rsidR="00F65D61" w:rsidRPr="00F4587B" w:rsidRDefault="00F65D61" w:rsidP="00F65D61">
            <w:pPr>
              <w:rPr>
                <w:rFonts w:cs="Arial"/>
              </w:rPr>
            </w:pPr>
          </w:p>
          <w:p w14:paraId="2AABBDA1"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w:t>
            </w:r>
            <w:r w:rsidR="00BF237F">
              <w:rPr>
                <w:rFonts w:cs="Arial"/>
              </w:rPr>
              <w:t xml:space="preserve"> or </w:t>
            </w:r>
            <w:r w:rsidRPr="00F4587B">
              <w:rPr>
                <w:rFonts w:cs="Arial"/>
              </w:rPr>
              <w:t xml:space="preserve">work experience, which are supported by one to one mentoring.  </w:t>
            </w:r>
          </w:p>
          <w:p w14:paraId="2AABBDA2" w14:textId="77777777" w:rsidR="00F65D61" w:rsidRPr="00F4587B" w:rsidRDefault="00F65D61" w:rsidP="00F65D61">
            <w:pPr>
              <w:rPr>
                <w:rFonts w:cs="Arial"/>
              </w:rPr>
            </w:pPr>
          </w:p>
          <w:p w14:paraId="2AABBDA3" w14:textId="77777777" w:rsidR="00F65D61" w:rsidRPr="00F4587B" w:rsidRDefault="00F65D61" w:rsidP="00F65D61">
            <w:pPr>
              <w:rPr>
                <w:rFonts w:cs="Arial"/>
              </w:rPr>
            </w:pPr>
            <w:r w:rsidRPr="00F4587B">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2AABBDA4" w14:textId="77777777" w:rsidR="00F65D61" w:rsidRPr="00F4587B" w:rsidRDefault="00F65D61" w:rsidP="00F65D61">
            <w:pPr>
              <w:rPr>
                <w:rFonts w:cs="Arial"/>
              </w:rPr>
            </w:pPr>
          </w:p>
          <w:p w14:paraId="2AABBDA5" w14:textId="77777777" w:rsidR="00F65D61" w:rsidRPr="00F4587B" w:rsidRDefault="00F65D61" w:rsidP="00F65D61">
            <w:pPr>
              <w:autoSpaceDE w:val="0"/>
              <w:autoSpaceDN w:val="0"/>
              <w:adjustRightInd w:val="0"/>
              <w:rPr>
                <w:rFonts w:cs="Arial"/>
              </w:rPr>
            </w:pPr>
            <w:r w:rsidRPr="00F4587B">
              <w:rPr>
                <w:rFonts w:cs="Arial"/>
              </w:rPr>
              <w:t xml:space="preserve">The Services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Services will track the individual after leaving the programme.  </w:t>
            </w:r>
          </w:p>
          <w:p w14:paraId="2AABBDA6" w14:textId="77777777" w:rsidR="00F65D61" w:rsidRPr="00F4587B" w:rsidRDefault="00F65D61" w:rsidP="00F65D61">
            <w:pPr>
              <w:autoSpaceDE w:val="0"/>
              <w:autoSpaceDN w:val="0"/>
              <w:adjustRightInd w:val="0"/>
              <w:rPr>
                <w:rFonts w:cs="Arial"/>
              </w:rPr>
            </w:pPr>
          </w:p>
          <w:p w14:paraId="2AABBDA7" w14:textId="77777777"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Service</w:t>
            </w:r>
            <w:r w:rsidR="00B85F61" w:rsidRPr="00F4587B">
              <w:rPr>
                <w:rFonts w:cs="Arial"/>
              </w:rPr>
              <w:t>s</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2AABBDA8" w14:textId="77777777" w:rsidR="00F65D61" w:rsidRPr="00F4587B" w:rsidRDefault="00F65D61" w:rsidP="00F65D61">
            <w:pPr>
              <w:autoSpaceDE w:val="0"/>
              <w:autoSpaceDN w:val="0"/>
              <w:adjustRightInd w:val="0"/>
              <w:rPr>
                <w:rFonts w:cs="Arial"/>
              </w:rPr>
            </w:pPr>
          </w:p>
          <w:p w14:paraId="2AABBDA9" w14:textId="77777777"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B85F61" w:rsidRPr="00F4587B">
              <w:rPr>
                <w:rFonts w:cs="Arial"/>
              </w:rPr>
              <w:t xml:space="preserve">Services </w:t>
            </w:r>
            <w:r w:rsidRPr="00F4587B">
              <w:rPr>
                <w:rFonts w:cs="Arial"/>
              </w:rPr>
              <w:t xml:space="preserve">will provide ongoing support/job matching until a successful outcome has been achieved up to </w:t>
            </w:r>
            <w:r w:rsidR="00003E66">
              <w:rPr>
                <w:rFonts w:cs="Arial"/>
              </w:rPr>
              <w:t>4</w:t>
            </w:r>
            <w:r w:rsidR="00003E66" w:rsidRPr="00F4587B">
              <w:rPr>
                <w:rFonts w:cs="Arial"/>
              </w:rPr>
              <w:t xml:space="preserve"> </w:t>
            </w:r>
            <w:r w:rsidRPr="00F4587B">
              <w:rPr>
                <w:rFonts w:cs="Arial"/>
              </w:rPr>
              <w:t>weeks post completion of activity end date.</w:t>
            </w:r>
          </w:p>
          <w:p w14:paraId="2AABBDAA" w14:textId="77777777" w:rsidR="00F65D61" w:rsidRPr="00F4587B" w:rsidRDefault="00F65D61" w:rsidP="00F65D61">
            <w:pPr>
              <w:pStyle w:val="Default"/>
              <w:rPr>
                <w:sz w:val="22"/>
                <w:szCs w:val="22"/>
              </w:rPr>
            </w:pPr>
          </w:p>
          <w:p w14:paraId="2AABBDAB"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work with employers to identify potential apprenticeship and job opportunities.  The Services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F4587B">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007118CF" w:rsidRPr="00F4587B">
              <w:rPr>
                <w:rFonts w:cs="Arial"/>
              </w:rPr>
              <w:t xml:space="preserve">must </w:t>
            </w:r>
            <w:r w:rsidRPr="00F4587B">
              <w:rPr>
                <w:rFonts w:cs="Arial"/>
              </w:rPr>
              <w:t>provide mentoring support to employers to assist them in supporting their new employees.</w:t>
            </w:r>
          </w:p>
          <w:p w14:paraId="2AABBDAC" w14:textId="77777777" w:rsidR="00F65D61" w:rsidRPr="00F4587B" w:rsidRDefault="00F65D61" w:rsidP="00F65D61">
            <w:pPr>
              <w:rPr>
                <w:rFonts w:cs="Arial"/>
              </w:rPr>
            </w:pPr>
          </w:p>
          <w:p w14:paraId="2AABBDAD" w14:textId="77777777" w:rsidR="002F59FE" w:rsidRPr="00F4587B" w:rsidRDefault="002F59FE" w:rsidP="002F59FE">
            <w:pPr>
              <w:pStyle w:val="Default"/>
              <w:rPr>
                <w:color w:val="auto"/>
                <w:sz w:val="22"/>
                <w:szCs w:val="22"/>
              </w:rPr>
            </w:pPr>
            <w:r w:rsidRPr="00F4587B">
              <w:t xml:space="preserve">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develop and provide </w:t>
            </w:r>
            <w:r w:rsidR="007118CF" w:rsidRPr="00F4587B">
              <w:t>s</w:t>
            </w:r>
            <w:r w:rsidRPr="00F4587B">
              <w:t xml:space="preserve">kills support to reduce </w:t>
            </w:r>
            <w:proofErr w:type="spellStart"/>
            <w:r w:rsidRPr="00F4587B">
              <w:t>worklessness</w:t>
            </w:r>
            <w:proofErr w:type="spellEnd"/>
            <w:r w:rsidRPr="00F4587B">
              <w:t xml:space="preserve"> amongst the hardest to reach communities by providing support to local communities to deliver local training solutions to engage disadvantaged learners, Innovative provision that engages people and enables them to enter education and/or employment. 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offer </w:t>
            </w:r>
            <w:r w:rsidR="007118CF" w:rsidRPr="00F4587B">
              <w:t>f</w:t>
            </w:r>
            <w:r w:rsidRPr="00F4587B">
              <w:t xml:space="preserve">unctional skills training, including literacy and ICT, promoting digital competence within the labour market; ESOL provision </w:t>
            </w:r>
            <w:r w:rsidR="007118CF" w:rsidRPr="00F4587B">
              <w:t>l</w:t>
            </w:r>
            <w:r w:rsidRPr="00F4587B">
              <w:t>earning programmes for learners with special educational needs</w:t>
            </w:r>
            <w:r w:rsidR="007118CF" w:rsidRPr="00F4587B">
              <w:t xml:space="preserve"> and</w:t>
            </w:r>
            <w:r w:rsidRPr="00F4587B">
              <w:t xml:space="preserve"> </w:t>
            </w:r>
            <w:r w:rsidR="007118CF" w:rsidRPr="00F4587B">
              <w:t>s</w:t>
            </w:r>
            <w:r w:rsidRPr="00F4587B">
              <w:t>upport independence skills for those with learning difficulties</w:t>
            </w:r>
          </w:p>
          <w:p w14:paraId="2AABBDAE" w14:textId="77777777" w:rsidR="00F65D61" w:rsidRPr="00F4587B" w:rsidRDefault="00F65D61" w:rsidP="00F65D61">
            <w:pPr>
              <w:pStyle w:val="Default"/>
              <w:rPr>
                <w:color w:val="auto"/>
                <w:sz w:val="22"/>
                <w:szCs w:val="22"/>
              </w:rPr>
            </w:pPr>
          </w:p>
          <w:p w14:paraId="2AABBDAF" w14:textId="77777777" w:rsidR="00A503FD" w:rsidRPr="00F4587B" w:rsidRDefault="00A503FD" w:rsidP="00A503FD">
            <w:pPr>
              <w:rPr>
                <w:rFonts w:cs="Arial"/>
              </w:rPr>
            </w:pPr>
            <w:r w:rsidRPr="00F4587B">
              <w:rPr>
                <w:rFonts w:cs="Arial"/>
              </w:rPr>
              <w:t xml:space="preserve">The Services </w:t>
            </w:r>
            <w:r w:rsidR="007118CF" w:rsidRPr="00F4587B">
              <w:rPr>
                <w:rFonts w:cs="Arial"/>
              </w:rPr>
              <w:t xml:space="preserve">must </w:t>
            </w:r>
            <w:r w:rsidRPr="00F4587B">
              <w:rPr>
                <w:rFonts w:cs="Arial"/>
              </w:rPr>
              <w:t>investigate existing demand for ESOL provision across the LEP area and explore where</w:t>
            </w:r>
            <w:r w:rsidR="007118CF" w:rsidRPr="00F4587B">
              <w:rPr>
                <w:rFonts w:cs="Arial"/>
              </w:rPr>
              <w:t xml:space="preserve"> the Services </w:t>
            </w:r>
            <w:r w:rsidRPr="00F4587B">
              <w:rPr>
                <w:rFonts w:cs="Arial"/>
              </w:rPr>
              <w:t xml:space="preserve">might be able to augment provision available to the target group and promote participation.  The Services </w:t>
            </w:r>
            <w:r w:rsidR="007118CF" w:rsidRPr="00F4587B">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14:paraId="2AABBDB0" w14:textId="77777777" w:rsidR="002F59FE" w:rsidRPr="006002A9" w:rsidRDefault="002F59FE" w:rsidP="00A503FD">
            <w:pPr>
              <w:rPr>
                <w:rFonts w:cs="Arial"/>
                <w:highlight w:val="green"/>
              </w:rPr>
            </w:pPr>
          </w:p>
          <w:p w14:paraId="2AABBDB1" w14:textId="321D5727" w:rsidR="00460163" w:rsidRDefault="00AE17EA" w:rsidP="00460163">
            <w:pPr>
              <w:pStyle w:val="NumberedParagraph0"/>
              <w:tabs>
                <w:tab w:val="clear" w:pos="360"/>
              </w:tabs>
              <w:rPr>
                <w:rFonts w:ascii="Arial" w:hAnsi="Arial" w:cs="Arial"/>
              </w:rPr>
            </w:pPr>
            <w:r w:rsidRPr="00AE17EA">
              <w:rPr>
                <w:rFonts w:ascii="Arial" w:hAnsi="Arial" w:cs="Arial"/>
                <w:szCs w:val="24"/>
              </w:rPr>
              <w:t xml:space="preserve">The Services </w:t>
            </w:r>
            <w:r w:rsidR="003320B3">
              <w:rPr>
                <w:rFonts w:ascii="Arial" w:hAnsi="Arial" w:cs="Arial"/>
                <w:szCs w:val="24"/>
              </w:rPr>
              <w:t xml:space="preserve">must </w:t>
            </w:r>
            <w:r w:rsidR="00FC7B24" w:rsidRPr="00AE17EA">
              <w:rPr>
                <w:rFonts w:ascii="Arial" w:hAnsi="Arial" w:cs="Arial"/>
                <w:szCs w:val="24"/>
              </w:rPr>
              <w:t xml:space="preserve">contribute to the delivery of </w:t>
            </w:r>
            <w:r w:rsidR="00D9105E" w:rsidRPr="00AE17EA">
              <w:rPr>
                <w:rFonts w:ascii="Arial" w:hAnsi="Arial" w:cs="Arial"/>
                <w:szCs w:val="24"/>
              </w:rPr>
              <w:t xml:space="preserve">the Cumbria Skills Investment Plan </w:t>
            </w:r>
            <w:r w:rsidRPr="00AE17EA">
              <w:rPr>
                <w:rFonts w:ascii="Arial" w:hAnsi="Arial" w:cs="Arial"/>
                <w:szCs w:val="24"/>
              </w:rPr>
              <w:t xml:space="preserve">by </w:t>
            </w:r>
            <w:r w:rsidRPr="0082674C">
              <w:rPr>
                <w:rFonts w:ascii="Arial" w:hAnsi="Arial" w:cs="Arial"/>
                <w:szCs w:val="24"/>
              </w:rPr>
              <w:t xml:space="preserve">supporting </w:t>
            </w:r>
            <w:r w:rsidR="00FC7B24" w:rsidRPr="0082674C">
              <w:rPr>
                <w:rFonts w:ascii="Arial" w:hAnsi="Arial" w:cs="Arial"/>
              </w:rPr>
              <w:t>employers to recruit from Cumbria’s cohort of unemployed residents</w:t>
            </w:r>
            <w:r w:rsidRPr="0082674C">
              <w:rPr>
                <w:rFonts w:ascii="Arial" w:hAnsi="Arial" w:cs="Arial"/>
              </w:rPr>
              <w:t>.</w:t>
            </w:r>
            <w:r w:rsidRPr="0082674C">
              <w:rPr>
                <w:rFonts w:cs="Arial"/>
              </w:rPr>
              <w:t xml:space="preserve">  </w:t>
            </w:r>
          </w:p>
          <w:p w14:paraId="2AABBDB2" w14:textId="77777777" w:rsidR="00460163" w:rsidRDefault="00460163" w:rsidP="00460163">
            <w:pPr>
              <w:pStyle w:val="NumberedParagraph0"/>
              <w:tabs>
                <w:tab w:val="clear" w:pos="360"/>
              </w:tabs>
              <w:rPr>
                <w:rFonts w:ascii="Arial" w:hAnsi="Arial" w:cs="Arial"/>
              </w:rPr>
            </w:pPr>
            <w:r>
              <w:rPr>
                <w:rFonts w:ascii="Arial" w:hAnsi="Arial" w:cs="Arial"/>
              </w:rPr>
              <w:t xml:space="preserve">The Services must focus on areas which are </w:t>
            </w:r>
            <w:r w:rsidRPr="00460163">
              <w:rPr>
                <w:rFonts w:ascii="Arial" w:hAnsi="Arial" w:cs="Arial"/>
              </w:rPr>
              <w:t xml:space="preserve">demonstrating the highest levels of unemployment </w:t>
            </w:r>
            <w:r>
              <w:rPr>
                <w:rFonts w:ascii="Arial" w:hAnsi="Arial" w:cs="Arial"/>
              </w:rPr>
              <w:t>and where ne</w:t>
            </w:r>
            <w:r w:rsidRPr="00460163">
              <w:rPr>
                <w:rFonts w:ascii="Arial" w:hAnsi="Arial" w:cs="Arial"/>
              </w:rPr>
              <w:t xml:space="preserve">w employment opportunities and significant levels of </w:t>
            </w:r>
            <w:r w:rsidRPr="00460163">
              <w:rPr>
                <w:rFonts w:ascii="Arial" w:hAnsi="Arial" w:cs="Arial"/>
              </w:rPr>
              <w:lastRenderedPageBreak/>
              <w:t xml:space="preserve">replacement demand </w:t>
            </w:r>
            <w:r>
              <w:rPr>
                <w:rFonts w:ascii="Arial" w:hAnsi="Arial" w:cs="Arial"/>
              </w:rPr>
              <w:t xml:space="preserve">are </w:t>
            </w:r>
            <w:r w:rsidRPr="00460163">
              <w:rPr>
                <w:rFonts w:ascii="Arial" w:hAnsi="Arial" w:cs="Arial"/>
              </w:rPr>
              <w:t>forecast</w:t>
            </w:r>
            <w:r>
              <w:rPr>
                <w:rFonts w:ascii="Arial" w:hAnsi="Arial" w:cs="Arial"/>
              </w:rPr>
              <w:t xml:space="preserve">, including </w:t>
            </w:r>
            <w:r w:rsidRPr="00697329">
              <w:rPr>
                <w:rFonts w:ascii="Arial" w:hAnsi="Arial" w:cs="Arial"/>
              </w:rPr>
              <w:t xml:space="preserve">Barrow-in-Furness (the location of </w:t>
            </w:r>
            <w:r>
              <w:rPr>
                <w:rFonts w:ascii="Arial" w:hAnsi="Arial" w:cs="Arial"/>
              </w:rPr>
              <w:t>British Aerospace</w:t>
            </w:r>
            <w:r w:rsidRPr="00697329">
              <w:rPr>
                <w:rFonts w:ascii="Arial" w:hAnsi="Arial" w:cs="Arial"/>
              </w:rPr>
              <w:t>)</w:t>
            </w:r>
            <w:r>
              <w:rPr>
                <w:rFonts w:ascii="Arial" w:hAnsi="Arial" w:cs="Arial"/>
              </w:rPr>
              <w:t xml:space="preserve"> and </w:t>
            </w:r>
            <w:r w:rsidRPr="00697329">
              <w:rPr>
                <w:rFonts w:ascii="Arial" w:hAnsi="Arial" w:cs="Arial"/>
              </w:rPr>
              <w:t xml:space="preserve">Copeland (the location of both Sellafield and the proposed nuclear new build at </w:t>
            </w:r>
            <w:proofErr w:type="spellStart"/>
            <w:r w:rsidRPr="00697329">
              <w:rPr>
                <w:rFonts w:ascii="Arial" w:hAnsi="Arial" w:cs="Arial"/>
              </w:rPr>
              <w:t>Moorside</w:t>
            </w:r>
            <w:proofErr w:type="spellEnd"/>
            <w:r w:rsidRPr="00697329">
              <w:rPr>
                <w:rFonts w:ascii="Arial" w:hAnsi="Arial" w:cs="Arial"/>
              </w:rPr>
              <w:t>)</w:t>
            </w:r>
            <w:r>
              <w:rPr>
                <w:rFonts w:ascii="Arial" w:hAnsi="Arial" w:cs="Arial"/>
              </w:rPr>
              <w:t xml:space="preserve">.  The Services must ensure the provision is complementary with other activities in the area and may be delivered through community development centres. </w:t>
            </w:r>
          </w:p>
          <w:p w14:paraId="2AABBDB3" w14:textId="151606D9" w:rsidR="00FC7B24" w:rsidRPr="0082674C" w:rsidRDefault="00366062" w:rsidP="00366062">
            <w:pPr>
              <w:pStyle w:val="NumberedParagraph0"/>
              <w:tabs>
                <w:tab w:val="clear" w:pos="360"/>
              </w:tabs>
              <w:rPr>
                <w:rFonts w:ascii="Arial" w:hAnsi="Arial" w:cs="Arial"/>
              </w:rPr>
            </w:pPr>
            <w:r>
              <w:rPr>
                <w:rFonts w:ascii="Arial" w:hAnsi="Arial" w:cs="Arial"/>
              </w:rPr>
              <w:t xml:space="preserve">The Services must </w:t>
            </w:r>
            <w:r w:rsidR="00FC7B24" w:rsidRPr="00697329">
              <w:rPr>
                <w:rFonts w:ascii="Arial" w:hAnsi="Arial" w:cs="Arial"/>
              </w:rPr>
              <w:t>deliver a</w:t>
            </w:r>
            <w:r w:rsidR="00FC7B24" w:rsidRPr="00697329">
              <w:rPr>
                <w:rFonts w:ascii="Arial" w:hAnsi="Arial" w:cs="Arial"/>
                <w:szCs w:val="24"/>
              </w:rPr>
              <w:t xml:space="preserve"> programme</w:t>
            </w:r>
            <w:r>
              <w:rPr>
                <w:rFonts w:ascii="Arial" w:hAnsi="Arial" w:cs="Arial"/>
                <w:szCs w:val="24"/>
              </w:rPr>
              <w:t xml:space="preserve"> of e</w:t>
            </w:r>
            <w:r w:rsidR="00FC7B24" w:rsidRPr="00697329">
              <w:rPr>
                <w:rFonts w:ascii="Arial" w:hAnsi="Arial" w:cs="Arial"/>
                <w:szCs w:val="24"/>
              </w:rPr>
              <w:t xml:space="preserve">mployer-led work academies </w:t>
            </w:r>
            <w:r>
              <w:rPr>
                <w:rFonts w:ascii="Arial" w:hAnsi="Arial" w:cs="Arial"/>
                <w:szCs w:val="24"/>
              </w:rPr>
              <w:t xml:space="preserve">supporting unemployed individuals into identified job vacancies.   All learners completing the </w:t>
            </w:r>
            <w:r w:rsidR="00046C0A">
              <w:rPr>
                <w:rFonts w:ascii="Arial" w:hAnsi="Arial" w:cs="Arial"/>
                <w:szCs w:val="24"/>
              </w:rPr>
              <w:t xml:space="preserve">programme </w:t>
            </w:r>
            <w:r>
              <w:rPr>
                <w:rFonts w:ascii="Arial" w:hAnsi="Arial" w:cs="Arial"/>
                <w:szCs w:val="24"/>
              </w:rPr>
              <w:t xml:space="preserve">must be guaranteed a job interview.  The training will be available to unemployed and economic inactive individuals, including those who are not claiming </w:t>
            </w:r>
            <w:r w:rsidRPr="0082674C">
              <w:rPr>
                <w:rFonts w:ascii="Arial" w:hAnsi="Arial" w:cs="Arial"/>
              </w:rPr>
              <w:t>JSA.</w:t>
            </w:r>
          </w:p>
          <w:p w14:paraId="2AABBDB4" w14:textId="77777777" w:rsidR="00FC7B24" w:rsidRPr="0082674C" w:rsidRDefault="0082674C" w:rsidP="00046C0A">
            <w:pPr>
              <w:pStyle w:val="NumberedParagraph0"/>
              <w:tabs>
                <w:tab w:val="clear" w:pos="360"/>
              </w:tabs>
              <w:rPr>
                <w:rFonts w:ascii="Arial" w:hAnsi="Arial" w:cs="Arial"/>
                <w:szCs w:val="24"/>
              </w:rPr>
            </w:pPr>
            <w:r>
              <w:rPr>
                <w:rFonts w:ascii="Arial" w:hAnsi="Arial" w:cs="Arial"/>
              </w:rPr>
              <w:t>The Services must provide</w:t>
            </w:r>
            <w:r w:rsidR="0010045F" w:rsidRPr="0082674C">
              <w:rPr>
                <w:rFonts w:ascii="Arial" w:hAnsi="Arial" w:cs="Arial"/>
              </w:rPr>
              <w:t xml:space="preserve"> a </w:t>
            </w:r>
            <w:r w:rsidR="005B0517" w:rsidRPr="0082674C">
              <w:rPr>
                <w:rFonts w:ascii="Arial" w:hAnsi="Arial" w:cs="Arial"/>
              </w:rPr>
              <w:t xml:space="preserve">first level 2 qualification </w:t>
            </w:r>
            <w:r w:rsidR="0010045F" w:rsidRPr="0082674C">
              <w:rPr>
                <w:rFonts w:ascii="Arial" w:hAnsi="Arial" w:cs="Arial"/>
              </w:rPr>
              <w:t xml:space="preserve">to </w:t>
            </w:r>
            <w:r w:rsidR="003320B3" w:rsidRPr="0082674C">
              <w:rPr>
                <w:rFonts w:ascii="Arial" w:hAnsi="Arial" w:cs="Arial"/>
              </w:rPr>
              <w:t xml:space="preserve">learners who require this to </w:t>
            </w:r>
            <w:r w:rsidR="00046C0A" w:rsidRPr="0082674C">
              <w:rPr>
                <w:rFonts w:ascii="Arial" w:hAnsi="Arial" w:cs="Arial"/>
              </w:rPr>
              <w:t xml:space="preserve">enable them to </w:t>
            </w:r>
            <w:r w:rsidR="005B0517" w:rsidRPr="0082674C">
              <w:rPr>
                <w:rFonts w:ascii="Arial" w:hAnsi="Arial" w:cs="Arial"/>
              </w:rPr>
              <w:t xml:space="preserve">move into employment, </w:t>
            </w:r>
            <w:r w:rsidR="00046C0A" w:rsidRPr="0082674C">
              <w:rPr>
                <w:rFonts w:ascii="Arial" w:hAnsi="Arial" w:cs="Arial"/>
                <w:szCs w:val="24"/>
              </w:rPr>
              <w:t>the</w:t>
            </w:r>
            <w:r w:rsidR="0010045F" w:rsidRPr="0082674C">
              <w:rPr>
                <w:rFonts w:ascii="Arial" w:hAnsi="Arial" w:cs="Arial"/>
                <w:szCs w:val="24"/>
              </w:rPr>
              <w:t xml:space="preserve"> </w:t>
            </w:r>
            <w:r w:rsidR="00046C0A" w:rsidRPr="0082674C">
              <w:rPr>
                <w:rFonts w:ascii="Arial" w:hAnsi="Arial" w:cs="Arial"/>
                <w:szCs w:val="24"/>
              </w:rPr>
              <w:t>successful candidate wi</w:t>
            </w:r>
            <w:r w:rsidR="00FC7B24" w:rsidRPr="0082674C">
              <w:rPr>
                <w:rFonts w:ascii="Arial" w:hAnsi="Arial" w:cs="Arial"/>
                <w:szCs w:val="24"/>
              </w:rPr>
              <w:t xml:space="preserve">ll source such support from the </w:t>
            </w:r>
            <w:r w:rsidR="00046C0A" w:rsidRPr="0082674C">
              <w:rPr>
                <w:rFonts w:ascii="Arial" w:hAnsi="Arial" w:cs="Arial"/>
                <w:szCs w:val="24"/>
              </w:rPr>
              <w:t xml:space="preserve">mainstream </w:t>
            </w:r>
            <w:r w:rsidR="00FC7B24" w:rsidRPr="0082674C">
              <w:rPr>
                <w:rFonts w:ascii="Arial" w:hAnsi="Arial" w:cs="Arial"/>
                <w:szCs w:val="24"/>
              </w:rPr>
              <w:t xml:space="preserve">Adult Education Budget. </w:t>
            </w:r>
            <w:r w:rsidR="0010045F" w:rsidRPr="0082674C">
              <w:rPr>
                <w:rFonts w:ascii="Arial" w:hAnsi="Arial" w:cs="Arial"/>
                <w:szCs w:val="24"/>
              </w:rPr>
              <w:t>The successful candidate will on</w:t>
            </w:r>
            <w:r w:rsidR="00046C0A" w:rsidRPr="0082674C">
              <w:rPr>
                <w:rFonts w:ascii="Arial" w:hAnsi="Arial" w:cs="Arial"/>
                <w:szCs w:val="24"/>
              </w:rPr>
              <w:t xml:space="preserve">ly </w:t>
            </w:r>
            <w:r w:rsidR="0010045F" w:rsidRPr="0082674C">
              <w:rPr>
                <w:rFonts w:ascii="Arial" w:hAnsi="Arial" w:cs="Arial"/>
                <w:szCs w:val="24"/>
              </w:rPr>
              <w:t xml:space="preserve">deliver the qualification if </w:t>
            </w:r>
            <w:r w:rsidR="00046C0A" w:rsidRPr="0082674C">
              <w:rPr>
                <w:rFonts w:ascii="Arial" w:hAnsi="Arial" w:cs="Arial"/>
                <w:szCs w:val="24"/>
              </w:rPr>
              <w:t>the provision is not available in the area</w:t>
            </w:r>
            <w:r w:rsidR="0010045F" w:rsidRPr="0082674C">
              <w:rPr>
                <w:rFonts w:ascii="Arial" w:hAnsi="Arial" w:cs="Arial"/>
                <w:szCs w:val="24"/>
              </w:rPr>
              <w:t xml:space="preserve">.  </w:t>
            </w:r>
          </w:p>
          <w:p w14:paraId="2AABBDB5" w14:textId="77777777" w:rsidR="00FB402C" w:rsidRDefault="00DC6BEC" w:rsidP="00FB402C">
            <w:pPr>
              <w:rPr>
                <w:rFonts w:cs="Arial"/>
              </w:rPr>
            </w:pPr>
            <w:r>
              <w:rPr>
                <w:rFonts w:cs="Arial"/>
              </w:rPr>
              <w:t>From the unit costs paid,</w:t>
            </w:r>
            <w:r w:rsidR="00FB402C">
              <w:rPr>
                <w:rFonts w:cs="Arial"/>
              </w:rPr>
              <w:t xml:space="preserve"> </w:t>
            </w:r>
            <w:r>
              <w:rPr>
                <w:rFonts w:cs="Arial"/>
              </w:rPr>
              <w:t>u</w:t>
            </w:r>
            <w:r w:rsidR="00FB402C">
              <w:rPr>
                <w:rFonts w:cs="Arial"/>
              </w:rPr>
              <w:t xml:space="preserve">p to £100,000 </w:t>
            </w:r>
            <w:r w:rsidR="003320B3">
              <w:rPr>
                <w:rFonts w:cs="Arial"/>
              </w:rPr>
              <w:t xml:space="preserve">may </w:t>
            </w:r>
            <w:r w:rsidR="00FB402C">
              <w:rPr>
                <w:rFonts w:cs="Arial"/>
              </w:rPr>
              <w:t xml:space="preserve">be allocated to the activities listed below </w:t>
            </w:r>
            <w:r w:rsidR="003320B3">
              <w:rPr>
                <w:rFonts w:cs="Arial"/>
              </w:rPr>
              <w:t xml:space="preserve">with </w:t>
            </w:r>
            <w:r w:rsidR="00FB402C">
              <w:rPr>
                <w:rFonts w:cs="Arial"/>
              </w:rPr>
              <w:t>the agreement of the LEP</w:t>
            </w:r>
            <w:r>
              <w:rPr>
                <w:rFonts w:cs="Arial"/>
              </w:rPr>
              <w:t xml:space="preserve"> and the SFA</w:t>
            </w:r>
            <w:r w:rsidR="00FB402C">
              <w:rPr>
                <w:rFonts w:cs="Arial"/>
              </w:rPr>
              <w:t>.</w:t>
            </w:r>
          </w:p>
          <w:p w14:paraId="2AABBDB6" w14:textId="77777777" w:rsidR="00DC6BEC" w:rsidRDefault="00DC6BEC" w:rsidP="00FB402C">
            <w:pPr>
              <w:rPr>
                <w:rFonts w:cs="Arial"/>
              </w:rPr>
            </w:pPr>
          </w:p>
          <w:p w14:paraId="2AABBDB7" w14:textId="77777777" w:rsidR="00046C0A" w:rsidRDefault="006C5A2F" w:rsidP="00FC7B24">
            <w:pPr>
              <w:pStyle w:val="ListParagraph"/>
              <w:numPr>
                <w:ilvl w:val="0"/>
                <w:numId w:val="34"/>
              </w:numPr>
              <w:jc w:val="both"/>
              <w:rPr>
                <w:rFonts w:cs="Arial"/>
              </w:rPr>
            </w:pPr>
            <w:r>
              <w:rPr>
                <w:rFonts w:cs="Arial"/>
              </w:rPr>
              <w:t>Produc</w:t>
            </w:r>
            <w:r w:rsidR="00FB402C">
              <w:rPr>
                <w:rFonts w:cs="Arial"/>
              </w:rPr>
              <w:t xml:space="preserve">tion of </w:t>
            </w:r>
            <w:r>
              <w:rPr>
                <w:rFonts w:cs="Arial"/>
              </w:rPr>
              <w:t>a</w:t>
            </w:r>
            <w:r w:rsidR="00391DF4">
              <w:rPr>
                <w:rFonts w:cs="Arial"/>
              </w:rPr>
              <w:t xml:space="preserve">n evaluation </w:t>
            </w:r>
            <w:r w:rsidR="00046C0A">
              <w:rPr>
                <w:rFonts w:cs="Arial"/>
              </w:rPr>
              <w:t xml:space="preserve">study at the </w:t>
            </w:r>
            <w:r w:rsidR="003320B3">
              <w:rPr>
                <w:rFonts w:cs="Arial"/>
              </w:rPr>
              <w:t xml:space="preserve">commencement </w:t>
            </w:r>
            <w:r w:rsidR="00046C0A">
              <w:rPr>
                <w:rFonts w:cs="Arial"/>
              </w:rPr>
              <w:t xml:space="preserve">start of the </w:t>
            </w:r>
            <w:r w:rsidR="003320B3">
              <w:rPr>
                <w:rFonts w:cs="Arial"/>
              </w:rPr>
              <w:t xml:space="preserve"> Services </w:t>
            </w:r>
            <w:r w:rsidR="00046C0A">
              <w:rPr>
                <w:rFonts w:cs="Arial"/>
              </w:rPr>
              <w:t>(Formative Evaluation)</w:t>
            </w:r>
          </w:p>
          <w:p w14:paraId="2AABBDB8" w14:textId="77777777" w:rsidR="00391DF4" w:rsidRDefault="006C5A2F" w:rsidP="00FC7B24">
            <w:pPr>
              <w:pStyle w:val="ListParagraph"/>
              <w:numPr>
                <w:ilvl w:val="0"/>
                <w:numId w:val="34"/>
              </w:numPr>
              <w:jc w:val="both"/>
              <w:rPr>
                <w:rFonts w:cs="Arial"/>
              </w:rPr>
            </w:pPr>
            <w:r>
              <w:rPr>
                <w:rFonts w:cs="Arial"/>
              </w:rPr>
              <w:t>Produc</w:t>
            </w:r>
            <w:r w:rsidR="00FB402C">
              <w:rPr>
                <w:rFonts w:cs="Arial"/>
              </w:rPr>
              <w:t xml:space="preserve">tion of </w:t>
            </w:r>
            <w:r>
              <w:rPr>
                <w:rFonts w:cs="Arial"/>
              </w:rPr>
              <w:t>a</w:t>
            </w:r>
            <w:r w:rsidR="00046C0A">
              <w:rPr>
                <w:rFonts w:cs="Arial"/>
              </w:rPr>
              <w:t xml:space="preserve">n evaluation </w:t>
            </w:r>
            <w:r w:rsidR="00391DF4">
              <w:rPr>
                <w:rFonts w:cs="Arial"/>
              </w:rPr>
              <w:t>study at the end of th</w:t>
            </w:r>
            <w:r w:rsidR="003320B3">
              <w:rPr>
                <w:rFonts w:cs="Arial"/>
              </w:rPr>
              <w:t xml:space="preserve">e contract </w:t>
            </w:r>
            <w:r w:rsidR="00391DF4">
              <w:rPr>
                <w:rFonts w:cs="Arial"/>
              </w:rPr>
              <w:t xml:space="preserve"> (Summary Evaluation)</w:t>
            </w:r>
          </w:p>
          <w:p w14:paraId="2AABBDB9" w14:textId="77777777" w:rsidR="006C5A2F" w:rsidRDefault="00BC18D9" w:rsidP="00FC7B24">
            <w:pPr>
              <w:pStyle w:val="ListParagraph"/>
              <w:numPr>
                <w:ilvl w:val="0"/>
                <w:numId w:val="34"/>
              </w:numPr>
              <w:jc w:val="both"/>
              <w:rPr>
                <w:rFonts w:cs="Arial"/>
              </w:rPr>
            </w:pPr>
            <w:r>
              <w:rPr>
                <w:rFonts w:cs="Arial"/>
              </w:rPr>
              <w:t xml:space="preserve">Production </w:t>
            </w:r>
            <w:r w:rsidR="00FB402C">
              <w:rPr>
                <w:rFonts w:cs="Arial"/>
              </w:rPr>
              <w:t>of</w:t>
            </w:r>
            <w:r w:rsidR="006C5A2F">
              <w:rPr>
                <w:rFonts w:cs="Arial"/>
              </w:rPr>
              <w:t xml:space="preserve"> </w:t>
            </w:r>
            <w:r>
              <w:rPr>
                <w:rFonts w:cs="Arial"/>
              </w:rPr>
              <w:t xml:space="preserve">six </w:t>
            </w:r>
            <w:r w:rsidR="006C5A2F">
              <w:rPr>
                <w:rFonts w:cs="Arial"/>
              </w:rPr>
              <w:t>S</w:t>
            </w:r>
            <w:r w:rsidR="00FC7B24" w:rsidRPr="00FA7F3C">
              <w:rPr>
                <w:rFonts w:cs="Arial"/>
              </w:rPr>
              <w:t xml:space="preserve">ector Plans, </w:t>
            </w:r>
            <w:r w:rsidR="00046C0A">
              <w:rPr>
                <w:rFonts w:cs="Arial"/>
              </w:rPr>
              <w:t xml:space="preserve">working with the </w:t>
            </w:r>
            <w:r w:rsidR="00FC7B24" w:rsidRPr="00FA7F3C">
              <w:rPr>
                <w:rFonts w:cs="Arial"/>
              </w:rPr>
              <w:t xml:space="preserve">Sector Employer Panels </w:t>
            </w:r>
            <w:r w:rsidR="006C5A2F">
              <w:rPr>
                <w:rFonts w:cs="Arial"/>
              </w:rPr>
              <w:t xml:space="preserve">to </w:t>
            </w:r>
            <w:r w:rsidR="00FC7B24" w:rsidRPr="006541E5">
              <w:rPr>
                <w:rFonts w:cs="Arial"/>
              </w:rPr>
              <w:t>identify major recruitment opportunities</w:t>
            </w:r>
            <w:r w:rsidR="006C5A2F">
              <w:rPr>
                <w:rFonts w:cs="Arial"/>
              </w:rPr>
              <w:t xml:space="preserve"> which can become e</w:t>
            </w:r>
            <w:r w:rsidR="00FC7B24" w:rsidRPr="006541E5">
              <w:rPr>
                <w:rFonts w:cs="Arial"/>
              </w:rPr>
              <w:t xml:space="preserve">mployer-led work academies </w:t>
            </w:r>
          </w:p>
          <w:p w14:paraId="2AABBDBA" w14:textId="77777777" w:rsidR="006C5A2F" w:rsidRDefault="00BC18D9" w:rsidP="00FC7B24">
            <w:pPr>
              <w:pStyle w:val="ListParagraph"/>
              <w:numPr>
                <w:ilvl w:val="0"/>
                <w:numId w:val="34"/>
              </w:numPr>
              <w:jc w:val="both"/>
              <w:rPr>
                <w:rFonts w:cs="Arial"/>
              </w:rPr>
            </w:pPr>
            <w:r>
              <w:rPr>
                <w:rFonts w:cs="Arial"/>
              </w:rPr>
              <w:t xml:space="preserve">Capacity development of provider and </w:t>
            </w:r>
            <w:r w:rsidR="006C5A2F">
              <w:rPr>
                <w:rFonts w:cs="Arial"/>
              </w:rPr>
              <w:t>partnerships</w:t>
            </w:r>
          </w:p>
          <w:p w14:paraId="2AABBDBB" w14:textId="77777777" w:rsidR="00E10E59" w:rsidRDefault="006C5A2F" w:rsidP="00FC7B24">
            <w:pPr>
              <w:pStyle w:val="ListParagraph"/>
              <w:numPr>
                <w:ilvl w:val="0"/>
                <w:numId w:val="34"/>
              </w:numPr>
              <w:jc w:val="both"/>
              <w:rPr>
                <w:rFonts w:cs="Arial"/>
              </w:rPr>
            </w:pPr>
            <w:r>
              <w:rPr>
                <w:rFonts w:cs="Arial"/>
              </w:rPr>
              <w:t>Provi</w:t>
            </w:r>
            <w:r w:rsidR="0032413C">
              <w:rPr>
                <w:rFonts w:cs="Arial"/>
              </w:rPr>
              <w:t xml:space="preserve">sion of </w:t>
            </w:r>
            <w:r>
              <w:rPr>
                <w:rFonts w:cs="Arial"/>
              </w:rPr>
              <w:t xml:space="preserve">better labour market intelligence </w:t>
            </w:r>
          </w:p>
          <w:p w14:paraId="2AABBDBC" w14:textId="77777777" w:rsidR="00FC7B24" w:rsidRPr="00E10E59" w:rsidRDefault="00FC7B24" w:rsidP="0082674C">
            <w:pPr>
              <w:ind w:left="360"/>
              <w:jc w:val="both"/>
              <w:rPr>
                <w:rFonts w:cs="Arial"/>
              </w:rPr>
            </w:pPr>
          </w:p>
          <w:p w14:paraId="2AABBDBD" w14:textId="77777777" w:rsidR="00DC6BEC" w:rsidRDefault="00460163" w:rsidP="00A90959">
            <w:pPr>
              <w:rPr>
                <w:rFonts w:cs="Arial"/>
              </w:rPr>
            </w:pPr>
            <w:r>
              <w:rPr>
                <w:rFonts w:cs="Arial"/>
              </w:rPr>
              <w:t xml:space="preserve">The Services must develop </w:t>
            </w:r>
            <w:r w:rsidR="00DC6BEC">
              <w:rPr>
                <w:rFonts w:cs="Arial"/>
              </w:rPr>
              <w:t>an annual Delivery Plan, a</w:t>
            </w:r>
            <w:r w:rsidR="00A90959" w:rsidRPr="006541E5">
              <w:rPr>
                <w:rFonts w:cs="Arial"/>
              </w:rPr>
              <w:t xml:space="preserve">nd agree </w:t>
            </w:r>
            <w:r w:rsidR="00DC6BEC">
              <w:rPr>
                <w:rFonts w:cs="Arial"/>
              </w:rPr>
              <w:t xml:space="preserve">it </w:t>
            </w:r>
            <w:r w:rsidR="00A90959" w:rsidRPr="006541E5">
              <w:rPr>
                <w:rFonts w:cs="Arial"/>
              </w:rPr>
              <w:t xml:space="preserve">with the LEP </w:t>
            </w:r>
            <w:r w:rsidR="00DC6BEC">
              <w:rPr>
                <w:rFonts w:cs="Arial"/>
              </w:rPr>
              <w:t>and the SFA. A</w:t>
            </w:r>
            <w:r w:rsidR="00A90959" w:rsidRPr="006541E5">
              <w:rPr>
                <w:rFonts w:cs="Arial"/>
              </w:rPr>
              <w:t xml:space="preserve">s a minimum, </w:t>
            </w:r>
            <w:r w:rsidR="00DC6BEC">
              <w:rPr>
                <w:rFonts w:cs="Arial"/>
              </w:rPr>
              <w:t xml:space="preserve">the plan must </w:t>
            </w:r>
            <w:r w:rsidR="00A90959" w:rsidRPr="006541E5">
              <w:rPr>
                <w:rFonts w:cs="Arial"/>
              </w:rPr>
              <w:t>specif</w:t>
            </w:r>
            <w:r w:rsidR="00DC6BEC">
              <w:rPr>
                <w:rFonts w:cs="Arial"/>
              </w:rPr>
              <w:t>y</w:t>
            </w:r>
            <w:r w:rsidR="00A90959" w:rsidRPr="006541E5">
              <w:rPr>
                <w:rFonts w:cs="Arial"/>
              </w:rPr>
              <w:t>:</w:t>
            </w:r>
          </w:p>
          <w:p w14:paraId="2AABBDBE" w14:textId="77777777" w:rsidR="00A90959" w:rsidRPr="006541E5" w:rsidRDefault="00A90959" w:rsidP="00A90959">
            <w:pPr>
              <w:rPr>
                <w:rFonts w:cs="Arial"/>
              </w:rPr>
            </w:pPr>
          </w:p>
          <w:p w14:paraId="2AABBDBF" w14:textId="77777777" w:rsidR="00A90959" w:rsidRPr="006541E5" w:rsidRDefault="00A90959" w:rsidP="00A90959">
            <w:pPr>
              <w:pStyle w:val="ListParagraph"/>
              <w:numPr>
                <w:ilvl w:val="0"/>
                <w:numId w:val="31"/>
              </w:numPr>
              <w:rPr>
                <w:rFonts w:cs="Arial"/>
              </w:rPr>
            </w:pPr>
            <w:r w:rsidRPr="006541E5">
              <w:rPr>
                <w:rFonts w:cs="Arial"/>
              </w:rPr>
              <w:t xml:space="preserve">How responsive priority-focussed delivery will be sourced </w:t>
            </w:r>
          </w:p>
          <w:p w14:paraId="2AABBDC0" w14:textId="77777777" w:rsidR="00A90959" w:rsidRPr="00883F7D" w:rsidRDefault="00A90959" w:rsidP="00A90959">
            <w:pPr>
              <w:pStyle w:val="ListParagraph"/>
              <w:numPr>
                <w:ilvl w:val="0"/>
                <w:numId w:val="31"/>
              </w:numPr>
              <w:rPr>
                <w:rFonts w:cs="Arial"/>
              </w:rPr>
            </w:pPr>
            <w:r w:rsidRPr="006541E5">
              <w:rPr>
                <w:rFonts w:cs="Arial"/>
              </w:rPr>
              <w:t>Investment in LEP/partnership capacity</w:t>
            </w:r>
            <w:r w:rsidR="00FC7B24" w:rsidRPr="006541E5">
              <w:rPr>
                <w:rFonts w:cs="Arial"/>
              </w:rPr>
              <w:t xml:space="preserve"> including funding for evaluation and sector plans</w:t>
            </w:r>
          </w:p>
          <w:p w14:paraId="2AABBDC1" w14:textId="77777777" w:rsidR="00FC7B24" w:rsidRPr="006541E5" w:rsidRDefault="00FC7B24" w:rsidP="00A90959">
            <w:pPr>
              <w:pStyle w:val="ListParagraph"/>
              <w:numPr>
                <w:ilvl w:val="0"/>
                <w:numId w:val="31"/>
              </w:numPr>
              <w:rPr>
                <w:rFonts w:cs="Arial"/>
              </w:rPr>
            </w:pPr>
            <w:r w:rsidRPr="006541E5">
              <w:rPr>
                <w:rFonts w:cs="Arial"/>
              </w:rPr>
              <w:t>Major employer recruitment initiatives to be targeted</w:t>
            </w:r>
          </w:p>
          <w:p w14:paraId="2AABBDC2" w14:textId="77777777" w:rsidR="00FC7B24" w:rsidRPr="006541E5" w:rsidRDefault="00FC7B24" w:rsidP="00A90959">
            <w:pPr>
              <w:pStyle w:val="ListParagraph"/>
              <w:numPr>
                <w:ilvl w:val="0"/>
                <w:numId w:val="31"/>
              </w:numPr>
              <w:rPr>
                <w:rFonts w:cs="Arial"/>
              </w:rPr>
            </w:pPr>
            <w:r w:rsidRPr="006541E5">
              <w:rPr>
                <w:rFonts w:cs="Arial"/>
              </w:rPr>
              <w:t>How provision will be e</w:t>
            </w:r>
            <w:r w:rsidR="00776E83" w:rsidRPr="006541E5">
              <w:rPr>
                <w:rFonts w:cs="Arial"/>
              </w:rPr>
              <w:t>mbedded in the communities with the greatest need</w:t>
            </w:r>
          </w:p>
          <w:p w14:paraId="2AABBDC3" w14:textId="77777777" w:rsidR="003564E9" w:rsidRPr="00D701BE" w:rsidRDefault="003564E9" w:rsidP="003A4747">
            <w:pPr>
              <w:autoSpaceDE w:val="0"/>
              <w:autoSpaceDN w:val="0"/>
              <w:adjustRightInd w:val="0"/>
              <w:rPr>
                <w:rFonts w:cs="Arial"/>
                <w:lang w:eastAsia="en-GB"/>
              </w:rPr>
            </w:pPr>
          </w:p>
          <w:p w14:paraId="2AABBDC4" w14:textId="77777777" w:rsidR="003564E9" w:rsidRPr="00D701BE" w:rsidRDefault="003564E9" w:rsidP="003A4747">
            <w:pPr>
              <w:autoSpaceDE w:val="0"/>
              <w:autoSpaceDN w:val="0"/>
              <w:adjustRightInd w:val="0"/>
              <w:rPr>
                <w:rFonts w:cs="Arial"/>
                <w:lang w:eastAsia="en-GB"/>
              </w:rPr>
            </w:pPr>
            <w:r w:rsidRPr="00D701BE">
              <w:rPr>
                <w:rFonts w:cs="Arial"/>
                <w:lang w:eastAsia="en-GB"/>
              </w:rPr>
              <w:t xml:space="preserve">The Services must link to other key provision, both mainstream funded and procured through European Social Fund.   </w:t>
            </w:r>
          </w:p>
          <w:p w14:paraId="2AABBDC5" w14:textId="77777777" w:rsidR="003564E9" w:rsidRPr="00D701BE" w:rsidRDefault="003564E9" w:rsidP="003A4747">
            <w:pPr>
              <w:autoSpaceDE w:val="0"/>
              <w:autoSpaceDN w:val="0"/>
              <w:adjustRightInd w:val="0"/>
              <w:rPr>
                <w:rFonts w:cs="Arial"/>
                <w:lang w:eastAsia="en-GB"/>
              </w:rPr>
            </w:pPr>
          </w:p>
          <w:p w14:paraId="2AABBDC6" w14:textId="77777777" w:rsidR="003564E9" w:rsidRPr="00D701BE" w:rsidRDefault="003564E9" w:rsidP="003A4747">
            <w:pPr>
              <w:autoSpaceDE w:val="0"/>
              <w:autoSpaceDN w:val="0"/>
              <w:adjustRightInd w:val="0"/>
              <w:rPr>
                <w:rFonts w:cs="Arial"/>
                <w:lang w:eastAsia="en-GB"/>
              </w:rPr>
            </w:pPr>
            <w:r w:rsidRPr="00D701BE">
              <w:rPr>
                <w:rFonts w:cs="Arial"/>
                <w:lang w:eastAsia="en-GB"/>
              </w:rPr>
              <w:t>The Services must link to the newly established employer panels to understand emerging labour market opportunities – in particular those sectors that have significant recruitment needs</w:t>
            </w:r>
            <w:r w:rsidR="00776E83" w:rsidRPr="00D701BE">
              <w:rPr>
                <w:rFonts w:cs="Arial"/>
                <w:lang w:eastAsia="en-GB"/>
              </w:rPr>
              <w:t xml:space="preserve"> (e</w:t>
            </w:r>
            <w:r w:rsidR="00DC6BEC">
              <w:rPr>
                <w:rFonts w:cs="Arial"/>
                <w:lang w:eastAsia="en-GB"/>
              </w:rPr>
              <w:t>.</w:t>
            </w:r>
            <w:r w:rsidR="00776E83" w:rsidRPr="00D701BE">
              <w:rPr>
                <w:rFonts w:cs="Arial"/>
                <w:lang w:eastAsia="en-GB"/>
              </w:rPr>
              <w:t>g</w:t>
            </w:r>
            <w:r w:rsidR="00DC6BEC">
              <w:rPr>
                <w:rFonts w:cs="Arial"/>
                <w:lang w:eastAsia="en-GB"/>
              </w:rPr>
              <w:t>.</w:t>
            </w:r>
            <w:r w:rsidR="00776E83" w:rsidRPr="00D701BE">
              <w:rPr>
                <w:rFonts w:cs="Arial"/>
                <w:lang w:eastAsia="en-GB"/>
              </w:rPr>
              <w:t xml:space="preserve"> Health and Social Care)</w:t>
            </w:r>
            <w:r w:rsidRPr="00D701BE">
              <w:rPr>
                <w:rFonts w:cs="Arial"/>
                <w:lang w:eastAsia="en-GB"/>
              </w:rPr>
              <w:t xml:space="preserve"> or major infrastructure projects requiring considerable demand for labour </w:t>
            </w:r>
            <w:r w:rsidR="00776E83" w:rsidRPr="00D701BE">
              <w:rPr>
                <w:rFonts w:cs="Arial"/>
                <w:lang w:eastAsia="en-GB"/>
              </w:rPr>
              <w:t>(e</w:t>
            </w:r>
            <w:r w:rsidR="00DC6BEC">
              <w:rPr>
                <w:rFonts w:cs="Arial"/>
                <w:lang w:eastAsia="en-GB"/>
              </w:rPr>
              <w:t>.</w:t>
            </w:r>
            <w:r w:rsidR="00776E83" w:rsidRPr="00D701BE">
              <w:rPr>
                <w:rFonts w:cs="Arial"/>
                <w:lang w:eastAsia="en-GB"/>
              </w:rPr>
              <w:t>g</w:t>
            </w:r>
            <w:r w:rsidR="00DC6BEC">
              <w:rPr>
                <w:rFonts w:cs="Arial"/>
                <w:lang w:eastAsia="en-GB"/>
              </w:rPr>
              <w:t>.</w:t>
            </w:r>
            <w:r w:rsidR="00776E83" w:rsidRPr="00D701BE">
              <w:rPr>
                <w:rFonts w:cs="Arial"/>
                <w:lang w:eastAsia="en-GB"/>
              </w:rPr>
              <w:t xml:space="preserve"> Nuclear)</w:t>
            </w:r>
            <w:r w:rsidRPr="00D701BE">
              <w:rPr>
                <w:rFonts w:cs="Arial"/>
                <w:lang w:eastAsia="en-GB"/>
              </w:rPr>
              <w:t xml:space="preserve">.  </w:t>
            </w:r>
          </w:p>
          <w:p w14:paraId="2AABBDC8"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2AABBDCB" w14:textId="77777777" w:rsidTr="005574D0">
        <w:trPr>
          <w:trHeight w:val="567"/>
        </w:trPr>
        <w:tc>
          <w:tcPr>
            <w:tcW w:w="9088" w:type="dxa"/>
            <w:shd w:val="clear" w:color="auto" w:fill="D9D9D9" w:themeFill="background1" w:themeFillShade="D9"/>
            <w:vAlign w:val="center"/>
          </w:tcPr>
          <w:p w14:paraId="2AABBDCA" w14:textId="77777777" w:rsidR="00967429" w:rsidRPr="00544738" w:rsidRDefault="003A52A2" w:rsidP="00FD3B0A">
            <w:pPr>
              <w:pStyle w:val="SpecificationHeading"/>
            </w:pPr>
            <w:r>
              <w:lastRenderedPageBreak/>
              <w:t>Eligibility</w:t>
            </w:r>
          </w:p>
        </w:tc>
      </w:tr>
      <w:tr w:rsidR="00967429" w:rsidRPr="00EF4406" w14:paraId="2AABBDFC" w14:textId="77777777" w:rsidTr="0082674C">
        <w:tc>
          <w:tcPr>
            <w:tcW w:w="9088" w:type="dxa"/>
          </w:tcPr>
          <w:p w14:paraId="2AABBDCC" w14:textId="77777777" w:rsidR="001E23AA" w:rsidRDefault="001E23AA" w:rsidP="002F70E9">
            <w:pPr>
              <w:rPr>
                <w:rFonts w:cs="Arial"/>
                <w:b/>
                <w:u w:val="single"/>
              </w:rPr>
            </w:pPr>
          </w:p>
          <w:p w14:paraId="2AABBDCD" w14:textId="77777777" w:rsidR="00A005EF" w:rsidRPr="00344FA1" w:rsidRDefault="00A005EF" w:rsidP="00A005EF">
            <w:r>
              <w:rPr>
                <w:b/>
              </w:rPr>
              <w:t>General</w:t>
            </w:r>
          </w:p>
          <w:p w14:paraId="2AABBDCE"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AABBDCF" w14:textId="77777777" w:rsidR="00A005EF" w:rsidRDefault="00A005EF" w:rsidP="00C107CE">
            <w:pPr>
              <w:rPr>
                <w:rFonts w:cs="Arial"/>
              </w:rPr>
            </w:pPr>
          </w:p>
          <w:p w14:paraId="2AABBDD0" w14:textId="77777777" w:rsidR="00394F36" w:rsidRDefault="00394F36" w:rsidP="00394F36">
            <w:pPr>
              <w:rPr>
                <w:rFonts w:cs="Arial"/>
              </w:rPr>
            </w:pPr>
            <w:r w:rsidRPr="00F67261">
              <w:rPr>
                <w:rFonts w:cs="Arial"/>
              </w:rPr>
              <w:t>Please note LEP Specific requirements are subject to the National Eligibility Rules detailed above.</w:t>
            </w:r>
          </w:p>
          <w:p w14:paraId="2AABBDD1" w14:textId="77777777" w:rsidR="00204794" w:rsidRDefault="00204794" w:rsidP="00394F36">
            <w:pPr>
              <w:rPr>
                <w:rFonts w:cs="Arial"/>
              </w:rPr>
            </w:pPr>
          </w:p>
          <w:p w14:paraId="2AABBDD2" w14:textId="77777777" w:rsidR="00162B5B" w:rsidRDefault="00C336D2" w:rsidP="00162B5B">
            <w:pPr>
              <w:rPr>
                <w:b/>
              </w:rPr>
            </w:pPr>
            <w:r w:rsidRPr="00F4587B">
              <w:rPr>
                <w:b/>
              </w:rPr>
              <w:t>I</w:t>
            </w:r>
            <w:r w:rsidR="008A2D45">
              <w:rPr>
                <w:b/>
              </w:rPr>
              <w:t>nvestment Priority (I</w:t>
            </w:r>
            <w:r w:rsidRPr="00F4587B">
              <w:rPr>
                <w:b/>
              </w:rPr>
              <w:t>P</w:t>
            </w:r>
            <w:r w:rsidR="008A2D45">
              <w:rPr>
                <w:b/>
              </w:rPr>
              <w:t>)</w:t>
            </w:r>
            <w:r w:rsidRPr="00F4587B">
              <w:rPr>
                <w:b/>
              </w:rPr>
              <w:t xml:space="preserve"> 1.1 </w:t>
            </w:r>
            <w:r w:rsidR="00162B5B" w:rsidRPr="00F4587B">
              <w:rPr>
                <w:b/>
              </w:rPr>
              <w:t>Access to employment for jobseekers and inactive people</w:t>
            </w:r>
          </w:p>
          <w:p w14:paraId="0911639D" w14:textId="77777777" w:rsidR="005574D0" w:rsidRPr="00F4587B" w:rsidRDefault="005574D0" w:rsidP="00162B5B">
            <w:pPr>
              <w:rPr>
                <w:b/>
              </w:rPr>
            </w:pPr>
          </w:p>
          <w:p w14:paraId="2AABBDD3" w14:textId="77777777" w:rsidR="00162B5B" w:rsidRPr="00F4587B" w:rsidRDefault="00162B5B" w:rsidP="00A503FD">
            <w:pPr>
              <w:pStyle w:val="ListParagraph"/>
              <w:numPr>
                <w:ilvl w:val="0"/>
                <w:numId w:val="13"/>
              </w:numPr>
              <w:rPr>
                <w:rFonts w:cs="Arial"/>
              </w:rPr>
            </w:pPr>
            <w:r w:rsidRPr="00F4587B">
              <w:rPr>
                <w:rFonts w:cs="Arial"/>
              </w:rPr>
              <w:t>Unemployed</w:t>
            </w:r>
            <w:r w:rsidR="00CC112A" w:rsidRPr="00F4587B">
              <w:rPr>
                <w:rFonts w:cs="Arial"/>
              </w:rPr>
              <w:t>, any length of unemployment</w:t>
            </w:r>
          </w:p>
          <w:p w14:paraId="2AABBDD4" w14:textId="77777777" w:rsidR="00162B5B" w:rsidRDefault="00162B5B" w:rsidP="00A503FD">
            <w:pPr>
              <w:pStyle w:val="ListParagraph"/>
              <w:numPr>
                <w:ilvl w:val="0"/>
                <w:numId w:val="13"/>
              </w:numPr>
              <w:rPr>
                <w:rFonts w:cs="Arial"/>
              </w:rPr>
            </w:pPr>
            <w:r w:rsidRPr="00F4587B">
              <w:rPr>
                <w:rFonts w:cs="Arial"/>
              </w:rPr>
              <w:t>Inactive</w:t>
            </w:r>
          </w:p>
          <w:p w14:paraId="2AABBDD5" w14:textId="77777777" w:rsidR="0040342D" w:rsidRPr="00F4587B" w:rsidRDefault="0040342D" w:rsidP="00A503FD">
            <w:pPr>
              <w:pStyle w:val="ListParagraph"/>
              <w:numPr>
                <w:ilvl w:val="0"/>
                <w:numId w:val="13"/>
              </w:numPr>
              <w:rPr>
                <w:rFonts w:cs="Arial"/>
              </w:rPr>
            </w:pPr>
            <w:r>
              <w:rPr>
                <w:rFonts w:cs="Arial"/>
              </w:rPr>
              <w:t>Aged 16+</w:t>
            </w:r>
          </w:p>
          <w:p w14:paraId="2AABBDD6" w14:textId="77777777" w:rsidR="00162B5B" w:rsidRPr="00F4587B" w:rsidRDefault="00162B5B" w:rsidP="00162B5B">
            <w:pPr>
              <w:rPr>
                <w:rFonts w:cs="Arial"/>
              </w:rPr>
            </w:pPr>
          </w:p>
          <w:p w14:paraId="2AABBDD7" w14:textId="77777777" w:rsidR="00394F36" w:rsidRPr="00F4587B" w:rsidRDefault="00394F36" w:rsidP="00162B5B">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2AABBDD8" w14:textId="77777777" w:rsidR="003E0C7F" w:rsidRPr="006002A9" w:rsidRDefault="003E0C7F" w:rsidP="00394F36">
            <w:pPr>
              <w:ind w:left="720"/>
              <w:rPr>
                <w:iCs/>
                <w:highlight w:val="green"/>
              </w:rPr>
            </w:pPr>
          </w:p>
          <w:p w14:paraId="2AABBDD9" w14:textId="77777777" w:rsidR="00162B5B" w:rsidRPr="00F4587B" w:rsidRDefault="00C336D2" w:rsidP="00162B5B">
            <w:pPr>
              <w:rPr>
                <w:b/>
              </w:rPr>
            </w:pPr>
            <w:r w:rsidRPr="00F4587B">
              <w:rPr>
                <w:b/>
              </w:rPr>
              <w:t xml:space="preserve">IP1.1 </w:t>
            </w:r>
            <w:r w:rsidR="00162B5B" w:rsidRPr="00F4587B">
              <w:rPr>
                <w:b/>
              </w:rPr>
              <w:t>Access to employment for jobseekers and inactive people</w:t>
            </w:r>
            <w:r w:rsidR="009B1CF3" w:rsidRPr="00F4587B">
              <w:rPr>
                <w:b/>
              </w:rPr>
              <w:t xml:space="preserve"> </w:t>
            </w:r>
          </w:p>
          <w:tbl>
            <w:tblPr>
              <w:tblW w:w="7684" w:type="dxa"/>
              <w:tblLook w:val="04A0" w:firstRow="1" w:lastRow="0" w:firstColumn="1" w:lastColumn="0" w:noHBand="0" w:noVBand="1"/>
            </w:tblPr>
            <w:tblGrid>
              <w:gridCol w:w="5274"/>
              <w:gridCol w:w="2410"/>
            </w:tblGrid>
            <w:tr w:rsidR="006B1CF9" w:rsidRPr="00F4587B" w14:paraId="2AABBDDD" w14:textId="77777777" w:rsidTr="0082674C">
              <w:trPr>
                <w:trHeight w:val="504"/>
              </w:trPr>
              <w:tc>
                <w:tcPr>
                  <w:tcW w:w="5274" w:type="dxa"/>
                  <w:tcBorders>
                    <w:top w:val="nil"/>
                    <w:left w:val="nil"/>
                    <w:bottom w:val="nil"/>
                    <w:right w:val="nil"/>
                  </w:tcBorders>
                  <w:shd w:val="clear" w:color="auto" w:fill="auto"/>
                  <w:noWrap/>
                  <w:vAlign w:val="bottom"/>
                  <w:hideMark/>
                </w:tcPr>
                <w:p w14:paraId="2AABBDDB" w14:textId="77777777" w:rsidR="006B1CF9" w:rsidRPr="006B1CF9" w:rsidRDefault="006B1CF9" w:rsidP="00162B5B">
                  <w:pPr>
                    <w:rPr>
                      <w:rFonts w:cs="Arial"/>
                      <w:lang w:eastAsia="en-GB"/>
                    </w:rPr>
                  </w:pPr>
                </w:p>
              </w:tc>
              <w:tc>
                <w:tcPr>
                  <w:tcW w:w="2410" w:type="dxa"/>
                  <w:tcBorders>
                    <w:top w:val="nil"/>
                    <w:left w:val="nil"/>
                    <w:bottom w:val="nil"/>
                    <w:right w:val="nil"/>
                  </w:tcBorders>
                  <w:shd w:val="clear" w:color="auto" w:fill="auto"/>
                  <w:vAlign w:val="bottom"/>
                  <w:hideMark/>
                </w:tcPr>
                <w:p w14:paraId="2AABBDDC" w14:textId="77777777" w:rsidR="006B1CF9" w:rsidRPr="006B1CF9" w:rsidRDefault="006B1CF9" w:rsidP="00162B5B">
                  <w:pPr>
                    <w:jc w:val="center"/>
                    <w:rPr>
                      <w:rFonts w:cs="Arial"/>
                      <w:b/>
                      <w:bCs/>
                      <w:color w:val="000000"/>
                      <w:lang w:eastAsia="en-GB"/>
                    </w:rPr>
                  </w:pPr>
                  <w:r w:rsidRPr="006B1CF9">
                    <w:rPr>
                      <w:rFonts w:cs="Arial"/>
                      <w:b/>
                      <w:bCs/>
                      <w:color w:val="000000"/>
                      <w:lang w:eastAsia="en-GB"/>
                    </w:rPr>
                    <w:t>Transitional</w:t>
                  </w:r>
                </w:p>
              </w:tc>
            </w:tr>
            <w:tr w:rsidR="006B1CF9" w:rsidRPr="00F4587B" w14:paraId="2AABBDE0" w14:textId="77777777" w:rsidTr="0082674C">
              <w:trPr>
                <w:trHeight w:val="576"/>
              </w:trPr>
              <w:tc>
                <w:tcPr>
                  <w:tcW w:w="5274" w:type="dxa"/>
                  <w:tcBorders>
                    <w:top w:val="nil"/>
                    <w:left w:val="nil"/>
                    <w:bottom w:val="nil"/>
                    <w:right w:val="nil"/>
                  </w:tcBorders>
                  <w:shd w:val="clear" w:color="auto" w:fill="auto"/>
                  <w:vAlign w:val="bottom"/>
                  <w:hideMark/>
                </w:tcPr>
                <w:p w14:paraId="2AABBDDE" w14:textId="77777777" w:rsidR="006B1CF9" w:rsidRPr="006B1CF9" w:rsidRDefault="006B1CF9" w:rsidP="00162B5B">
                  <w:pPr>
                    <w:rPr>
                      <w:rFonts w:cs="Arial"/>
                      <w:color w:val="000000"/>
                      <w:lang w:eastAsia="en-GB"/>
                    </w:rPr>
                  </w:pPr>
                  <w:r w:rsidRPr="006B1CF9">
                    <w:rPr>
                      <w:rFonts w:cs="Arial"/>
                      <w:color w:val="000000"/>
                      <w:lang w:eastAsia="en-GB"/>
                    </w:rPr>
                    <w:t>Total participants who are unemployed (including long term unemployed)</w:t>
                  </w:r>
                </w:p>
              </w:tc>
              <w:tc>
                <w:tcPr>
                  <w:tcW w:w="2410" w:type="dxa"/>
                  <w:tcBorders>
                    <w:top w:val="nil"/>
                    <w:left w:val="nil"/>
                    <w:bottom w:val="nil"/>
                    <w:right w:val="nil"/>
                  </w:tcBorders>
                  <w:shd w:val="clear" w:color="auto" w:fill="auto"/>
                  <w:noWrap/>
                  <w:vAlign w:val="bottom"/>
                  <w:hideMark/>
                </w:tcPr>
                <w:p w14:paraId="2AABBDDF" w14:textId="77777777" w:rsidR="006B1CF9" w:rsidRPr="006B1CF9" w:rsidRDefault="006B1CF9" w:rsidP="00162B5B">
                  <w:pPr>
                    <w:jc w:val="center"/>
                    <w:rPr>
                      <w:rFonts w:cs="Arial"/>
                      <w:color w:val="000000"/>
                      <w:lang w:eastAsia="en-GB"/>
                    </w:rPr>
                  </w:pPr>
                  <w:r w:rsidRPr="006B1CF9">
                    <w:rPr>
                      <w:rFonts w:cs="Arial"/>
                      <w:color w:val="000000"/>
                      <w:lang w:eastAsia="en-GB"/>
                    </w:rPr>
                    <w:t>70%</w:t>
                  </w:r>
                </w:p>
              </w:tc>
            </w:tr>
            <w:tr w:rsidR="006B1CF9" w:rsidRPr="00F4587B" w14:paraId="2AABBDE3" w14:textId="77777777" w:rsidTr="0082674C">
              <w:trPr>
                <w:trHeight w:val="288"/>
              </w:trPr>
              <w:tc>
                <w:tcPr>
                  <w:tcW w:w="5274" w:type="dxa"/>
                  <w:tcBorders>
                    <w:top w:val="nil"/>
                    <w:left w:val="nil"/>
                    <w:bottom w:val="nil"/>
                    <w:right w:val="nil"/>
                  </w:tcBorders>
                  <w:shd w:val="clear" w:color="auto" w:fill="auto"/>
                  <w:vAlign w:val="bottom"/>
                  <w:hideMark/>
                </w:tcPr>
                <w:p w14:paraId="2AABBDE1" w14:textId="77777777" w:rsidR="006B1CF9" w:rsidRPr="006B1CF9" w:rsidRDefault="006B1CF9" w:rsidP="00162B5B">
                  <w:pPr>
                    <w:rPr>
                      <w:rFonts w:cs="Arial"/>
                      <w:color w:val="000000"/>
                      <w:lang w:eastAsia="en-GB"/>
                    </w:rPr>
                  </w:pPr>
                  <w:r w:rsidRPr="006B1CF9">
                    <w:rPr>
                      <w:rFonts w:cs="Arial"/>
                      <w:color w:val="000000"/>
                      <w:lang w:eastAsia="en-GB"/>
                    </w:rPr>
                    <w:t>Total participants who are inactive</w:t>
                  </w:r>
                </w:p>
              </w:tc>
              <w:tc>
                <w:tcPr>
                  <w:tcW w:w="2410" w:type="dxa"/>
                  <w:tcBorders>
                    <w:top w:val="nil"/>
                    <w:left w:val="nil"/>
                    <w:bottom w:val="nil"/>
                    <w:right w:val="nil"/>
                  </w:tcBorders>
                  <w:shd w:val="clear" w:color="auto" w:fill="auto"/>
                  <w:noWrap/>
                  <w:vAlign w:val="bottom"/>
                  <w:hideMark/>
                </w:tcPr>
                <w:p w14:paraId="2AABBDE2" w14:textId="77777777" w:rsidR="006B1CF9" w:rsidRPr="006B1CF9" w:rsidRDefault="006B1CF9" w:rsidP="00162B5B">
                  <w:pPr>
                    <w:jc w:val="center"/>
                    <w:rPr>
                      <w:rFonts w:cs="Arial"/>
                      <w:color w:val="000000"/>
                      <w:lang w:eastAsia="en-GB"/>
                    </w:rPr>
                  </w:pPr>
                  <w:r w:rsidRPr="006B1CF9">
                    <w:rPr>
                      <w:rFonts w:cs="Arial"/>
                      <w:color w:val="000000"/>
                      <w:lang w:eastAsia="en-GB"/>
                    </w:rPr>
                    <w:t>25%</w:t>
                  </w:r>
                </w:p>
              </w:tc>
            </w:tr>
            <w:tr w:rsidR="006B1CF9" w:rsidRPr="00F4587B" w14:paraId="2AABBDE6" w14:textId="77777777" w:rsidTr="0082674C">
              <w:trPr>
                <w:trHeight w:val="288"/>
              </w:trPr>
              <w:tc>
                <w:tcPr>
                  <w:tcW w:w="5274" w:type="dxa"/>
                  <w:tcBorders>
                    <w:top w:val="nil"/>
                    <w:left w:val="nil"/>
                    <w:bottom w:val="nil"/>
                    <w:right w:val="nil"/>
                  </w:tcBorders>
                  <w:shd w:val="clear" w:color="auto" w:fill="auto"/>
                  <w:vAlign w:val="bottom"/>
                  <w:hideMark/>
                </w:tcPr>
                <w:p w14:paraId="2AABBDE4" w14:textId="77777777" w:rsidR="006B1CF9" w:rsidRPr="006B1CF9" w:rsidRDefault="006B1CF9" w:rsidP="00162B5B">
                  <w:pPr>
                    <w:rPr>
                      <w:rFonts w:cs="Arial"/>
                      <w:color w:val="000000"/>
                      <w:lang w:eastAsia="en-GB"/>
                    </w:rPr>
                  </w:pPr>
                  <w:r w:rsidRPr="006B1CF9">
                    <w:rPr>
                      <w:rFonts w:cs="Arial"/>
                      <w:color w:val="000000"/>
                      <w:lang w:eastAsia="en-GB"/>
                    </w:rPr>
                    <w:t>Participants who are over 50</w:t>
                  </w:r>
                </w:p>
              </w:tc>
              <w:tc>
                <w:tcPr>
                  <w:tcW w:w="2410" w:type="dxa"/>
                  <w:tcBorders>
                    <w:top w:val="nil"/>
                    <w:left w:val="nil"/>
                    <w:bottom w:val="nil"/>
                    <w:right w:val="nil"/>
                  </w:tcBorders>
                  <w:shd w:val="clear" w:color="auto" w:fill="auto"/>
                  <w:noWrap/>
                  <w:vAlign w:val="bottom"/>
                  <w:hideMark/>
                </w:tcPr>
                <w:p w14:paraId="2AABBDE5" w14:textId="77777777" w:rsidR="006B1CF9" w:rsidRPr="006B1CF9" w:rsidRDefault="006B1CF9" w:rsidP="00162B5B">
                  <w:pPr>
                    <w:jc w:val="center"/>
                    <w:rPr>
                      <w:rFonts w:cs="Arial"/>
                      <w:color w:val="000000"/>
                      <w:lang w:eastAsia="en-GB"/>
                    </w:rPr>
                  </w:pPr>
                  <w:r w:rsidRPr="006B1CF9">
                    <w:rPr>
                      <w:rFonts w:cs="Arial"/>
                      <w:color w:val="000000"/>
                      <w:lang w:eastAsia="en-GB"/>
                    </w:rPr>
                    <w:t>20%</w:t>
                  </w:r>
                </w:p>
              </w:tc>
            </w:tr>
            <w:tr w:rsidR="006B1CF9" w:rsidRPr="00F4587B" w14:paraId="2AABBDE9" w14:textId="77777777" w:rsidTr="0082674C">
              <w:trPr>
                <w:trHeight w:val="288"/>
              </w:trPr>
              <w:tc>
                <w:tcPr>
                  <w:tcW w:w="5274" w:type="dxa"/>
                  <w:tcBorders>
                    <w:top w:val="nil"/>
                    <w:left w:val="nil"/>
                    <w:bottom w:val="nil"/>
                    <w:right w:val="nil"/>
                  </w:tcBorders>
                  <w:shd w:val="clear" w:color="auto" w:fill="auto"/>
                  <w:vAlign w:val="bottom"/>
                  <w:hideMark/>
                </w:tcPr>
                <w:p w14:paraId="2AABBDE7" w14:textId="77777777" w:rsidR="006B1CF9" w:rsidRPr="006B1CF9" w:rsidRDefault="006B1CF9" w:rsidP="00162B5B">
                  <w:pPr>
                    <w:rPr>
                      <w:rFonts w:cs="Arial"/>
                      <w:color w:val="000000"/>
                      <w:lang w:eastAsia="en-GB"/>
                    </w:rPr>
                  </w:pPr>
                  <w:r w:rsidRPr="006B1CF9">
                    <w:rPr>
                      <w:rFonts w:cs="Arial"/>
                      <w:color w:val="000000"/>
                      <w:lang w:eastAsia="en-GB"/>
                    </w:rPr>
                    <w:t>Participants from ethnic minorities</w:t>
                  </w:r>
                </w:p>
              </w:tc>
              <w:tc>
                <w:tcPr>
                  <w:tcW w:w="2410" w:type="dxa"/>
                  <w:tcBorders>
                    <w:top w:val="nil"/>
                    <w:left w:val="nil"/>
                    <w:bottom w:val="nil"/>
                    <w:right w:val="nil"/>
                  </w:tcBorders>
                  <w:shd w:val="clear" w:color="auto" w:fill="auto"/>
                  <w:noWrap/>
                  <w:vAlign w:val="bottom"/>
                  <w:hideMark/>
                </w:tcPr>
                <w:p w14:paraId="2AABBDE8" w14:textId="77777777" w:rsidR="006B1CF9" w:rsidRPr="006B1CF9" w:rsidRDefault="006B1CF9" w:rsidP="00162B5B">
                  <w:pPr>
                    <w:jc w:val="center"/>
                    <w:rPr>
                      <w:rFonts w:cs="Arial"/>
                      <w:color w:val="000000"/>
                      <w:lang w:eastAsia="en-GB"/>
                    </w:rPr>
                  </w:pPr>
                  <w:r w:rsidRPr="006B1CF9">
                    <w:rPr>
                      <w:rFonts w:cs="Arial"/>
                      <w:color w:val="000000"/>
                      <w:lang w:eastAsia="en-GB"/>
                    </w:rPr>
                    <w:t>9%</w:t>
                  </w:r>
                </w:p>
              </w:tc>
            </w:tr>
            <w:tr w:rsidR="006B1CF9" w:rsidRPr="00F4587B" w14:paraId="2AABBDEC" w14:textId="77777777" w:rsidTr="0082674C">
              <w:trPr>
                <w:trHeight w:val="288"/>
              </w:trPr>
              <w:tc>
                <w:tcPr>
                  <w:tcW w:w="5274" w:type="dxa"/>
                  <w:tcBorders>
                    <w:top w:val="nil"/>
                    <w:left w:val="nil"/>
                    <w:bottom w:val="nil"/>
                    <w:right w:val="nil"/>
                  </w:tcBorders>
                  <w:shd w:val="clear" w:color="auto" w:fill="auto"/>
                  <w:vAlign w:val="bottom"/>
                  <w:hideMark/>
                </w:tcPr>
                <w:p w14:paraId="2AABBDEA" w14:textId="77777777" w:rsidR="006B1CF9" w:rsidRPr="006B1CF9" w:rsidRDefault="006B1CF9" w:rsidP="00162B5B">
                  <w:pPr>
                    <w:rPr>
                      <w:rFonts w:cs="Arial"/>
                      <w:color w:val="000000"/>
                      <w:lang w:eastAsia="en-GB"/>
                    </w:rPr>
                  </w:pPr>
                  <w:r w:rsidRPr="006B1CF9">
                    <w:rPr>
                      <w:rFonts w:cs="Arial"/>
                      <w:color w:val="000000"/>
                      <w:lang w:eastAsia="en-GB"/>
                    </w:rPr>
                    <w:t>Female participants</w:t>
                  </w:r>
                </w:p>
              </w:tc>
              <w:tc>
                <w:tcPr>
                  <w:tcW w:w="2410" w:type="dxa"/>
                  <w:tcBorders>
                    <w:top w:val="nil"/>
                    <w:left w:val="nil"/>
                    <w:bottom w:val="nil"/>
                    <w:right w:val="nil"/>
                  </w:tcBorders>
                  <w:shd w:val="clear" w:color="auto" w:fill="auto"/>
                  <w:noWrap/>
                  <w:vAlign w:val="bottom"/>
                  <w:hideMark/>
                </w:tcPr>
                <w:p w14:paraId="2AABBDEB" w14:textId="77777777" w:rsidR="006B1CF9" w:rsidRPr="006B1CF9" w:rsidRDefault="006B1CF9" w:rsidP="00162B5B">
                  <w:pPr>
                    <w:jc w:val="center"/>
                    <w:rPr>
                      <w:rFonts w:cs="Arial"/>
                      <w:color w:val="000000"/>
                      <w:lang w:eastAsia="en-GB"/>
                    </w:rPr>
                  </w:pPr>
                  <w:r w:rsidRPr="006B1CF9">
                    <w:rPr>
                      <w:rFonts w:cs="Arial"/>
                      <w:color w:val="000000"/>
                      <w:lang w:eastAsia="en-GB"/>
                    </w:rPr>
                    <w:t>46%</w:t>
                  </w:r>
                </w:p>
              </w:tc>
            </w:tr>
            <w:tr w:rsidR="006B1CF9" w:rsidRPr="00F4587B" w14:paraId="2AABBDEF" w14:textId="77777777" w:rsidTr="0082674C">
              <w:trPr>
                <w:trHeight w:val="288"/>
              </w:trPr>
              <w:tc>
                <w:tcPr>
                  <w:tcW w:w="5274" w:type="dxa"/>
                  <w:tcBorders>
                    <w:top w:val="nil"/>
                    <w:left w:val="nil"/>
                    <w:bottom w:val="nil"/>
                    <w:right w:val="nil"/>
                  </w:tcBorders>
                  <w:shd w:val="clear" w:color="auto" w:fill="auto"/>
                  <w:vAlign w:val="bottom"/>
                  <w:hideMark/>
                </w:tcPr>
                <w:p w14:paraId="2AABBDED" w14:textId="77777777" w:rsidR="006B1CF9" w:rsidRPr="006B1CF9" w:rsidRDefault="006B1CF9" w:rsidP="00162B5B">
                  <w:pPr>
                    <w:rPr>
                      <w:rFonts w:cs="Arial"/>
                      <w:color w:val="000000"/>
                      <w:lang w:eastAsia="en-GB"/>
                    </w:rPr>
                  </w:pPr>
                  <w:r w:rsidRPr="006B1CF9">
                    <w:rPr>
                      <w:rFonts w:cs="Arial"/>
                      <w:color w:val="000000"/>
                      <w:lang w:eastAsia="en-GB"/>
                    </w:rPr>
                    <w:t>Participants without basic skills</w:t>
                  </w:r>
                </w:p>
              </w:tc>
              <w:tc>
                <w:tcPr>
                  <w:tcW w:w="2410" w:type="dxa"/>
                  <w:tcBorders>
                    <w:top w:val="nil"/>
                    <w:left w:val="nil"/>
                    <w:bottom w:val="nil"/>
                    <w:right w:val="nil"/>
                  </w:tcBorders>
                  <w:shd w:val="clear" w:color="auto" w:fill="auto"/>
                  <w:noWrap/>
                  <w:vAlign w:val="bottom"/>
                  <w:hideMark/>
                </w:tcPr>
                <w:p w14:paraId="2AABBDEE" w14:textId="77777777" w:rsidR="006B1CF9" w:rsidRPr="006B1CF9" w:rsidRDefault="006B1CF9" w:rsidP="00162B5B">
                  <w:pPr>
                    <w:jc w:val="center"/>
                    <w:rPr>
                      <w:rFonts w:cs="Arial"/>
                      <w:color w:val="000000"/>
                      <w:lang w:eastAsia="en-GB"/>
                    </w:rPr>
                  </w:pPr>
                  <w:r w:rsidRPr="006B1CF9">
                    <w:rPr>
                      <w:rFonts w:cs="Arial"/>
                      <w:color w:val="000000"/>
                      <w:lang w:eastAsia="en-GB"/>
                    </w:rPr>
                    <w:t>21%</w:t>
                  </w:r>
                </w:p>
              </w:tc>
            </w:tr>
            <w:tr w:rsidR="006B1CF9" w:rsidRPr="00F4587B" w14:paraId="2AABBDF2" w14:textId="77777777" w:rsidTr="0082674C">
              <w:trPr>
                <w:trHeight w:val="288"/>
              </w:trPr>
              <w:tc>
                <w:tcPr>
                  <w:tcW w:w="5274" w:type="dxa"/>
                  <w:tcBorders>
                    <w:top w:val="nil"/>
                    <w:left w:val="nil"/>
                    <w:bottom w:val="nil"/>
                    <w:right w:val="nil"/>
                  </w:tcBorders>
                  <w:shd w:val="clear" w:color="auto" w:fill="auto"/>
                  <w:vAlign w:val="bottom"/>
                  <w:hideMark/>
                </w:tcPr>
                <w:p w14:paraId="2AABBDF0" w14:textId="77777777" w:rsidR="006B1CF9" w:rsidRPr="006B1CF9" w:rsidRDefault="006B1CF9" w:rsidP="00162B5B">
                  <w:pPr>
                    <w:rPr>
                      <w:rFonts w:cs="Arial"/>
                      <w:color w:val="000000"/>
                      <w:lang w:eastAsia="en-GB"/>
                    </w:rPr>
                  </w:pPr>
                  <w:r w:rsidRPr="006B1CF9">
                    <w:rPr>
                      <w:rFonts w:cs="Arial"/>
                      <w:color w:val="000000"/>
                      <w:lang w:eastAsia="en-GB"/>
                    </w:rPr>
                    <w:t>Participants with a disability or health problems</w:t>
                  </w:r>
                </w:p>
              </w:tc>
              <w:tc>
                <w:tcPr>
                  <w:tcW w:w="2410" w:type="dxa"/>
                  <w:tcBorders>
                    <w:top w:val="nil"/>
                    <w:left w:val="nil"/>
                    <w:bottom w:val="nil"/>
                    <w:right w:val="nil"/>
                  </w:tcBorders>
                  <w:shd w:val="clear" w:color="auto" w:fill="auto"/>
                  <w:noWrap/>
                  <w:vAlign w:val="bottom"/>
                  <w:hideMark/>
                </w:tcPr>
                <w:p w14:paraId="2AABBDF1" w14:textId="77777777" w:rsidR="006B1CF9" w:rsidRPr="006B1CF9" w:rsidRDefault="006B1CF9" w:rsidP="00162B5B">
                  <w:pPr>
                    <w:jc w:val="center"/>
                    <w:rPr>
                      <w:rFonts w:cs="Arial"/>
                      <w:color w:val="000000"/>
                      <w:lang w:eastAsia="en-GB"/>
                    </w:rPr>
                  </w:pPr>
                  <w:r w:rsidRPr="006B1CF9">
                    <w:rPr>
                      <w:rFonts w:cs="Arial"/>
                      <w:color w:val="000000"/>
                      <w:lang w:eastAsia="en-GB"/>
                    </w:rPr>
                    <w:t>25%</w:t>
                  </w:r>
                </w:p>
              </w:tc>
            </w:tr>
            <w:tr w:rsidR="006B1CF9" w:rsidRPr="00F4587B" w14:paraId="2AABBDF5" w14:textId="77777777" w:rsidTr="0082674C">
              <w:trPr>
                <w:trHeight w:val="288"/>
              </w:trPr>
              <w:tc>
                <w:tcPr>
                  <w:tcW w:w="5274" w:type="dxa"/>
                  <w:tcBorders>
                    <w:top w:val="nil"/>
                    <w:left w:val="nil"/>
                    <w:bottom w:val="nil"/>
                    <w:right w:val="nil"/>
                  </w:tcBorders>
                  <w:shd w:val="clear" w:color="auto" w:fill="auto"/>
                  <w:vAlign w:val="bottom"/>
                  <w:hideMark/>
                </w:tcPr>
                <w:p w14:paraId="2AABBDF3" w14:textId="77777777" w:rsidR="006B1CF9" w:rsidRPr="006B1CF9" w:rsidRDefault="006B1CF9" w:rsidP="00162B5B">
                  <w:pPr>
                    <w:rPr>
                      <w:rFonts w:cs="Arial"/>
                      <w:color w:val="000000"/>
                      <w:lang w:eastAsia="en-GB"/>
                    </w:rPr>
                  </w:pPr>
                  <w:r w:rsidRPr="006B1CF9">
                    <w:rPr>
                      <w:rFonts w:cs="Arial"/>
                      <w:color w:val="000000"/>
                      <w:lang w:eastAsia="en-GB"/>
                    </w:rPr>
                    <w:t>Participants who are lone parents</w:t>
                  </w:r>
                </w:p>
              </w:tc>
              <w:tc>
                <w:tcPr>
                  <w:tcW w:w="2410" w:type="dxa"/>
                  <w:tcBorders>
                    <w:top w:val="nil"/>
                    <w:left w:val="nil"/>
                    <w:bottom w:val="nil"/>
                    <w:right w:val="nil"/>
                  </w:tcBorders>
                  <w:shd w:val="clear" w:color="auto" w:fill="auto"/>
                  <w:noWrap/>
                  <w:vAlign w:val="bottom"/>
                  <w:hideMark/>
                </w:tcPr>
                <w:p w14:paraId="2AABBDF4" w14:textId="77777777" w:rsidR="006B1CF9" w:rsidRPr="006B1CF9" w:rsidRDefault="006B1CF9" w:rsidP="00162B5B">
                  <w:pPr>
                    <w:jc w:val="center"/>
                    <w:rPr>
                      <w:rFonts w:cs="Arial"/>
                      <w:color w:val="000000"/>
                      <w:lang w:eastAsia="en-GB"/>
                    </w:rPr>
                  </w:pPr>
                  <w:r w:rsidRPr="006B1CF9">
                    <w:rPr>
                      <w:rFonts w:cs="Arial"/>
                      <w:color w:val="000000"/>
                      <w:lang w:eastAsia="en-GB"/>
                    </w:rPr>
                    <w:t>14%</w:t>
                  </w:r>
                </w:p>
              </w:tc>
            </w:tr>
          </w:tbl>
          <w:p w14:paraId="2AABBDF6" w14:textId="77777777" w:rsidR="00CC112A" w:rsidRPr="006002A9" w:rsidRDefault="00CC112A" w:rsidP="00A005EF">
            <w:pPr>
              <w:rPr>
                <w:rFonts w:cs="Arial"/>
                <w:highlight w:val="green"/>
              </w:rPr>
            </w:pPr>
          </w:p>
          <w:p w14:paraId="2AABBDF7" w14:textId="77777777" w:rsidR="00FD3B0A" w:rsidRDefault="00FD3B0A" w:rsidP="00162B5B">
            <w:pPr>
              <w:rPr>
                <w:rFonts w:cs="Arial"/>
                <w:color w:val="000000"/>
              </w:rPr>
            </w:pPr>
          </w:p>
          <w:p w14:paraId="2AABBDF8" w14:textId="77777777" w:rsidR="0082674C" w:rsidRDefault="0082674C" w:rsidP="00162B5B">
            <w:pPr>
              <w:rPr>
                <w:rFonts w:cs="Arial"/>
                <w:color w:val="000000"/>
              </w:rPr>
            </w:pPr>
          </w:p>
          <w:p w14:paraId="2AABBDF9" w14:textId="77777777" w:rsidR="0082674C" w:rsidRDefault="0082674C" w:rsidP="00162B5B">
            <w:pPr>
              <w:rPr>
                <w:rFonts w:cs="Arial"/>
                <w:color w:val="000000"/>
              </w:rPr>
            </w:pPr>
          </w:p>
          <w:p w14:paraId="2AABBDFA" w14:textId="77777777" w:rsidR="0082674C" w:rsidRDefault="0082674C" w:rsidP="00162B5B">
            <w:pPr>
              <w:rPr>
                <w:rFonts w:cs="Arial"/>
                <w:color w:val="000000"/>
              </w:rPr>
            </w:pPr>
          </w:p>
          <w:p w14:paraId="2AABBDFB" w14:textId="77777777" w:rsidR="0082674C" w:rsidRPr="00162B5B" w:rsidRDefault="0082674C" w:rsidP="00162B5B">
            <w:pPr>
              <w:rPr>
                <w:rFonts w:cs="Arial"/>
                <w:color w:val="000000"/>
              </w:rPr>
            </w:pPr>
          </w:p>
        </w:tc>
      </w:tr>
      <w:tr w:rsidR="00967429" w:rsidRPr="00EF4406" w14:paraId="2AABBDFE" w14:textId="77777777" w:rsidTr="005574D0">
        <w:trPr>
          <w:trHeight w:val="567"/>
        </w:trPr>
        <w:tc>
          <w:tcPr>
            <w:tcW w:w="9088" w:type="dxa"/>
            <w:shd w:val="clear" w:color="auto" w:fill="D9D9D9" w:themeFill="background1" w:themeFillShade="D9"/>
            <w:vAlign w:val="center"/>
          </w:tcPr>
          <w:p w14:paraId="2AABBDFD" w14:textId="77777777" w:rsidR="00967429" w:rsidRPr="00A005EF" w:rsidRDefault="00A005EF" w:rsidP="005E37D8">
            <w:pPr>
              <w:spacing w:before="120" w:after="120"/>
              <w:rPr>
                <w:b/>
                <w:bCs/>
              </w:rPr>
            </w:pPr>
            <w:r w:rsidRPr="00A005EF">
              <w:rPr>
                <w:b/>
              </w:rPr>
              <w:t>GEOGRAPHY / AREA OF DELIVERY</w:t>
            </w:r>
          </w:p>
        </w:tc>
      </w:tr>
      <w:tr w:rsidR="00967429" w:rsidRPr="0052695C" w14:paraId="2AABBE07" w14:textId="77777777" w:rsidTr="0082674C">
        <w:trPr>
          <w:trHeight w:val="983"/>
        </w:trPr>
        <w:tc>
          <w:tcPr>
            <w:tcW w:w="9088" w:type="dxa"/>
          </w:tcPr>
          <w:p w14:paraId="2AABBDFF" w14:textId="77777777" w:rsidR="00A005EF" w:rsidRDefault="00A005EF" w:rsidP="00A005EF"/>
          <w:p w14:paraId="2AABBE00" w14:textId="77777777" w:rsidR="007E7731" w:rsidRDefault="007E7731" w:rsidP="00A005EF">
            <w:pPr>
              <w:rPr>
                <w:b/>
              </w:rPr>
            </w:pPr>
            <w:r>
              <w:rPr>
                <w:b/>
              </w:rPr>
              <w:t>LEP Specific</w:t>
            </w:r>
          </w:p>
          <w:p w14:paraId="2AABBE01" w14:textId="77777777" w:rsidR="007E7731" w:rsidRPr="00C107CE" w:rsidRDefault="007E7731" w:rsidP="00A005EF">
            <w:pPr>
              <w:rPr>
                <w:b/>
              </w:rPr>
            </w:pPr>
          </w:p>
          <w:p w14:paraId="2AABBE02" w14:textId="77777777" w:rsidR="00787807" w:rsidRDefault="00A005EF" w:rsidP="00A005EF">
            <w:pPr>
              <w:autoSpaceDE w:val="0"/>
              <w:autoSpaceDN w:val="0"/>
              <w:adjustRightInd w:val="0"/>
              <w:rPr>
                <w:rFonts w:cs="Arial"/>
              </w:rPr>
            </w:pPr>
            <w:r w:rsidRPr="00BC7F87">
              <w:rPr>
                <w:rFonts w:cs="Arial"/>
              </w:rPr>
              <w:lastRenderedPageBreak/>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F86485">
              <w:rPr>
                <w:rFonts w:cs="Arial"/>
              </w:rPr>
              <w:t>Cumbria</w:t>
            </w:r>
            <w:r w:rsidR="000304B2">
              <w:rPr>
                <w:rFonts w:cs="Arial"/>
              </w:rPr>
              <w:t xml:space="preserve"> </w:t>
            </w:r>
            <w:r w:rsidR="00105A7C">
              <w:rPr>
                <w:rFonts w:cs="Arial"/>
              </w:rPr>
              <w:t>Local Enterprise Partnership area</w:t>
            </w:r>
            <w:r w:rsidR="007C2B80">
              <w:rPr>
                <w:rFonts w:cs="Arial"/>
              </w:rPr>
              <w:t>.</w:t>
            </w:r>
          </w:p>
          <w:p w14:paraId="2AABBE03" w14:textId="77777777" w:rsidR="006B1CF9" w:rsidRDefault="006B1CF9" w:rsidP="00A005EF">
            <w:pPr>
              <w:autoSpaceDE w:val="0"/>
              <w:autoSpaceDN w:val="0"/>
              <w:adjustRightInd w:val="0"/>
              <w:rPr>
                <w:rFonts w:cs="Arial"/>
                <w:highlight w:val="green"/>
              </w:rPr>
            </w:pPr>
          </w:p>
          <w:p w14:paraId="2AABBE04" w14:textId="77777777" w:rsidR="004825CA" w:rsidRDefault="004825CA" w:rsidP="00A005EF">
            <w:pPr>
              <w:autoSpaceDE w:val="0"/>
              <w:autoSpaceDN w:val="0"/>
              <w:adjustRightInd w:val="0"/>
              <w:rPr>
                <w:rFonts w:cs="Arial"/>
              </w:rPr>
            </w:pPr>
            <w:r w:rsidRPr="006B1CF9">
              <w:rPr>
                <w:rFonts w:cs="Arial"/>
              </w:rPr>
              <w:t xml:space="preserve">This area </w:t>
            </w:r>
            <w:r w:rsidR="006B1CF9" w:rsidRPr="006B1CF9">
              <w:rPr>
                <w:rFonts w:cs="Arial"/>
              </w:rPr>
              <w:t xml:space="preserve">is </w:t>
            </w:r>
            <w:r w:rsidRPr="006B1CF9">
              <w:rPr>
                <w:rFonts w:cs="Arial"/>
              </w:rPr>
              <w:t>a transitional area</w:t>
            </w:r>
            <w:r w:rsidR="00A033D7">
              <w:rPr>
                <w:rFonts w:cs="Arial"/>
              </w:rPr>
              <w:t>.</w:t>
            </w:r>
            <w:r w:rsidRPr="006B1CF9">
              <w:rPr>
                <w:rFonts w:cs="Arial"/>
              </w:rPr>
              <w:t xml:space="preserve"> </w:t>
            </w:r>
          </w:p>
          <w:p w14:paraId="2AABBE06" w14:textId="77777777" w:rsidR="007C2B80" w:rsidRPr="00FF6CCA" w:rsidRDefault="007C2B80" w:rsidP="00105A7C">
            <w:pPr>
              <w:autoSpaceDE w:val="0"/>
              <w:autoSpaceDN w:val="0"/>
              <w:adjustRightInd w:val="0"/>
            </w:pPr>
          </w:p>
        </w:tc>
      </w:tr>
      <w:tr w:rsidR="00967429" w:rsidRPr="00505117" w14:paraId="2AABBE09" w14:textId="77777777" w:rsidTr="005574D0">
        <w:trPr>
          <w:trHeight w:val="567"/>
        </w:trPr>
        <w:tc>
          <w:tcPr>
            <w:tcW w:w="9088" w:type="dxa"/>
            <w:shd w:val="clear" w:color="auto" w:fill="D9D9D9" w:themeFill="background1" w:themeFillShade="D9"/>
            <w:vAlign w:val="center"/>
          </w:tcPr>
          <w:p w14:paraId="2AABBE08"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2AABBE5D" w14:textId="77777777" w:rsidTr="0082674C">
        <w:trPr>
          <w:trHeight w:val="1408"/>
        </w:trPr>
        <w:tc>
          <w:tcPr>
            <w:tcW w:w="9088" w:type="dxa"/>
          </w:tcPr>
          <w:p w14:paraId="2AABBE0A" w14:textId="77777777" w:rsidR="007E7731" w:rsidRDefault="007E7731" w:rsidP="00A005EF">
            <w:pPr>
              <w:rPr>
                <w:rFonts w:cs="Arial"/>
              </w:rPr>
            </w:pPr>
          </w:p>
          <w:p w14:paraId="2AABBE0B" w14:textId="77777777" w:rsidR="007E7731" w:rsidRPr="00C107CE" w:rsidRDefault="007E7731" w:rsidP="00A005EF">
            <w:pPr>
              <w:rPr>
                <w:rFonts w:cs="Arial"/>
                <w:b/>
              </w:rPr>
            </w:pPr>
            <w:r>
              <w:rPr>
                <w:rFonts w:cs="Arial"/>
                <w:b/>
              </w:rPr>
              <w:t>LEP Specific</w:t>
            </w:r>
          </w:p>
          <w:p w14:paraId="2AABBE0C" w14:textId="77777777" w:rsidR="007E7731" w:rsidRDefault="007E7731" w:rsidP="00A005EF">
            <w:pPr>
              <w:rPr>
                <w:rFonts w:cs="Arial"/>
              </w:rPr>
            </w:pPr>
          </w:p>
          <w:p w14:paraId="2AABBE0D" w14:textId="727734C7" w:rsidR="00A005EF" w:rsidRPr="00BC7F87" w:rsidRDefault="00475879" w:rsidP="00A005EF">
            <w:pPr>
              <w:rPr>
                <w:rFonts w:cs="Arial"/>
              </w:rPr>
            </w:pPr>
            <w:r w:rsidRPr="00BC7F87">
              <w:rPr>
                <w:rFonts w:cs="Arial"/>
              </w:rPr>
              <w:t>Currently</w:t>
            </w:r>
            <w:r w:rsidR="00A005EF" w:rsidRPr="00BC7F87">
              <w:rPr>
                <w:rFonts w:cs="Arial"/>
              </w:rPr>
              <w:t xml:space="preserve"> </w:t>
            </w:r>
            <w:bookmarkStart w:id="0" w:name="OLE_LINK1"/>
            <w:r w:rsidR="00A005EF" w:rsidRPr="006B1CF9">
              <w:rPr>
                <w:rFonts w:cs="Arial"/>
              </w:rPr>
              <w:t>£</w:t>
            </w:r>
            <w:r w:rsidR="00F86485" w:rsidRPr="006B1CF9">
              <w:rPr>
                <w:rFonts w:cs="Arial"/>
              </w:rPr>
              <w:t>3,000,000</w:t>
            </w:r>
            <w:r w:rsidR="00A005EF" w:rsidRPr="006B1CF9">
              <w:rPr>
                <w:rFonts w:cs="Arial"/>
              </w:rPr>
              <w:t xml:space="preserve"> </w:t>
            </w:r>
            <w:bookmarkEnd w:id="0"/>
            <w:r w:rsidR="009552C2" w:rsidRPr="00BC7F87">
              <w:rPr>
                <w:rFonts w:cs="Arial"/>
              </w:rPr>
              <w:t>will be available</w:t>
            </w:r>
            <w:r w:rsidR="00C107CE" w:rsidRPr="00BC7F87">
              <w:rPr>
                <w:rFonts w:cs="Arial"/>
              </w:rPr>
              <w:t xml:space="preserve"> for the period from </w:t>
            </w:r>
            <w:r w:rsidR="005574D0">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82674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2AABBE0E" w14:textId="77777777" w:rsidR="00A005EF" w:rsidRDefault="00A005EF" w:rsidP="00A005EF">
            <w:pPr>
              <w:rPr>
                <w:b/>
              </w:rPr>
            </w:pPr>
          </w:p>
          <w:p w14:paraId="2AABBE0F"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AABBE10" w14:textId="77777777" w:rsidR="00394F36" w:rsidRPr="00BC7F87" w:rsidRDefault="00394F36" w:rsidP="00A005EF">
            <w:pPr>
              <w:rPr>
                <w:b/>
              </w:rPr>
            </w:pPr>
          </w:p>
          <w:p w14:paraId="2AABBE11"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2AABBE12" w14:textId="77777777" w:rsidR="0082674C" w:rsidRDefault="0082674C" w:rsidP="00A005EF">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0082674C" w:rsidRPr="0082674C" w14:paraId="2AABBE17" w14:textId="77777777" w:rsidTr="0082674C">
              <w:trPr>
                <w:trHeight w:val="1128"/>
              </w:trPr>
              <w:tc>
                <w:tcPr>
                  <w:tcW w:w="3066"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2AABBE13" w14:textId="77777777" w:rsidR="0082674C" w:rsidRPr="0082674C" w:rsidRDefault="0082674C" w:rsidP="0082674C">
                  <w:pPr>
                    <w:rPr>
                      <w:rFonts w:cs="Arial"/>
                      <w:b/>
                      <w:bCs/>
                      <w:color w:val="000000"/>
                      <w:sz w:val="20"/>
                      <w:szCs w:val="20"/>
                      <w:lang w:eastAsia="en-GB"/>
                    </w:rPr>
                  </w:pPr>
                  <w:r w:rsidRPr="0082674C">
                    <w:rPr>
                      <w:rFonts w:cs="Arial"/>
                      <w:b/>
                      <w:bCs/>
                      <w:color w:val="000000"/>
                      <w:sz w:val="20"/>
                      <w:szCs w:val="20"/>
                      <w:lang w:eastAsia="en-GB"/>
                    </w:rPr>
                    <w:t>Description</w:t>
                  </w:r>
                  <w:r w:rsidRPr="0082674C">
                    <w:rPr>
                      <w:rFonts w:cs="Arial"/>
                      <w:b/>
                      <w:bCs/>
                      <w:color w:val="000000"/>
                      <w:sz w:val="20"/>
                      <w:szCs w:val="20"/>
                      <w:lang w:eastAsia="en-GB"/>
                    </w:rPr>
                    <w:br/>
                  </w:r>
                </w:p>
              </w:tc>
              <w:tc>
                <w:tcPr>
                  <w:tcW w:w="592"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2AABBE14" w14:textId="77777777" w:rsidR="0082674C" w:rsidRPr="0082674C" w:rsidRDefault="0082674C" w:rsidP="0082674C">
                  <w:pPr>
                    <w:jc w:val="center"/>
                    <w:rPr>
                      <w:rFonts w:cs="Arial"/>
                      <w:b/>
                      <w:bCs/>
                      <w:color w:val="000000"/>
                      <w:sz w:val="20"/>
                      <w:szCs w:val="20"/>
                      <w:lang w:eastAsia="en-GB"/>
                    </w:rPr>
                  </w:pPr>
                  <w:r w:rsidRPr="0082674C">
                    <w:rPr>
                      <w:rFonts w:cs="Arial"/>
                      <w:b/>
                      <w:bCs/>
                      <w:color w:val="000000"/>
                      <w:sz w:val="20"/>
                      <w:szCs w:val="20"/>
                      <w:lang w:eastAsia="en-GB"/>
                    </w:rPr>
                    <w:t>Volumes</w:t>
                  </w:r>
                </w:p>
              </w:tc>
              <w:tc>
                <w:tcPr>
                  <w:tcW w:w="768"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2AABBE15" w14:textId="77777777" w:rsidR="0082674C" w:rsidRPr="0082674C" w:rsidRDefault="0082674C" w:rsidP="0082674C">
                  <w:pPr>
                    <w:jc w:val="center"/>
                    <w:rPr>
                      <w:rFonts w:cs="Arial"/>
                      <w:b/>
                      <w:bCs/>
                      <w:color w:val="000000"/>
                      <w:sz w:val="20"/>
                      <w:szCs w:val="20"/>
                      <w:lang w:eastAsia="en-GB"/>
                    </w:rPr>
                  </w:pPr>
                  <w:r w:rsidRPr="0082674C">
                    <w:rPr>
                      <w:rFonts w:cs="Arial"/>
                      <w:b/>
                      <w:bCs/>
                      <w:color w:val="000000"/>
                      <w:sz w:val="20"/>
                      <w:szCs w:val="20"/>
                      <w:lang w:eastAsia="en-GB"/>
                    </w:rPr>
                    <w:t>Unit Cost Total Value Average per Intervention</w:t>
                  </w:r>
                </w:p>
              </w:tc>
              <w:tc>
                <w:tcPr>
                  <w:tcW w:w="574"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2AABBE16" w14:textId="77777777" w:rsidR="0082674C" w:rsidRPr="0082674C" w:rsidRDefault="0082674C" w:rsidP="0082674C">
                  <w:pPr>
                    <w:jc w:val="center"/>
                    <w:rPr>
                      <w:rFonts w:cs="Arial"/>
                      <w:b/>
                      <w:bCs/>
                      <w:color w:val="000000"/>
                      <w:sz w:val="20"/>
                      <w:szCs w:val="20"/>
                      <w:lang w:eastAsia="en-GB"/>
                    </w:rPr>
                  </w:pPr>
                  <w:r w:rsidRPr="0082674C">
                    <w:rPr>
                      <w:rFonts w:cs="Arial"/>
                      <w:b/>
                      <w:bCs/>
                      <w:color w:val="000000"/>
                      <w:sz w:val="20"/>
                      <w:szCs w:val="20"/>
                      <w:lang w:eastAsia="en-GB"/>
                    </w:rPr>
                    <w:t>£</w:t>
                  </w:r>
                </w:p>
              </w:tc>
            </w:tr>
            <w:tr w:rsidR="0082674C" w:rsidRPr="0082674C" w14:paraId="2AABBE1C"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18"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ST01 Learner Assessment and Plan</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ABBE19"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1,900</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AABBE1A"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2AABBE1B"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£95,000</w:t>
                  </w:r>
                </w:p>
              </w:tc>
            </w:tr>
            <w:tr w:rsidR="0082674C" w:rsidRPr="0082674C" w14:paraId="2AABBE21"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AABBE1D"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RQ01 Regulated Learning</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AABBE1E" w14:textId="77777777" w:rsidR="0082674C" w:rsidRPr="0082674C" w:rsidRDefault="0082674C" w:rsidP="0082674C">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BE1F" w14:textId="77777777" w:rsidR="0082674C" w:rsidRPr="0082674C" w:rsidRDefault="0082674C" w:rsidP="0082674C">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BBE20"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£632,000</w:t>
                  </w:r>
                </w:p>
              </w:tc>
            </w:tr>
            <w:tr w:rsidR="0082674C" w:rsidRPr="0082674C" w14:paraId="2AABBE26"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22"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NR01 Non Regulated Activity</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ABBE23" w14:textId="77777777" w:rsidR="0082674C" w:rsidRPr="0082674C" w:rsidRDefault="0082674C" w:rsidP="0082674C">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ABBE24" w14:textId="77777777" w:rsidR="0082674C" w:rsidRPr="0082674C" w:rsidRDefault="0082674C" w:rsidP="0082674C">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ABBE25"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£1,140,000</w:t>
                  </w:r>
                </w:p>
              </w:tc>
            </w:tr>
            <w:tr w:rsidR="0082674C" w:rsidRPr="0082674C" w14:paraId="2AABBE2B"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AABBE27"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PG01 Progression Paid Employment (EMP)</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AABBE28"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310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BE29"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BBE2A"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£217,000</w:t>
                  </w:r>
                </w:p>
              </w:tc>
            </w:tr>
            <w:tr w:rsidR="0082674C" w:rsidRPr="0082674C" w14:paraId="2AABBE30"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2C"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SU01 Sustained Employment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ABBE2D"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250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ABBE2E"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ABBE2F"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£150,000</w:t>
                  </w:r>
                </w:p>
              </w:tc>
            </w:tr>
            <w:tr w:rsidR="0082674C" w:rsidRPr="0082674C" w14:paraId="2AABBE35"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AABBE31"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PG03 Progression Education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AABBE32"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260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BE33"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BBE34"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£182,000</w:t>
                  </w:r>
                </w:p>
              </w:tc>
            </w:tr>
            <w:tr w:rsidR="0082674C" w:rsidRPr="0082674C" w14:paraId="2AABBE3A"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36"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SU03 Sustained Education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ABBE37"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195</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ABBE38"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ABBE39"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£117,000</w:t>
                  </w:r>
                </w:p>
              </w:tc>
            </w:tr>
            <w:tr w:rsidR="0082674C" w:rsidRPr="0082674C" w14:paraId="2AABBE3F"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AABBE3B"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PG04 Progression Apprenticeship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AABBE3C"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310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BE3D"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BBE3E"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£217,000</w:t>
                  </w:r>
                </w:p>
              </w:tc>
            </w:tr>
            <w:tr w:rsidR="0082674C" w:rsidRPr="0082674C" w14:paraId="2AABBE44"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40"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SU04 Sustained Apprenticeship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ABBE41" w14:textId="77777777" w:rsidR="0082674C" w:rsidRPr="0082674C" w:rsidRDefault="0082674C" w:rsidP="0082674C">
                  <w:pPr>
                    <w:jc w:val="center"/>
                    <w:rPr>
                      <w:rFonts w:cs="Arial"/>
                      <w:color w:val="000000"/>
                      <w:sz w:val="20"/>
                      <w:szCs w:val="20"/>
                      <w:lang w:eastAsia="en-GB"/>
                    </w:rPr>
                  </w:pPr>
                  <w:r>
                    <w:rPr>
                      <w:rFonts w:cs="Arial"/>
                      <w:color w:val="000000"/>
                      <w:sz w:val="20"/>
                      <w:szCs w:val="20"/>
                      <w:lang w:eastAsia="en-GB"/>
                    </w:rPr>
                    <w:t>250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ABBE42"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ABBE43"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£150,000</w:t>
                  </w:r>
                </w:p>
              </w:tc>
            </w:tr>
            <w:tr w:rsidR="0082674C" w:rsidRPr="0082674C" w14:paraId="2AABBE49"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AABBE45"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SD01 Evaluation (Formative)</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BBE46" w14:textId="77777777" w:rsidR="0082674C" w:rsidRPr="0082674C" w:rsidRDefault="0082674C" w:rsidP="0082674C">
                  <w:pPr>
                    <w:jc w:val="center"/>
                    <w:rPr>
                      <w:rFonts w:cs="Arial"/>
                      <w:sz w:val="20"/>
                      <w:szCs w:val="20"/>
                      <w:lang w:eastAsia="en-GB"/>
                    </w:rPr>
                  </w:pPr>
                  <w:r w:rsidRPr="0082674C">
                    <w:rPr>
                      <w:rFonts w:cs="Arial"/>
                      <w:sz w:val="20"/>
                      <w:szCs w:val="20"/>
                      <w:lang w:eastAsia="en-GB"/>
                    </w:rPr>
                    <w:t>1</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BE47"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£20,000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ABBE48"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£20,000</w:t>
                  </w:r>
                </w:p>
              </w:tc>
            </w:tr>
            <w:tr w:rsidR="0082674C" w:rsidRPr="0082674C" w14:paraId="2AABBE4E" w14:textId="77777777" w:rsidTr="0082674C">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AABBE4A"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SD02 Evaluation (Summative)</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AABBE4B" w14:textId="77777777" w:rsidR="0082674C" w:rsidRPr="0082674C" w:rsidRDefault="0082674C" w:rsidP="0082674C">
                  <w:pPr>
                    <w:jc w:val="center"/>
                    <w:rPr>
                      <w:rFonts w:cs="Arial"/>
                      <w:sz w:val="20"/>
                      <w:szCs w:val="20"/>
                      <w:lang w:eastAsia="en-GB"/>
                    </w:rPr>
                  </w:pPr>
                  <w:r w:rsidRPr="0082674C">
                    <w:rPr>
                      <w:rFonts w:cs="Arial"/>
                      <w:sz w:val="20"/>
                      <w:szCs w:val="20"/>
                      <w:lang w:eastAsia="en-GB"/>
                    </w:rPr>
                    <w:t>1</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ABBE4C"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£20,000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ABBE4D"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£20,000</w:t>
                  </w:r>
                </w:p>
              </w:tc>
            </w:tr>
            <w:tr w:rsidR="0082674C" w:rsidRPr="0082674C" w14:paraId="2AABBE53" w14:textId="77777777" w:rsidTr="0082674C">
              <w:trPr>
                <w:trHeight w:val="450"/>
              </w:trPr>
              <w:tc>
                <w:tcPr>
                  <w:tcW w:w="3217"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AABBE4F"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SD03 Sector Delivery Plan</w:t>
                  </w:r>
                </w:p>
              </w:tc>
              <w:tc>
                <w:tcPr>
                  <w:tcW w:w="5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AABBE50" w14:textId="77777777" w:rsidR="0082674C" w:rsidRPr="0082674C" w:rsidRDefault="0082674C" w:rsidP="0082674C">
                  <w:pPr>
                    <w:jc w:val="center"/>
                    <w:rPr>
                      <w:rFonts w:cs="Arial"/>
                      <w:sz w:val="20"/>
                      <w:szCs w:val="20"/>
                      <w:lang w:eastAsia="en-GB"/>
                    </w:rPr>
                  </w:pPr>
                  <w:r w:rsidRPr="0082674C">
                    <w:rPr>
                      <w:rFonts w:cs="Arial"/>
                      <w:sz w:val="20"/>
                      <w:szCs w:val="20"/>
                      <w:lang w:eastAsia="en-GB"/>
                    </w:rPr>
                    <w:t>6</w:t>
                  </w:r>
                </w:p>
              </w:tc>
              <w:tc>
                <w:tcPr>
                  <w:tcW w:w="62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ABBE51"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£10,000</w:t>
                  </w:r>
                </w:p>
              </w:tc>
              <w:tc>
                <w:tcPr>
                  <w:tcW w:w="580"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ABBE52"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£60,000</w:t>
                  </w:r>
                </w:p>
              </w:tc>
            </w:tr>
            <w:tr w:rsidR="0082674C" w:rsidRPr="0082674C" w14:paraId="2AABBE58" w14:textId="77777777" w:rsidTr="0082674C">
              <w:trPr>
                <w:trHeight w:val="450"/>
              </w:trPr>
              <w:tc>
                <w:tcPr>
                  <w:tcW w:w="3217" w:type="pct"/>
                  <w:tcBorders>
                    <w:top w:val="single" w:sz="4" w:space="0" w:color="000000"/>
                    <w:left w:val="single" w:sz="4" w:space="0" w:color="000000"/>
                    <w:bottom w:val="single" w:sz="4" w:space="0" w:color="000000"/>
                    <w:right w:val="single" w:sz="4" w:space="0" w:color="auto"/>
                  </w:tcBorders>
                  <w:shd w:val="clear" w:color="auto" w:fill="auto"/>
                  <w:vAlign w:val="center"/>
                </w:tcPr>
                <w:p w14:paraId="2AABBE54" w14:textId="77777777" w:rsidR="0082674C" w:rsidRPr="0082674C" w:rsidRDefault="0082674C" w:rsidP="0082674C">
                  <w:pPr>
                    <w:rPr>
                      <w:rFonts w:cs="Arial"/>
                      <w:color w:val="000000"/>
                      <w:sz w:val="20"/>
                      <w:szCs w:val="20"/>
                      <w:lang w:eastAsia="en-GB"/>
                    </w:rPr>
                  </w:pPr>
                  <w:r w:rsidRPr="0082674C">
                    <w:rPr>
                      <w:rFonts w:cs="Arial"/>
                      <w:color w:val="000000"/>
                      <w:sz w:val="20"/>
                      <w:szCs w:val="20"/>
                      <w:lang w:eastAsia="en-GB"/>
                    </w:rPr>
                    <w:t>Total</w:t>
                  </w:r>
                </w:p>
              </w:tc>
              <w:tc>
                <w:tcPr>
                  <w:tcW w:w="580" w:type="pct"/>
                  <w:tcBorders>
                    <w:top w:val="single" w:sz="4" w:space="0" w:color="auto"/>
                    <w:left w:val="single" w:sz="4" w:space="0" w:color="auto"/>
                    <w:bottom w:val="single" w:sz="4" w:space="0" w:color="000000"/>
                    <w:right w:val="single" w:sz="4" w:space="0" w:color="auto"/>
                  </w:tcBorders>
                  <w:shd w:val="clear" w:color="auto" w:fill="auto"/>
                  <w:vAlign w:val="center"/>
                </w:tcPr>
                <w:p w14:paraId="2AABBE55" w14:textId="77777777" w:rsidR="0082674C" w:rsidRPr="0082674C" w:rsidRDefault="0082674C" w:rsidP="0082674C">
                  <w:pPr>
                    <w:jc w:val="center"/>
                    <w:rPr>
                      <w:rFonts w:cs="Arial"/>
                      <w:sz w:val="20"/>
                      <w:szCs w:val="20"/>
                      <w:lang w:eastAsia="en-GB"/>
                    </w:rPr>
                  </w:pPr>
                </w:p>
              </w:tc>
              <w:tc>
                <w:tcPr>
                  <w:tcW w:w="622"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AABBE56" w14:textId="77777777" w:rsidR="0082674C" w:rsidRPr="0082674C" w:rsidRDefault="0082674C" w:rsidP="0082674C">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000000"/>
                    <w:right w:val="single" w:sz="4" w:space="0" w:color="000000"/>
                  </w:tcBorders>
                  <w:shd w:val="clear" w:color="auto" w:fill="auto"/>
                  <w:noWrap/>
                  <w:vAlign w:val="center"/>
                </w:tcPr>
                <w:p w14:paraId="2AABBE57" w14:textId="77777777" w:rsidR="0082674C" w:rsidRPr="0082674C" w:rsidRDefault="0082674C" w:rsidP="0082674C">
                  <w:pPr>
                    <w:jc w:val="center"/>
                    <w:rPr>
                      <w:rFonts w:cs="Arial"/>
                      <w:color w:val="000000"/>
                      <w:sz w:val="20"/>
                      <w:szCs w:val="20"/>
                      <w:lang w:eastAsia="en-GB"/>
                    </w:rPr>
                  </w:pPr>
                  <w:r w:rsidRPr="0082674C">
                    <w:rPr>
                      <w:rFonts w:cs="Arial"/>
                      <w:color w:val="000000"/>
                      <w:sz w:val="20"/>
                      <w:szCs w:val="20"/>
                      <w:lang w:eastAsia="en-GB"/>
                    </w:rPr>
                    <w:t>£3,000,000</w:t>
                  </w:r>
                </w:p>
              </w:tc>
            </w:tr>
          </w:tbl>
          <w:p w14:paraId="2AABBE5C" w14:textId="77777777" w:rsidR="00627E01" w:rsidRPr="00DB2FA1" w:rsidRDefault="00627E01" w:rsidP="008A2D45">
            <w:pPr>
              <w:rPr>
                <w:rFonts w:cs="Arial"/>
                <w:b/>
              </w:rPr>
            </w:pPr>
          </w:p>
        </w:tc>
      </w:tr>
    </w:tbl>
    <w:p w14:paraId="2AABBE5E" w14:textId="77777777" w:rsidR="00A005EF" w:rsidRDefault="00A005EF">
      <w:bookmarkStart w:id="1" w:name="_GoBack"/>
      <w:bookmarkEnd w:id="1"/>
    </w:p>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FFE9" w14:textId="77777777" w:rsidR="00E73C90" w:rsidRDefault="00E73C90">
      <w:r>
        <w:separator/>
      </w:r>
    </w:p>
  </w:endnote>
  <w:endnote w:type="continuationSeparator" w:id="0">
    <w:p w14:paraId="1958E34F" w14:textId="77777777" w:rsidR="00E73C90" w:rsidRDefault="00E7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AABBE6C" w14:textId="77777777" w:rsidR="00AE17EA" w:rsidRDefault="00AE17EA">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AE17EA" w14:paraId="2AABBE6F" w14:textId="77777777" w:rsidTr="009808AC">
          <w:tc>
            <w:tcPr>
              <w:tcW w:w="4908" w:type="dxa"/>
            </w:tcPr>
            <w:p w14:paraId="2AABBE6D" w14:textId="77777777" w:rsidR="00AE17EA" w:rsidRDefault="00AE17EA" w:rsidP="009808AC">
              <w:pPr>
                <w:pStyle w:val="Footer"/>
              </w:pPr>
            </w:p>
          </w:tc>
          <w:tc>
            <w:tcPr>
              <w:tcW w:w="3869" w:type="dxa"/>
            </w:tcPr>
            <w:p w14:paraId="2AABBE6E" w14:textId="77777777" w:rsidR="00AE17EA" w:rsidRDefault="00AE17EA"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7313B6">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313B6">
                <w:rPr>
                  <w:b/>
                  <w:bCs/>
                  <w:noProof/>
                </w:rPr>
                <w:t>13</w:t>
              </w:r>
              <w:r>
                <w:rPr>
                  <w:b/>
                  <w:bCs/>
                </w:rPr>
                <w:fldChar w:fldCharType="end"/>
              </w:r>
            </w:p>
          </w:tc>
        </w:tr>
      </w:tbl>
      <w:p w14:paraId="2AABBE70" w14:textId="77777777" w:rsidR="00AE17EA" w:rsidRDefault="00E73C90">
        <w:pPr>
          <w:pStyle w:val="Footer"/>
          <w:jc w:val="right"/>
        </w:pPr>
      </w:p>
    </w:sdtContent>
  </w:sdt>
  <w:p w14:paraId="2AABBE71" w14:textId="77777777" w:rsidR="00AE17EA" w:rsidRDefault="00AE1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4525" w14:textId="77777777" w:rsidR="00E73C90" w:rsidRDefault="00E73C90">
      <w:r>
        <w:separator/>
      </w:r>
    </w:p>
  </w:footnote>
  <w:footnote w:type="continuationSeparator" w:id="0">
    <w:p w14:paraId="102F2B08" w14:textId="77777777" w:rsidR="00E73C90" w:rsidRDefault="00E73C90">
      <w:r>
        <w:continuationSeparator/>
      </w:r>
    </w:p>
  </w:footnote>
  <w:footnote w:id="1">
    <w:p w14:paraId="2AABBE73" w14:textId="77777777" w:rsidR="00AE17EA" w:rsidRDefault="00AE17EA" w:rsidP="00AA32BC">
      <w:pPr>
        <w:pStyle w:val="FootnoteText"/>
      </w:pPr>
      <w:r>
        <w:rPr>
          <w:rStyle w:val="FootnoteReference"/>
        </w:rPr>
        <w:footnoteRef/>
      </w:r>
      <w:r>
        <w:t xml:space="preserve"> At the time that the SEP was written in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AABBE6B" w14:textId="77777777" w:rsidR="00AE17EA" w:rsidRDefault="00E73C90">
        <w:pPr>
          <w:pStyle w:val="Header"/>
        </w:pPr>
        <w:r>
          <w:rPr>
            <w:noProof/>
            <w:lang w:val="en-US"/>
          </w:rPr>
          <w:pict w14:anchorId="2AABB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88D2F84"/>
    <w:multiLevelType w:val="hybridMultilevel"/>
    <w:tmpl w:val="97B43AC8"/>
    <w:lvl w:ilvl="0" w:tplc="08090001">
      <w:start w:val="1"/>
      <w:numFmt w:val="bullet"/>
      <w:pStyle w:val="List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55F1C"/>
    <w:multiLevelType w:val="hybridMultilevel"/>
    <w:tmpl w:val="0588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BD7301"/>
    <w:multiLevelType w:val="hybridMultilevel"/>
    <w:tmpl w:val="5F48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377377"/>
    <w:multiLevelType w:val="multilevel"/>
    <w:tmpl w:val="6DDE4BD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sz w:val="24"/>
        <w:szCs w:val="24"/>
      </w:rPr>
    </w:lvl>
    <w:lvl w:ilvl="2">
      <w:start w:val="1"/>
      <w:numFmt w:val="bullet"/>
      <w:lvlText w:val=""/>
      <w:lvlJc w:val="left"/>
      <w:pPr>
        <w:tabs>
          <w:tab w:val="num" w:pos="850"/>
        </w:tabs>
        <w:ind w:left="850" w:hanging="567"/>
      </w:pPr>
      <w:rPr>
        <w:rFonts w:ascii="Symbol" w:hAnsi="Symbol" w:hint="default"/>
        <w:sz w:val="20"/>
        <w:szCs w:val="20"/>
      </w:rPr>
    </w:lvl>
    <w:lvl w:ilvl="3">
      <w:start w:val="1"/>
      <w:numFmt w:val="bullet"/>
      <w:lvlText w:val=""/>
      <w:lvlJc w:val="left"/>
      <w:pPr>
        <w:tabs>
          <w:tab w:val="num" w:pos="1701"/>
        </w:tabs>
        <w:ind w:left="1701" w:hanging="567"/>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552002FC"/>
    <w:multiLevelType w:val="hybridMultilevel"/>
    <w:tmpl w:val="3F5AC650"/>
    <w:lvl w:ilvl="0" w:tplc="2F32FA4A">
      <w:start w:val="19"/>
      <w:numFmt w:val="bullet"/>
      <w:lvlText w:val="-"/>
      <w:lvlJc w:val="left"/>
      <w:pPr>
        <w:ind w:left="1494"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4"/>
  </w:num>
  <w:num w:numId="4">
    <w:abstractNumId w:val="24"/>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21"/>
  </w:num>
  <w:num w:numId="11">
    <w:abstractNumId w:val="19"/>
  </w:num>
  <w:num w:numId="12">
    <w:abstractNumId w:val="27"/>
  </w:num>
  <w:num w:numId="13">
    <w:abstractNumId w:val="23"/>
  </w:num>
  <w:num w:numId="14">
    <w:abstractNumId w:val="16"/>
  </w:num>
  <w:num w:numId="15">
    <w:abstractNumId w:val="12"/>
  </w:num>
  <w:num w:numId="16">
    <w:abstractNumId w:val="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10"/>
  </w:num>
  <w:num w:numId="28">
    <w:abstractNumId w:val="15"/>
  </w:num>
  <w:num w:numId="29">
    <w:abstractNumId w:val="6"/>
  </w:num>
  <w:num w:numId="30">
    <w:abstractNumId w:val="2"/>
  </w:num>
  <w:num w:numId="31">
    <w:abstractNumId w:val="22"/>
  </w:num>
  <w:num w:numId="32">
    <w:abstractNumId w:val="17"/>
  </w:num>
  <w:num w:numId="33">
    <w:abstractNumId w:val="9"/>
  </w:num>
  <w:num w:numId="34">
    <w:abstractNumId w:val="11"/>
  </w:num>
  <w:num w:numId="35">
    <w:abstractNumId w:val="1"/>
  </w:num>
  <w:num w:numId="3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E9"/>
    <w:rsid w:val="00000BE1"/>
    <w:rsid w:val="00003E66"/>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46C0A"/>
    <w:rsid w:val="0005224F"/>
    <w:rsid w:val="00055B31"/>
    <w:rsid w:val="00061405"/>
    <w:rsid w:val="000616F5"/>
    <w:rsid w:val="00061C01"/>
    <w:rsid w:val="00065977"/>
    <w:rsid w:val="0006613A"/>
    <w:rsid w:val="00066B72"/>
    <w:rsid w:val="0006724D"/>
    <w:rsid w:val="0007093F"/>
    <w:rsid w:val="000730F1"/>
    <w:rsid w:val="0008249F"/>
    <w:rsid w:val="00087B1E"/>
    <w:rsid w:val="00090908"/>
    <w:rsid w:val="000935EF"/>
    <w:rsid w:val="00094335"/>
    <w:rsid w:val="000972D3"/>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045F"/>
    <w:rsid w:val="00101C79"/>
    <w:rsid w:val="00105A7C"/>
    <w:rsid w:val="00110113"/>
    <w:rsid w:val="00111F99"/>
    <w:rsid w:val="0012138E"/>
    <w:rsid w:val="00123C60"/>
    <w:rsid w:val="00125458"/>
    <w:rsid w:val="00131443"/>
    <w:rsid w:val="0013204A"/>
    <w:rsid w:val="00133A11"/>
    <w:rsid w:val="00136327"/>
    <w:rsid w:val="00137737"/>
    <w:rsid w:val="001378AB"/>
    <w:rsid w:val="00143A7D"/>
    <w:rsid w:val="0014799D"/>
    <w:rsid w:val="0015011A"/>
    <w:rsid w:val="001503EB"/>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659"/>
    <w:rsid w:val="00207E67"/>
    <w:rsid w:val="00210134"/>
    <w:rsid w:val="0021080C"/>
    <w:rsid w:val="00212817"/>
    <w:rsid w:val="002207D5"/>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836D8"/>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13C"/>
    <w:rsid w:val="003242A9"/>
    <w:rsid w:val="00325BC2"/>
    <w:rsid w:val="00325EB2"/>
    <w:rsid w:val="00331FD0"/>
    <w:rsid w:val="003320B3"/>
    <w:rsid w:val="00332E13"/>
    <w:rsid w:val="003341FC"/>
    <w:rsid w:val="003372BE"/>
    <w:rsid w:val="0034251F"/>
    <w:rsid w:val="003436BF"/>
    <w:rsid w:val="003437A8"/>
    <w:rsid w:val="003441FF"/>
    <w:rsid w:val="00344FA1"/>
    <w:rsid w:val="003531F2"/>
    <w:rsid w:val="0035514D"/>
    <w:rsid w:val="003564E9"/>
    <w:rsid w:val="00363111"/>
    <w:rsid w:val="0036417A"/>
    <w:rsid w:val="00365815"/>
    <w:rsid w:val="00366062"/>
    <w:rsid w:val="00370ADD"/>
    <w:rsid w:val="003711BA"/>
    <w:rsid w:val="00372BC6"/>
    <w:rsid w:val="00375F41"/>
    <w:rsid w:val="00376B4D"/>
    <w:rsid w:val="003815F3"/>
    <w:rsid w:val="003817E6"/>
    <w:rsid w:val="003822F5"/>
    <w:rsid w:val="00384AE2"/>
    <w:rsid w:val="003900BE"/>
    <w:rsid w:val="00391879"/>
    <w:rsid w:val="00391DF4"/>
    <w:rsid w:val="00392C87"/>
    <w:rsid w:val="00394F36"/>
    <w:rsid w:val="003A017D"/>
    <w:rsid w:val="003A3761"/>
    <w:rsid w:val="003A457D"/>
    <w:rsid w:val="003A4747"/>
    <w:rsid w:val="003A4850"/>
    <w:rsid w:val="003A52A2"/>
    <w:rsid w:val="003A703E"/>
    <w:rsid w:val="003A723F"/>
    <w:rsid w:val="003A7E7A"/>
    <w:rsid w:val="003B0CB7"/>
    <w:rsid w:val="003B6ACC"/>
    <w:rsid w:val="003B6D47"/>
    <w:rsid w:val="003C070A"/>
    <w:rsid w:val="003C218D"/>
    <w:rsid w:val="003C3E48"/>
    <w:rsid w:val="003C3FC1"/>
    <w:rsid w:val="003D0098"/>
    <w:rsid w:val="003D58B2"/>
    <w:rsid w:val="003D5D97"/>
    <w:rsid w:val="003E0C7F"/>
    <w:rsid w:val="003E3DEA"/>
    <w:rsid w:val="003E657D"/>
    <w:rsid w:val="003F57F0"/>
    <w:rsid w:val="0040342D"/>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0163"/>
    <w:rsid w:val="00464432"/>
    <w:rsid w:val="00464787"/>
    <w:rsid w:val="00466FA7"/>
    <w:rsid w:val="00471029"/>
    <w:rsid w:val="00475879"/>
    <w:rsid w:val="00476E85"/>
    <w:rsid w:val="004815E5"/>
    <w:rsid w:val="004825CA"/>
    <w:rsid w:val="004A2467"/>
    <w:rsid w:val="004A3D70"/>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D0"/>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A2DD6"/>
    <w:rsid w:val="005B0517"/>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313"/>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40BB5"/>
    <w:rsid w:val="00651A1C"/>
    <w:rsid w:val="006541E5"/>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97329"/>
    <w:rsid w:val="006A28A1"/>
    <w:rsid w:val="006A4FD3"/>
    <w:rsid w:val="006B0A4D"/>
    <w:rsid w:val="006B1CF9"/>
    <w:rsid w:val="006B2902"/>
    <w:rsid w:val="006B58FF"/>
    <w:rsid w:val="006B627F"/>
    <w:rsid w:val="006B6B87"/>
    <w:rsid w:val="006B7267"/>
    <w:rsid w:val="006C00C2"/>
    <w:rsid w:val="006C5495"/>
    <w:rsid w:val="006C5A2F"/>
    <w:rsid w:val="006C64F5"/>
    <w:rsid w:val="006C75C3"/>
    <w:rsid w:val="006D484F"/>
    <w:rsid w:val="006D5858"/>
    <w:rsid w:val="006E31CF"/>
    <w:rsid w:val="006E4BB8"/>
    <w:rsid w:val="006E609B"/>
    <w:rsid w:val="006E6DED"/>
    <w:rsid w:val="006E7CEE"/>
    <w:rsid w:val="006F33C3"/>
    <w:rsid w:val="006F3BEE"/>
    <w:rsid w:val="006F520C"/>
    <w:rsid w:val="006F59E0"/>
    <w:rsid w:val="007002C7"/>
    <w:rsid w:val="0070487E"/>
    <w:rsid w:val="0070702A"/>
    <w:rsid w:val="007118CF"/>
    <w:rsid w:val="007121E9"/>
    <w:rsid w:val="007167C9"/>
    <w:rsid w:val="0072012D"/>
    <w:rsid w:val="00721D14"/>
    <w:rsid w:val="007221B7"/>
    <w:rsid w:val="007313B6"/>
    <w:rsid w:val="00733C44"/>
    <w:rsid w:val="00734B1E"/>
    <w:rsid w:val="007362B9"/>
    <w:rsid w:val="00736E23"/>
    <w:rsid w:val="00740BBC"/>
    <w:rsid w:val="00741E70"/>
    <w:rsid w:val="00742085"/>
    <w:rsid w:val="007544F0"/>
    <w:rsid w:val="00755E41"/>
    <w:rsid w:val="00757723"/>
    <w:rsid w:val="00757D21"/>
    <w:rsid w:val="0076010B"/>
    <w:rsid w:val="00761CCE"/>
    <w:rsid w:val="007654E6"/>
    <w:rsid w:val="00765616"/>
    <w:rsid w:val="00766D5A"/>
    <w:rsid w:val="00772BBA"/>
    <w:rsid w:val="00773DA2"/>
    <w:rsid w:val="00776E83"/>
    <w:rsid w:val="007779B8"/>
    <w:rsid w:val="00780C7F"/>
    <w:rsid w:val="00784172"/>
    <w:rsid w:val="00785103"/>
    <w:rsid w:val="00785A07"/>
    <w:rsid w:val="00787807"/>
    <w:rsid w:val="007920FA"/>
    <w:rsid w:val="00794997"/>
    <w:rsid w:val="00795FB8"/>
    <w:rsid w:val="007977E5"/>
    <w:rsid w:val="00797BD3"/>
    <w:rsid w:val="007A1505"/>
    <w:rsid w:val="007A1663"/>
    <w:rsid w:val="007A38DA"/>
    <w:rsid w:val="007A3B66"/>
    <w:rsid w:val="007A4CDA"/>
    <w:rsid w:val="007A63F7"/>
    <w:rsid w:val="007B1425"/>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783D"/>
    <w:rsid w:val="0082674C"/>
    <w:rsid w:val="008441FE"/>
    <w:rsid w:val="00845EC7"/>
    <w:rsid w:val="0084765D"/>
    <w:rsid w:val="0086257F"/>
    <w:rsid w:val="00865DD0"/>
    <w:rsid w:val="00866F8D"/>
    <w:rsid w:val="00867A43"/>
    <w:rsid w:val="00871CDC"/>
    <w:rsid w:val="008751AB"/>
    <w:rsid w:val="008755C5"/>
    <w:rsid w:val="00876219"/>
    <w:rsid w:val="00883F7D"/>
    <w:rsid w:val="00884042"/>
    <w:rsid w:val="00885437"/>
    <w:rsid w:val="00887561"/>
    <w:rsid w:val="00887CC4"/>
    <w:rsid w:val="008914FB"/>
    <w:rsid w:val="00891C05"/>
    <w:rsid w:val="00892D58"/>
    <w:rsid w:val="00893B59"/>
    <w:rsid w:val="008A2D45"/>
    <w:rsid w:val="008A35F2"/>
    <w:rsid w:val="008A7BFE"/>
    <w:rsid w:val="008B0638"/>
    <w:rsid w:val="008B301A"/>
    <w:rsid w:val="008B3265"/>
    <w:rsid w:val="008B7C05"/>
    <w:rsid w:val="008C04D4"/>
    <w:rsid w:val="008C148F"/>
    <w:rsid w:val="008C6517"/>
    <w:rsid w:val="008C74BF"/>
    <w:rsid w:val="008D1F7B"/>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33D7"/>
    <w:rsid w:val="00A06583"/>
    <w:rsid w:val="00A077AE"/>
    <w:rsid w:val="00A11AEC"/>
    <w:rsid w:val="00A1546F"/>
    <w:rsid w:val="00A1567A"/>
    <w:rsid w:val="00A205A2"/>
    <w:rsid w:val="00A2101B"/>
    <w:rsid w:val="00A2263A"/>
    <w:rsid w:val="00A228E4"/>
    <w:rsid w:val="00A23A7F"/>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0959"/>
    <w:rsid w:val="00A91617"/>
    <w:rsid w:val="00A926B4"/>
    <w:rsid w:val="00A933DA"/>
    <w:rsid w:val="00A93F46"/>
    <w:rsid w:val="00A940C1"/>
    <w:rsid w:val="00AA0653"/>
    <w:rsid w:val="00AA0B4C"/>
    <w:rsid w:val="00AA32B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17EA"/>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3B0B"/>
    <w:rsid w:val="00B93DDE"/>
    <w:rsid w:val="00BA120C"/>
    <w:rsid w:val="00BA1865"/>
    <w:rsid w:val="00BA2334"/>
    <w:rsid w:val="00BB06DA"/>
    <w:rsid w:val="00BC07D7"/>
    <w:rsid w:val="00BC18D9"/>
    <w:rsid w:val="00BC357A"/>
    <w:rsid w:val="00BC3D6D"/>
    <w:rsid w:val="00BC4384"/>
    <w:rsid w:val="00BC46BC"/>
    <w:rsid w:val="00BC7F87"/>
    <w:rsid w:val="00BD16C9"/>
    <w:rsid w:val="00BD40A0"/>
    <w:rsid w:val="00BD660A"/>
    <w:rsid w:val="00BD7FA4"/>
    <w:rsid w:val="00BE0106"/>
    <w:rsid w:val="00BE4001"/>
    <w:rsid w:val="00BE49F7"/>
    <w:rsid w:val="00BF0EC3"/>
    <w:rsid w:val="00BF1E26"/>
    <w:rsid w:val="00BF237F"/>
    <w:rsid w:val="00BF5593"/>
    <w:rsid w:val="00BF5691"/>
    <w:rsid w:val="00C00A3A"/>
    <w:rsid w:val="00C0243B"/>
    <w:rsid w:val="00C042F2"/>
    <w:rsid w:val="00C1049A"/>
    <w:rsid w:val="00C107CE"/>
    <w:rsid w:val="00C1183A"/>
    <w:rsid w:val="00C13DE3"/>
    <w:rsid w:val="00C14DC6"/>
    <w:rsid w:val="00C20DCE"/>
    <w:rsid w:val="00C279B8"/>
    <w:rsid w:val="00C301D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308B"/>
    <w:rsid w:val="00C757EB"/>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01E13"/>
    <w:rsid w:val="00D30ED0"/>
    <w:rsid w:val="00D40CC3"/>
    <w:rsid w:val="00D4509F"/>
    <w:rsid w:val="00D47BED"/>
    <w:rsid w:val="00D501D9"/>
    <w:rsid w:val="00D52ABC"/>
    <w:rsid w:val="00D535E6"/>
    <w:rsid w:val="00D6167E"/>
    <w:rsid w:val="00D67580"/>
    <w:rsid w:val="00D70054"/>
    <w:rsid w:val="00D701BE"/>
    <w:rsid w:val="00D73447"/>
    <w:rsid w:val="00D75418"/>
    <w:rsid w:val="00D76FA8"/>
    <w:rsid w:val="00D90744"/>
    <w:rsid w:val="00D9105E"/>
    <w:rsid w:val="00D92E9F"/>
    <w:rsid w:val="00D934F2"/>
    <w:rsid w:val="00DA37E3"/>
    <w:rsid w:val="00DA39DA"/>
    <w:rsid w:val="00DA3E5E"/>
    <w:rsid w:val="00DA4EEE"/>
    <w:rsid w:val="00DA7651"/>
    <w:rsid w:val="00DB1C34"/>
    <w:rsid w:val="00DB2FA1"/>
    <w:rsid w:val="00DB3C97"/>
    <w:rsid w:val="00DB5C0F"/>
    <w:rsid w:val="00DB7BA5"/>
    <w:rsid w:val="00DC4D27"/>
    <w:rsid w:val="00DC5127"/>
    <w:rsid w:val="00DC6BEC"/>
    <w:rsid w:val="00DC7B87"/>
    <w:rsid w:val="00DD44CA"/>
    <w:rsid w:val="00DD47E2"/>
    <w:rsid w:val="00DD6338"/>
    <w:rsid w:val="00DE0CAB"/>
    <w:rsid w:val="00DE18A3"/>
    <w:rsid w:val="00DE1B57"/>
    <w:rsid w:val="00DE4672"/>
    <w:rsid w:val="00DF1872"/>
    <w:rsid w:val="00DF4569"/>
    <w:rsid w:val="00DF61FC"/>
    <w:rsid w:val="00E0597D"/>
    <w:rsid w:val="00E0685C"/>
    <w:rsid w:val="00E076C0"/>
    <w:rsid w:val="00E102EF"/>
    <w:rsid w:val="00E10E59"/>
    <w:rsid w:val="00E11599"/>
    <w:rsid w:val="00E21F98"/>
    <w:rsid w:val="00E24CC5"/>
    <w:rsid w:val="00E275C2"/>
    <w:rsid w:val="00E37B6C"/>
    <w:rsid w:val="00E41371"/>
    <w:rsid w:val="00E413C6"/>
    <w:rsid w:val="00E41BB7"/>
    <w:rsid w:val="00E43DDB"/>
    <w:rsid w:val="00E44261"/>
    <w:rsid w:val="00E443F5"/>
    <w:rsid w:val="00E45544"/>
    <w:rsid w:val="00E55D00"/>
    <w:rsid w:val="00E56D8F"/>
    <w:rsid w:val="00E57D32"/>
    <w:rsid w:val="00E627AE"/>
    <w:rsid w:val="00E73C90"/>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E6463"/>
    <w:rsid w:val="00EF2392"/>
    <w:rsid w:val="00F02B5B"/>
    <w:rsid w:val="00F0539E"/>
    <w:rsid w:val="00F06729"/>
    <w:rsid w:val="00F06766"/>
    <w:rsid w:val="00F06A90"/>
    <w:rsid w:val="00F10244"/>
    <w:rsid w:val="00F118A0"/>
    <w:rsid w:val="00F11CC0"/>
    <w:rsid w:val="00F17CE2"/>
    <w:rsid w:val="00F20CFE"/>
    <w:rsid w:val="00F20E79"/>
    <w:rsid w:val="00F2255D"/>
    <w:rsid w:val="00F22D1A"/>
    <w:rsid w:val="00F24C41"/>
    <w:rsid w:val="00F303BA"/>
    <w:rsid w:val="00F35014"/>
    <w:rsid w:val="00F351EC"/>
    <w:rsid w:val="00F35776"/>
    <w:rsid w:val="00F3689D"/>
    <w:rsid w:val="00F37CFF"/>
    <w:rsid w:val="00F41B74"/>
    <w:rsid w:val="00F43132"/>
    <w:rsid w:val="00F43733"/>
    <w:rsid w:val="00F45857"/>
    <w:rsid w:val="00F4587B"/>
    <w:rsid w:val="00F523D2"/>
    <w:rsid w:val="00F5468A"/>
    <w:rsid w:val="00F5623E"/>
    <w:rsid w:val="00F5711C"/>
    <w:rsid w:val="00F65D61"/>
    <w:rsid w:val="00F66474"/>
    <w:rsid w:val="00F712DE"/>
    <w:rsid w:val="00F722BB"/>
    <w:rsid w:val="00F72938"/>
    <w:rsid w:val="00F83F05"/>
    <w:rsid w:val="00F86485"/>
    <w:rsid w:val="00F87D3E"/>
    <w:rsid w:val="00F9192C"/>
    <w:rsid w:val="00F925C5"/>
    <w:rsid w:val="00F96F70"/>
    <w:rsid w:val="00FA346F"/>
    <w:rsid w:val="00FA5E86"/>
    <w:rsid w:val="00FA5F66"/>
    <w:rsid w:val="00FA7F3C"/>
    <w:rsid w:val="00FB351A"/>
    <w:rsid w:val="00FB369B"/>
    <w:rsid w:val="00FB402C"/>
    <w:rsid w:val="00FC0576"/>
    <w:rsid w:val="00FC3A08"/>
    <w:rsid w:val="00FC7AB5"/>
    <w:rsid w:val="00FC7B24"/>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ABBC90"/>
  <w15:docId w15:val="{266778B7-75E1-4A48-A9BB-B57453B5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aliases w:val="L1,Outline1,New Section,Section,Chapter Hdg,Oscar Faber 1,Section Heading,Char15"/>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F02B5B"/>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aliases w:val="L1 Char,Outline1 Char,New Section Char,Section Char,Chapter Hdg Char,Oscar Faber 1 Char,Section Heading Char,Char15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customStyle="1" w:styleId="Bullets">
    <w:name w:val="Bullets"/>
    <w:basedOn w:val="ListBullet"/>
    <w:qFormat/>
    <w:rsid w:val="00AA32BC"/>
    <w:pPr>
      <w:numPr>
        <w:numId w:val="0"/>
      </w:numPr>
      <w:tabs>
        <w:tab w:val="left" w:pos="567"/>
      </w:tabs>
      <w:spacing w:before="120" w:after="240"/>
      <w:ind w:left="567" w:hanging="567"/>
      <w:contextualSpacing w:val="0"/>
      <w:jc w:val="both"/>
    </w:pPr>
    <w:rPr>
      <w:rFonts w:ascii="Calibri" w:hAnsi="Calibri" w:cs="Arial"/>
      <w:szCs w:val="22"/>
    </w:rPr>
  </w:style>
  <w:style w:type="paragraph" w:customStyle="1" w:styleId="NumberedParagraph0">
    <w:name w:val="Numbered Paragraph"/>
    <w:basedOn w:val="BodyText"/>
    <w:qFormat/>
    <w:rsid w:val="00AA32BC"/>
    <w:pPr>
      <w:tabs>
        <w:tab w:val="num" w:pos="360"/>
      </w:tabs>
      <w:spacing w:before="120" w:after="240"/>
      <w:jc w:val="both"/>
    </w:pPr>
    <w:rPr>
      <w:rFonts w:asciiTheme="minorHAnsi" w:hAnsiTheme="minorHAnsi"/>
      <w:szCs w:val="22"/>
      <w:lang w:eastAsia="en-US"/>
    </w:rPr>
  </w:style>
  <w:style w:type="character" w:styleId="FootnoteReference">
    <w:name w:val="footnote reference"/>
    <w:aliases w:val="Appel note de bas de p"/>
    <w:basedOn w:val="DefaultParagraphFont"/>
    <w:uiPriority w:val="99"/>
    <w:unhideWhenUsed/>
    <w:rsid w:val="00AA32BC"/>
    <w:rPr>
      <w:vertAlign w:val="superscript"/>
    </w:rPr>
  </w:style>
  <w:style w:type="paragraph" w:styleId="ListBullet">
    <w:name w:val="List Bullet"/>
    <w:basedOn w:val="Normal"/>
    <w:semiHidden/>
    <w:unhideWhenUsed/>
    <w:rsid w:val="00AA32BC"/>
    <w:pPr>
      <w:numPr>
        <w:numId w:val="30"/>
      </w:numPr>
      <w:contextualSpacing/>
    </w:pPr>
  </w:style>
  <w:style w:type="character" w:customStyle="1" w:styleId="Heading4Char">
    <w:name w:val="Heading 4 Char"/>
    <w:basedOn w:val="DefaultParagraphFont"/>
    <w:link w:val="Heading4"/>
    <w:rsid w:val="00F02B5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644700300">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AD838055-E6D5-4B67-A40F-F8A11350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BBA02AA2-7C48-4538-BCE2-D94CA717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28412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2016-03-15T09:36:00Z</cp:lastPrinted>
  <dcterms:created xsi:type="dcterms:W3CDTF">2016-07-04T11:57:00Z</dcterms:created>
  <dcterms:modified xsi:type="dcterms:W3CDTF">2016-07-04T11:58:00Z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