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61A70" w14:textId="77777777" w:rsidR="002D6378" w:rsidRPr="002D2A1B" w:rsidRDefault="00DA316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 w:rsidRPr="002D2A1B">
        <w:rPr>
          <w:rFonts w:ascii="Arial" w:eastAsia="Arial" w:hAnsi="Arial" w:cs="Arial"/>
          <w:b/>
          <w:sz w:val="36"/>
          <w:szCs w:val="36"/>
        </w:rPr>
        <w:t>Framework Schedule 6 (</w:t>
      </w:r>
      <w:r w:rsidR="004B2E71" w:rsidRPr="002D2A1B">
        <w:rPr>
          <w:rFonts w:ascii="Arial" w:eastAsia="Arial" w:hAnsi="Arial" w:cs="Arial"/>
          <w:b/>
          <w:sz w:val="36"/>
          <w:szCs w:val="36"/>
        </w:rPr>
        <w:t>Direct Award short order form t</w:t>
      </w:r>
      <w:r w:rsidRPr="002D2A1B">
        <w:rPr>
          <w:rFonts w:ascii="Arial" w:eastAsia="Arial" w:hAnsi="Arial" w:cs="Arial"/>
          <w:b/>
          <w:sz w:val="36"/>
          <w:szCs w:val="36"/>
        </w:rPr>
        <w:t>emplate and Call-Off Schedules)</w:t>
      </w:r>
      <w:r w:rsidR="004B2E71" w:rsidRPr="002D2A1B">
        <w:rPr>
          <w:rFonts w:ascii="Arial" w:eastAsia="Arial" w:hAnsi="Arial" w:cs="Arial"/>
          <w:b/>
          <w:sz w:val="36"/>
          <w:szCs w:val="36"/>
        </w:rPr>
        <w:t xml:space="preserve"> </w:t>
      </w:r>
    </w:p>
    <w:p w14:paraId="2CF122B1" w14:textId="77777777" w:rsidR="002D6378" w:rsidRPr="002D2A1B" w:rsidRDefault="002D6378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9CC9846" w14:textId="77777777" w:rsidR="002D6378" w:rsidRPr="002D2A1B" w:rsidRDefault="00DA316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 w:rsidRPr="002D2A1B"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78FA8334" w14:textId="77777777" w:rsidR="002D6378" w:rsidRPr="002D2A1B" w:rsidRDefault="002D637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D88508F" w14:textId="1AC0EE4F" w:rsidR="002D6378" w:rsidRPr="00DF658B" w:rsidRDefault="00DA3167">
      <w:pPr>
        <w:spacing w:after="0" w:line="259" w:lineRule="auto"/>
        <w:rPr>
          <w:rFonts w:ascii="Arial" w:eastAsia="Arial" w:hAnsi="Arial" w:cs="Arial"/>
          <w:sz w:val="20"/>
          <w:szCs w:val="20"/>
        </w:rPr>
      </w:pPr>
      <w:r w:rsidRPr="002D2A1B">
        <w:rPr>
          <w:rFonts w:ascii="Arial" w:eastAsia="Arial" w:hAnsi="Arial" w:cs="Arial"/>
          <w:sz w:val="24"/>
          <w:szCs w:val="24"/>
        </w:rPr>
        <w:t>CALL-OFF REFERENCE:</w:t>
      </w:r>
      <w:r w:rsidRPr="002D2A1B">
        <w:rPr>
          <w:rFonts w:ascii="Arial" w:eastAsia="Arial" w:hAnsi="Arial" w:cs="Arial"/>
          <w:sz w:val="24"/>
          <w:szCs w:val="24"/>
        </w:rPr>
        <w:tab/>
      </w:r>
      <w:r w:rsidRPr="002D2A1B">
        <w:rPr>
          <w:rFonts w:ascii="Arial" w:eastAsia="Arial" w:hAnsi="Arial" w:cs="Arial"/>
          <w:sz w:val="24"/>
          <w:szCs w:val="24"/>
        </w:rPr>
        <w:tab/>
      </w:r>
      <w:r w:rsidR="0054386D" w:rsidRPr="0054386D">
        <w:rPr>
          <w:rFonts w:ascii="Arial" w:eastAsia="Arial" w:hAnsi="Arial" w:cs="Arial"/>
          <w:b/>
          <w:bCs/>
          <w:sz w:val="24"/>
          <w:szCs w:val="24"/>
        </w:rPr>
        <w:t>61686142</w:t>
      </w:r>
    </w:p>
    <w:p w14:paraId="318762BB" w14:textId="77777777" w:rsidR="002D6378" w:rsidRPr="002D2A1B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1E35F2D" w14:textId="08D06AA8" w:rsidR="002D6378" w:rsidRPr="00DF658B" w:rsidRDefault="00DA316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DF658B">
        <w:rPr>
          <w:rFonts w:ascii="Arial" w:eastAsia="Arial" w:hAnsi="Arial" w:cs="Arial"/>
          <w:sz w:val="24"/>
          <w:szCs w:val="24"/>
        </w:rPr>
        <w:t>THE BUYER:</w:t>
      </w:r>
      <w:r w:rsidRPr="00DF658B">
        <w:rPr>
          <w:rFonts w:ascii="Arial" w:eastAsia="Arial" w:hAnsi="Arial" w:cs="Arial"/>
          <w:sz w:val="24"/>
          <w:szCs w:val="24"/>
        </w:rPr>
        <w:tab/>
      </w:r>
      <w:r w:rsidRPr="00DF658B">
        <w:rPr>
          <w:rFonts w:ascii="Arial" w:eastAsia="Arial" w:hAnsi="Arial" w:cs="Arial"/>
          <w:sz w:val="24"/>
          <w:szCs w:val="24"/>
        </w:rPr>
        <w:tab/>
      </w:r>
      <w:r w:rsidRPr="00DF658B">
        <w:rPr>
          <w:rFonts w:ascii="Arial" w:eastAsia="Arial" w:hAnsi="Arial" w:cs="Arial"/>
          <w:sz w:val="24"/>
          <w:szCs w:val="24"/>
        </w:rPr>
        <w:tab/>
      </w:r>
    </w:p>
    <w:p w14:paraId="7AC70082" w14:textId="77777777" w:rsidR="002D6378" w:rsidRPr="00DF658B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F658B">
        <w:rPr>
          <w:rFonts w:ascii="Arial" w:eastAsia="Arial" w:hAnsi="Arial" w:cs="Arial"/>
          <w:sz w:val="24"/>
          <w:szCs w:val="24"/>
        </w:rPr>
        <w:t xml:space="preserve"> </w:t>
      </w:r>
    </w:p>
    <w:p w14:paraId="1A2014A3" w14:textId="455C8112" w:rsidR="002D6378" w:rsidRPr="00DF658B" w:rsidRDefault="00DA3167" w:rsidP="002D2A1B">
      <w:pPr>
        <w:shd w:val="clear" w:color="auto" w:fill="FFFFFF"/>
        <w:textAlignment w:val="baseline"/>
        <w:rPr>
          <w:rFonts w:ascii="Assistant" w:hAnsi="Assistant" w:cs="Assistant"/>
          <w:sz w:val="24"/>
          <w:szCs w:val="24"/>
          <w:bdr w:val="none" w:sz="0" w:space="0" w:color="auto" w:frame="1"/>
          <w:shd w:val="clear" w:color="auto" w:fill="FFFFFF"/>
        </w:rPr>
      </w:pPr>
      <w:r w:rsidRPr="00DF658B">
        <w:rPr>
          <w:rFonts w:ascii="Arial" w:eastAsia="Arial" w:hAnsi="Arial" w:cs="Arial"/>
          <w:sz w:val="24"/>
          <w:szCs w:val="24"/>
        </w:rPr>
        <w:t>BUYER ADDRESS</w:t>
      </w:r>
      <w:r w:rsidRPr="00DF658B">
        <w:rPr>
          <w:rFonts w:ascii="Arial" w:eastAsia="Arial" w:hAnsi="Arial" w:cs="Arial"/>
          <w:sz w:val="24"/>
          <w:szCs w:val="24"/>
        </w:rPr>
        <w:tab/>
      </w:r>
      <w:r w:rsidRPr="00DF658B">
        <w:rPr>
          <w:rFonts w:ascii="Arial" w:eastAsia="Arial" w:hAnsi="Arial" w:cs="Arial"/>
          <w:sz w:val="24"/>
          <w:szCs w:val="24"/>
        </w:rPr>
        <w:tab/>
      </w:r>
      <w:r w:rsidRPr="00DF658B">
        <w:rPr>
          <w:rFonts w:ascii="Arial" w:eastAsia="Arial" w:hAnsi="Arial" w:cs="Arial"/>
          <w:sz w:val="24"/>
          <w:szCs w:val="24"/>
        </w:rPr>
        <w:tab/>
      </w:r>
    </w:p>
    <w:p w14:paraId="5BC47B18" w14:textId="72AAE124" w:rsidR="002D6378" w:rsidRPr="00DF658B" w:rsidRDefault="00DA3167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DF658B">
        <w:rPr>
          <w:rFonts w:ascii="Arial" w:eastAsia="Arial" w:hAnsi="Arial" w:cs="Arial"/>
          <w:sz w:val="24"/>
          <w:szCs w:val="24"/>
        </w:rPr>
        <w:t xml:space="preserve">THE SUPPLIER: </w:t>
      </w:r>
      <w:r w:rsidRPr="00DF658B">
        <w:rPr>
          <w:rFonts w:ascii="Arial" w:eastAsia="Arial" w:hAnsi="Arial" w:cs="Arial"/>
          <w:sz w:val="24"/>
          <w:szCs w:val="24"/>
        </w:rPr>
        <w:tab/>
      </w:r>
      <w:r w:rsidRPr="00DF658B">
        <w:rPr>
          <w:rFonts w:ascii="Arial" w:eastAsia="Arial" w:hAnsi="Arial" w:cs="Arial"/>
          <w:sz w:val="24"/>
          <w:szCs w:val="24"/>
        </w:rPr>
        <w:tab/>
      </w:r>
      <w:r w:rsidRPr="00DF658B">
        <w:rPr>
          <w:rFonts w:ascii="Arial" w:eastAsia="Arial" w:hAnsi="Arial" w:cs="Arial"/>
          <w:sz w:val="24"/>
          <w:szCs w:val="24"/>
        </w:rPr>
        <w:tab/>
      </w:r>
      <w:r w:rsidR="00D72F57" w:rsidRPr="00DF658B">
        <w:rPr>
          <w:rFonts w:ascii="Arial" w:hAnsi="Arial" w:cs="Arial"/>
          <w:color w:val="000000"/>
          <w:sz w:val="24"/>
          <w:szCs w:val="24"/>
        </w:rPr>
        <w:t>RUSSELL REYNOLDS ASSOCIATES LTD</w:t>
      </w:r>
    </w:p>
    <w:p w14:paraId="3ABA2002" w14:textId="1C25DB8A" w:rsidR="002D2A1B" w:rsidRPr="00DF658B" w:rsidRDefault="00DA3167" w:rsidP="00DF658B">
      <w:pPr>
        <w:spacing w:after="240"/>
        <w:ind w:left="2880" w:hanging="2880"/>
        <w:jc w:val="both"/>
        <w:rPr>
          <w:rFonts w:ascii="Arial" w:eastAsia="Arial" w:hAnsi="Arial" w:cs="Arial"/>
          <w:sz w:val="20"/>
          <w:szCs w:val="20"/>
        </w:rPr>
      </w:pPr>
      <w:r w:rsidRPr="00DF658B">
        <w:rPr>
          <w:rFonts w:ascii="Arial" w:eastAsia="Arial" w:hAnsi="Arial" w:cs="Arial"/>
          <w:sz w:val="24"/>
          <w:szCs w:val="24"/>
        </w:rPr>
        <w:t>SUPPLIER ADDRESS:</w:t>
      </w:r>
      <w:r w:rsidRPr="00DF658B">
        <w:rPr>
          <w:rFonts w:ascii="Arial" w:eastAsia="Arial" w:hAnsi="Arial" w:cs="Arial"/>
          <w:b/>
          <w:sz w:val="24"/>
          <w:szCs w:val="24"/>
        </w:rPr>
        <w:t xml:space="preserve"> </w:t>
      </w:r>
      <w:r w:rsidRPr="00DF658B">
        <w:rPr>
          <w:rFonts w:ascii="Arial" w:eastAsia="Arial" w:hAnsi="Arial" w:cs="Arial"/>
          <w:b/>
          <w:sz w:val="24"/>
          <w:szCs w:val="24"/>
        </w:rPr>
        <w:tab/>
      </w:r>
      <w:r w:rsidRPr="00DF658B">
        <w:rPr>
          <w:rFonts w:ascii="Arial" w:eastAsia="Arial" w:hAnsi="Arial" w:cs="Arial"/>
          <w:b/>
          <w:sz w:val="24"/>
          <w:szCs w:val="24"/>
        </w:rPr>
        <w:tab/>
      </w:r>
      <w:r w:rsidR="002D2A1B" w:rsidRPr="00DF658B">
        <w:rPr>
          <w:rFonts w:ascii="Arial" w:hAnsi="Arial" w:cs="Arial"/>
          <w:sz w:val="24"/>
          <w:szCs w:val="24"/>
        </w:rPr>
        <w:t>Almack House, 28 King Street, London, SW1Y</w:t>
      </w:r>
      <w:r w:rsidR="00DF658B" w:rsidRPr="00DF658B">
        <w:rPr>
          <w:rFonts w:ascii="Arial" w:hAnsi="Arial" w:cs="Arial"/>
          <w:sz w:val="24"/>
          <w:szCs w:val="24"/>
        </w:rPr>
        <w:t xml:space="preserve"> </w:t>
      </w:r>
      <w:r w:rsidR="002D2A1B" w:rsidRPr="00DF658B">
        <w:rPr>
          <w:rFonts w:ascii="Arial" w:hAnsi="Arial" w:cs="Arial"/>
          <w:sz w:val="24"/>
          <w:szCs w:val="24"/>
        </w:rPr>
        <w:t>6QW.</w:t>
      </w:r>
    </w:p>
    <w:p w14:paraId="42AAF628" w14:textId="514309D5" w:rsidR="002D6378" w:rsidRPr="00DF658B" w:rsidRDefault="00DA316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DF658B">
        <w:rPr>
          <w:rFonts w:ascii="Arial" w:eastAsia="Arial" w:hAnsi="Arial" w:cs="Arial"/>
          <w:sz w:val="24"/>
          <w:szCs w:val="24"/>
        </w:rPr>
        <w:t>REGISTRATION NUMBER:</w:t>
      </w:r>
      <w:r w:rsidRPr="00DF658B">
        <w:rPr>
          <w:rFonts w:ascii="Arial" w:eastAsia="Arial" w:hAnsi="Arial" w:cs="Arial"/>
          <w:b/>
          <w:sz w:val="24"/>
          <w:szCs w:val="24"/>
        </w:rPr>
        <w:t xml:space="preserve"> </w:t>
      </w:r>
      <w:r w:rsidRPr="00DF658B">
        <w:rPr>
          <w:rFonts w:ascii="Arial" w:eastAsia="Arial" w:hAnsi="Arial" w:cs="Arial"/>
          <w:b/>
          <w:sz w:val="24"/>
          <w:szCs w:val="24"/>
        </w:rPr>
        <w:tab/>
      </w:r>
      <w:r w:rsidR="003600D1" w:rsidRPr="00DF658B">
        <w:rPr>
          <w:rFonts w:ascii="Arial" w:hAnsi="Arial" w:cs="Arial"/>
          <w:sz w:val="24"/>
          <w:szCs w:val="24"/>
        </w:rPr>
        <w:t>3258089</w:t>
      </w:r>
    </w:p>
    <w:p w14:paraId="33B227AF" w14:textId="737127AB" w:rsidR="002D6378" w:rsidRPr="00DF658B" w:rsidRDefault="00DA3167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DF658B">
        <w:rPr>
          <w:rFonts w:ascii="Arial" w:eastAsia="Arial" w:hAnsi="Arial" w:cs="Arial"/>
          <w:sz w:val="24"/>
          <w:szCs w:val="24"/>
        </w:rPr>
        <w:t xml:space="preserve">DUNS NUMBER:       </w:t>
      </w:r>
      <w:r w:rsidRPr="00DF658B">
        <w:rPr>
          <w:rFonts w:ascii="Arial" w:eastAsia="Arial" w:hAnsi="Arial" w:cs="Arial"/>
          <w:sz w:val="24"/>
          <w:szCs w:val="24"/>
        </w:rPr>
        <w:tab/>
      </w:r>
      <w:r w:rsidRPr="00DF658B">
        <w:rPr>
          <w:rFonts w:ascii="Arial" w:eastAsia="Arial" w:hAnsi="Arial" w:cs="Arial"/>
          <w:sz w:val="24"/>
          <w:szCs w:val="24"/>
        </w:rPr>
        <w:tab/>
      </w:r>
      <w:r w:rsidR="003600D1" w:rsidRPr="00DF658B">
        <w:rPr>
          <w:rFonts w:ascii="Arial" w:hAnsi="Arial" w:cs="Arial"/>
          <w:sz w:val="24"/>
          <w:szCs w:val="24"/>
        </w:rPr>
        <w:t>543135206</w:t>
      </w:r>
    </w:p>
    <w:p w14:paraId="54A94588" w14:textId="68041F89" w:rsidR="002D6378" w:rsidRPr="00DF658B" w:rsidRDefault="00DA316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DF658B">
        <w:rPr>
          <w:rFonts w:ascii="Arial" w:eastAsia="Arial" w:hAnsi="Arial" w:cs="Arial"/>
          <w:sz w:val="24"/>
          <w:szCs w:val="24"/>
        </w:rPr>
        <w:t>SID4GOV ID:</w:t>
      </w:r>
      <w:r w:rsidRPr="00DF658B">
        <w:rPr>
          <w:rFonts w:ascii="Arial" w:eastAsia="Arial" w:hAnsi="Arial" w:cs="Arial"/>
          <w:b/>
          <w:sz w:val="24"/>
          <w:szCs w:val="24"/>
        </w:rPr>
        <w:t xml:space="preserve">                 </w:t>
      </w:r>
      <w:r w:rsidRPr="00DF658B">
        <w:rPr>
          <w:rFonts w:ascii="Arial" w:eastAsia="Arial" w:hAnsi="Arial" w:cs="Arial"/>
          <w:b/>
          <w:sz w:val="24"/>
          <w:szCs w:val="24"/>
        </w:rPr>
        <w:tab/>
      </w:r>
      <w:r w:rsidRPr="00DF658B">
        <w:rPr>
          <w:rFonts w:ascii="Arial" w:eastAsia="Arial" w:hAnsi="Arial" w:cs="Arial"/>
          <w:b/>
          <w:sz w:val="24"/>
          <w:szCs w:val="24"/>
        </w:rPr>
        <w:tab/>
      </w:r>
      <w:r w:rsidR="004F17E1" w:rsidRPr="00DF658B">
        <w:rPr>
          <w:rFonts w:ascii="Arial" w:eastAsia="Arial" w:hAnsi="Arial" w:cs="Arial"/>
          <w:b/>
          <w:sz w:val="24"/>
          <w:szCs w:val="24"/>
        </w:rPr>
        <w:t>Not Known</w:t>
      </w:r>
    </w:p>
    <w:p w14:paraId="7CDD4DE4" w14:textId="77777777" w:rsidR="002D6378" w:rsidRPr="002D2A1B" w:rsidRDefault="002D6378">
      <w:pPr>
        <w:rPr>
          <w:rFonts w:ascii="Arial" w:eastAsia="Arial" w:hAnsi="Arial" w:cs="Arial"/>
          <w:sz w:val="24"/>
          <w:szCs w:val="24"/>
        </w:rPr>
      </w:pPr>
    </w:p>
    <w:p w14:paraId="51021BB6" w14:textId="77777777" w:rsidR="002D6378" w:rsidRPr="002D2A1B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D2A1B">
        <w:rPr>
          <w:rFonts w:ascii="Arial" w:eastAsia="Arial" w:hAnsi="Arial" w:cs="Arial"/>
          <w:sz w:val="24"/>
          <w:szCs w:val="24"/>
        </w:rPr>
        <w:t xml:space="preserve">This Order Form, when completed and executed by both Parties, forms a Call-Off Contract. A Call-Off Contract can be completed and executed using an equivalent document or electronic purchase order system. </w:t>
      </w:r>
    </w:p>
    <w:p w14:paraId="58EE06EF" w14:textId="77777777" w:rsidR="002D6378" w:rsidRPr="002D2A1B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8CD54B" w14:textId="77777777" w:rsidR="002D6378" w:rsidRPr="002D2A1B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D2A1B">
        <w:rPr>
          <w:rFonts w:ascii="Arial" w:eastAsia="Arial" w:hAnsi="Arial" w:cs="Arial"/>
          <w:sz w:val="24"/>
          <w:szCs w:val="24"/>
        </w:rPr>
        <w:t>APPLICABLE FRAMEWORK CONTRACT</w:t>
      </w:r>
    </w:p>
    <w:p w14:paraId="3BDF6940" w14:textId="77777777" w:rsidR="002D6378" w:rsidRPr="002D2A1B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4D58F46" w14:textId="7BAF67A0" w:rsidR="002D6378" w:rsidRPr="002D2A1B" w:rsidRDefault="00DA3167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2D2A1B"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proofErr w:type="gramStart"/>
      <w:r w:rsidR="006734CC">
        <w:rPr>
          <w:rFonts w:ascii="Arial" w:eastAsia="Arial" w:hAnsi="Arial" w:cs="Arial"/>
          <w:sz w:val="24"/>
          <w:szCs w:val="24"/>
        </w:rPr>
        <w:t>27/10/2023</w:t>
      </w:r>
      <w:proofErr w:type="gramEnd"/>
      <w:r w:rsidRPr="002D2A1B">
        <w:rPr>
          <w:rFonts w:ascii="Arial" w:eastAsia="Arial" w:hAnsi="Arial" w:cs="Arial"/>
          <w:sz w:val="24"/>
          <w:szCs w:val="24"/>
        </w:rPr>
        <w:t xml:space="preserve"> </w:t>
      </w:r>
    </w:p>
    <w:p w14:paraId="0FE62DCD" w14:textId="77777777" w:rsidR="00405D81" w:rsidRPr="002D2A1B" w:rsidRDefault="00405D8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0C77BBE3" w14:textId="237197CB" w:rsidR="002D6378" w:rsidRPr="002D2A1B" w:rsidRDefault="00DA3167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2D2A1B">
        <w:rPr>
          <w:rFonts w:ascii="Arial" w:eastAsia="Arial" w:hAnsi="Arial" w:cs="Arial"/>
          <w:sz w:val="24"/>
          <w:szCs w:val="24"/>
        </w:rPr>
        <w:t xml:space="preserve">It’s issued under the Framework Contract </w:t>
      </w:r>
      <w:r w:rsidR="00B74560" w:rsidRPr="002D2A1B">
        <w:rPr>
          <w:rFonts w:ascii="Arial" w:eastAsia="Arial" w:hAnsi="Arial" w:cs="Arial"/>
          <w:sz w:val="24"/>
          <w:szCs w:val="24"/>
        </w:rPr>
        <w:t>with the reference number RM6290</w:t>
      </w:r>
      <w:r w:rsidRPr="002D2A1B">
        <w:rPr>
          <w:rFonts w:ascii="Arial" w:eastAsia="Arial" w:hAnsi="Arial" w:cs="Arial"/>
          <w:sz w:val="24"/>
          <w:szCs w:val="24"/>
        </w:rPr>
        <w:t xml:space="preserve"> for the provision of </w:t>
      </w:r>
      <w:r w:rsidR="00B74560" w:rsidRPr="002D2A1B">
        <w:rPr>
          <w:rFonts w:ascii="Arial" w:eastAsia="Arial" w:hAnsi="Arial" w:cs="Arial"/>
          <w:sz w:val="24"/>
          <w:szCs w:val="24"/>
        </w:rPr>
        <w:t xml:space="preserve">Executive &amp; </w:t>
      </w:r>
      <w:r w:rsidR="003F3A71" w:rsidRPr="002D2A1B">
        <w:rPr>
          <w:rFonts w:ascii="Arial" w:eastAsia="Arial" w:hAnsi="Arial" w:cs="Arial"/>
          <w:sz w:val="24"/>
          <w:szCs w:val="24"/>
        </w:rPr>
        <w:t>Non-Executive</w:t>
      </w:r>
      <w:r w:rsidR="00B74560" w:rsidRPr="002D2A1B">
        <w:rPr>
          <w:rFonts w:ascii="Arial" w:eastAsia="Arial" w:hAnsi="Arial" w:cs="Arial"/>
          <w:sz w:val="24"/>
          <w:szCs w:val="24"/>
        </w:rPr>
        <w:t xml:space="preserve"> Recruitment Services</w:t>
      </w:r>
      <w:r w:rsidRPr="002D2A1B">
        <w:rPr>
          <w:rFonts w:ascii="Arial" w:eastAsia="Arial" w:hAnsi="Arial" w:cs="Arial"/>
          <w:sz w:val="24"/>
          <w:szCs w:val="24"/>
        </w:rPr>
        <w:t xml:space="preserve">.   </w:t>
      </w:r>
    </w:p>
    <w:p w14:paraId="686F9F98" w14:textId="77777777" w:rsidR="002D6378" w:rsidRPr="002D2A1B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7CFAE149" w14:textId="77777777" w:rsidR="002D6378" w:rsidRPr="002D2A1B" w:rsidRDefault="00DA3167" w:rsidP="005A4BF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2D2A1B">
        <w:rPr>
          <w:rFonts w:ascii="Arial" w:hAnsi="Arial" w:cs="Arial"/>
        </w:rPr>
        <w:br w:type="page"/>
      </w:r>
    </w:p>
    <w:p w14:paraId="3FA196A5" w14:textId="77777777" w:rsidR="009F2F3F" w:rsidRPr="002D2A1B" w:rsidRDefault="009F2F3F" w:rsidP="009F2F3F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D2A1B"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351D0BCA" w14:textId="77777777" w:rsidR="009F2F3F" w:rsidRPr="002D2A1B" w:rsidRDefault="009F2F3F" w:rsidP="009F2F3F">
      <w:pPr>
        <w:rPr>
          <w:rFonts w:ascii="Arial" w:eastAsia="Arial" w:hAnsi="Arial" w:cs="Arial"/>
          <w:sz w:val="24"/>
          <w:szCs w:val="24"/>
        </w:rPr>
      </w:pPr>
      <w:r w:rsidRPr="002D2A1B"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 w:rsidRPr="002D2A1B">
        <w:rPr>
          <w:rFonts w:ascii="Arial" w:eastAsia="Arial" w:hAnsi="Arial" w:cs="Arial"/>
          <w:sz w:val="24"/>
          <w:szCs w:val="24"/>
        </w:rPr>
        <w:t>missing</w:t>
      </w:r>
      <w:proofErr w:type="gramEnd"/>
      <w:r w:rsidRPr="002D2A1B"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365A01AD" w14:textId="77777777" w:rsidR="009F2F3F" w:rsidRPr="002D2A1B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 xml:space="preserve">This Order Form </w:t>
      </w:r>
    </w:p>
    <w:p w14:paraId="35FF13A7" w14:textId="77777777" w:rsidR="009F2F3F" w:rsidRPr="002D2A1B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="00B74560" w:rsidRPr="002D2A1B">
        <w:rPr>
          <w:rFonts w:ascii="Arial" w:eastAsia="Arial" w:hAnsi="Arial" w:cs="Arial"/>
          <w:b/>
          <w:sz w:val="24"/>
          <w:szCs w:val="24"/>
        </w:rPr>
        <w:t>RM62</w:t>
      </w:r>
      <w:r w:rsidRPr="002D2A1B">
        <w:rPr>
          <w:rFonts w:ascii="Arial" w:eastAsia="Arial" w:hAnsi="Arial" w:cs="Arial"/>
          <w:b/>
          <w:sz w:val="24"/>
          <w:szCs w:val="24"/>
        </w:rPr>
        <w:t>9</w:t>
      </w:r>
      <w:r w:rsidR="00B74560" w:rsidRPr="002D2A1B">
        <w:rPr>
          <w:rFonts w:ascii="Arial" w:eastAsia="Arial" w:hAnsi="Arial" w:cs="Arial"/>
          <w:b/>
          <w:sz w:val="24"/>
          <w:szCs w:val="24"/>
        </w:rPr>
        <w:t>0</w:t>
      </w:r>
    </w:p>
    <w:p w14:paraId="15A1C44A" w14:textId="77777777" w:rsidR="009F2F3F" w:rsidRPr="002D2A1B" w:rsidRDefault="009F2F3F" w:rsidP="009F2F3F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79F3FD75" w14:textId="77777777" w:rsidR="009F2F3F" w:rsidRPr="002D2A1B" w:rsidRDefault="009F2F3F" w:rsidP="009F2F3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04F62A6" w14:textId="77777777" w:rsidR="009F2F3F" w:rsidRPr="002D2A1B" w:rsidRDefault="009F2F3F" w:rsidP="009F2F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B74560" w:rsidRPr="002D2A1B">
        <w:rPr>
          <w:rFonts w:ascii="Arial" w:eastAsia="Arial" w:hAnsi="Arial" w:cs="Arial"/>
          <w:b/>
          <w:sz w:val="24"/>
          <w:szCs w:val="24"/>
        </w:rPr>
        <w:t>RM62</w:t>
      </w:r>
      <w:r w:rsidRPr="002D2A1B">
        <w:rPr>
          <w:rFonts w:ascii="Arial" w:eastAsia="Arial" w:hAnsi="Arial" w:cs="Arial"/>
          <w:b/>
          <w:sz w:val="24"/>
          <w:szCs w:val="24"/>
        </w:rPr>
        <w:t>9</w:t>
      </w:r>
      <w:r w:rsidR="00B74560" w:rsidRPr="002D2A1B">
        <w:rPr>
          <w:rFonts w:ascii="Arial" w:eastAsia="Arial" w:hAnsi="Arial" w:cs="Arial"/>
          <w:b/>
          <w:sz w:val="24"/>
          <w:szCs w:val="24"/>
        </w:rPr>
        <w:t>0</w:t>
      </w:r>
    </w:p>
    <w:p w14:paraId="20883893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24EF10B5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0260B72A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535F7DB4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1664C1F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 xml:space="preserve">Joint Schedule 7 (Financial Difficulties) 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C82F0B2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 xml:space="preserve">Joint Schedule 8 (Guarantee) 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6588F50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>Joint Schedule 9 (Minimum Standards of Reliability)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E7EE82C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59DC058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FE8BA39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E3CF6C4" w14:textId="77777777" w:rsidR="009F2F3F" w:rsidRPr="002D2A1B" w:rsidRDefault="009F2F3F" w:rsidP="009F2F3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03D3CA26" w14:textId="77777777" w:rsidR="009F2F3F" w:rsidRPr="002D2A1B" w:rsidRDefault="009F2F3F" w:rsidP="009F2F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 w:rsidR="00B74560" w:rsidRPr="002D2A1B">
        <w:rPr>
          <w:rFonts w:ascii="Arial" w:eastAsia="Arial" w:hAnsi="Arial" w:cs="Arial"/>
          <w:b/>
          <w:color w:val="000000"/>
          <w:sz w:val="24"/>
          <w:szCs w:val="24"/>
        </w:rPr>
        <w:t>RM6290</w:t>
      </w:r>
      <w:r w:rsidRPr="002D2A1B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EFEBA8A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3D473CD0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70F4DAFD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7C821D88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6B3F3E7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 xml:space="preserve">Call-Off Schedule 6 (ICT Services) 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0A0A461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DCF17AD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>Call-Off Schedule 8 (Business Continuity and Disaster Recovery)</w:t>
      </w:r>
    </w:p>
    <w:p w14:paraId="5CCBF3AE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</w:p>
    <w:p w14:paraId="17503E05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C67F731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 xml:space="preserve">Call-Off Schedule 12 (Clustering) 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B83078A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 xml:space="preserve">Call-Off Schedule 13 (Implementation Plan and Testing) 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CC512F9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F75AC22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 xml:space="preserve">Call-Off Schedule 15 (Call-Off Contract Management) 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594762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 xml:space="preserve">Call-Off Schedule 16 (Benchmarking) 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C142276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 xml:space="preserve">Call-Off Schedule 17 (MOD Terms) 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B7AFAFC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 xml:space="preserve">Call-Off Schedule 18 (Background Checks) 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7FB6FFD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>Call-Off Schedule 19 (Scottish Law)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403F999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78B67BA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>Call-off Schedule 21 (Northern Ireland Law) 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A17423C" w14:textId="77777777" w:rsidR="009F2F3F" w:rsidRPr="002D2A1B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 xml:space="preserve">Call-Off Schedule 23 (HMRC </w:t>
      </w:r>
      <w:r w:rsidRPr="002D2A1B">
        <w:rPr>
          <w:rFonts w:ascii="Arial" w:eastAsia="Arial" w:hAnsi="Arial" w:cs="Arial"/>
          <w:sz w:val="24"/>
          <w:szCs w:val="24"/>
        </w:rPr>
        <w:t>Terms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 xml:space="preserve">)    </w:t>
      </w:r>
    </w:p>
    <w:p w14:paraId="0954AE59" w14:textId="77777777" w:rsidR="009F2F3F" w:rsidRPr="002D2A1B" w:rsidRDefault="009F2F3F" w:rsidP="009F2F3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364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 xml:space="preserve">         </w:t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</w:r>
      <w:r w:rsidRPr="002D2A1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0B148CD" w14:textId="77777777" w:rsidR="009F2F3F" w:rsidRPr="002D2A1B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7C42AA59" w14:textId="77777777" w:rsidR="009F2F3F" w:rsidRPr="002D2A1B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A1B"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="00B74560" w:rsidRPr="002D2A1B">
        <w:rPr>
          <w:rFonts w:ascii="Arial" w:eastAsia="Arial" w:hAnsi="Arial" w:cs="Arial"/>
          <w:b/>
          <w:sz w:val="24"/>
          <w:szCs w:val="24"/>
        </w:rPr>
        <w:t>RM6290</w:t>
      </w:r>
    </w:p>
    <w:p w14:paraId="248E1C48" w14:textId="77777777" w:rsidR="002D6378" w:rsidRPr="002D2A1B" w:rsidRDefault="002D6378" w:rsidP="004B2E7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7ADFCB0C" w14:textId="77777777" w:rsidR="002D6378" w:rsidRPr="002D2A1B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D2A1B">
        <w:rPr>
          <w:rFonts w:ascii="Arial" w:eastAsia="Arial" w:hAnsi="Arial" w:cs="Arial"/>
          <w:sz w:val="24"/>
          <w:szCs w:val="24"/>
        </w:rPr>
        <w:lastRenderedPageBreak/>
        <w:t xml:space="preserve">No other Supplier terms are part of the Call-Off Contract. That includes any terms written on the back of, added to this Order Form, or presented at the time of delivery. </w:t>
      </w:r>
    </w:p>
    <w:p w14:paraId="767D83D7" w14:textId="77777777" w:rsidR="002D6378" w:rsidRPr="002D2A1B" w:rsidRDefault="002D637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837D24E" w14:textId="2B74E36D" w:rsidR="002D6378" w:rsidRPr="002D2A1B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D2A1B">
        <w:rPr>
          <w:rFonts w:ascii="Arial" w:eastAsia="Arial" w:hAnsi="Arial" w:cs="Arial"/>
          <w:sz w:val="24"/>
          <w:szCs w:val="24"/>
        </w:rPr>
        <w:t>CALL-OFF START DATE:</w:t>
      </w:r>
      <w:r w:rsidRPr="002D2A1B">
        <w:rPr>
          <w:rFonts w:ascii="Arial" w:eastAsia="Arial" w:hAnsi="Arial" w:cs="Arial"/>
          <w:sz w:val="24"/>
          <w:szCs w:val="24"/>
        </w:rPr>
        <w:tab/>
      </w:r>
      <w:r w:rsidRPr="002D2A1B">
        <w:rPr>
          <w:rFonts w:ascii="Arial" w:eastAsia="Arial" w:hAnsi="Arial" w:cs="Arial"/>
          <w:sz w:val="24"/>
          <w:szCs w:val="24"/>
        </w:rPr>
        <w:tab/>
      </w:r>
      <w:r w:rsidRPr="002D2A1B">
        <w:rPr>
          <w:rFonts w:ascii="Arial" w:eastAsia="Arial" w:hAnsi="Arial" w:cs="Arial"/>
          <w:sz w:val="24"/>
          <w:szCs w:val="24"/>
        </w:rPr>
        <w:tab/>
      </w:r>
      <w:r w:rsidR="00A63972">
        <w:rPr>
          <w:rFonts w:ascii="Arial" w:eastAsia="Arial" w:hAnsi="Arial" w:cs="Arial"/>
          <w:b/>
          <w:sz w:val="24"/>
          <w:szCs w:val="24"/>
        </w:rPr>
        <w:t>16/10/2023.</w:t>
      </w:r>
    </w:p>
    <w:p w14:paraId="208BD646" w14:textId="77777777" w:rsidR="002D6378" w:rsidRPr="002D2A1B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FA81066" w14:textId="5F31F432" w:rsidR="002D6378" w:rsidRPr="002D2A1B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D2A1B">
        <w:rPr>
          <w:rFonts w:ascii="Arial" w:eastAsia="Arial" w:hAnsi="Arial" w:cs="Arial"/>
          <w:sz w:val="24"/>
          <w:szCs w:val="24"/>
        </w:rPr>
        <w:t xml:space="preserve">CALL-OFF EXPIRY DATE: </w:t>
      </w:r>
      <w:r w:rsidRPr="002D2A1B">
        <w:rPr>
          <w:rFonts w:ascii="Arial" w:eastAsia="Arial" w:hAnsi="Arial" w:cs="Arial"/>
          <w:sz w:val="24"/>
          <w:szCs w:val="24"/>
        </w:rPr>
        <w:tab/>
      </w:r>
      <w:r w:rsidRPr="002D2A1B">
        <w:rPr>
          <w:rFonts w:ascii="Arial" w:eastAsia="Arial" w:hAnsi="Arial" w:cs="Arial"/>
          <w:sz w:val="24"/>
          <w:szCs w:val="24"/>
        </w:rPr>
        <w:tab/>
      </w:r>
      <w:r w:rsidR="00A63972" w:rsidRPr="00A63972">
        <w:rPr>
          <w:rFonts w:ascii="Arial" w:eastAsia="Arial" w:hAnsi="Arial" w:cs="Arial"/>
          <w:b/>
          <w:bCs/>
          <w:sz w:val="24"/>
          <w:szCs w:val="24"/>
        </w:rPr>
        <w:t>28/02/2024</w:t>
      </w:r>
    </w:p>
    <w:p w14:paraId="5D89F225" w14:textId="77777777" w:rsidR="002D6378" w:rsidRPr="002D2A1B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01B4E29" w14:textId="77777777" w:rsidR="000813E4" w:rsidRPr="002D2A1B" w:rsidRDefault="008A6771" w:rsidP="000813E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D2A1B">
        <w:rPr>
          <w:rFonts w:ascii="Arial" w:eastAsia="Arial" w:hAnsi="Arial" w:cs="Arial"/>
          <w:sz w:val="24"/>
          <w:szCs w:val="24"/>
        </w:rPr>
        <w:t>GDPR POSITION</w:t>
      </w:r>
    </w:p>
    <w:p w14:paraId="029230C6" w14:textId="77777777" w:rsidR="000813E4" w:rsidRPr="002D2A1B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D2A1B">
        <w:rPr>
          <w:rFonts w:ascii="Arial" w:eastAsia="Arial" w:hAnsi="Arial" w:cs="Arial"/>
          <w:sz w:val="24"/>
          <w:szCs w:val="24"/>
        </w:rPr>
        <w:t>Independent Controller (default unless specified); or Controller to Processor; or Joint Controller</w:t>
      </w:r>
    </w:p>
    <w:p w14:paraId="3D65C00C" w14:textId="77777777" w:rsidR="00B02D7D" w:rsidRPr="002D2A1B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38554F9" w14:textId="77777777" w:rsidR="002D6378" w:rsidRPr="002D2A1B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D2A1B"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2D1978F3" w14:textId="77777777" w:rsidR="002D6378" w:rsidRPr="002D2A1B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D2A1B"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4541C75C" w14:textId="77777777" w:rsidR="00B02D7D" w:rsidRPr="002D2A1B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78A0066" w14:textId="77777777" w:rsidR="00B02D7D" w:rsidRPr="002D2A1B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D2A1B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6E7884" wp14:editId="7C1259B5">
                <wp:simplePos x="0" y="0"/>
                <wp:positionH relativeFrom="column">
                  <wp:posOffset>21590</wp:posOffset>
                </wp:positionH>
                <wp:positionV relativeFrom="paragraph">
                  <wp:posOffset>238760</wp:posOffset>
                </wp:positionV>
                <wp:extent cx="5752465" cy="2599055"/>
                <wp:effectExtent l="0" t="0" r="1968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259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5BE3" w14:textId="7C08EB32" w:rsidR="004B39B5" w:rsidRDefault="004B39B5" w:rsidP="004B39B5">
                            <w:r w:rsidRPr="00876FF7">
                              <w:rPr>
                                <w:rFonts w:ascii="Arial" w:hAnsi="Arial" w:cs="Arial"/>
                                <w:iCs/>
                                <w:color w:val="000000"/>
                              </w:rPr>
                              <w:t>The current Dstl Board is performing well in its support of Dstl in addressing the challenge of the significant increase in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000000"/>
                              </w:rPr>
                              <w:t xml:space="preserve"> </w:t>
                            </w:r>
                            <w:r w:rsidRPr="00876FF7">
                              <w:rPr>
                                <w:rFonts w:ascii="Arial" w:hAnsi="Arial" w:cs="Arial"/>
                                <w:iCs/>
                                <w:color w:val="000000"/>
                              </w:rPr>
                              <w:t xml:space="preserve">demand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000000"/>
                              </w:rPr>
                              <w:t xml:space="preserve">for science and technology </w:t>
                            </w:r>
                            <w:r w:rsidRPr="00876FF7">
                              <w:rPr>
                                <w:rFonts w:ascii="Arial" w:hAnsi="Arial" w:cs="Arial"/>
                                <w:iCs/>
                                <w:color w:val="000000"/>
                              </w:rPr>
                              <w:t>following the financial uplift to MOD’s investment in research and development. To meet these</w:t>
                            </w:r>
                            <w:r w:rsidRPr="00876FF7" w:rsidDel="00596383">
                              <w:rPr>
                                <w:rFonts w:ascii="Arial" w:hAnsi="Arial" w:cs="Arial"/>
                                <w:iCs/>
                                <w:color w:val="000000"/>
                              </w:rPr>
                              <w:t xml:space="preserve"> </w:t>
                            </w:r>
                            <w:r w:rsidRPr="00876FF7">
                              <w:rPr>
                                <w:rFonts w:ascii="Arial" w:hAnsi="Arial" w:cs="Arial"/>
                                <w:iCs/>
                                <w:color w:val="000000"/>
                              </w:rPr>
                              <w:t xml:space="preserve">future challenges, it is essential that Dstl has a strong and resilient Board with expert and skilled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000000"/>
                              </w:rPr>
                              <w:t>non-executive members</w:t>
                            </w:r>
                            <w:r w:rsidRPr="00876FF7">
                              <w:rPr>
                                <w:rFonts w:ascii="Arial" w:hAnsi="Arial" w:cs="Arial"/>
                                <w:iCs/>
                                <w:color w:val="000000"/>
                              </w:rPr>
                              <w:t xml:space="preserve"> to provide robust support and challenge</w:t>
                            </w:r>
                            <w:r w:rsidRPr="00876FF7" w:rsidDel="00C35548">
                              <w:rPr>
                                <w:rFonts w:ascii="Arial" w:hAnsi="Arial" w:cs="Arial"/>
                                <w:iCs/>
                                <w:color w:val="000000"/>
                              </w:rPr>
                              <w:t xml:space="preserve"> </w:t>
                            </w:r>
                            <w:r w:rsidRPr="00876FF7">
                              <w:rPr>
                                <w:rFonts w:ascii="Arial" w:hAnsi="Arial" w:cs="Arial"/>
                                <w:iCs/>
                                <w:color w:val="000000"/>
                              </w:rPr>
                              <w:t>in areas such as skills, culture and digital and physical infrastructure as Dstl transforms.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000000"/>
                              </w:rPr>
                              <w:br/>
                            </w:r>
                            <w:r w:rsidRPr="00876FF7">
                              <w:rPr>
                                <w:rFonts w:ascii="Arial" w:hAnsi="Arial" w:cs="Arial"/>
                                <w:iCs/>
                                <w:color w:val="000000"/>
                              </w:rPr>
                              <w:t>Given the size and scope of Dstl, the ARAC Chair will need to be someone with financial and risk and assurance experience in a comparable technological/scientific environment and ideally previous experience in chairing an ARAC or similar strategic-level board or committee.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000000"/>
                              </w:rPr>
                              <w:br/>
                            </w:r>
                          </w:p>
                          <w:p w14:paraId="753340D3" w14:textId="45204C01" w:rsidR="00B02D7D" w:rsidRDefault="00B02D7D" w:rsidP="00B02D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E78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pt;margin-top:18.8pt;width:452.95pt;height:20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">
                <v:textbox>
                  <w:txbxContent>
                    <w:p w14:paraId="2D535BE3" w14:textId="7C08EB32" w:rsidR="004B39B5" w:rsidRDefault="004B39B5" w:rsidP="004B39B5">
                      <w:r w:rsidRPr="00876FF7">
                        <w:rPr>
                          <w:rFonts w:ascii="Arial" w:hAnsi="Arial" w:cs="Arial"/>
                          <w:iCs/>
                          <w:color w:val="000000"/>
                        </w:rPr>
                        <w:t>The current Dstl Board is performing well in its support of Dstl in addressing the challenge of the significant increase in</w:t>
                      </w:r>
                      <w:r>
                        <w:rPr>
                          <w:rFonts w:ascii="Arial" w:hAnsi="Arial" w:cs="Arial"/>
                          <w:iCs/>
                          <w:color w:val="000000"/>
                        </w:rPr>
                        <w:t xml:space="preserve"> </w:t>
                      </w:r>
                      <w:r w:rsidRPr="00876FF7">
                        <w:rPr>
                          <w:rFonts w:ascii="Arial" w:hAnsi="Arial" w:cs="Arial"/>
                          <w:iCs/>
                          <w:color w:val="000000"/>
                        </w:rPr>
                        <w:t xml:space="preserve">demand </w:t>
                      </w:r>
                      <w:r>
                        <w:rPr>
                          <w:rFonts w:ascii="Arial" w:hAnsi="Arial" w:cs="Arial"/>
                          <w:iCs/>
                          <w:color w:val="000000"/>
                        </w:rPr>
                        <w:t xml:space="preserve">for science and technology </w:t>
                      </w:r>
                      <w:r w:rsidRPr="00876FF7">
                        <w:rPr>
                          <w:rFonts w:ascii="Arial" w:hAnsi="Arial" w:cs="Arial"/>
                          <w:iCs/>
                          <w:color w:val="000000"/>
                        </w:rPr>
                        <w:t>following the financial uplift to MOD’s investment in research and development. To meet these</w:t>
                      </w:r>
                      <w:r w:rsidRPr="00876FF7" w:rsidDel="00596383">
                        <w:rPr>
                          <w:rFonts w:ascii="Arial" w:hAnsi="Arial" w:cs="Arial"/>
                          <w:iCs/>
                          <w:color w:val="000000"/>
                        </w:rPr>
                        <w:t xml:space="preserve"> </w:t>
                      </w:r>
                      <w:r w:rsidRPr="00876FF7">
                        <w:rPr>
                          <w:rFonts w:ascii="Arial" w:hAnsi="Arial" w:cs="Arial"/>
                          <w:iCs/>
                          <w:color w:val="000000"/>
                        </w:rPr>
                        <w:t xml:space="preserve">future challenges, it is essential that Dstl has a strong and resilient Board with expert and skilled </w:t>
                      </w:r>
                      <w:r>
                        <w:rPr>
                          <w:rFonts w:ascii="Arial" w:hAnsi="Arial" w:cs="Arial"/>
                          <w:iCs/>
                          <w:color w:val="000000"/>
                        </w:rPr>
                        <w:t>non-executive members</w:t>
                      </w:r>
                      <w:r w:rsidRPr="00876FF7">
                        <w:rPr>
                          <w:rFonts w:ascii="Arial" w:hAnsi="Arial" w:cs="Arial"/>
                          <w:iCs/>
                          <w:color w:val="000000"/>
                        </w:rPr>
                        <w:t xml:space="preserve"> to provide robust support and challenge</w:t>
                      </w:r>
                      <w:r w:rsidRPr="00876FF7" w:rsidDel="00C35548">
                        <w:rPr>
                          <w:rFonts w:ascii="Arial" w:hAnsi="Arial" w:cs="Arial"/>
                          <w:iCs/>
                          <w:color w:val="000000"/>
                        </w:rPr>
                        <w:t xml:space="preserve"> </w:t>
                      </w:r>
                      <w:r w:rsidRPr="00876FF7">
                        <w:rPr>
                          <w:rFonts w:ascii="Arial" w:hAnsi="Arial" w:cs="Arial"/>
                          <w:iCs/>
                          <w:color w:val="000000"/>
                        </w:rPr>
                        <w:t>in areas such as skills, culture and digital and physical infrastructure as Dstl transforms.</w:t>
                      </w:r>
                      <w:r>
                        <w:rPr>
                          <w:rFonts w:ascii="Arial" w:hAnsi="Arial" w:cs="Arial"/>
                          <w:iCs/>
                          <w:color w:val="000000"/>
                        </w:rPr>
                        <w:br/>
                      </w:r>
                      <w:r>
                        <w:rPr>
                          <w:rFonts w:ascii="Arial" w:hAnsi="Arial" w:cs="Arial"/>
                          <w:iCs/>
                          <w:color w:val="000000"/>
                        </w:rPr>
                        <w:br/>
                      </w:r>
                      <w:r w:rsidRPr="00876FF7">
                        <w:rPr>
                          <w:rFonts w:ascii="Arial" w:hAnsi="Arial" w:cs="Arial"/>
                          <w:iCs/>
                          <w:color w:val="000000"/>
                        </w:rPr>
                        <w:t>Given the size and scope of Dstl, the ARAC Chair will need to be someone with financial and risk and assurance experience in a comparable technological/scientific environment and ideally previous experience in chairing an ARAC or similar strategic-level board or committee.</w:t>
                      </w:r>
                      <w:r>
                        <w:rPr>
                          <w:rFonts w:ascii="Arial" w:hAnsi="Arial" w:cs="Arial"/>
                          <w:iCs/>
                          <w:color w:val="000000"/>
                        </w:rPr>
                        <w:br/>
                      </w:r>
                      <w:r>
                        <w:rPr>
                          <w:rFonts w:ascii="Arial" w:hAnsi="Arial" w:cs="Arial"/>
                          <w:iCs/>
                          <w:color w:val="000000"/>
                        </w:rPr>
                        <w:br/>
                      </w:r>
                    </w:p>
                    <w:p w14:paraId="753340D3" w14:textId="45204C01" w:rsidR="00B02D7D" w:rsidRDefault="00B02D7D" w:rsidP="00B02D7D"/>
                  </w:txbxContent>
                </v:textbox>
                <w10:wrap type="square"/>
              </v:shape>
            </w:pict>
          </mc:Fallback>
        </mc:AlternateContent>
      </w:r>
      <w:r w:rsidRPr="002D2A1B">
        <w:rPr>
          <w:rFonts w:ascii="Arial" w:eastAsia="Arial" w:hAnsi="Arial" w:cs="Arial"/>
          <w:sz w:val="24"/>
          <w:szCs w:val="24"/>
        </w:rPr>
        <w:t>CALL-OFF DELIVERABLES</w:t>
      </w:r>
    </w:p>
    <w:p w14:paraId="543DF2B7" w14:textId="77777777" w:rsidR="00B02D7D" w:rsidRPr="002D2A1B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7953005" w14:textId="77777777" w:rsidR="002D6378" w:rsidRPr="002D2A1B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1600BFA" w14:textId="77777777" w:rsidR="002D6378" w:rsidRPr="002D2A1B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D2A1B">
        <w:rPr>
          <w:rFonts w:ascii="Arial" w:eastAsia="Arial" w:hAnsi="Arial" w:cs="Arial"/>
          <w:sz w:val="24"/>
          <w:szCs w:val="24"/>
        </w:rPr>
        <w:t>CALL-OFF CHARGES</w:t>
      </w:r>
    </w:p>
    <w:p w14:paraId="083BFC65" w14:textId="77777777" w:rsidR="002D6378" w:rsidRPr="002D2A1B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4E622C" w14:textId="77777777" w:rsidR="002D6378" w:rsidRPr="002D2A1B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D2A1B">
        <w:rPr>
          <w:rFonts w:ascii="Arial" w:eastAsia="Arial" w:hAnsi="Arial" w:cs="Arial"/>
          <w:sz w:val="24"/>
          <w:szCs w:val="24"/>
        </w:rPr>
        <w:t>PAYMENT METHOD</w:t>
      </w:r>
    </w:p>
    <w:p w14:paraId="06EE5FA4" w14:textId="09283F97" w:rsidR="002D6378" w:rsidRPr="002D2A1B" w:rsidRDefault="00E330D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330D0">
        <w:rPr>
          <w:rFonts w:ascii="Arial" w:eastAsia="Arial" w:hAnsi="Arial" w:cs="Arial"/>
          <w:sz w:val="24"/>
          <w:szCs w:val="24"/>
        </w:rPr>
        <w:t>Payment to be made through MOD CP&amp;F tool.</w:t>
      </w:r>
      <w:r w:rsidRPr="00E330D0">
        <w:rPr>
          <w:rFonts w:ascii="Arial" w:eastAsia="Arial" w:hAnsi="Arial" w:cs="Arial"/>
          <w:sz w:val="24"/>
          <w:szCs w:val="24"/>
        </w:rPr>
        <w:cr/>
      </w:r>
    </w:p>
    <w:p w14:paraId="01D7CCD5" w14:textId="2137AA12" w:rsidR="002D6378" w:rsidRPr="006734CC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6734CC">
        <w:rPr>
          <w:rFonts w:ascii="Arial" w:eastAsia="Arial" w:hAnsi="Arial" w:cs="Arial"/>
          <w:b/>
          <w:bCs/>
          <w:sz w:val="24"/>
          <w:szCs w:val="24"/>
        </w:rPr>
        <w:t xml:space="preserve">BUYER’S INVOICE ADDRESS: </w:t>
      </w:r>
      <w:r w:rsidR="006734CC" w:rsidRPr="006734CC">
        <w:rPr>
          <w:rFonts w:ascii="Arial" w:eastAsia="Arial" w:hAnsi="Arial" w:cs="Arial"/>
          <w:b/>
          <w:bCs/>
          <w:sz w:val="24"/>
          <w:szCs w:val="24"/>
        </w:rPr>
        <w:br/>
      </w:r>
    </w:p>
    <w:p w14:paraId="2340F3F1" w14:textId="77777777" w:rsidR="002D6378" w:rsidRPr="002D2A1B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92456FE" w14:textId="337662D1" w:rsidR="002D6378" w:rsidRPr="006734CC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6734CC">
        <w:rPr>
          <w:rFonts w:ascii="Arial" w:eastAsia="Arial" w:hAnsi="Arial" w:cs="Arial"/>
          <w:b/>
          <w:bCs/>
          <w:sz w:val="24"/>
          <w:szCs w:val="24"/>
        </w:rPr>
        <w:t>BUYER’S AUTHORISED REPRESENTATIVE</w:t>
      </w:r>
      <w:r w:rsidR="006734CC" w:rsidRPr="006734CC">
        <w:rPr>
          <w:rFonts w:ascii="Arial" w:eastAsia="Arial" w:hAnsi="Arial" w:cs="Arial"/>
          <w:b/>
          <w:bCs/>
          <w:sz w:val="24"/>
          <w:szCs w:val="24"/>
        </w:rPr>
        <w:br/>
      </w:r>
    </w:p>
    <w:p w14:paraId="137163C9" w14:textId="4EB67489" w:rsidR="002D6378" w:rsidRPr="002D2A1B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2D2A1B">
        <w:rPr>
          <w:rFonts w:ascii="Arial" w:eastAsia="Arial" w:hAnsi="Arial" w:cs="Arial"/>
          <w:b/>
          <w:bCs/>
          <w:sz w:val="24"/>
          <w:szCs w:val="24"/>
          <w:u w:val="single"/>
        </w:rPr>
        <w:t>SUPPLIER’S AUTHORISED REPRESENTATIVE</w:t>
      </w:r>
      <w:r w:rsidR="009C6963" w:rsidRPr="002D2A1B">
        <w:rPr>
          <w:rFonts w:ascii="Arial" w:eastAsia="Arial" w:hAnsi="Arial" w:cs="Arial"/>
          <w:b/>
          <w:bCs/>
          <w:sz w:val="24"/>
          <w:szCs w:val="24"/>
          <w:u w:val="single"/>
        </w:rPr>
        <w:br/>
      </w:r>
    </w:p>
    <w:p w14:paraId="5FD7E7C0" w14:textId="60B65A63" w:rsidR="002D6378" w:rsidRPr="002D2A1B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2D2A1B">
        <w:rPr>
          <w:rFonts w:ascii="Arial" w:eastAsia="Arial" w:hAnsi="Arial" w:cs="Arial"/>
          <w:b/>
          <w:bCs/>
          <w:sz w:val="24"/>
          <w:szCs w:val="24"/>
          <w:u w:val="single"/>
        </w:rPr>
        <w:t>SUPPLIER’S CONTRACT MANAGER</w:t>
      </w:r>
      <w:r w:rsidR="009C6963" w:rsidRPr="002D2A1B">
        <w:rPr>
          <w:rFonts w:ascii="Arial" w:eastAsia="Arial" w:hAnsi="Arial" w:cs="Arial"/>
          <w:b/>
          <w:bCs/>
          <w:sz w:val="24"/>
          <w:szCs w:val="24"/>
          <w:u w:val="single"/>
        </w:rPr>
        <w:br/>
      </w:r>
    </w:p>
    <w:p w14:paraId="63382935" w14:textId="3E985DB6" w:rsidR="002D6378" w:rsidRPr="002D2A1B" w:rsidRDefault="002D6378">
      <w:pPr>
        <w:spacing w:after="24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2D6378" w:rsidRPr="002D2A1B" w14:paraId="38112729" w14:textId="77777777" w:rsidTr="002D6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7C91BF9A" w14:textId="77777777" w:rsidR="002D6378" w:rsidRPr="002D2A1B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D2A1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7E705F9E" w14:textId="77777777" w:rsidR="002D6378" w:rsidRPr="002D2A1B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2D2A1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2D6378" w:rsidRPr="002D2A1B" w14:paraId="6BEEF4E1" w14:textId="77777777" w:rsidTr="002D6378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51825FE" w14:textId="77777777" w:rsidR="002D6378" w:rsidRPr="002D2A1B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D2A1B"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0A762970" w14:textId="77777777" w:rsidR="002D6378" w:rsidRPr="002D2A1B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2206EF3" w14:textId="77777777" w:rsidR="002D6378" w:rsidRPr="002D2A1B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D2A1B"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614D4222" w14:textId="76C57C39" w:rsidR="002D6378" w:rsidRPr="002D2A1B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D6378" w:rsidRPr="002D2A1B" w14:paraId="0E3D8BED" w14:textId="77777777" w:rsidTr="002D6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9355678" w14:textId="77777777" w:rsidR="002D6378" w:rsidRPr="002D2A1B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D2A1B"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E4327D1" w14:textId="77777777" w:rsidR="002D6378" w:rsidRPr="002D2A1B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15B37D3" w14:textId="77777777" w:rsidR="002D6378" w:rsidRPr="002D2A1B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D2A1B"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73794449" w14:textId="11B87D7B" w:rsidR="002D6378" w:rsidRPr="002D2A1B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D6378" w:rsidRPr="002D2A1B" w14:paraId="23EDAE31" w14:textId="77777777" w:rsidTr="002D6378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A2DA9AF" w14:textId="77777777" w:rsidR="002D6378" w:rsidRPr="002D2A1B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D2A1B"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74D38D51" w14:textId="77777777" w:rsidR="002D6378" w:rsidRPr="002D2A1B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2E14818" w14:textId="77777777" w:rsidR="002D6378" w:rsidRPr="002D2A1B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D2A1B"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4797C1AC" w14:textId="6FB9D754" w:rsidR="002D6378" w:rsidRPr="002D2A1B" w:rsidRDefault="002D6378" w:rsidP="00A92AA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D6378" w:rsidRPr="002D2A1B" w14:paraId="467FAD81" w14:textId="77777777" w:rsidTr="002D6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04044F2" w14:textId="77777777" w:rsidR="002D6378" w:rsidRPr="002D2A1B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D2A1B"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6CA1EC20" w14:textId="77777777" w:rsidR="002D6378" w:rsidRPr="002D2A1B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AEC7D57" w14:textId="77777777" w:rsidR="002D6378" w:rsidRPr="002D2A1B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D2A1B"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D9133DD" w14:textId="478691F3" w:rsidR="002D6378" w:rsidRPr="002D2A1B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B301065" w14:textId="77777777" w:rsidR="002D6378" w:rsidRPr="002D2A1B" w:rsidRDefault="002D6378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6DF1C70F" w14:textId="77777777" w:rsidR="002D6378" w:rsidRPr="002D2A1B" w:rsidRDefault="00DA3167">
      <w:pPr>
        <w:rPr>
          <w:rFonts w:ascii="Arial" w:eastAsia="Arial" w:hAnsi="Arial" w:cs="Arial"/>
        </w:rPr>
      </w:pPr>
      <w:r w:rsidRPr="002D2A1B">
        <w:rPr>
          <w:rFonts w:ascii="Arial" w:eastAsia="Arial" w:hAnsi="Arial" w:cs="Arial"/>
          <w:color w:val="1F497D"/>
          <w:sz w:val="24"/>
          <w:szCs w:val="24"/>
          <w:highlight w:val="yellow"/>
        </w:rPr>
        <w:t>[</w:t>
      </w:r>
      <w:r w:rsidRPr="002D2A1B">
        <w:rPr>
          <w:rFonts w:ascii="Arial" w:eastAsia="Arial" w:hAnsi="Arial" w:cs="Arial"/>
          <w:b/>
          <w:color w:val="1F497D"/>
          <w:sz w:val="24"/>
          <w:szCs w:val="24"/>
          <w:highlight w:val="yellow"/>
        </w:rPr>
        <w:t>Buyer g</w:t>
      </w:r>
      <w:r w:rsidRPr="002D2A1B">
        <w:rPr>
          <w:rFonts w:ascii="Arial" w:eastAsia="Arial" w:hAnsi="Arial" w:cs="Arial"/>
          <w:b/>
          <w:sz w:val="24"/>
          <w:szCs w:val="24"/>
          <w:highlight w:val="yellow"/>
        </w:rPr>
        <w:t xml:space="preserve">uidance: </w:t>
      </w:r>
      <w:r w:rsidRPr="002D2A1B">
        <w:rPr>
          <w:rFonts w:ascii="Arial" w:eastAsia="Arial" w:hAnsi="Arial" w:cs="Arial"/>
          <w:color w:val="1F497D"/>
          <w:sz w:val="24"/>
          <w:szCs w:val="24"/>
        </w:rPr>
        <w:t>e</w:t>
      </w:r>
      <w:r w:rsidRPr="002D2A1B">
        <w:rPr>
          <w:rFonts w:ascii="Arial" w:eastAsia="Arial" w:hAnsi="Arial" w:cs="Arial"/>
          <w:sz w:val="24"/>
          <w:szCs w:val="24"/>
        </w:rPr>
        <w:t>xecution by seal / deed where required by the Buyer</w:t>
      </w:r>
      <w:r w:rsidRPr="002D2A1B">
        <w:rPr>
          <w:rFonts w:ascii="Arial" w:eastAsia="Arial" w:hAnsi="Arial" w:cs="Arial"/>
          <w:color w:val="1F497D"/>
          <w:sz w:val="24"/>
          <w:szCs w:val="24"/>
        </w:rPr>
        <w:t>]</w:t>
      </w:r>
      <w:r w:rsidRPr="002D2A1B">
        <w:rPr>
          <w:rFonts w:ascii="Arial" w:eastAsia="Arial" w:hAnsi="Arial" w:cs="Arial"/>
          <w:sz w:val="24"/>
          <w:szCs w:val="24"/>
        </w:rPr>
        <w:t>.</w:t>
      </w:r>
    </w:p>
    <w:sectPr w:rsidR="002D6378" w:rsidRPr="002D2A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33C26" w14:textId="77777777" w:rsidR="00993655" w:rsidRDefault="00993655">
      <w:pPr>
        <w:spacing w:after="0" w:line="240" w:lineRule="auto"/>
      </w:pPr>
      <w:r>
        <w:separator/>
      </w:r>
    </w:p>
  </w:endnote>
  <w:endnote w:type="continuationSeparator" w:id="0">
    <w:p w14:paraId="128C2D03" w14:textId="77777777" w:rsidR="00993655" w:rsidRDefault="00993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93536" w14:textId="77777777" w:rsidR="00937B1E" w:rsidRDefault="00B74560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RM6290</w:t>
    </w:r>
    <w:r w:rsidR="00937B1E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A7B1384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B74560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EA85997" w14:textId="77777777" w:rsidR="00937B1E" w:rsidRDefault="00937B1E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905E2" w14:textId="77777777" w:rsidR="00937B1E" w:rsidRDefault="00937B1E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19D372C4" w14:textId="77777777" w:rsidR="00937B1E" w:rsidRDefault="00937B1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FE67D80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8698F76" w14:textId="77777777" w:rsidR="00937B1E" w:rsidRDefault="00937B1E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56C93" w14:textId="77777777" w:rsidR="00993655" w:rsidRDefault="00993655">
      <w:pPr>
        <w:spacing w:after="0" w:line="240" w:lineRule="auto"/>
      </w:pPr>
      <w:r>
        <w:separator/>
      </w:r>
    </w:p>
  </w:footnote>
  <w:footnote w:type="continuationSeparator" w:id="0">
    <w:p w14:paraId="3DA87AAA" w14:textId="77777777" w:rsidR="00993655" w:rsidRDefault="00993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36AF0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8EA477C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23C25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0FDA1FD3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59B4"/>
    <w:multiLevelType w:val="multilevel"/>
    <w:tmpl w:val="39B8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41B87"/>
    <w:multiLevelType w:val="multilevel"/>
    <w:tmpl w:val="9888426C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CC2DFE"/>
    <w:multiLevelType w:val="multilevel"/>
    <w:tmpl w:val="2982E26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FD20CE7"/>
    <w:multiLevelType w:val="multilevel"/>
    <w:tmpl w:val="628627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8876E04"/>
    <w:multiLevelType w:val="multilevel"/>
    <w:tmpl w:val="DD209E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F67C72"/>
    <w:multiLevelType w:val="multilevel"/>
    <w:tmpl w:val="CAAEF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E29F7"/>
    <w:multiLevelType w:val="multilevel"/>
    <w:tmpl w:val="5A5A85C6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1139251">
    <w:abstractNumId w:val="6"/>
  </w:num>
  <w:num w:numId="2" w16cid:durableId="857042600">
    <w:abstractNumId w:val="3"/>
  </w:num>
  <w:num w:numId="3" w16cid:durableId="9719665">
    <w:abstractNumId w:val="4"/>
  </w:num>
  <w:num w:numId="4" w16cid:durableId="862137471">
    <w:abstractNumId w:val="2"/>
  </w:num>
  <w:num w:numId="5" w16cid:durableId="672995766">
    <w:abstractNumId w:val="5"/>
  </w:num>
  <w:num w:numId="6" w16cid:durableId="701054317">
    <w:abstractNumId w:val="1"/>
  </w:num>
  <w:num w:numId="7" w16cid:durableId="58877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78"/>
    <w:rsid w:val="000813E4"/>
    <w:rsid w:val="00084FD9"/>
    <w:rsid w:val="000A1AE5"/>
    <w:rsid w:val="00155039"/>
    <w:rsid w:val="001C510D"/>
    <w:rsid w:val="001E72DC"/>
    <w:rsid w:val="00256CB8"/>
    <w:rsid w:val="00273194"/>
    <w:rsid w:val="002D2A1B"/>
    <w:rsid w:val="002D6378"/>
    <w:rsid w:val="002E0778"/>
    <w:rsid w:val="0032590A"/>
    <w:rsid w:val="0032724E"/>
    <w:rsid w:val="00331AD3"/>
    <w:rsid w:val="003600D1"/>
    <w:rsid w:val="003F3A71"/>
    <w:rsid w:val="00405D81"/>
    <w:rsid w:val="00435880"/>
    <w:rsid w:val="00441E41"/>
    <w:rsid w:val="0045789A"/>
    <w:rsid w:val="00470639"/>
    <w:rsid w:val="004B2E71"/>
    <w:rsid w:val="004B39B5"/>
    <w:rsid w:val="004B7160"/>
    <w:rsid w:val="004F17E1"/>
    <w:rsid w:val="00504E67"/>
    <w:rsid w:val="0052089B"/>
    <w:rsid w:val="0054386D"/>
    <w:rsid w:val="005A4BF1"/>
    <w:rsid w:val="005B6E2C"/>
    <w:rsid w:val="006617B0"/>
    <w:rsid w:val="00664FF8"/>
    <w:rsid w:val="006734CC"/>
    <w:rsid w:val="0069066F"/>
    <w:rsid w:val="00691484"/>
    <w:rsid w:val="00734472"/>
    <w:rsid w:val="007373E2"/>
    <w:rsid w:val="007A78B9"/>
    <w:rsid w:val="007B5FD8"/>
    <w:rsid w:val="007D1272"/>
    <w:rsid w:val="007E6BEE"/>
    <w:rsid w:val="00863E16"/>
    <w:rsid w:val="00874ED4"/>
    <w:rsid w:val="008920BF"/>
    <w:rsid w:val="008A6771"/>
    <w:rsid w:val="009063AA"/>
    <w:rsid w:val="00937B1E"/>
    <w:rsid w:val="00937B22"/>
    <w:rsid w:val="00964CD6"/>
    <w:rsid w:val="00993655"/>
    <w:rsid w:val="009C6963"/>
    <w:rsid w:val="009F2F3F"/>
    <w:rsid w:val="00A63972"/>
    <w:rsid w:val="00A92AAC"/>
    <w:rsid w:val="00AF562A"/>
    <w:rsid w:val="00B02D7D"/>
    <w:rsid w:val="00B41CB6"/>
    <w:rsid w:val="00B43AA6"/>
    <w:rsid w:val="00B65D74"/>
    <w:rsid w:val="00B71B18"/>
    <w:rsid w:val="00B74560"/>
    <w:rsid w:val="00C02644"/>
    <w:rsid w:val="00C34731"/>
    <w:rsid w:val="00C64E87"/>
    <w:rsid w:val="00CF7E21"/>
    <w:rsid w:val="00D6233B"/>
    <w:rsid w:val="00D72F57"/>
    <w:rsid w:val="00DA3167"/>
    <w:rsid w:val="00DB3ABE"/>
    <w:rsid w:val="00DB3AD7"/>
    <w:rsid w:val="00DF5EBF"/>
    <w:rsid w:val="00DF658B"/>
    <w:rsid w:val="00E330D0"/>
    <w:rsid w:val="00E56D90"/>
    <w:rsid w:val="00EB0A3F"/>
    <w:rsid w:val="00EC5352"/>
    <w:rsid w:val="00EF3EEB"/>
    <w:rsid w:val="00FC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1E584"/>
  <w15:docId w15:val="{62EC8E82-259A-443A-BD99-C2576769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NormalWeb">
    <w:name w:val="Normal (Web)"/>
    <w:basedOn w:val="Normal"/>
    <w:uiPriority w:val="99"/>
    <w:semiHidden/>
    <w:unhideWhenUsed/>
    <w:rsid w:val="00B74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72D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xTciBCBsTqydUrTMCu7vjxUPSQ==">AMUW2mVp1MLZWcRb4cO5KCs8FiFUDXb7mWpH8WTmpBuUOsH3YUg11N0NDJcOVssLawHiWaFoHdHla2xS/8dr7INDycjsW9at+2o+5YLk8UmYkfBsd3QMEoNafaKLHt8+XTpvMBeFIRxeb6kXhI7H9tSmpDOa0/BxiQ==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Miah, Kosru C2 (Def Comrcl-HO BP2-1e)</cp:lastModifiedBy>
  <cp:revision>2</cp:revision>
  <dcterms:created xsi:type="dcterms:W3CDTF">2024-01-16T14:36:00Z</dcterms:created>
  <dcterms:modified xsi:type="dcterms:W3CDTF">2024-01-16T14:36:00Z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2023-10-19T07:54:58Z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47e33bc4-1853-4608-a2ba-d79a3e40f316</vt:lpwstr>
  </property>
  <property fmtid="{D5CDD505-2E9C-101B-9397-08002B2CF9AE}" pid="9" name="MSIP_Label_d8a60473-494b-4586-a1bb-b0e663054676_ContentBits">
    <vt:lpwstr>0</vt:lpwstr>
  </property>
</Properties>
</file>