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wp:posOffset>
            </wp:positionH>
            <wp:positionV relativeFrom="paragraph">
              <wp:posOffset>0</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6">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A">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C">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D">
      <w:pPr>
        <w:rPr>
          <w:rFonts w:ascii="Arial" w:cs="Arial" w:eastAsia="Arial" w:hAnsi="Arial"/>
          <w:sz w:val="40"/>
          <w:szCs w:val="40"/>
        </w:rPr>
      </w:pPr>
      <w:r w:rsidDel="00000000" w:rsidR="00000000" w:rsidRPr="00000000">
        <w:rPr>
          <w:rFonts w:ascii="Arial" w:cs="Arial" w:eastAsia="Arial" w:hAnsi="Arial"/>
          <w:sz w:val="40"/>
          <w:szCs w:val="40"/>
          <w:rtl w:val="0"/>
        </w:rPr>
        <w:t xml:space="preserve">RM6297 Print and Digital Communications</w:t>
      </w:r>
    </w:p>
    <w:p w:rsidR="00000000" w:rsidDel="00000000" w:rsidP="00000000" w:rsidRDefault="00000000" w:rsidRPr="00000000" w14:paraId="0000000E">
      <w:pPr>
        <w:spacing w:after="200" w:line="276" w:lineRule="auto"/>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24"/>
                <w:szCs w:val="24"/>
                <w:rtl w:val="0"/>
              </w:rPr>
              <w:t xml:space="preserve">Welcome</w:t>
              <w:tab/>
              <w:t xml:space="preserve">3</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fob9te">
            <w:r w:rsidDel="00000000" w:rsidR="00000000" w:rsidRPr="00000000">
              <w:rPr>
                <w:rFonts w:ascii="Arial" w:cs="Arial" w:eastAsia="Arial" w:hAnsi="Arial"/>
                <w:color w:val="000000"/>
                <w:sz w:val="24"/>
                <w:szCs w:val="24"/>
                <w:rtl w:val="0"/>
              </w:rPr>
              <w:t xml:space="preserve">1.</w:t>
              <w:tab/>
              <w:t xml:space="preserve">What you need to know</w:t>
              <w:tab/>
              <w:t xml:space="preserve">5</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2et92p0">
            <w:r w:rsidDel="00000000" w:rsidR="00000000" w:rsidRPr="00000000">
              <w:rPr>
                <w:rFonts w:ascii="Arial" w:cs="Arial" w:eastAsia="Arial" w:hAnsi="Arial"/>
                <w:color w:val="000000"/>
                <w:sz w:val="24"/>
                <w:szCs w:val="24"/>
                <w:rtl w:val="0"/>
              </w:rPr>
              <w:t xml:space="preserve">2.</w:t>
              <w:tab/>
              <w:t xml:space="preserve">The opportunity</w:t>
              <w:tab/>
              <w:t xml:space="preserve">6</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tyjcwt">
            <w:r w:rsidDel="00000000" w:rsidR="00000000" w:rsidRPr="00000000">
              <w:rPr>
                <w:rFonts w:ascii="Arial" w:cs="Arial" w:eastAsia="Arial" w:hAnsi="Arial"/>
                <w:color w:val="000000"/>
                <w:sz w:val="24"/>
                <w:szCs w:val="24"/>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t3h5sf">
            <w:r w:rsidDel="00000000" w:rsidR="00000000" w:rsidRPr="00000000">
              <w:rPr>
                <w:rFonts w:ascii="Arial" w:cs="Arial" w:eastAsia="Arial" w:hAnsi="Arial"/>
                <w:color w:val="000000"/>
                <w:sz w:val="24"/>
                <w:szCs w:val="24"/>
                <w:rtl w:val="0"/>
              </w:rPr>
              <w:t xml:space="preserve">4.</w:t>
              <w:tab/>
              <w:t xml:space="preserve">Who can bid</w:t>
              <w:tab/>
              <w:t xml:space="preserve">8</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4d34og8">
            <w:r w:rsidDel="00000000" w:rsidR="00000000" w:rsidRPr="00000000">
              <w:rPr>
                <w:rFonts w:ascii="Arial" w:cs="Arial" w:eastAsia="Arial" w:hAnsi="Arial"/>
                <w:color w:val="000000"/>
                <w:sz w:val="24"/>
                <w:szCs w:val="24"/>
                <w:rtl w:val="0"/>
              </w:rPr>
              <w:t xml:space="preserve">5.</w:t>
              <w:tab/>
              <w:t xml:space="preserve">Timelines for the competition</w:t>
              <w:tab/>
              <w:t xml:space="preserve">8</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17dp8vu">
            <w:r w:rsidDel="00000000" w:rsidR="00000000" w:rsidRPr="00000000">
              <w:rPr>
                <w:rFonts w:ascii="Arial" w:cs="Arial" w:eastAsia="Arial" w:hAnsi="Arial"/>
                <w:color w:val="000000"/>
                <w:sz w:val="24"/>
                <w:szCs w:val="24"/>
                <w:rtl w:val="0"/>
              </w:rPr>
              <w:t xml:space="preserve">6.</w:t>
              <w:tab/>
              <w:t xml:space="preserve">When and how to ask questions</w:t>
              <w:tab/>
              <w:t xml:space="preserve">9</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hyperlink w:anchor="_heading=h.3rdcrjn">
            <w:r w:rsidDel="00000000" w:rsidR="00000000" w:rsidRPr="00000000">
              <w:rPr>
                <w:rFonts w:ascii="Arial" w:cs="Arial" w:eastAsia="Arial" w:hAnsi="Arial"/>
                <w:color w:val="000000"/>
                <w:sz w:val="24"/>
                <w:szCs w:val="24"/>
                <w:rtl w:val="0"/>
              </w:rPr>
              <w:t xml:space="preserve">7.</w:t>
              <w:tab/>
              <w:t xml:space="preserve">Management information and management charge</w:t>
              <w:tab/>
              <w:t xml:space="preserve">9</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begin"/>
            <w:instrText xml:space="preserve"> HYPERLINK \l "_heading=h.26in1rg" </w:instrText>
            <w:fldChar w:fldCharType="separate"/>
          </w:r>
          <w:r w:rsidDel="00000000" w:rsidR="00000000" w:rsidRPr="00000000">
            <w:rPr>
              <w:rFonts w:ascii="Arial" w:cs="Arial" w:eastAsia="Arial" w:hAnsi="Arial"/>
              <w:color w:val="000000"/>
              <w:sz w:val="24"/>
              <w:szCs w:val="24"/>
              <w:rtl w:val="0"/>
            </w:rPr>
            <w:t xml:space="preserve">8.</w:t>
            <w:tab/>
            <w:t xml:space="preserve">Transfer of Undertakings (Protection of Employment) Regulations 2006     (“TUPE”)</w:t>
            <w:tab/>
            <w:t xml:space="preserve">9</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24"/>
              <w:szCs w:val="24"/>
            </w:rPr>
          </w:pPr>
          <w:r w:rsidDel="00000000" w:rsidR="00000000" w:rsidRPr="00000000">
            <w:fldChar w:fldCharType="end"/>
          </w:r>
          <w:hyperlink w:anchor="_heading=h.35nkun2">
            <w:r w:rsidDel="00000000" w:rsidR="00000000" w:rsidRPr="00000000">
              <w:rPr>
                <w:rFonts w:ascii="Arial" w:cs="Arial" w:eastAsia="Arial" w:hAnsi="Arial"/>
                <w:color w:val="000000"/>
                <w:sz w:val="24"/>
                <w:szCs w:val="24"/>
                <w:rtl w:val="0"/>
              </w:rPr>
              <w:t xml:space="preserve">9.</w:t>
              <w:tab/>
              <w:t xml:space="preserve">Competition rules</w:t>
              <w:tab/>
              <w:t xml:space="preserve">12</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z337ya">
            <w:r w:rsidDel="00000000" w:rsidR="00000000" w:rsidRPr="00000000">
              <w:rPr>
                <w:rFonts w:ascii="Arial" w:cs="Arial" w:eastAsia="Arial" w:hAnsi="Arial"/>
                <w:color w:val="000000"/>
                <w:sz w:val="24"/>
                <w:szCs w:val="24"/>
                <w:rtl w:val="0"/>
              </w:rPr>
              <w:t xml:space="preserve">10.</w:t>
              <w:tab/>
              <w:t xml:space="preserve">How the Framework is structured</w:t>
              <w:tab/>
              <w:t xml:space="preserve">16</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rFonts w:ascii="Arial" w:cs="Arial" w:eastAsia="Arial" w:hAnsi="Arial"/>
              <w:color w:val="000000"/>
              <w:sz w:val="24"/>
              <w:szCs w:val="24"/>
            </w:rPr>
          </w:pPr>
          <w:hyperlink w:anchor="_heading=h.3j2qqm3">
            <w:r w:rsidDel="00000000" w:rsidR="00000000" w:rsidRPr="00000000">
              <w:rPr>
                <w:rFonts w:ascii="Arial" w:cs="Arial" w:eastAsia="Arial" w:hAnsi="Arial"/>
                <w:color w:val="000000"/>
                <w:sz w:val="24"/>
                <w:szCs w:val="24"/>
                <w:rtl w:val="0"/>
              </w:rPr>
              <w:t xml:space="preserve">11.</w:t>
              <w:tab/>
              <w:t xml:space="preserve">Additional information</w:t>
              <w:tab/>
              <w:t xml:space="preserve">22</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880"/>
              <w:tab w:val="right" w:leader="none" w:pos="9016"/>
            </w:tabs>
            <w:spacing w:after="100" w:lineRule="auto"/>
            <w:ind w:left="220" w:firstLine="0"/>
            <w:rPr>
              <w:color w:val="000000"/>
            </w:rPr>
          </w:pPr>
          <w:hyperlink w:anchor="_heading=h.4i7ojhp">
            <w:r w:rsidDel="00000000" w:rsidR="00000000" w:rsidRPr="00000000">
              <w:rPr>
                <w:rFonts w:ascii="Arial" w:cs="Arial" w:eastAsia="Arial" w:hAnsi="Arial"/>
                <w:color w:val="000000"/>
                <w:sz w:val="24"/>
                <w:szCs w:val="24"/>
                <w:rtl w:val="0"/>
              </w:rPr>
              <w:t xml:space="preserve">12.</w:t>
              <w:tab/>
              <w:t xml:space="preserve">The Armed Forces Covenant</w:t>
              <w:tab/>
              <w:t xml:space="preserve">22</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Print and Digital Communications.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6">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7">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Lot 1 Relevant Principal Services</w:t>
      </w:r>
      <w:r w:rsidDel="00000000" w:rsidR="00000000" w:rsidRPr="00000000">
        <w:rPr>
          <w:rFonts w:ascii="Arial" w:cs="Arial" w:eastAsia="Arial" w:hAnsi="Arial"/>
          <w:sz w:val="24"/>
          <w:szCs w:val="24"/>
          <w:rtl w:val="0"/>
        </w:rPr>
        <w:t xml:space="preserve"> Template – you must provide a full and comprehensive list of all the Relevant Principal Services provided in the previous three (3) years. You must then attach the template to the relevant selection questions in the eSourcing suite (qualification envelope).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 Lot 2 Relevant Principal Services</w:t>
      </w:r>
      <w:r w:rsidDel="00000000" w:rsidR="00000000" w:rsidRPr="00000000">
        <w:rPr>
          <w:rFonts w:ascii="Arial" w:cs="Arial" w:eastAsia="Arial" w:hAnsi="Arial"/>
          <w:sz w:val="24"/>
          <w:szCs w:val="24"/>
          <w:rtl w:val="0"/>
        </w:rPr>
        <w:t xml:space="preserve"> Template – you must provide a full and comprehensive list of all the Relevant Principal Services provided in the previous three (3) years. You must then attach the template to the relevant selection questions in the eSourcing suite (qualification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Lot 1 Certificate of Past Performance Template </w:t>
      </w:r>
      <w:r w:rsidDel="00000000" w:rsidR="00000000" w:rsidRPr="00000000">
        <w:rPr>
          <w:rFonts w:ascii="Arial" w:cs="Arial" w:eastAsia="Arial" w:hAnsi="Arial"/>
          <w:sz w:val="24"/>
          <w:szCs w:val="24"/>
          <w:rtl w:val="0"/>
        </w:rPr>
        <w:t xml:space="preserve">–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Lot 2 Certificate of Past Performance Template </w:t>
      </w:r>
      <w:r w:rsidDel="00000000" w:rsidR="00000000" w:rsidRPr="00000000">
        <w:rPr>
          <w:rFonts w:ascii="Arial" w:cs="Arial" w:eastAsia="Arial" w:hAnsi="Arial"/>
          <w:sz w:val="24"/>
          <w:szCs w:val="24"/>
          <w:rtl w:val="0"/>
        </w:rPr>
        <w:t xml:space="preserve">– you must request the buyer/customer you have provided the Relevant Principle Services to (listed in Attachment 2c), to complete Attachment 2d Certificate of Past Performance. You must then attach each certificate to the relevant selection questions in the eSourcing suite (qualification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w:t>
      </w:r>
      <w:r w:rsidDel="00000000" w:rsidR="00000000" w:rsidRPr="00000000">
        <w:rPr>
          <w:rFonts w:ascii="Arial" w:cs="Arial" w:eastAsia="Arial" w:hAnsi="Arial"/>
          <w:sz w:val="24"/>
          <w:szCs w:val="24"/>
          <w:rtl w:val="0"/>
        </w:rPr>
        <w:t xml:space="preserve">relevant </w:t>
      </w:r>
      <w:r w:rsidDel="00000000" w:rsidR="00000000" w:rsidRPr="00000000">
        <w:rPr>
          <w:rFonts w:ascii="Arial" w:cs="Arial" w:eastAsia="Arial" w:hAnsi="Arial"/>
          <w:sz w:val="24"/>
          <w:szCs w:val="24"/>
          <w:rtl w:val="0"/>
        </w:rPr>
        <w:t xml:space="preserve">selection questions in the eSourcing suite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1</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 Lot 2</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suite (commercial envelope).</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rsidR="00000000" w:rsidDel="00000000" w:rsidP="00000000" w:rsidRDefault="00000000" w:rsidRPr="00000000" w14:paraId="00000038">
      <w:pP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4b Information and Declarations – Key Subcontractors</w:t>
      </w:r>
      <w:r w:rsidDel="00000000" w:rsidR="00000000" w:rsidRPr="00000000">
        <w:rPr>
          <w:rFonts w:ascii="Arial" w:cs="Arial" w:eastAsia="Arial" w:hAnsi="Arial"/>
          <w:color w:val="000000"/>
          <w:sz w:val="24"/>
          <w:szCs w:val="24"/>
          <w:rtl w:val="0"/>
        </w:rPr>
        <w:t xml:space="preserve"> Guarantor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Additi</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ment.</w:t>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w:t>
      </w:r>
      <w:r w:rsidDel="00000000" w:rsidR="00000000" w:rsidRPr="00000000">
        <w:rPr>
          <w:rFonts w:ascii="Arial" w:cs="Arial" w:eastAsia="Arial" w:hAnsi="Arial"/>
          <w:b w:val="1"/>
          <w:color w:val="000000"/>
          <w:sz w:val="24"/>
          <w:szCs w:val="24"/>
          <w:rtl w:val="0"/>
        </w:rPr>
        <w:t xml:space="preserve">Attachment 5a – Gold FVRA To</w:t>
      </w:r>
      <w:r w:rsidDel="00000000" w:rsidR="00000000" w:rsidRPr="00000000">
        <w:rPr>
          <w:rFonts w:ascii="Arial" w:cs="Arial" w:eastAsia="Arial" w:hAnsi="Arial"/>
          <w:b w:val="1"/>
          <w:sz w:val="24"/>
          <w:szCs w:val="24"/>
          <w:rtl w:val="0"/>
        </w:rPr>
        <w:t xml:space="preserve">ol</w:t>
      </w: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Gold FVRA 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eSourcing Suite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3C">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3D">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E">
      <w:pPr>
        <w:widowControl w:val="0"/>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1">
      <w:pPr>
        <w:rPr>
          <w:rFonts w:ascii="Arial" w:cs="Arial" w:eastAsia="Arial" w:hAnsi="Arial"/>
          <w:b w:val="1"/>
          <w:color w:val="000000"/>
          <w:sz w:val="24"/>
          <w:szCs w:val="24"/>
        </w:rPr>
      </w:pPr>
      <w:bookmarkStart w:colFirst="0" w:colLast="0" w:name="_heading=h.1ci93xb" w:id="2"/>
      <w:bookmarkEnd w:id="2"/>
      <w:r w:rsidDel="00000000" w:rsidR="00000000" w:rsidRPr="00000000">
        <w:rPr>
          <w:rtl w:val="0"/>
        </w:rPr>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 1.12 </w:t>
      </w:r>
      <w:r w:rsidDel="00000000" w:rsidR="00000000" w:rsidRPr="00000000">
        <w:rPr>
          <w:rFonts w:ascii="Arial" w:cs="Arial" w:eastAsia="Arial" w:hAnsi="Arial"/>
          <w:sz w:val="24"/>
          <w:szCs w:val="24"/>
          <w:rtl w:val="0"/>
        </w:rPr>
        <w:t xml:space="preserve">in the eSourcing Suite.</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1.14 in the eSourcing Suite (Qualification Envelope) </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5">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w:t>
      </w:r>
      <w:r w:rsidDel="00000000" w:rsidR="00000000" w:rsidRPr="00000000">
        <w:rPr>
          <w:rFonts w:ascii="Arial" w:cs="Arial" w:eastAsia="Arial" w:hAnsi="Arial"/>
          <w:b w:val="1"/>
          <w:color w:val="000000"/>
          <w:sz w:val="24"/>
          <w:szCs w:val="24"/>
          <w:highlight w:val="white"/>
          <w:rtl w:val="0"/>
        </w:rPr>
        <w:t xml:space="preserve">ts </w:t>
      </w:r>
      <w:r w:rsidDel="00000000" w:rsidR="00000000" w:rsidRPr="00000000">
        <w:rPr>
          <w:rFonts w:ascii="Arial" w:cs="Arial" w:eastAsia="Arial" w:hAnsi="Arial"/>
          <w:b w:val="1"/>
          <w:color w:val="000000"/>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6">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7">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8">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 </w:t>
      </w:r>
    </w:p>
    <w:p w:rsidR="00000000" w:rsidDel="00000000" w:rsidP="00000000" w:rsidRDefault="00000000" w:rsidRPr="00000000" w14:paraId="00000049">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framework award)</w:t>
      </w:r>
    </w:p>
    <w:p w:rsidR="00000000" w:rsidDel="00000000" w:rsidP="00000000" w:rsidRDefault="00000000" w:rsidRPr="00000000" w14:paraId="0000004B">
      <w:pPr>
        <w:ind w:left="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Attachment 10 Data Pack - </w:t>
      </w:r>
      <w:r w:rsidDel="00000000" w:rsidR="00000000" w:rsidRPr="00000000">
        <w:rPr>
          <w:rFonts w:ascii="Arial" w:cs="Arial" w:eastAsia="Arial" w:hAnsi="Arial"/>
          <w:sz w:val="24"/>
          <w:szCs w:val="24"/>
          <w:highlight w:val="white"/>
          <w:rtl w:val="0"/>
        </w:rPr>
        <w:t xml:space="preserve">An overview of historical call off contracts. Please refer to paragraph 2 ‘the opportunity’ for further information.</w:t>
      </w:r>
      <w:r w:rsidDel="00000000" w:rsidR="00000000" w:rsidRPr="00000000">
        <w:rPr>
          <w:rtl w:val="0"/>
        </w:rPr>
      </w:r>
    </w:p>
    <w:p w:rsidR="00000000" w:rsidDel="00000000" w:rsidP="00000000" w:rsidRDefault="00000000" w:rsidRPr="00000000" w14:paraId="0000004C">
      <w:pPr>
        <w:ind w:left="0" w:firstLine="0"/>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Attachment 10a Data Pack Non-disclosure Agreemen</w:t>
      </w:r>
      <w:r w:rsidDel="00000000" w:rsidR="00000000" w:rsidRPr="00000000">
        <w:rPr>
          <w:rFonts w:ascii="Arial" w:cs="Arial" w:eastAsia="Arial" w:hAnsi="Arial"/>
          <w:sz w:val="24"/>
          <w:szCs w:val="24"/>
          <w:highlight w:val="white"/>
          <w:rtl w:val="0"/>
        </w:rPr>
        <w:t xml:space="preserve">t </w:t>
      </w:r>
      <w:r w:rsidDel="00000000" w:rsidR="00000000" w:rsidRPr="00000000">
        <w:rPr>
          <w:rFonts w:ascii="Arial" w:cs="Arial" w:eastAsia="Arial" w:hAnsi="Arial"/>
          <w:sz w:val="24"/>
          <w:szCs w:val="24"/>
          <w:rtl w:val="0"/>
        </w:rPr>
        <w:t xml:space="preserve">- You must complete and return via the eSourcing Suite messaging service to receive the Attachment 10 Data Pack information.</w:t>
      </w:r>
    </w:p>
    <w:p w:rsidR="00000000" w:rsidDel="00000000" w:rsidP="00000000" w:rsidRDefault="00000000" w:rsidRPr="00000000" w14:paraId="0000004D">
      <w:pPr>
        <w:ind w:left="0" w:firstLine="0"/>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Attachment 11 Lot 1 TUPE data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You must complete the Attachment 11a TUPE Non-disclosure Letter of Agreement in order to receive the TUPE data referred to at paragraph 8 of this Attachment 1 About the Framework. Please refer to paragraph 8 of this Attachment 1 About the framework.</w:t>
      </w:r>
    </w:p>
    <w:p w:rsidR="00000000" w:rsidDel="00000000" w:rsidP="00000000" w:rsidRDefault="00000000" w:rsidRPr="00000000" w14:paraId="0000004E">
      <w:pPr>
        <w:rPr>
          <w:rFonts w:ascii="Arial" w:cs="Arial" w:eastAsia="Arial" w:hAnsi="Arial"/>
          <w:sz w:val="24"/>
          <w:szCs w:val="24"/>
          <w:highlight w:val="yellow"/>
        </w:rPr>
      </w:pPr>
      <w:r w:rsidDel="00000000" w:rsidR="00000000" w:rsidRPr="00000000">
        <w:rPr>
          <w:rFonts w:ascii="Arial" w:cs="Arial" w:eastAsia="Arial" w:hAnsi="Arial"/>
          <w:b w:val="1"/>
          <w:sz w:val="24"/>
          <w:szCs w:val="24"/>
          <w:highlight w:val="white"/>
          <w:rtl w:val="0"/>
        </w:rPr>
        <w:t xml:space="preserve">Attachment 11a TUPE Non-disclosure Letter of Agreement - </w:t>
      </w:r>
      <w:r w:rsidDel="00000000" w:rsidR="00000000" w:rsidRPr="00000000">
        <w:rPr>
          <w:rFonts w:ascii="Arial" w:cs="Arial" w:eastAsia="Arial" w:hAnsi="Arial"/>
          <w:sz w:val="24"/>
          <w:szCs w:val="24"/>
          <w:highlight w:val="white"/>
          <w:rtl w:val="0"/>
        </w:rPr>
        <w:t xml:space="preserve">you must complete this and return it through the eSourcing Suite messaging service to receive the Attachment 12 Lot 1 TUPE information. Please refer to paragraph 8 of Attachment 1 About the Framework.</w:t>
      </w:r>
      <w:r w:rsidDel="00000000" w:rsidR="00000000" w:rsidRPr="00000000">
        <w:rPr>
          <w:rtl w:val="0"/>
        </w:rPr>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Suite. The guidance, information and instructions that we provide are there to help you to make a compliant bid.</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1">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Suite,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Suite and instructions on how to submit a compliant bid:</w:t>
      </w:r>
    </w:p>
    <w:p w:rsidR="00000000" w:rsidDel="00000000" w:rsidP="00000000" w:rsidRDefault="00000000" w:rsidRPr="00000000" w14:paraId="00000053">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4">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Suite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b w:val="1"/>
          <w:sz w:val="32"/>
          <w:szCs w:val="32"/>
        </w:rPr>
      </w:pPr>
      <w:bookmarkStart w:colFirst="0" w:colLast="0" w:name="_heading=h.i515u7zhjkhv" w:id="3"/>
      <w:bookmarkEnd w:id="3"/>
      <w:r w:rsidDel="00000000" w:rsidR="00000000" w:rsidRPr="00000000">
        <w:rPr>
          <w:rtl w:val="0"/>
        </w:rPr>
      </w:r>
    </w:p>
    <w:p w:rsidR="00000000" w:rsidDel="00000000" w:rsidP="00000000" w:rsidRDefault="00000000" w:rsidRPr="00000000" w14:paraId="00000057">
      <w:pPr>
        <w:rPr>
          <w:rFonts w:ascii="Arial" w:cs="Arial" w:eastAsia="Arial" w:hAnsi="Arial"/>
          <w:b w:val="1"/>
          <w:sz w:val="32"/>
          <w:szCs w:val="32"/>
        </w:rPr>
      </w:pPr>
      <w:bookmarkStart w:colFirst="0" w:colLast="0" w:name="_heading=h.1fob9te" w:id="4"/>
      <w:bookmarkEnd w:id="4"/>
      <w:r w:rsidDel="00000000" w:rsidR="00000000" w:rsidRPr="00000000">
        <w:rPr>
          <w:rtl w:val="0"/>
        </w:rPr>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r w:rsidDel="00000000" w:rsidR="00000000" w:rsidRPr="00000000">
        <w:rPr>
          <w:rFonts w:ascii="Arial" w:cs="Arial" w:eastAsia="Arial" w:hAnsi="Arial"/>
          <w:b w:val="1"/>
          <w:color w:val="000000"/>
          <w:sz w:val="32"/>
          <w:szCs w:val="32"/>
          <w:rtl w:val="0"/>
        </w:rPr>
        <w:t xml:space="preserve">What You Need to Know</w:t>
      </w:r>
      <w:r w:rsidDel="00000000" w:rsidR="00000000" w:rsidRPr="00000000">
        <w:rPr>
          <w:rtl w:val="0"/>
        </w:rPr>
      </w:r>
    </w:p>
    <w:p w:rsidR="00000000" w:rsidDel="00000000" w:rsidP="00000000" w:rsidRDefault="00000000" w:rsidRPr="00000000" w14:paraId="00000059">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D">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F">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1">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3">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5">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6">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7">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9">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B">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6">
      <w:pPr>
        <w:numPr>
          <w:ilvl w:val="1"/>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sz w:val="24"/>
          <w:szCs w:val="24"/>
        </w:rPr>
      </w:pPr>
      <w:r w:rsidDel="00000000" w:rsidR="00000000" w:rsidRPr="00000000">
        <w:rPr>
          <w:rFonts w:ascii="Arial" w:cs="Arial" w:eastAsia="Arial" w:hAnsi="Arial"/>
          <w:sz w:val="24"/>
          <w:szCs w:val="24"/>
          <w:rtl w:val="0"/>
        </w:rPr>
        <w:t xml:space="preserve">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color w:val="000000"/>
          <w:sz w:val="32"/>
          <w:szCs w:val="32"/>
        </w:rPr>
      </w:pPr>
      <w:bookmarkStart w:colFirst="0" w:colLast="0" w:name="_heading=h.2et92p0" w:id="6"/>
      <w:bookmarkEnd w:id="6"/>
      <w:r w:rsidDel="00000000" w:rsidR="00000000" w:rsidRPr="00000000">
        <w:rPr>
          <w:rFonts w:ascii="Arial" w:cs="Arial" w:eastAsia="Arial" w:hAnsi="Arial"/>
          <w:b w:val="1"/>
          <w:color w:val="000000"/>
          <w:sz w:val="32"/>
          <w:szCs w:val="32"/>
          <w:rtl w:val="0"/>
        </w:rPr>
        <w:t xml:space="preserve">The Opportunity </w:t>
      </w:r>
      <w:r w:rsidDel="00000000" w:rsidR="00000000" w:rsidRPr="00000000">
        <w:rPr>
          <w:rtl w:val="0"/>
        </w:rPr>
      </w:r>
    </w:p>
    <w:p w:rsidR="00000000" w:rsidDel="00000000" w:rsidP="00000000" w:rsidRDefault="00000000" w:rsidRPr="00000000" w14:paraId="00000078">
      <w:pPr>
        <w:spacing w:after="120" w:before="240" w:line="276" w:lineRule="auto"/>
        <w:ind w:left="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is seeking to establish a Framework Agreement (e.g. a CCS Commercial Agreement) for the supply of </w:t>
      </w:r>
      <w:r w:rsidDel="00000000" w:rsidR="00000000" w:rsidRPr="00000000">
        <w:rPr>
          <w:rFonts w:ascii="Arial" w:cs="Arial" w:eastAsia="Arial" w:hAnsi="Arial"/>
          <w:color w:val="1f1f1f"/>
          <w:sz w:val="24"/>
          <w:szCs w:val="24"/>
          <w:highlight w:val="white"/>
          <w:rtl w:val="0"/>
        </w:rPr>
        <w:t xml:space="preserve">printed matter, digital communications and related products</w:t>
      </w:r>
      <w:r w:rsidDel="00000000" w:rsidR="00000000" w:rsidRPr="00000000">
        <w:rPr>
          <w:rFonts w:ascii="Arial" w:cs="Arial" w:eastAsia="Arial" w:hAnsi="Arial"/>
          <w:sz w:val="24"/>
          <w:szCs w:val="24"/>
          <w:rtl w:val="0"/>
        </w:rPr>
        <w:t xml:space="preserve"> for use by the UK public sector.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42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sz w:val="24"/>
          <w:szCs w:val="24"/>
          <w:highlight w:val="white"/>
          <w:rtl w:val="0"/>
        </w:rPr>
        <w:t xml:space="preserve"> scope shall include all types of print such as operational, transactional, and secure print, and the associated services such as direct mail, storage, fulfilment and distribution, digital asset management, digital solutions, omni channel communications, content creation, pre-production services, media duplication and official papers</w:t>
      </w:r>
      <w:r w:rsidDel="00000000" w:rsidR="00000000" w:rsidRPr="00000000">
        <w:rPr>
          <w:rtl w:val="0"/>
        </w:rPr>
      </w:r>
    </w:p>
    <w:p w:rsidR="00000000" w:rsidDel="00000000" w:rsidP="00000000" w:rsidRDefault="00000000" w:rsidRPr="00000000" w14:paraId="0000007A">
      <w:pPr>
        <w:spacing w:after="120" w:before="240" w:line="276" w:lineRule="auto"/>
        <w:ind w:left="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fully managed end to end print management and digital communications service covered by this procurement has been sub-divided into two Lots namely:</w:t>
      </w:r>
    </w:p>
    <w:p w:rsidR="00000000" w:rsidDel="00000000" w:rsidP="00000000" w:rsidRDefault="00000000" w:rsidRPr="00000000" w14:paraId="0000007B">
      <w:pPr>
        <w:spacing w:after="0" w:before="240" w:line="276" w:lineRule="auto"/>
        <w:ind w:left="8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C">
      <w:p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Print Management and Digital Communications Services, including Command and House. This is a single Supplier Lot and Buyers will access Lot 1 via a direct award Call-Off Procedure.</w:t>
      </w:r>
    </w:p>
    <w:p w:rsidR="00000000" w:rsidDel="00000000" w:rsidP="00000000" w:rsidRDefault="00000000" w:rsidRPr="00000000" w14:paraId="0000007D">
      <w:pPr>
        <w:spacing w:after="0" w:line="276" w:lineRule="auto"/>
        <w:ind w:left="15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E">
      <w:pPr>
        <w:spacing w:after="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Print Management and Digital Communications Services. This is a multi-Supplier Lot and Buyers will access Lot 2 via further competition. </w:t>
      </w:r>
    </w:p>
    <w:p w:rsidR="00000000" w:rsidDel="00000000" w:rsidP="00000000" w:rsidRDefault="00000000" w:rsidRPr="00000000" w14:paraId="0000007F">
      <w:pPr>
        <w:spacing w:after="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0">
      <w:pPr>
        <w:spacing w:after="120" w:before="240" w:line="276" w:lineRule="auto"/>
        <w:ind w:left="4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full scope and specification of the Deliverables associated with Lots 1 and 2 is detailed in </w:t>
      </w:r>
      <w:r w:rsidDel="00000000" w:rsidR="00000000" w:rsidRPr="00000000">
        <w:rPr>
          <w:rFonts w:ascii="Arial" w:cs="Arial" w:eastAsia="Arial" w:hAnsi="Arial"/>
          <w:b w:val="1"/>
          <w:sz w:val="24"/>
          <w:szCs w:val="24"/>
          <w:highlight w:val="white"/>
          <w:rtl w:val="0"/>
        </w:rPr>
        <w:t xml:space="preserve">Attachment 1a Framework Schedule 1 (Specification)</w:t>
      </w:r>
      <w:r w:rsidDel="00000000" w:rsidR="00000000" w:rsidRPr="00000000">
        <w:rPr>
          <w:rFonts w:ascii="Arial" w:cs="Arial" w:eastAsia="Arial" w:hAnsi="Arial"/>
          <w:sz w:val="24"/>
          <w:szCs w:val="24"/>
          <w:highlight w:val="white"/>
          <w:rtl w:val="0"/>
        </w:rPr>
        <w:t xml:space="preserve">.  In addition, we have created a Data Pack (</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b w:val="1"/>
          <w:sz w:val="24"/>
          <w:szCs w:val="24"/>
          <w:highlight w:val="white"/>
          <w:rtl w:val="0"/>
        </w:rPr>
        <w:t xml:space="preserve">Atta</w:t>
      </w:r>
      <w:r w:rsidDel="00000000" w:rsidR="00000000" w:rsidRPr="00000000">
        <w:rPr>
          <w:rFonts w:ascii="Arial" w:cs="Arial" w:eastAsia="Arial" w:hAnsi="Arial"/>
          <w:b w:val="1"/>
          <w:sz w:val="24"/>
          <w:szCs w:val="24"/>
          <w:highlight w:val="white"/>
          <w:rtl w:val="0"/>
        </w:rPr>
        <w:t xml:space="preserve">chment 10 - Data Pack</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to give bidders an overview of historical call off contracts (please note that there is no guarantee that the call off contracts placed by customers in the past will be the same in the future).  </w:t>
      </w:r>
    </w:p>
    <w:p w:rsidR="00000000" w:rsidDel="00000000" w:rsidP="00000000" w:rsidRDefault="00000000" w:rsidRPr="00000000" w14:paraId="00000081">
      <w:pPr>
        <w:spacing w:after="120" w:before="240" w:line="276" w:lineRule="auto"/>
        <w:ind w:left="4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To access the Attachment 10 data pack you need to sign the </w:t>
      </w:r>
      <w:r w:rsidDel="00000000" w:rsidR="00000000" w:rsidRPr="00000000">
        <w:rPr>
          <w:rFonts w:ascii="Arial" w:cs="Arial" w:eastAsia="Arial" w:hAnsi="Arial"/>
          <w:b w:val="1"/>
          <w:sz w:val="24"/>
          <w:szCs w:val="24"/>
          <w:highlight w:val="white"/>
          <w:rtl w:val="0"/>
        </w:rPr>
        <w:t xml:space="preserve">Attach</w:t>
      </w:r>
      <w:r w:rsidDel="00000000" w:rsidR="00000000" w:rsidRPr="00000000">
        <w:rPr>
          <w:rFonts w:ascii="Arial" w:cs="Arial" w:eastAsia="Arial" w:hAnsi="Arial"/>
          <w:b w:val="1"/>
          <w:sz w:val="24"/>
          <w:szCs w:val="24"/>
          <w:highlight w:val="white"/>
          <w:rtl w:val="0"/>
        </w:rPr>
        <w:t xml:space="preserve">ment 10a Non-Disclosure Agreement (NDA)</w:t>
      </w:r>
      <w:r w:rsidDel="00000000" w:rsidR="00000000" w:rsidRPr="00000000">
        <w:rPr>
          <w:rFonts w:ascii="Arial" w:cs="Arial" w:eastAsia="Arial" w:hAnsi="Arial"/>
          <w:sz w:val="24"/>
          <w:szCs w:val="24"/>
          <w:highlight w:val="white"/>
          <w:rtl w:val="0"/>
        </w:rPr>
        <w:t xml:space="preserve"> and return it via the eSourcing suite messaging service.  When we receive your completed non-disclosure agreement, we will then send the Data pack to you via the eSourcing suite.  The information contained within the data pack is strictly confidential, you must not at any time </w:t>
      </w:r>
    </w:p>
    <w:p w:rsidR="00000000" w:rsidDel="00000000" w:rsidP="00000000" w:rsidRDefault="00000000" w:rsidRPr="00000000" w14:paraId="00000082">
      <w:pPr>
        <w:spacing w:after="0" w:line="276" w:lineRule="auto"/>
        <w:ind w:left="1440" w:hanging="3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make use of it for your own purposes</w:t>
      </w:r>
    </w:p>
    <w:p w:rsidR="00000000" w:rsidDel="00000000" w:rsidP="00000000" w:rsidRDefault="00000000" w:rsidRPr="00000000" w14:paraId="00000083">
      <w:pPr>
        <w:spacing w:after="0" w:line="276" w:lineRule="auto"/>
        <w:ind w:left="1440" w:hanging="3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disclose it to any person (except as may be required by law).</w:t>
      </w:r>
    </w:p>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tyjcwt" w:id="7"/>
      <w:bookmarkEnd w:id="7"/>
      <w:r w:rsidDel="00000000" w:rsidR="00000000" w:rsidRPr="00000000">
        <w:rPr>
          <w:rFonts w:ascii="Arial" w:cs="Arial" w:eastAsia="Arial" w:hAnsi="Arial"/>
          <w:b w:val="1"/>
          <w:color w:val="000000"/>
          <w:sz w:val="32"/>
          <w:szCs w:val="32"/>
          <w:rtl w:val="0"/>
        </w:rPr>
        <w:t xml:space="preserve">What a Framework is </w:t>
      </w:r>
      <w:r w:rsidDel="00000000" w:rsidR="00000000" w:rsidRPr="00000000">
        <w:rPr>
          <w:rtl w:val="0"/>
        </w:rPr>
      </w:r>
    </w:p>
    <w:p w:rsidR="00000000" w:rsidDel="00000000" w:rsidP="00000000" w:rsidRDefault="00000000" w:rsidRPr="00000000" w14:paraId="0000008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8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A">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51 months, which includes a 3</w:t>
      </w:r>
      <w:r w:rsidDel="00000000" w:rsidR="00000000" w:rsidRPr="00000000">
        <w:rPr>
          <w:rFonts w:ascii="Arial" w:cs="Arial" w:eastAsia="Arial" w:hAnsi="Arial"/>
          <w:color w:val="000000"/>
          <w:sz w:val="24"/>
          <w:szCs w:val="24"/>
          <w:rtl w:val="0"/>
        </w:rPr>
        <w:t xml:space="preserve"> months implementation period.</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2 Lots:</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8F">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0">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1">
            <w:pPr>
              <w:rPr/>
            </w:pPr>
            <w:r w:rsidDel="00000000" w:rsidR="00000000" w:rsidRPr="00000000">
              <w:rPr>
                <w:rtl w:val="0"/>
              </w:rPr>
              <w:t xml:space="preserve">Lot 1</w:t>
            </w:r>
          </w:p>
        </w:tc>
        <w:tc>
          <w:tcPr>
            <w:vAlign w:val="center"/>
          </w:tcPr>
          <w:p w:rsidR="00000000" w:rsidDel="00000000" w:rsidP="00000000" w:rsidRDefault="00000000" w:rsidRPr="00000000" w14:paraId="00000092">
            <w:pPr>
              <w:ind w:left="0" w:firstLine="0"/>
              <w:rPr/>
            </w:pPr>
            <w:r w:rsidDel="00000000" w:rsidR="00000000" w:rsidRPr="00000000">
              <w:rPr>
                <w:rtl w:val="0"/>
              </w:rPr>
              <w:t xml:space="preserve">Print and Digital Communications (Direct Award)</w:t>
            </w:r>
          </w:p>
        </w:tc>
      </w:tr>
      <w:tr>
        <w:trPr>
          <w:cantSplit w:val="0"/>
          <w:trHeight w:val="567" w:hRule="atLeast"/>
          <w:tblHeader w:val="0"/>
        </w:trPr>
        <w:tc>
          <w:tcPr>
            <w:vAlign w:val="center"/>
          </w:tcPr>
          <w:p w:rsidR="00000000" w:rsidDel="00000000" w:rsidP="00000000" w:rsidRDefault="00000000" w:rsidRPr="00000000" w14:paraId="00000093">
            <w:pPr>
              <w:rPr/>
            </w:pPr>
            <w:r w:rsidDel="00000000" w:rsidR="00000000" w:rsidRPr="00000000">
              <w:rPr>
                <w:rtl w:val="0"/>
              </w:rPr>
              <w:t xml:space="preserve">Lot 2</w:t>
            </w:r>
          </w:p>
        </w:tc>
        <w:tc>
          <w:tcPr>
            <w:vAlign w:val="center"/>
          </w:tcPr>
          <w:p w:rsidR="00000000" w:rsidDel="00000000" w:rsidP="00000000" w:rsidRDefault="00000000" w:rsidRPr="00000000" w14:paraId="00000094">
            <w:pPr>
              <w:rPr/>
            </w:pPr>
            <w:r w:rsidDel="00000000" w:rsidR="00000000" w:rsidRPr="00000000">
              <w:rPr>
                <w:rtl w:val="0"/>
              </w:rPr>
              <w:t xml:space="preserve">Print and Digital Communications (Further Competition)</w:t>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1985"/>
        </w:tabs>
        <w:spacing w:after="120" w:before="120" w:line="240" w:lineRule="auto"/>
        <w:ind w:left="737" w:hanging="73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Suppliers to be awarded a Framework Contract for each Lot is:</w:t>
      </w:r>
    </w:p>
    <w:p w:rsidR="00000000" w:rsidDel="00000000" w:rsidP="00000000" w:rsidRDefault="00000000" w:rsidRPr="00000000" w14:paraId="00000097">
      <w:pPr>
        <w:tabs>
          <w:tab w:val="left" w:leader="none" w:pos="1985"/>
        </w:tabs>
        <w:spacing w:after="120" w:before="120" w:line="240" w:lineRule="auto"/>
        <w:ind w:left="737"/>
        <w:jc w:val="both"/>
        <w:rPr>
          <w:rFonts w:ascii="Arial" w:cs="Arial" w:eastAsia="Arial" w:hAnsi="Arial"/>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8">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9">
            <w:pPr>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A">
            <w:pPr>
              <w:rPr/>
            </w:pPr>
            <w:bookmarkStart w:colFirst="0" w:colLast="0" w:name="_heading=h.qsh70q" w:id="9"/>
            <w:bookmarkEnd w:id="9"/>
            <w:r w:rsidDel="00000000" w:rsidR="00000000" w:rsidRPr="00000000">
              <w:rPr>
                <w:rtl w:val="0"/>
              </w:rPr>
              <w:t xml:space="preserve">Lot 1</w:t>
            </w:r>
          </w:p>
        </w:tc>
        <w:tc>
          <w:tcPr>
            <w:vAlign w:val="center"/>
          </w:tcPr>
          <w:p w:rsidR="00000000" w:rsidDel="00000000" w:rsidP="00000000" w:rsidRDefault="00000000" w:rsidRPr="00000000" w14:paraId="0000009B">
            <w:pPr>
              <w:ind w:left="0"/>
              <w:rPr/>
            </w:pPr>
            <w:r w:rsidDel="00000000" w:rsidR="00000000" w:rsidRPr="00000000">
              <w:rPr>
                <w:rtl w:val="0"/>
              </w:rPr>
              <w:t xml:space="preserve">1</w:t>
            </w:r>
          </w:p>
        </w:tc>
      </w:tr>
      <w:tr>
        <w:trPr>
          <w:cantSplit w:val="0"/>
          <w:trHeight w:val="567" w:hRule="atLeast"/>
          <w:tblHeader w:val="0"/>
        </w:trPr>
        <w:tc>
          <w:tcPr>
            <w:vAlign w:val="center"/>
          </w:tcPr>
          <w:p w:rsidR="00000000" w:rsidDel="00000000" w:rsidP="00000000" w:rsidRDefault="00000000" w:rsidRPr="00000000" w14:paraId="0000009C">
            <w:pPr>
              <w:rPr/>
            </w:pPr>
            <w:r w:rsidDel="00000000" w:rsidR="00000000" w:rsidRPr="00000000">
              <w:rPr>
                <w:rtl w:val="0"/>
              </w:rPr>
              <w:t xml:space="preserve">Lot 2</w:t>
            </w:r>
          </w:p>
        </w:tc>
        <w:tc>
          <w:tcPr>
            <w:vAlign w:val="center"/>
          </w:tcPr>
          <w:p w:rsidR="00000000" w:rsidDel="00000000" w:rsidP="00000000" w:rsidRDefault="00000000" w:rsidRPr="00000000" w14:paraId="0000009D">
            <w:pPr>
              <w:ind w:left="0"/>
              <w:rPr/>
            </w:pPr>
            <w:r w:rsidDel="00000000" w:rsidR="00000000" w:rsidRPr="00000000">
              <w:rPr>
                <w:rtl w:val="0"/>
              </w:rPr>
              <w:t xml:space="preserve">7</w:t>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Bidders can bid for more th</w:t>
      </w:r>
      <w:r w:rsidDel="00000000" w:rsidR="00000000" w:rsidRPr="00000000">
        <w:rPr>
          <w:rFonts w:ascii="Arial" w:cs="Arial" w:eastAsia="Arial" w:hAnsi="Arial"/>
          <w:color w:val="000000"/>
          <w:sz w:val="24"/>
          <w:szCs w:val="24"/>
          <w:rtl w:val="0"/>
        </w:rPr>
        <w:t xml:space="preserve">an </w:t>
      </w:r>
      <w:r w:rsidDel="00000000" w:rsidR="00000000" w:rsidRPr="00000000">
        <w:rPr>
          <w:rFonts w:ascii="Arial" w:cs="Arial" w:eastAsia="Arial" w:hAnsi="Arial"/>
          <w:color w:val="000000"/>
          <w:sz w:val="24"/>
          <w:szCs w:val="24"/>
          <w:rtl w:val="0"/>
        </w:rPr>
        <w:t xml:space="preserve">one </w:t>
      </w:r>
      <w:r w:rsidDel="00000000" w:rsidR="00000000" w:rsidRPr="00000000">
        <w:rPr>
          <w:rFonts w:ascii="Arial" w:cs="Arial" w:eastAsia="Arial" w:hAnsi="Arial"/>
          <w:color w:val="000000"/>
          <w:sz w:val="24"/>
          <w:szCs w:val="24"/>
          <w:rtl w:val="0"/>
        </w:rPr>
        <w:t xml:space="preserve">Lo</w:t>
      </w:r>
      <w:r w:rsidDel="00000000" w:rsidR="00000000" w:rsidRPr="00000000">
        <w:rPr>
          <w:rFonts w:ascii="Arial" w:cs="Arial" w:eastAsia="Arial" w:hAnsi="Arial"/>
          <w:sz w:val="24"/>
          <w:szCs w:val="24"/>
          <w:rtl w:val="0"/>
        </w:rPr>
        <w:t xml:space="preserve">t. However, a bidder cannot be awarded a Framework Contract for both Lots. If you do submit bids for both Lot 1 and Lot 2 you can only be awarded a framework contract for one Lot.</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ranked in first position in Lot 1 based on your final score then you will be awarded the Lot 1 framework contract and cannot be awarded a Lot 2 framework contract.</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 Please refer to section 12 of Attachment 2 (How to Bid) for information concerning the final decision to award.</w:t>
      </w:r>
    </w:p>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t3h5sf" w:id="10"/>
      <w:bookmarkEnd w:id="10"/>
      <w:r w:rsidDel="00000000" w:rsidR="00000000" w:rsidRPr="00000000">
        <w:rPr>
          <w:rFonts w:ascii="Arial" w:cs="Arial" w:eastAsia="Arial" w:hAnsi="Arial"/>
          <w:b w:val="1"/>
          <w:color w:val="000000"/>
          <w:sz w:val="32"/>
          <w:szCs w:val="32"/>
          <w:rtl w:val="0"/>
        </w:rPr>
        <w:t xml:space="preserve">Who Can Bid</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sz w:val="24"/>
          <w:szCs w:val="24"/>
        </w:rPr>
      </w:pPr>
      <w:r w:rsidDel="00000000" w:rsidR="00000000" w:rsidRPr="00000000">
        <w:rPr>
          <w:rFonts w:ascii="Arial" w:cs="Arial" w:eastAsia="Arial" w:hAnsi="Arial"/>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Upcoming agreements - CCS</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7">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8">
      <w:pPr>
        <w:numPr>
          <w:ilvl w:val="0"/>
          <w:numId w:val="3"/>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 in the same Lot.</w:t>
      </w:r>
    </w:p>
    <w:p w:rsidR="00000000" w:rsidDel="00000000" w:rsidP="00000000" w:rsidRDefault="00000000" w:rsidRPr="00000000" w14:paraId="000000AA">
      <w:pPr>
        <w:tabs>
          <w:tab w:val="left" w:leader="none" w:pos="1134"/>
        </w:tabs>
        <w:spacing w:after="240" w:before="16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Bidders are permitted to bid as a single entity </w:t>
      </w:r>
      <w:r w:rsidDel="00000000" w:rsidR="00000000" w:rsidRPr="00000000">
        <w:rPr>
          <w:rFonts w:ascii="Arial" w:cs="Arial" w:eastAsia="Arial" w:hAnsi="Arial"/>
          <w:b w:val="1"/>
          <w:sz w:val="24"/>
          <w:szCs w:val="24"/>
          <w:u w:val="single"/>
          <w:rtl w:val="0"/>
        </w:rPr>
        <w:t xml:space="preserve">OR</w:t>
      </w:r>
      <w:r w:rsidDel="00000000" w:rsidR="00000000" w:rsidRPr="00000000">
        <w:rPr>
          <w:rFonts w:ascii="Arial" w:cs="Arial" w:eastAsia="Arial" w:hAnsi="Arial"/>
          <w:sz w:val="24"/>
          <w:szCs w:val="24"/>
          <w:rtl w:val="0"/>
        </w:rPr>
        <w:t xml:space="preserve"> as a consortium member </w:t>
      </w:r>
      <w:r w:rsidDel="00000000" w:rsidR="00000000" w:rsidRPr="00000000">
        <w:rPr>
          <w:rFonts w:ascii="Arial" w:cs="Arial" w:eastAsia="Arial" w:hAnsi="Arial"/>
          <w:b w:val="1"/>
          <w:sz w:val="24"/>
          <w:szCs w:val="24"/>
          <w:u w:val="single"/>
          <w:rtl w:val="0"/>
        </w:rPr>
        <w:t xml:space="preserve">AND</w:t>
      </w:r>
      <w:r w:rsidDel="00000000" w:rsidR="00000000" w:rsidRPr="00000000">
        <w:rPr>
          <w:rFonts w:ascii="Arial" w:cs="Arial" w:eastAsia="Arial" w:hAnsi="Arial"/>
          <w:sz w:val="24"/>
          <w:szCs w:val="24"/>
          <w:rtl w:val="0"/>
        </w:rPr>
        <w:t xml:space="preserve"> be a named Key Subcontractor in another bid in the same Lot. </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AC">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4d34og8" w:id="11"/>
      <w:bookmarkEnd w:id="11"/>
      <w:r w:rsidDel="00000000" w:rsidR="00000000" w:rsidRPr="00000000">
        <w:rPr>
          <w:rFonts w:ascii="Arial" w:cs="Arial" w:eastAsia="Arial" w:hAnsi="Arial"/>
          <w:b w:val="1"/>
          <w:color w:val="000000"/>
          <w:sz w:val="32"/>
          <w:szCs w:val="32"/>
          <w:rtl w:val="0"/>
        </w:rPr>
        <w:t xml:space="preserve">Timelines for the Competition</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AE">
            <w:pPr>
              <w:spacing w:after="120" w:before="120" w:lineRule="auto"/>
              <w:rPr/>
            </w:pPr>
            <w:r w:rsidDel="00000000" w:rsidR="00000000" w:rsidRPr="00000000">
              <w:rPr>
                <w:rtl w:val="0"/>
              </w:rPr>
              <w:t xml:space="preserve">Start Date (this is the date we submitted </w:t>
            </w:r>
            <w:r w:rsidDel="00000000" w:rsidR="00000000" w:rsidRPr="00000000">
              <w:rPr>
                <w:rtl w:val="0"/>
              </w:rPr>
              <w:t xml:space="preserve">the</w:t>
            </w:r>
            <w:r w:rsidDel="00000000" w:rsidR="00000000" w:rsidRPr="00000000">
              <w:rPr>
                <w:rtl w:val="0"/>
              </w:rPr>
              <w:t xml:space="preserve"> Contract Notice to be published)</w:t>
            </w:r>
          </w:p>
        </w:tc>
        <w:tc>
          <w:tcPr>
            <w:vAlign w:val="center"/>
          </w:tcPr>
          <w:p w:rsidR="00000000" w:rsidDel="00000000" w:rsidP="00000000" w:rsidRDefault="00000000" w:rsidRPr="00000000" w14:paraId="000000AF">
            <w:pPr>
              <w:spacing w:after="120" w:before="120" w:lineRule="auto"/>
              <w:ind w:left="0" w:firstLine="0"/>
              <w:rPr/>
            </w:pPr>
            <w:r w:rsidDel="00000000" w:rsidR="00000000" w:rsidRPr="00000000">
              <w:rPr>
                <w:rtl w:val="0"/>
              </w:rPr>
              <w:t xml:space="preserve">Monday 22 April 2024</w:t>
            </w:r>
          </w:p>
        </w:tc>
      </w:tr>
      <w:tr>
        <w:trPr>
          <w:cantSplit w:val="0"/>
          <w:tblHeader w:val="0"/>
        </w:trPr>
        <w:tc>
          <w:tcPr>
            <w:vAlign w:val="center"/>
          </w:tcPr>
          <w:p w:rsidR="00000000" w:rsidDel="00000000" w:rsidP="00000000" w:rsidRDefault="00000000" w:rsidRPr="00000000" w14:paraId="000000B0">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B1">
            <w:pPr>
              <w:spacing w:after="120" w:before="120" w:lineRule="auto"/>
              <w:ind w:left="0"/>
              <w:rPr/>
            </w:pPr>
            <w:r w:rsidDel="00000000" w:rsidR="00000000" w:rsidRPr="00000000">
              <w:rPr>
                <w:rtl w:val="0"/>
              </w:rPr>
              <w:t xml:space="preserve">Monday 22 April 2024</w:t>
            </w:r>
          </w:p>
        </w:tc>
      </w:tr>
      <w:tr>
        <w:trPr>
          <w:cantSplit w:val="0"/>
          <w:tblHeader w:val="0"/>
        </w:trPr>
        <w:tc>
          <w:tcPr>
            <w:vAlign w:val="center"/>
          </w:tcPr>
          <w:p w:rsidR="00000000" w:rsidDel="00000000" w:rsidP="00000000" w:rsidRDefault="00000000" w:rsidRPr="00000000" w14:paraId="000000B2">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3">
            <w:pPr>
              <w:ind w:left="0" w:firstLine="0"/>
              <w:rPr/>
            </w:pPr>
            <w:r w:rsidDel="00000000" w:rsidR="00000000" w:rsidRPr="00000000">
              <w:rPr>
                <w:rtl w:val="0"/>
              </w:rPr>
              <w:t xml:space="preserve">12:00 (Midday) Thursday 9th May 2024</w:t>
            </w:r>
          </w:p>
        </w:tc>
      </w:tr>
      <w:tr>
        <w:trPr>
          <w:cantSplit w:val="0"/>
          <w:tblHeader w:val="0"/>
        </w:trPr>
        <w:tc>
          <w:tcPr>
            <w:vAlign w:val="center"/>
          </w:tcPr>
          <w:p w:rsidR="00000000" w:rsidDel="00000000" w:rsidP="00000000" w:rsidRDefault="00000000" w:rsidRPr="00000000" w14:paraId="000000B4">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B5">
            <w:pPr>
              <w:ind w:left="0" w:firstLine="0"/>
              <w:rPr/>
            </w:pPr>
            <w:r w:rsidDel="00000000" w:rsidR="00000000" w:rsidRPr="00000000">
              <w:rPr>
                <w:rtl w:val="0"/>
              </w:rPr>
              <w:t xml:space="preserve">Wednesday 15th May 2024</w:t>
            </w:r>
          </w:p>
        </w:tc>
      </w:tr>
      <w:tr>
        <w:trPr>
          <w:cantSplit w:val="0"/>
          <w:tblHeader w:val="0"/>
        </w:trPr>
        <w:tc>
          <w:tcPr>
            <w:vAlign w:val="center"/>
          </w:tcPr>
          <w:p w:rsidR="00000000" w:rsidDel="00000000" w:rsidP="00000000" w:rsidRDefault="00000000" w:rsidRPr="00000000" w14:paraId="000000B6">
            <w:pPr>
              <w:spacing w:after="120" w:before="120" w:lineRule="auto"/>
              <w:rPr/>
            </w:pPr>
            <w:r w:rsidDel="00000000" w:rsidR="00000000" w:rsidRPr="00000000">
              <w:rPr>
                <w:rtl w:val="0"/>
              </w:rPr>
              <w:t xml:space="preserve">Bid Submission Dead</w:t>
            </w:r>
            <w:r w:rsidDel="00000000" w:rsidR="00000000" w:rsidRPr="00000000">
              <w:rPr>
                <w:rtl w:val="0"/>
              </w:rPr>
              <w:t xml:space="preserve">line</w:t>
            </w:r>
            <w:r w:rsidDel="00000000" w:rsidR="00000000" w:rsidRPr="00000000">
              <w:rPr>
                <w:rtl w:val="0"/>
              </w:rPr>
            </w:r>
          </w:p>
        </w:tc>
        <w:tc>
          <w:tcPr>
            <w:vAlign w:val="center"/>
          </w:tcPr>
          <w:p w:rsidR="00000000" w:rsidDel="00000000" w:rsidP="00000000" w:rsidRDefault="00000000" w:rsidRPr="00000000" w14:paraId="000000B7">
            <w:pPr>
              <w:ind w:left="0" w:firstLine="0"/>
              <w:rPr/>
            </w:pPr>
            <w:r w:rsidDel="00000000" w:rsidR="00000000" w:rsidRPr="00000000">
              <w:rPr>
                <w:rtl w:val="0"/>
              </w:rPr>
              <w:t xml:space="preserve">15:00 Friday 24th May 2024</w:t>
            </w:r>
          </w:p>
        </w:tc>
      </w:tr>
      <w:tr>
        <w:trPr>
          <w:cantSplit w:val="0"/>
          <w:tblHeader w:val="0"/>
        </w:trPr>
        <w:tc>
          <w:tcPr>
            <w:vAlign w:val="center"/>
          </w:tcPr>
          <w:p w:rsidR="00000000" w:rsidDel="00000000" w:rsidP="00000000" w:rsidRDefault="00000000" w:rsidRPr="00000000" w14:paraId="000000B8">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B9">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BA">
            <w:pPr>
              <w:spacing w:after="120" w:before="120" w:lineRule="auto"/>
              <w:rPr/>
            </w:pPr>
            <w:bookmarkStart w:colFirst="0" w:colLast="0" w:name="_heading=h.3whwml4" w:id="12"/>
            <w:bookmarkEnd w:id="12"/>
            <w:r w:rsidDel="00000000" w:rsidR="00000000" w:rsidRPr="00000000">
              <w:rPr>
                <w:rtl w:val="0"/>
              </w:rPr>
              <w:t xml:space="preserve">Issue of Intention to Award Notices to Su</w:t>
            </w:r>
            <w:r w:rsidDel="00000000" w:rsidR="00000000" w:rsidRPr="00000000">
              <w:rPr>
                <w:rtl w:val="0"/>
              </w:rPr>
              <w:t xml:space="preserve">ccess</w:t>
            </w:r>
            <w:r w:rsidDel="00000000" w:rsidR="00000000" w:rsidRPr="00000000">
              <w:rPr>
                <w:rtl w:val="0"/>
              </w:rPr>
              <w:t xml:space="preserve">ful</w:t>
            </w:r>
            <w:r w:rsidDel="00000000" w:rsidR="00000000" w:rsidRPr="00000000">
              <w:rPr>
                <w:rtl w:val="0"/>
              </w:rPr>
              <w:t xml:space="preserve"> and Unsuccessful Bidders</w:t>
            </w:r>
          </w:p>
        </w:tc>
        <w:tc>
          <w:tcPr>
            <w:vAlign w:val="center"/>
          </w:tcPr>
          <w:p w:rsidR="00000000" w:rsidDel="00000000" w:rsidP="00000000" w:rsidRDefault="00000000" w:rsidRPr="00000000" w14:paraId="000000BB">
            <w:pPr>
              <w:ind w:left="0" w:firstLine="0"/>
              <w:rPr/>
            </w:pPr>
            <w:r w:rsidDel="00000000" w:rsidR="00000000" w:rsidRPr="00000000">
              <w:rPr>
                <w:rtl w:val="0"/>
              </w:rPr>
              <w:t xml:space="preserve">Friday 13th September 2024</w:t>
            </w:r>
          </w:p>
        </w:tc>
      </w:tr>
      <w:tr>
        <w:trPr>
          <w:cantSplit w:val="0"/>
          <w:trHeight w:val="737" w:hRule="atLeast"/>
          <w:tblHeader w:val="0"/>
        </w:trPr>
        <w:tc>
          <w:tcPr>
            <w:vAlign w:val="center"/>
          </w:tcPr>
          <w:p w:rsidR="00000000" w:rsidDel="00000000" w:rsidP="00000000" w:rsidRDefault="00000000" w:rsidRPr="00000000" w14:paraId="000000BC">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D">
            <w:pPr>
              <w:rPr/>
            </w:pPr>
            <w:r w:rsidDel="00000000" w:rsidR="00000000" w:rsidRPr="00000000">
              <w:rPr>
                <w:rtl w:val="0"/>
              </w:rPr>
              <w:t xml:space="preserve">Midnight at the end of Monday 23rd September 2024</w:t>
            </w:r>
          </w:p>
        </w:tc>
      </w:tr>
      <w:tr>
        <w:trPr>
          <w:cantSplit w:val="0"/>
          <w:tblHeader w:val="0"/>
        </w:trPr>
        <w:tc>
          <w:tcPr>
            <w:vAlign w:val="center"/>
          </w:tcPr>
          <w:p w:rsidR="00000000" w:rsidDel="00000000" w:rsidP="00000000" w:rsidRDefault="00000000" w:rsidRPr="00000000" w14:paraId="000000BE">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BF">
            <w:pPr>
              <w:ind w:left="0" w:firstLine="0"/>
              <w:rPr/>
            </w:pPr>
            <w:r w:rsidDel="00000000" w:rsidR="00000000" w:rsidRPr="00000000">
              <w:rPr>
                <w:rtl w:val="0"/>
              </w:rPr>
              <w:t xml:space="preserve">Tuesday 24th September 2024</w:t>
            </w:r>
          </w:p>
        </w:tc>
      </w:tr>
      <w:tr>
        <w:trPr>
          <w:cantSplit w:val="0"/>
          <w:tblHeader w:val="0"/>
        </w:trPr>
        <w:tc>
          <w:tcPr>
            <w:vAlign w:val="center"/>
          </w:tcPr>
          <w:p w:rsidR="00000000" w:rsidDel="00000000" w:rsidP="00000000" w:rsidRDefault="00000000" w:rsidRPr="00000000" w14:paraId="000000C0">
            <w:pPr>
              <w:spacing w:after="120" w:before="120" w:lineRule="auto"/>
              <w:rPr/>
            </w:pPr>
            <w:r w:rsidDel="00000000" w:rsidR="00000000" w:rsidRPr="00000000">
              <w:rPr>
                <w:rtl w:val="0"/>
              </w:rPr>
              <w:t xml:space="preserve">Framework Start Dat</w:t>
            </w:r>
            <w:r w:rsidDel="00000000" w:rsidR="00000000" w:rsidRPr="00000000">
              <w:rPr>
                <w:rtl w:val="0"/>
              </w:rPr>
              <w:t xml:space="preserve">e</w:t>
            </w:r>
            <w:r w:rsidDel="00000000" w:rsidR="00000000" w:rsidRPr="00000000">
              <w:rPr>
                <w:rtl w:val="0"/>
              </w:rPr>
              <w:t xml:space="preserve"> and Start of Implementation Period</w:t>
            </w:r>
          </w:p>
        </w:tc>
        <w:tc>
          <w:tcPr>
            <w:vAlign w:val="center"/>
          </w:tcPr>
          <w:p w:rsidR="00000000" w:rsidDel="00000000" w:rsidP="00000000" w:rsidRDefault="00000000" w:rsidRPr="00000000" w14:paraId="000000C1">
            <w:pPr>
              <w:ind w:left="0"/>
              <w:rPr/>
            </w:pPr>
            <w:r w:rsidDel="00000000" w:rsidR="00000000" w:rsidRPr="00000000">
              <w:rPr>
                <w:rtl w:val="0"/>
              </w:rPr>
              <w:t xml:space="preserve">Tuesday 24th September 2024</w:t>
            </w:r>
          </w:p>
        </w:tc>
      </w:tr>
      <w:tr>
        <w:trPr>
          <w:cantSplit w:val="0"/>
          <w:tblHeader w:val="0"/>
        </w:trPr>
        <w:tc>
          <w:tcPr>
            <w:vAlign w:val="center"/>
          </w:tcPr>
          <w:p w:rsidR="00000000" w:rsidDel="00000000" w:rsidP="00000000" w:rsidRDefault="00000000" w:rsidRPr="00000000" w14:paraId="000000C2">
            <w:pPr>
              <w:spacing w:after="120" w:before="120" w:lineRule="auto"/>
              <w:rPr/>
            </w:pPr>
            <w:r w:rsidDel="00000000" w:rsidR="00000000" w:rsidRPr="00000000">
              <w:rPr>
                <w:rtl w:val="0"/>
              </w:rPr>
              <w:t xml:space="preserve">Framework Go Live</w:t>
            </w:r>
          </w:p>
        </w:tc>
        <w:tc>
          <w:tcPr>
            <w:vAlign w:val="center"/>
          </w:tcPr>
          <w:p w:rsidR="00000000" w:rsidDel="00000000" w:rsidP="00000000" w:rsidRDefault="00000000" w:rsidRPr="00000000" w14:paraId="000000C3">
            <w:pPr>
              <w:ind w:left="0" w:firstLine="0"/>
              <w:rPr/>
            </w:pPr>
            <w:r w:rsidDel="00000000" w:rsidR="00000000" w:rsidRPr="00000000">
              <w:rPr>
                <w:rtl w:val="0"/>
              </w:rPr>
              <w:t xml:space="preserve">Saturday 28th December 2024</w:t>
            </w:r>
          </w:p>
        </w:tc>
      </w:tr>
    </w:tbl>
    <w:p w:rsidR="00000000" w:rsidDel="00000000" w:rsidP="00000000" w:rsidRDefault="00000000" w:rsidRPr="00000000" w14:paraId="000000C4">
      <w:pPr>
        <w:rPr>
          <w:rFonts w:ascii="Arial" w:cs="Arial" w:eastAsia="Arial" w:hAnsi="Arial"/>
          <w:b w:val="1"/>
          <w:sz w:val="32"/>
          <w:szCs w:val="32"/>
        </w:rPr>
      </w:pPr>
      <w:bookmarkStart w:colFirst="0" w:colLast="0" w:name="_heading=h.2s8eyo1" w:id="13"/>
      <w:bookmarkEnd w:id="13"/>
      <w:r w:rsidDel="00000000" w:rsidR="00000000" w:rsidRPr="00000000">
        <w:rPr>
          <w:rtl w:val="0"/>
        </w:rPr>
      </w:r>
    </w:p>
    <w:p w:rsidR="00000000" w:rsidDel="00000000" w:rsidP="00000000" w:rsidRDefault="00000000" w:rsidRPr="00000000" w14:paraId="000000C5">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17dp8vu" w:id="14"/>
      <w:bookmarkEnd w:id="14"/>
      <w:r w:rsidDel="00000000" w:rsidR="00000000" w:rsidRPr="00000000">
        <w:rPr>
          <w:rFonts w:ascii="Arial" w:cs="Arial" w:eastAsia="Arial" w:hAnsi="Arial"/>
          <w:b w:val="1"/>
          <w:color w:val="000000"/>
          <w:sz w:val="32"/>
          <w:szCs w:val="32"/>
          <w:rtl w:val="0"/>
        </w:rPr>
        <w:t xml:space="preserve">When and How to Ask Questions</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19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CB">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rdcrjn" w:id="15"/>
      <w:bookmarkEnd w:id="15"/>
      <w:r w:rsidDel="00000000" w:rsidR="00000000" w:rsidRPr="00000000">
        <w:rPr>
          <w:rFonts w:ascii="Arial" w:cs="Arial" w:eastAsia="Arial" w:hAnsi="Arial"/>
          <w:b w:val="1"/>
          <w:color w:val="000000"/>
          <w:sz w:val="32"/>
          <w:szCs w:val="32"/>
          <w:rtl w:val="0"/>
        </w:rPr>
        <w:t xml:space="preserve">Management Information and Management Charge</w:t>
      </w:r>
      <w:r w:rsidDel="00000000" w:rsidR="00000000" w:rsidRPr="00000000">
        <w:rPr>
          <w:rtl w:val="0"/>
        </w:rPr>
      </w:r>
    </w:p>
    <w:p w:rsidR="00000000" w:rsidDel="00000000" w:rsidP="00000000" w:rsidRDefault="00000000" w:rsidRPr="00000000" w14:paraId="000000CC">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within the Framework Contract documentation located within Attachment </w:t>
      </w:r>
      <w:r w:rsidDel="00000000" w:rsidR="00000000" w:rsidRPr="00000000">
        <w:rPr>
          <w:rFonts w:ascii="Arial" w:cs="Arial" w:eastAsia="Arial" w:hAnsi="Arial"/>
          <w:sz w:val="24"/>
          <w:szCs w:val="24"/>
          <w:rtl w:val="0"/>
        </w:rPr>
        <w:t xml:space="preserve">9 </w:t>
      </w:r>
      <w:r w:rsidDel="00000000" w:rsidR="00000000" w:rsidRPr="00000000">
        <w:rPr>
          <w:rFonts w:ascii="Arial" w:cs="Arial" w:eastAsia="Arial" w:hAnsi="Arial"/>
          <w:sz w:val="24"/>
          <w:szCs w:val="24"/>
          <w:rtl w:val="0"/>
        </w:rPr>
        <w:t xml:space="preserve">of the bid pack.</w:t>
      </w:r>
    </w:p>
    <w:p w:rsidR="00000000" w:rsidDel="00000000" w:rsidP="00000000" w:rsidRDefault="00000000" w:rsidRPr="00000000" w14:paraId="000000CD">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26in1rg" w:id="16"/>
      <w:bookmarkEnd w:id="16"/>
      <w:r w:rsidDel="00000000" w:rsidR="00000000" w:rsidRPr="00000000">
        <w:rPr>
          <w:rFonts w:ascii="Arial" w:cs="Arial" w:eastAsia="Arial" w:hAnsi="Arial"/>
          <w:b w:val="1"/>
          <w:color w:val="000000"/>
          <w:sz w:val="32"/>
          <w:szCs w:val="32"/>
          <w:rtl w:val="0"/>
        </w:rPr>
        <w:t xml:space="preserve">Transfer of Undertakings (Protection of Employment) Regulations 2006 (“TUPE”)</w:t>
      </w:r>
      <w:r w:rsidDel="00000000" w:rsidR="00000000" w:rsidRPr="00000000">
        <w:rPr>
          <w:rtl w:val="0"/>
        </w:rPr>
      </w:r>
    </w:p>
    <w:p w:rsidR="00000000" w:rsidDel="00000000" w:rsidP="00000000" w:rsidRDefault="00000000" w:rsidRPr="00000000" w14:paraId="000000CF">
      <w:pPr>
        <w:tabs>
          <w:tab w:val="left" w:leader="none" w:pos="1134"/>
        </w:tabs>
        <w:spacing w:after="240" w:before="24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TUPE: General</w:t>
      </w:r>
    </w:p>
    <w:p w:rsidR="00000000" w:rsidDel="00000000" w:rsidP="00000000" w:rsidRDefault="00000000" w:rsidRPr="00000000" w14:paraId="000000D0">
      <w:pPr>
        <w:tabs>
          <w:tab w:val="left" w:leader="none" w:pos="1134"/>
        </w:tabs>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should take your own advice on whether TUPE is likely to apply at Framework level or to Call-Off Contracts under this procurement and to carry out due diligence accordingly. We do not make any representations or give any warranty as to the application or non-application of TUPE to this procurement, either at Framework level or in respect of Call-Off Contracts under the Framework. Neither do we accept any liability or any other legal responsibility in respect of the contents of this Section of the Bid Pack or the TUPE information referred to below. In respect of all of these matters, you must rely solely on your own independent legal or other professional advice.</w:t>
      </w:r>
    </w:p>
    <w:p w:rsidR="00000000" w:rsidDel="00000000" w:rsidP="00000000" w:rsidRDefault="00000000" w:rsidRPr="00000000" w14:paraId="000000D1">
      <w:pPr>
        <w:tabs>
          <w:tab w:val="left" w:leader="none" w:pos="1134"/>
        </w:tabs>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comments made below regarding TUPE are strictly subject to the above disclaimers.</w:t>
      </w:r>
    </w:p>
    <w:p w:rsidR="00000000" w:rsidDel="00000000" w:rsidP="00000000" w:rsidRDefault="00000000" w:rsidRPr="00000000" w14:paraId="000000D2">
      <w:pPr>
        <w:tabs>
          <w:tab w:val="left" w:leader="none" w:pos="1134"/>
        </w:tabs>
        <w:spacing w:after="20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Framework level</w:t>
      </w:r>
    </w:p>
    <w:p w:rsidR="00000000" w:rsidDel="00000000" w:rsidP="00000000" w:rsidRDefault="00000000" w:rsidRPr="00000000" w14:paraId="000000D3">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think that TUPE may apply to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of this procurement at </w:t>
      </w:r>
      <w:r w:rsidDel="00000000" w:rsidR="00000000" w:rsidRPr="00000000">
        <w:rPr>
          <w:rFonts w:ascii="Arial" w:cs="Arial" w:eastAsia="Arial" w:hAnsi="Arial"/>
          <w:b w:val="1"/>
          <w:sz w:val="24"/>
          <w:szCs w:val="24"/>
          <w:rtl w:val="0"/>
        </w:rPr>
        <w:t xml:space="preserve">Framework</w:t>
      </w:r>
      <w:r w:rsidDel="00000000" w:rsidR="00000000" w:rsidRPr="00000000">
        <w:rPr>
          <w:rFonts w:ascii="Arial" w:cs="Arial" w:eastAsia="Arial" w:hAnsi="Arial"/>
          <w:sz w:val="24"/>
          <w:szCs w:val="24"/>
          <w:rtl w:val="0"/>
        </w:rPr>
        <w:t xml:space="preserve"> level because:</w:t>
      </w:r>
    </w:p>
    <w:p w:rsidR="00000000" w:rsidDel="00000000" w:rsidP="00000000" w:rsidRDefault="00000000" w:rsidRPr="00000000" w14:paraId="000000D4">
      <w:pPr>
        <w:numPr>
          <w:ilvl w:val="0"/>
          <w:numId w:val="4"/>
        </w:numPr>
        <w:tabs>
          <w:tab w:val="left" w:leader="none" w:pos="1134"/>
        </w:tabs>
        <w:spacing w:after="200"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services</w:t>
      </w:r>
      <w:r w:rsidDel="00000000" w:rsidR="00000000" w:rsidRPr="00000000">
        <w:rPr>
          <w:sz w:val="16"/>
          <w:szCs w:val="16"/>
          <w:rtl w:val="0"/>
        </w:rPr>
        <w:t xml:space="preserve"> </w:t>
      </w:r>
      <w:r w:rsidDel="00000000" w:rsidR="00000000" w:rsidRPr="00000000">
        <w:rPr>
          <w:rFonts w:ascii="Arial" w:cs="Arial" w:eastAsia="Arial" w:hAnsi="Arial"/>
          <w:sz w:val="24"/>
          <w:szCs w:val="24"/>
          <w:rtl w:val="0"/>
        </w:rPr>
        <w:t xml:space="preserve">which are fundamentally the same as those required at Framework level under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of this procurement are being provided by the current Framework supplier</w:t>
      </w:r>
    </w:p>
    <w:p w:rsidR="00000000" w:rsidDel="00000000" w:rsidP="00000000" w:rsidRDefault="00000000" w:rsidRPr="00000000" w14:paraId="000000D5">
      <w:pPr>
        <w:numPr>
          <w:ilvl w:val="0"/>
          <w:numId w:val="4"/>
        </w:numPr>
        <w:tabs>
          <w:tab w:val="left" w:leader="none" w:pos="1134"/>
        </w:tabs>
        <w:spacing w:after="200" w:before="0"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 current Framework supplier states that an organised grouping or groupings of employees deliver services required to operate the Framework</w:t>
      </w:r>
    </w:p>
    <w:p w:rsidR="00000000" w:rsidDel="00000000" w:rsidP="00000000" w:rsidRDefault="00000000" w:rsidRPr="00000000" w14:paraId="000000D6">
      <w:pPr>
        <w:numPr>
          <w:ilvl w:val="0"/>
          <w:numId w:val="4"/>
        </w:numPr>
        <w:tabs>
          <w:tab w:val="left" w:leader="none" w:pos="1134"/>
        </w:tabs>
        <w:spacing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any new supplier who is awarded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of the new Framework contract will be responsible for delivering comparable services</w:t>
      </w:r>
    </w:p>
    <w:p w:rsidR="00000000" w:rsidDel="00000000" w:rsidP="00000000" w:rsidRDefault="00000000" w:rsidRPr="00000000" w14:paraId="000000D7">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Based on the assumption that TUPE may apply at Framework level for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we have acquired information from the incumbent Framework supplier relating to those of its employees that it considers would be in scope to transfer to a new </w:t>
      </w:r>
      <w:r w:rsidDel="00000000" w:rsidR="00000000" w:rsidRPr="00000000">
        <w:rPr>
          <w:rFonts w:ascii="Arial" w:cs="Arial" w:eastAsia="Arial" w:hAnsi="Arial"/>
          <w:b w:val="1"/>
          <w:sz w:val="24"/>
          <w:szCs w:val="24"/>
          <w:rtl w:val="0"/>
        </w:rPr>
        <w:t xml:space="preserve">Lot 1</w:t>
      </w:r>
      <w:r w:rsidDel="00000000" w:rsidR="00000000" w:rsidRPr="00000000">
        <w:rPr>
          <w:rFonts w:ascii="Arial" w:cs="Arial" w:eastAsia="Arial" w:hAnsi="Arial"/>
          <w:sz w:val="24"/>
          <w:szCs w:val="24"/>
          <w:rtl w:val="0"/>
        </w:rPr>
        <w:t xml:space="preserve"> Framework supplier under TUPE.</w:t>
      </w:r>
    </w:p>
    <w:p w:rsidR="00000000" w:rsidDel="00000000" w:rsidP="00000000" w:rsidRDefault="00000000" w:rsidRPr="00000000" w14:paraId="000000D8">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receive the TUPE information (Attachment 12), you must complete the </w:t>
      </w:r>
      <w:r w:rsidDel="00000000" w:rsidR="00000000" w:rsidRPr="00000000">
        <w:rPr>
          <w:rFonts w:ascii="Arial" w:cs="Arial" w:eastAsia="Arial" w:hAnsi="Arial"/>
          <w:b w:val="1"/>
          <w:sz w:val="24"/>
          <w:szCs w:val="24"/>
          <w:rtl w:val="0"/>
        </w:rPr>
        <w:t xml:space="preserve">Attachment 12a non-disclosure agreement </w:t>
      </w:r>
      <w:r w:rsidDel="00000000" w:rsidR="00000000" w:rsidRPr="00000000">
        <w:rPr>
          <w:rFonts w:ascii="Arial" w:cs="Arial" w:eastAsia="Arial" w:hAnsi="Arial"/>
          <w:sz w:val="24"/>
          <w:szCs w:val="24"/>
          <w:rtl w:val="0"/>
        </w:rPr>
        <w:t xml:space="preserve">and return it via the eSourcing suite messaging service. When we receive your completed non-disclosure agreement, we will then send the TUPE information to you via the eSourcing suite.</w:t>
      </w:r>
    </w:p>
    <w:p w:rsidR="00000000" w:rsidDel="00000000" w:rsidP="00000000" w:rsidRDefault="00000000" w:rsidRPr="00000000" w14:paraId="000000D9">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the TUPE information is deemed to be strictly confidential and for use solely in connection with the preparation of your bid and any contract arising from that bid. Whether the TUPE information is provided to you orally, electronically or in writing, you must not at any time: </w:t>
      </w:r>
    </w:p>
    <w:p w:rsidR="00000000" w:rsidDel="00000000" w:rsidP="00000000" w:rsidRDefault="00000000" w:rsidRPr="00000000" w14:paraId="000000D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60" w:before="200" w:line="240" w:lineRule="auto"/>
        <w:ind w:left="720" w:right="0" w:hanging="360"/>
        <w:jc w:val="left"/>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make use of it for your own purposes or for any other purpose, save as permitted by the non-disclosure agreement</w:t>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720" w:right="0" w:hanging="360"/>
        <w:jc w:val="left"/>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4"/>
          <w:szCs w:val="24"/>
          <w:rtl w:val="0"/>
        </w:rPr>
        <w:t xml:space="preserve">disclose it to any person (except as may be required by law or as permitted by the non-disclosure agreement)</w:t>
      </w:r>
    </w:p>
    <w:p w:rsidR="00000000" w:rsidDel="00000000" w:rsidP="00000000" w:rsidRDefault="00000000" w:rsidRPr="00000000" w14:paraId="000000DC">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and to the extent that TUPE applies, we would expect you to work collaboratively with the incumbent Framework supplier prior to the transfer date to ensure that there is no disruption to service delivery or diminution in service quality and that the requirements of TUPE are complied with fully.</w:t>
      </w:r>
    </w:p>
    <w:p w:rsidR="00000000" w:rsidDel="00000000" w:rsidP="00000000" w:rsidRDefault="00000000" w:rsidRPr="00000000" w14:paraId="000000DD">
      <w:pPr>
        <w:tabs>
          <w:tab w:val="left" w:leader="none" w:pos="1134"/>
        </w:tabs>
        <w:spacing w:after="20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 Framework level</w:t>
      </w:r>
    </w:p>
    <w:p w:rsidR="00000000" w:rsidDel="00000000" w:rsidP="00000000" w:rsidRDefault="00000000" w:rsidRPr="00000000" w14:paraId="000000DE">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don’t think TUPE will apply to this procurement at </w:t>
      </w:r>
      <w:r w:rsidDel="00000000" w:rsidR="00000000" w:rsidRPr="00000000">
        <w:rPr>
          <w:rFonts w:ascii="Arial" w:cs="Arial" w:eastAsia="Arial" w:hAnsi="Arial"/>
          <w:b w:val="1"/>
          <w:sz w:val="24"/>
          <w:szCs w:val="24"/>
          <w:rtl w:val="0"/>
        </w:rPr>
        <w:t xml:space="preserve">Framework</w:t>
      </w:r>
      <w:r w:rsidDel="00000000" w:rsidR="00000000" w:rsidRPr="00000000">
        <w:rPr>
          <w:rFonts w:ascii="Arial" w:cs="Arial" w:eastAsia="Arial" w:hAnsi="Arial"/>
          <w:sz w:val="24"/>
          <w:szCs w:val="24"/>
          <w:rtl w:val="0"/>
        </w:rPr>
        <w:t xml:space="preserve"> level for Lot 2 because:</w:t>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720" w:right="0" w:hanging="360"/>
        <w:jc w:val="left"/>
      </w:pPr>
      <w:r w:rsidDel="00000000" w:rsidR="00000000" w:rsidRPr="00000000">
        <w:rPr>
          <w:rFonts w:ascii="Arial" w:cs="Arial" w:eastAsia="Arial" w:hAnsi="Arial"/>
          <w:sz w:val="24"/>
          <w:szCs w:val="24"/>
          <w:rtl w:val="0"/>
        </w:rPr>
        <w:t xml:space="preserve">no services are provided to CCS under any existing Framework Contract or arrangements that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of this Framework will replace</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60" w:before="200" w:line="240" w:lineRule="auto"/>
        <w:ind w:left="720" w:right="0" w:hanging="360"/>
        <w:jc w:val="left"/>
      </w:pP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services will only be provided to Buyers under Call-Off Contracts; no </w:t>
      </w:r>
      <w:r w:rsidDel="00000000" w:rsidR="00000000" w:rsidRPr="00000000">
        <w:rPr>
          <w:rFonts w:ascii="Arial" w:cs="Arial" w:eastAsia="Arial" w:hAnsi="Arial"/>
          <w:b w:val="1"/>
          <w:sz w:val="24"/>
          <w:szCs w:val="24"/>
          <w:rtl w:val="0"/>
        </w:rPr>
        <w:t xml:space="preserve">Lot 2</w:t>
      </w:r>
      <w:r w:rsidDel="00000000" w:rsidR="00000000" w:rsidRPr="00000000">
        <w:rPr>
          <w:rFonts w:ascii="Arial" w:cs="Arial" w:eastAsia="Arial" w:hAnsi="Arial"/>
          <w:sz w:val="24"/>
          <w:szCs w:val="24"/>
          <w:rtl w:val="0"/>
        </w:rPr>
        <w:t xml:space="preserve"> services will be provided to CCS under the Framework Contract</w:t>
      </w:r>
      <w:r w:rsidDel="00000000" w:rsidR="00000000" w:rsidRPr="00000000">
        <w:rPr>
          <w:rtl w:val="0"/>
        </w:rPr>
      </w:r>
    </w:p>
    <w:p w:rsidR="00000000" w:rsidDel="00000000" w:rsidP="00000000" w:rsidRDefault="00000000" w:rsidRPr="00000000" w14:paraId="000000E1">
      <w:pPr>
        <w:tabs>
          <w:tab w:val="left" w:leader="none" w:pos="1134"/>
        </w:tabs>
        <w:spacing w:after="200" w:line="24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Lots 1 and 2: Call-Off Contracts </w:t>
      </w:r>
    </w:p>
    <w:p w:rsidR="00000000" w:rsidDel="00000000" w:rsidP="00000000" w:rsidRDefault="00000000" w:rsidRPr="00000000" w14:paraId="000000E2">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think that TUPE may</w:t>
      </w:r>
      <w:r w:rsidDel="00000000" w:rsidR="00000000" w:rsidRPr="00000000">
        <w:rPr>
          <w:sz w:val="16"/>
          <w:szCs w:val="16"/>
          <w:rtl w:val="0"/>
        </w:rPr>
        <w:t xml:space="preserve"> </w:t>
      </w:r>
      <w:r w:rsidDel="00000000" w:rsidR="00000000" w:rsidRPr="00000000">
        <w:rPr>
          <w:rFonts w:ascii="Arial" w:cs="Arial" w:eastAsia="Arial" w:hAnsi="Arial"/>
          <w:sz w:val="24"/>
          <w:szCs w:val="24"/>
          <w:rtl w:val="0"/>
        </w:rPr>
        <w:t xml:space="preserve">apply to </w:t>
      </w:r>
      <w:r w:rsidDel="00000000" w:rsidR="00000000" w:rsidRPr="00000000">
        <w:rPr>
          <w:rFonts w:ascii="Arial" w:cs="Arial" w:eastAsia="Arial" w:hAnsi="Arial"/>
          <w:b w:val="1"/>
          <w:sz w:val="24"/>
          <w:szCs w:val="24"/>
          <w:rtl w:val="0"/>
        </w:rPr>
        <w:t xml:space="preserve">Call-Off Contracts</w:t>
      </w:r>
      <w:r w:rsidDel="00000000" w:rsidR="00000000" w:rsidRPr="00000000">
        <w:rPr>
          <w:rFonts w:ascii="Arial" w:cs="Arial" w:eastAsia="Arial" w:hAnsi="Arial"/>
          <w:sz w:val="24"/>
          <w:szCs w:val="24"/>
          <w:rtl w:val="0"/>
        </w:rPr>
        <w:t xml:space="preserve"> under Lots 1 and 2 of this Framework because:</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160" w:before="0" w:line="240" w:lineRule="auto"/>
        <w:ind w:left="720" w:right="0" w:hanging="360"/>
        <w:jc w:val="left"/>
      </w:pPr>
      <w:r w:rsidDel="00000000" w:rsidR="00000000" w:rsidRPr="00000000">
        <w:rPr>
          <w:rFonts w:ascii="Arial" w:cs="Arial" w:eastAsia="Arial" w:hAnsi="Arial"/>
          <w:sz w:val="24"/>
          <w:szCs w:val="24"/>
          <w:rtl w:val="0"/>
        </w:rPr>
        <w:t xml:space="preserve">services which are fundamentally the same as those required under Lots 1 and 2 of this procurement are currently being provided either in-house or</w:t>
      </w:r>
      <w:r w:rsidDel="00000000" w:rsidR="00000000" w:rsidRPr="00000000">
        <w:rPr>
          <w:sz w:val="16"/>
          <w:szCs w:val="16"/>
          <w:rtl w:val="0"/>
        </w:rPr>
        <w:t xml:space="preserve">[</w:t>
      </w:r>
      <w:r w:rsidDel="00000000" w:rsidR="00000000" w:rsidRPr="00000000">
        <w:rPr>
          <w:rFonts w:ascii="Arial" w:cs="Arial" w:eastAsia="Arial" w:hAnsi="Arial"/>
          <w:sz w:val="24"/>
          <w:szCs w:val="24"/>
          <w:rtl w:val="0"/>
        </w:rPr>
        <w:t xml:space="preserve">by a supplier</w:t>
      </w:r>
    </w:p>
    <w:p w:rsidR="00000000" w:rsidDel="00000000" w:rsidP="00000000" w:rsidRDefault="00000000" w:rsidRPr="00000000" w14:paraId="000000E4">
      <w:pPr>
        <w:tabs>
          <w:tab w:val="left" w:leader="none" w:pos="1134"/>
        </w:tabs>
        <w:spacing w:after="20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Call-Off Schedule 2 (Staff Transfer). No further indemnities will be provided.</w:t>
      </w:r>
    </w:p>
    <w:p w:rsidR="00000000" w:rsidDel="00000000" w:rsidP="00000000" w:rsidRDefault="00000000" w:rsidRPr="00000000" w14:paraId="000000E5">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35nkun2" w:id="17"/>
      <w:bookmarkEnd w:id="17"/>
      <w:r w:rsidDel="00000000" w:rsidR="00000000" w:rsidRPr="00000000">
        <w:rPr>
          <w:rFonts w:ascii="Arial" w:cs="Arial" w:eastAsia="Arial" w:hAnsi="Arial"/>
          <w:b w:val="1"/>
          <w:color w:val="000000"/>
          <w:sz w:val="32"/>
          <w:szCs w:val="32"/>
          <w:rtl w:val="0"/>
        </w:rPr>
        <w:t xml:space="preserve">Competition Rules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ITT pack. </w:t>
      </w:r>
    </w:p>
    <w:p w:rsidR="00000000" w:rsidDel="00000000" w:rsidP="00000000" w:rsidRDefault="00000000" w:rsidRPr="00000000" w14:paraId="000000E7">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8"/>
      <w:bookmarkEnd w:id="18"/>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E9">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180 calendar days after the bid submission deadline. </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suite only.</w:t>
      </w:r>
    </w:p>
    <w:p w:rsidR="00000000" w:rsidDel="00000000" w:rsidP="00000000" w:rsidRDefault="00000000" w:rsidRPr="00000000" w14:paraId="000000ED">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we may make further enquiries. For example, where you submit a bid:</w:t>
      </w:r>
    </w:p>
    <w:p w:rsidR="00000000" w:rsidDel="00000000" w:rsidP="00000000" w:rsidRDefault="00000000" w:rsidRPr="00000000" w14:paraId="000000EF">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0">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1">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F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F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F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F5">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F6">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9"/>
      <w:bookmarkEnd w:id="19"/>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F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F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F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FB">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F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FF">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101">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104">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10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0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08">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0A">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20"/>
      <w:bookmarkEnd w:id="20"/>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0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0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0E">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0">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12">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11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1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1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 or Lots as a result of the competition</w:t>
      </w:r>
    </w:p>
    <w:p w:rsidR="00000000" w:rsidDel="00000000" w:rsidP="00000000" w:rsidRDefault="00000000" w:rsidRPr="00000000" w14:paraId="0000011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1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118">
      <w:pPr>
        <w:numPr>
          <w:ilvl w:val="0"/>
          <w:numId w:val="3"/>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119">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1A">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1B">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1C">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1D">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1E">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1F">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0">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21">
      <w:pPr>
        <w:numPr>
          <w:ilvl w:val="1"/>
          <w:numId w:val="9"/>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2">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2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2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26">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27">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28">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2A">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2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2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30">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3">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34">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35">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37">
      <w:pPr>
        <w:numPr>
          <w:ilvl w:val="1"/>
          <w:numId w:val="7"/>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published Framework Contract (including the Framework Schedules) and Call-Off Contract terms and conditions are available within Attachment 10. Please carefully review these documents so that you fully understand the rights and obligations they confer on the parties.</w:t>
      </w:r>
      <w:r w:rsidDel="00000000" w:rsidR="00000000" w:rsidRPr="00000000">
        <w:rPr>
          <w:rtl w:val="0"/>
        </w:rPr>
      </w:r>
    </w:p>
    <w:p w:rsidR="00000000" w:rsidDel="00000000" w:rsidP="00000000" w:rsidRDefault="00000000" w:rsidRPr="00000000" w14:paraId="0000013A">
      <w:pPr>
        <w:numPr>
          <w:ilvl w:val="0"/>
          <w:numId w:val="8"/>
        </w:numPr>
        <w:pBdr>
          <w:top w:space="0" w:sz="0" w:val="nil"/>
          <w:left w:space="0" w:sz="0" w:val="nil"/>
          <w:bottom w:space="0" w:sz="0" w:val="nil"/>
          <w:right w:space="0" w:sz="0" w:val="nil"/>
          <w:between w:space="0" w:sz="0" w:val="nil"/>
        </w:pBdr>
        <w:tabs>
          <w:tab w:val="left" w:leader="none" w:pos="142"/>
        </w:tabs>
        <w:spacing w:after="240" w:before="240" w:line="240" w:lineRule="auto"/>
        <w:ind w:left="360" w:hanging="360"/>
        <w:jc w:val="both"/>
        <w:rPr/>
      </w:pPr>
      <w:bookmarkStart w:colFirst="0" w:colLast="0" w:name="_heading=h.z337ya" w:id="21"/>
      <w:bookmarkEnd w:id="21"/>
      <w:r w:rsidDel="00000000" w:rsidR="00000000" w:rsidRPr="00000000">
        <w:rPr>
          <w:rFonts w:ascii="Arial" w:cs="Arial" w:eastAsia="Arial" w:hAnsi="Arial"/>
          <w:b w:val="1"/>
          <w:color w:val="000000"/>
          <w:sz w:val="32"/>
          <w:szCs w:val="32"/>
          <w:rtl w:val="0"/>
        </w:rPr>
        <w:t xml:space="preserve">How the Framework is Structu</w:t>
      </w:r>
      <w:r w:rsidDel="00000000" w:rsidR="00000000" w:rsidRPr="00000000">
        <w:rPr>
          <w:rFonts w:ascii="Arial" w:cs="Arial" w:eastAsia="Arial" w:hAnsi="Arial"/>
          <w:b w:val="1"/>
          <w:color w:val="000000"/>
          <w:sz w:val="32"/>
          <w:szCs w:val="32"/>
          <w:rtl w:val="0"/>
        </w:rPr>
        <w:t xml:space="preserve">red</w:t>
      </w:r>
      <w:r w:rsidDel="00000000" w:rsidR="00000000" w:rsidRPr="00000000">
        <w:rPr>
          <w:rFonts w:ascii="Arial" w:cs="Arial" w:eastAsia="Arial" w:hAnsi="Arial"/>
          <w:b w:val="1"/>
          <w:color w:val="000000"/>
          <w:sz w:val="28"/>
          <w:szCs w:val="28"/>
          <w:rtl w:val="0"/>
        </w:rPr>
        <w:t xml:space="preserve"> </w:t>
      </w:r>
      <w:r w:rsidDel="00000000" w:rsidR="00000000" w:rsidRPr="00000000">
        <w:rPr>
          <w:rtl w:val="0"/>
        </w:rPr>
      </w:r>
    </w:p>
    <w:p w:rsidR="00000000" w:rsidDel="00000000" w:rsidP="00000000" w:rsidRDefault="00000000" w:rsidRPr="00000000" w14:paraId="0000013B">
      <w:pPr>
        <w:tabs>
          <w:tab w:val="left" w:leader="none" w:pos="709"/>
        </w:tabs>
        <w:spacing w:after="20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https://www.crowncommercial.gov.uk/agreements/RM6170</w:t>
      </w:r>
    </w:p>
    <w:p w:rsidR="00000000" w:rsidDel="00000000" w:rsidP="00000000" w:rsidRDefault="00000000" w:rsidRPr="00000000" w14:paraId="0000013C">
      <w:pPr>
        <w:tabs>
          <w:tab w:val="left" w:leader="none" w:pos="709"/>
        </w:tabs>
        <w:spacing w:after="120" w:line="276"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8"/>
          <w:szCs w:val="28"/>
          <w:rtl w:val="0"/>
        </w:rPr>
        <w:t xml:space="preserve">- Core Terms</w:t>
      </w:r>
    </w:p>
    <w:p w:rsidR="00000000" w:rsidDel="00000000" w:rsidP="00000000" w:rsidRDefault="00000000" w:rsidRPr="00000000" w14:paraId="0000013D">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000000" w:rsidDel="00000000" w:rsidP="00000000" w:rsidRDefault="00000000" w:rsidRPr="00000000" w14:paraId="0000013E">
      <w:pPr>
        <w:tabs>
          <w:tab w:val="left" w:leader="none" w:pos="709"/>
        </w:tabs>
        <w:spacing w:after="120" w:line="276"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8"/>
          <w:szCs w:val="28"/>
          <w:rtl w:val="0"/>
        </w:rPr>
        <w:t xml:space="preserve">- Schedules</w:t>
      </w:r>
    </w:p>
    <w:p w:rsidR="00000000" w:rsidDel="00000000" w:rsidP="00000000" w:rsidRDefault="00000000" w:rsidRPr="00000000" w14:paraId="0000013F">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40">
      <w:pPr>
        <w:tabs>
          <w:tab w:val="left" w:leader="none" w:pos="709"/>
        </w:tabs>
        <w:spacing w:after="0" w:before="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41">
      <w:pPr>
        <w:tabs>
          <w:tab w:val="left" w:leader="none" w:pos="709"/>
        </w:tabs>
        <w:spacing w:after="240" w:before="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42">
      <w:pPr>
        <w:tabs>
          <w:tab w:val="left" w:leader="none" w:pos="709"/>
        </w:tabs>
        <w:spacing w:after="240" w:before="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43">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table below describes the purpose of each of these schedules.</w:t>
      </w:r>
    </w:p>
    <w:p w:rsidR="00000000" w:rsidDel="00000000" w:rsidP="00000000" w:rsidRDefault="00000000" w:rsidRPr="00000000" w14:paraId="00000144">
      <w:pPr>
        <w:tabs>
          <w:tab w:val="left" w:leader="none" w:pos="709"/>
        </w:tabs>
        <w:spacing w:after="120" w:line="276"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8"/>
          <w:szCs w:val="28"/>
          <w:rtl w:val="0"/>
        </w:rPr>
        <w:t xml:space="preserve">- Framework Award Form</w:t>
      </w:r>
    </w:p>
    <w:p w:rsidR="00000000" w:rsidDel="00000000" w:rsidP="00000000" w:rsidRDefault="00000000" w:rsidRPr="00000000" w14:paraId="00000145">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w:t>
      </w:r>
    </w:p>
    <w:p w:rsidR="00000000" w:rsidDel="00000000" w:rsidP="00000000" w:rsidRDefault="00000000" w:rsidRPr="00000000" w14:paraId="00000146">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47">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Award Form within 10 days of being asked. If you do not sign and return, we will withdraw our offer of a Framework agreement.</w:t>
      </w:r>
    </w:p>
    <w:p w:rsidR="00000000" w:rsidDel="00000000" w:rsidP="00000000" w:rsidRDefault="00000000" w:rsidRPr="00000000" w14:paraId="00000148">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not make any amendments to the Framework Award Form.  If any amendments are required, please send a message via the eSourcing Suite outlining the amendments required. </w:t>
      </w:r>
    </w:p>
    <w:p w:rsidR="00000000" w:rsidDel="00000000" w:rsidP="00000000" w:rsidRDefault="00000000" w:rsidRPr="00000000" w14:paraId="00000149">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4A">
      <w:pPr>
        <w:tabs>
          <w:tab w:val="left" w:leader="none" w:pos="709"/>
        </w:tabs>
        <w:spacing w:after="120" w:line="276" w:lineRule="auto"/>
        <w:ind w:left="72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sz w:val="28"/>
          <w:szCs w:val="28"/>
          <w:rtl w:val="0"/>
        </w:rPr>
        <w:t xml:space="preserve">- Order Form</w:t>
      </w:r>
    </w:p>
    <w:p w:rsidR="00000000" w:rsidDel="00000000" w:rsidP="00000000" w:rsidRDefault="00000000" w:rsidRPr="00000000" w14:paraId="0000014B">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w:t>
      </w:r>
    </w:p>
    <w:p w:rsidR="00000000" w:rsidDel="00000000" w:rsidP="00000000" w:rsidRDefault="00000000" w:rsidRPr="00000000" w14:paraId="0000014C">
      <w:pPr>
        <w:tabs>
          <w:tab w:val="left" w:leader="none" w:pos="709"/>
        </w:tabs>
        <w:spacing w:after="120" w:before="120" w:line="276" w:lineRule="auto"/>
        <w:ind w:left="7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order form lays out:</w:t>
      </w:r>
    </w:p>
    <w:p w:rsidR="00000000" w:rsidDel="00000000" w:rsidP="00000000" w:rsidRDefault="00000000" w:rsidRPr="00000000" w14:paraId="0000014D">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4E">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4F">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50">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how much it’ll cost</w:t>
      </w:r>
    </w:p>
    <w:p w:rsidR="00000000" w:rsidDel="00000000" w:rsidP="00000000" w:rsidRDefault="00000000" w:rsidRPr="00000000" w14:paraId="00000151">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52">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Call-Off Contract will be created when both parties agree to it either by:</w:t>
      </w:r>
    </w:p>
    <w:p w:rsidR="00000000" w:rsidDel="00000000" w:rsidP="00000000" w:rsidRDefault="00000000" w:rsidRPr="00000000" w14:paraId="00000153">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54">
      <w:pPr>
        <w:tabs>
          <w:tab w:val="left" w:leader="none" w:pos="709"/>
        </w:tabs>
        <w:spacing w:after="240" w:before="240" w:line="240" w:lineRule="auto"/>
        <w:ind w:left="2540" w:hanging="5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55">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56">
      <w:pPr>
        <w:tabs>
          <w:tab w:val="left" w:leader="none" w:pos="709"/>
        </w:tabs>
        <w:spacing w:after="120" w:before="120" w:line="276" w:lineRule="auto"/>
        <w:ind w:left="7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57">
      <w:pPr>
        <w:tabs>
          <w:tab w:val="left" w:leader="none" w:pos="709"/>
        </w:tabs>
        <w:spacing w:after="120" w:before="240" w:line="27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tab/>
        <w:t xml:space="preserve">The Contract Documents</w:t>
      </w:r>
    </w:p>
    <w:p w:rsidR="00000000" w:rsidDel="00000000" w:rsidP="00000000" w:rsidRDefault="00000000" w:rsidRPr="00000000" w14:paraId="00000158">
      <w:pPr>
        <w:tabs>
          <w:tab w:val="left" w:leader="none" w:pos="709"/>
        </w:tabs>
        <w:spacing w:after="120" w:before="120" w:line="276" w:lineRule="auto"/>
        <w:ind w:left="700" w:firstLine="0"/>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This table lists and briefly describes each contract document. You can find the individual documents on the CCS procurement pipeline page https://www.crowncommercial.gov.uk/agreements/RM6170</w:t>
      </w:r>
      <w:r w:rsidDel="00000000" w:rsidR="00000000" w:rsidRPr="00000000">
        <w:rPr>
          <w:rtl w:val="0"/>
        </w:rPr>
      </w:r>
    </w:p>
    <w:p w:rsidR="00000000" w:rsidDel="00000000" w:rsidP="00000000" w:rsidRDefault="00000000" w:rsidRPr="00000000" w14:paraId="00000159">
      <w:pPr>
        <w:tabs>
          <w:tab w:val="left" w:leader="none" w:pos="709"/>
        </w:tabs>
        <w:spacing w:after="120" w:before="120" w:line="240" w:lineRule="auto"/>
        <w:ind w:left="709" w:firstLine="0"/>
        <w:rPr/>
      </w:pPr>
      <w:r w:rsidDel="00000000" w:rsidR="00000000" w:rsidRPr="00000000">
        <w:rPr>
          <w:rtl w:val="0"/>
        </w:rPr>
        <w:tab/>
      </w:r>
    </w:p>
    <w:tbl>
      <w:tblPr>
        <w:tblStyle w:val="Table4"/>
        <w:tblW w:w="9030.0" w:type="dxa"/>
        <w:jc w:val="left"/>
        <w:tblInd w:w="-40.999999999999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5265"/>
        <w:gridCol w:w="1635"/>
        <w:tblGridChange w:id="0">
          <w:tblGrid>
            <w:gridCol w:w="2130"/>
            <w:gridCol w:w="526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Document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is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Optional (Y/N)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Core Terms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main legal terms for both Framework and Call-Off Contracts.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Award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Includes important information and contents of a Framework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Schedules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1 (Specification)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CCS needs the Suppliers to provide to Buyers.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2 (Framework Tender)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proposes to meet the requirements in the Specification.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3 (Framework Prices)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price the Supplier can charge for Deliverables under the Framework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4 (Framework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CCS and Suppliers will manage the Framework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5 (Management Charges and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w:t>
            </w:r>
            <w:r w:rsidDel="00000000" w:rsidR="00000000" w:rsidRPr="00000000">
              <w:rPr>
                <w:rFonts w:ascii="Arial" w:cs="Arial" w:eastAsia="Arial" w:hAnsi="Arial"/>
                <w:b w:val="1"/>
                <w:sz w:val="24"/>
                <w:szCs w:val="24"/>
                <w:rtl w:val="0"/>
              </w:rPr>
              <w:t xml:space="preserve">rk </w:t>
            </w:r>
            <w:r w:rsidDel="00000000" w:rsidR="00000000" w:rsidRPr="00000000">
              <w:rPr>
                <w:rFonts w:ascii="Arial" w:cs="Arial" w:eastAsia="Arial" w:hAnsi="Arial"/>
                <w:b w:val="1"/>
                <w:sz w:val="24"/>
                <w:szCs w:val="24"/>
                <w:rtl w:val="0"/>
              </w:rPr>
              <w:t xml:space="preserve">Schedule 6 (Order Form Template and Call-Off Schedules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template documents that the Buyer needs to complete to form a Call-Off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6a - CHP Services Order Form (Lot 1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Order Form that the Buyer can use Call-Off CHP services for Lot 1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7 (Call-Off Award Procedure)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that a Buyer must follow to award a Call-Off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8 (Self Audit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9 (Cyber Essentials Scheme)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8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Obligations on the Supplier to maintain cyber security accreditation.</w:t>
            </w:r>
          </w:p>
          <w:p w:rsidR="00000000" w:rsidDel="00000000" w:rsidP="00000000" w:rsidRDefault="00000000" w:rsidRPr="00000000" w14:paraId="00000183">
            <w:pPr>
              <w:widowControl w:val="0"/>
              <w:spacing w:after="8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Refer to</w:t>
            </w:r>
            <w:hyperlink r:id="rId14">
              <w:r w:rsidDel="00000000" w:rsidR="00000000" w:rsidRPr="00000000">
                <w:rPr>
                  <w:rFonts w:ascii="Arial" w:cs="Arial" w:eastAsia="Arial" w:hAnsi="Arial"/>
                  <w:sz w:val="24"/>
                  <w:szCs w:val="24"/>
                  <w:rtl w:val="0"/>
                </w:rPr>
                <w:t xml:space="preserve"> https://www.ncsc.gov.uk/information/cyber-essentials-faqs</w:t>
              </w:r>
            </w:hyperlink>
            <w:r w:rsidDel="00000000" w:rsidR="00000000" w:rsidRPr="00000000">
              <w:rPr>
                <w:rFonts w:ascii="Arial" w:cs="Arial" w:eastAsia="Arial" w:hAnsi="Arial"/>
                <w:sz w:val="24"/>
                <w:szCs w:val="24"/>
                <w:rtl w:val="0"/>
              </w:rPr>
              <w:t xml:space="preserve"> for more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Framework Schedule 10 - Staff Transfer Lot 1 Only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CCSor the Supplier protect employees' rights when the organisation or service they work for transfers to a new employer. </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 (Definitions)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the capitalised terms in the documents mean and how to interpret the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2 (Variation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CCS and the Buyer can make a change to an existing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3 (Insurance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insurance a Supplier needs in case it breaches a Contract or is negligent.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4 (Commercially Sensitive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5 (Corporate Social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Agreement that the Supplier behaves as a good corporate citizen.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6 (Key Subcontractors)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on a Supplier switching the subcontractors working on the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7 (Financial Difficulties)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Suppliers must do if they are in financial trouble.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8 (Guarantee)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9 (Minimum Standards of Reliability)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10 (Rectification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to follow if a supplier defaults a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11 (Processing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Details about the data processing the supplier is allowed to 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Joint Schedule 12 - Supply Chain Visibility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Allows in scope organisations with 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 (Transparency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  (Staff 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3 (Continuous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requirement that the Supplier always improves how it delivers the Call-Off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4   (Call-Off Tender)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proposes to meet the requirements of a Call-Off Contract.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5 (Pricing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Placeholder for pricing information additional to that contained in the Order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6</w:t>
              <w:tab/>
              <w:t xml:space="preserve">(ICT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Additional terms for the delivery of ICT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7 (Key Supplier Staff)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on a Supplier changing staff that are crucial to deliver the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8 (Business Continuity and Disaster Recovery)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Call-Off Schedule 9 (Security)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What the Supplier must do to ensure that Buyer data and Deliverables are kept secure.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10  (Exit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11 (Installation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What the supplier needs to do when installing items for the buyer.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12 (Clustering)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Enables multiple Buyers to join together to procure Deliverables more efficiently.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13 (Implementation Plan and Testing)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14 (Service Levels)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standards of service required by the Buyer and what happens when these are not met.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15 (Call-Off Contract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the Supplier and the Buyer should work together on the Call-Off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16 (Benchmarking)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process for comparing the value of the Supplier against other providers in the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17 (MOD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additional terms required by MOD Buyers.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18 (Background Checks)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on background checks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19 (Scottish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on background checks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20 (Call-Off Specification)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Further details about what has been ordered under a Call-Off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21</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(Northern Ireland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22</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(Lease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is for Buyers who want to lease equipment via our agreements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23</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(HMRC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HMRC terms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highlight w:val="yellow"/>
              </w:rPr>
            </w:pPr>
            <w:r w:rsidDel="00000000" w:rsidR="00000000" w:rsidRPr="00000000">
              <w:rPr>
                <w:rFonts w:ascii="Arial" w:cs="Arial" w:eastAsia="Arial" w:hAnsi="Arial"/>
                <w:b w:val="1"/>
                <w:sz w:val="24"/>
                <w:szCs w:val="24"/>
                <w:rtl w:val="0"/>
              </w:rPr>
              <w:t xml:space="preserve">Call-Off Schedule 24 - Corporate Resolution Planning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covers terms around Corporate Resolution Planning, which are required for Gold level call-off contracts.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Call-Off Schedule 25 - Consignment Stock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Includes additional terms when consignment stock is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w:t>
            </w:r>
          </w:p>
        </w:tc>
      </w:tr>
    </w:tbl>
    <w:p w:rsidR="00000000" w:rsidDel="00000000" w:rsidP="00000000" w:rsidRDefault="00000000" w:rsidRPr="00000000" w14:paraId="000001FC">
      <w:pPr>
        <w:tabs>
          <w:tab w:val="left" w:leader="none" w:pos="709"/>
        </w:tabs>
        <w:spacing w:after="120" w:before="120" w:line="240" w:lineRule="auto"/>
        <w:ind w:left="709" w:firstLine="0"/>
        <w:rPr/>
      </w:pPr>
      <w:r w:rsidDel="00000000" w:rsidR="00000000" w:rsidRPr="00000000">
        <w:rPr>
          <w:rtl w:val="0"/>
        </w:rPr>
      </w:r>
    </w:p>
    <w:p w:rsidR="00000000" w:rsidDel="00000000" w:rsidP="00000000" w:rsidRDefault="00000000" w:rsidRPr="00000000" w14:paraId="000001FD">
      <w:pPr>
        <w:numPr>
          <w:ilvl w:val="0"/>
          <w:numId w:val="5"/>
        </w:numPr>
        <w:pBdr>
          <w:top w:space="0" w:sz="0" w:val="nil"/>
          <w:left w:space="0" w:sz="0" w:val="nil"/>
          <w:bottom w:space="0" w:sz="0" w:val="nil"/>
          <w:right w:space="0" w:sz="0" w:val="nil"/>
          <w:between w:space="0" w:sz="0" w:val="nil"/>
        </w:pBdr>
        <w:tabs>
          <w:tab w:val="left" w:leader="none" w:pos="142"/>
        </w:tabs>
        <w:spacing w:after="240" w:before="240" w:line="240" w:lineRule="auto"/>
        <w:ind w:left="720" w:hanging="720"/>
        <w:jc w:val="both"/>
        <w:rPr/>
      </w:pPr>
      <w:bookmarkStart w:colFirst="0" w:colLast="0" w:name="_heading=h.3j2qqm3" w:id="22"/>
      <w:bookmarkEnd w:id="22"/>
      <w:r w:rsidDel="00000000" w:rsidR="00000000" w:rsidRPr="00000000">
        <w:rPr>
          <w:rFonts w:ascii="Arial" w:cs="Arial" w:eastAsia="Arial" w:hAnsi="Arial"/>
          <w:b w:val="1"/>
          <w:color w:val="000000"/>
          <w:sz w:val="32"/>
          <w:szCs w:val="32"/>
          <w:rtl w:val="0"/>
        </w:rPr>
        <w:t xml:space="preserve">Additional Information</w:t>
      </w:r>
      <w:r w:rsidDel="00000000" w:rsidR="00000000" w:rsidRPr="00000000">
        <w:rPr>
          <w:rtl w:val="0"/>
        </w:rPr>
      </w:r>
    </w:p>
    <w:p w:rsidR="00000000" w:rsidDel="00000000" w:rsidP="00000000" w:rsidRDefault="00000000" w:rsidRPr="00000000" w14:paraId="000001FE">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3"/>
      <w:bookmarkEnd w:id="23"/>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F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20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20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20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20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20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20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20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20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208">
      <w:pPr>
        <w:numPr>
          <w:ilvl w:val="1"/>
          <w:numId w:val="5"/>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42"/>
        </w:tabs>
        <w:spacing w:after="240" w:before="240" w:line="240" w:lineRule="auto"/>
        <w:jc w:val="both"/>
        <w:rPr>
          <w:color w:val="000000"/>
          <w:sz w:val="32"/>
          <w:szCs w:val="32"/>
        </w:rPr>
      </w:pPr>
      <w:bookmarkStart w:colFirst="0" w:colLast="0" w:name="_heading=h.4i7ojhp" w:id="24"/>
      <w:bookmarkEnd w:id="24"/>
      <w:r w:rsidDel="00000000" w:rsidR="00000000" w:rsidRPr="00000000">
        <w:rPr>
          <w:rFonts w:ascii="Arial" w:cs="Arial" w:eastAsia="Arial" w:hAnsi="Arial"/>
          <w:b w:val="1"/>
          <w:color w:val="000000"/>
          <w:sz w:val="32"/>
          <w:szCs w:val="32"/>
          <w:rtl w:val="0"/>
        </w:rPr>
        <w:t xml:space="preserve">12    The Armed Forces Covenant</w:t>
      </w:r>
      <w:r w:rsidDel="00000000" w:rsidR="00000000" w:rsidRPr="00000000">
        <w:rPr>
          <w:rtl w:val="0"/>
        </w:rPr>
      </w:r>
    </w:p>
    <w:p w:rsidR="00000000" w:rsidDel="00000000" w:rsidP="00000000" w:rsidRDefault="00000000" w:rsidRPr="00000000" w14:paraId="0000020A">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20B">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20C">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20D">
      <w:pPr>
        <w:numPr>
          <w:ilvl w:val="0"/>
          <w:numId w:val="3"/>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5">
        <w:r w:rsidDel="00000000" w:rsidR="00000000" w:rsidRPr="00000000">
          <w:rPr>
            <w:rFonts w:ascii="Arial" w:cs="Arial" w:eastAsia="Arial" w:hAnsi="Arial"/>
            <w:color w:val="000000"/>
            <w:sz w:val="24"/>
            <w:szCs w:val="24"/>
            <w:rtl w:val="0"/>
          </w:rPr>
          <w:t xml:space="preserve"> </w:t>
        </w:r>
      </w:hyperlink>
      <w:hyperlink r:id="rId16">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0">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hyperlink r:id="rId17">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211">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18">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6">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19" w:type="default"/>
      <w:footerReference r:id="rId20" w:type="default"/>
      <w:footerReference r:id="rId21"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w:t>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RM6297 Print and Digital Communications Framework </w:t>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w:t>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RM6297 Print and Digital Communications Framework </w:t>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decimal"/>
      <w:lvlText w:val="%1"/>
      <w:lvlJc w:val="left"/>
      <w:pPr>
        <w:ind w:left="360"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7">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8">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10">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andard" w:customStyle="1">
    <w:name w:val="Standard"/>
    <w:rsid w:val="00AC23B8"/>
    <w:pPr>
      <w:suppressAutoHyphens w:val="1"/>
      <w:autoSpaceDN w:val="0"/>
      <w:spacing w:after="0" w:line="276" w:lineRule="auto"/>
    </w:pPr>
    <w:rPr>
      <w:rFonts w:ascii="Arial" w:cs="Arial" w:eastAsia="Arial" w:hAnsi="Arial"/>
      <w:lang w:bidi="hi-IN" w:eastAsia="zh-CN"/>
    </w:rPr>
  </w:style>
  <w:style w:type="numbering" w:styleId="WWNum1" w:customStyle="1">
    <w:name w:val="WWNum1"/>
    <w:rsid w:val="00AC23B8"/>
  </w:style>
  <w:style w:type="character" w:styleId="UnresolvedMention">
    <w:name w:val="Unresolved Mention"/>
    <w:basedOn w:val="DefaultParagraphFont"/>
    <w:uiPriority w:val="99"/>
    <w:semiHidden w:val="1"/>
    <w:unhideWhenUsed w:val="1"/>
    <w:rsid w:val="004B6CAE"/>
    <w:rPr>
      <w:color w:val="605e5c"/>
      <w:shd w:color="auto" w:fill="e1dfdd" w:val="clear"/>
    </w:rPr>
  </w:style>
  <w:style w:type="paragraph" w:styleId="NormalWeb">
    <w:name w:val="Normal (Web)"/>
    <w:basedOn w:val="Normal"/>
    <w:uiPriority w:val="99"/>
    <w:semiHidden w:val="1"/>
    <w:unhideWhenUsed w:val="1"/>
    <w:rsid w:val="00D208AE"/>
    <w:pPr>
      <w:spacing w:after="100" w:afterAutospacing="1" w:before="100" w:beforeAutospacing="1" w:line="240" w:lineRule="auto"/>
    </w:pPr>
    <w:rPr>
      <w:rFonts w:ascii="Times New Roman" w:cs="Times New Roman" w:eastAsia="Times New Roman" w:hAnsi="Times New Roman"/>
      <w:sz w:val="24"/>
      <w:szCs w:val="24"/>
    </w:r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e"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f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gov.uk/government/publications/government-security-classifications" TargetMode="External"/><Relationship Id="rId10" Type="http://schemas.openxmlformats.org/officeDocument/2006/relationships/hyperlink" Target="https://www.crowncommercial.gov.uk/esourcing-training" TargetMode="External"/><Relationship Id="rId21" Type="http://schemas.openxmlformats.org/officeDocument/2006/relationships/footer" Target="footer2.xml"/><Relationship Id="rId13" Type="http://schemas.openxmlformats.org/officeDocument/2006/relationships/hyperlink" Target="https://www.crowncommercial.gov.uk/agreements/upcoming" TargetMode="External"/><Relationship Id="rId12"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corporate-covenant-pledge" TargetMode="External"/><Relationship Id="rId14" Type="http://schemas.openxmlformats.org/officeDocument/2006/relationships/hyperlink" Target="https://www.ncsc.gov.uk/information/cyber-essentials-faqs" TargetMode="External"/><Relationship Id="rId17" Type="http://schemas.openxmlformats.org/officeDocument/2006/relationships/hyperlink" Target="https://www.gov.uk/government/uploads/system/uploads/attachment_data/file/649954/20171005_Armed_Forces_Covenant_Guidance_Notes_for_Businesses.pdf" TargetMode="External"/><Relationship Id="rId16" Type="http://schemas.openxmlformats.org/officeDocument/2006/relationships/hyperlink" Target="https://www.gov.uk/government/publications/corporate-covenant-pledg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covenant-mailbox@mod.uk"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tVafoKRmm8iYlKTaOVeVE8CJg==">CgMxLjAikQIKC0FBQUJLLW00ZXFnEtsBCgtBQUFCSy1tNGVxZxILQUFBQkstbTRlcWcaDQoJdGV4dC9odG1sEgAiDgoKdGV4dC9wbGFpbhIAKhsiFTEwNjkwMTE3OTIxNDY3NTI0Nzg1OSgAOAAwsZ2u0eoxONq/rtHqMUo7CiRhcHBsaWNhdGlvbi92bmQuZ29vZ2xlLWFwcHMuZG9jcy5tZHMaE8LX2uQBDRoLCgcKAWIQARgAEAFaDGh4dGx1Y2llYXQyNnICIAB4AIIBFHN1Z2dlc3Qua296MXUwZXpkOXNrmgEGCAAQABgAsAEAuAEAGLGdrtHqMSDav67R6jEwAEIUc3VnZ2VzdC5rb3oxdTBlemQ5c2sikgIKC0FBQUJLLW00ZXFjEtwBCgtBQUFCSy1tNGVxYxILQUFBQkstbTRlcWMaDQoJdGV4dC9odG1sEgAiDgoKdGV4dC9wbGFpbhIAKhsiFTEwNjkwMTE3OTIxNDY3NTI0Nzg1OSgAOAAw8/et0eoxOIqNrtHqMUo8CiRhcHBsaWNhdGlvbi92bmQuZ29vZ2xlLWFwcHMuZG9jcy5tZHMaFMLX2uQBDhoMCggKAmZvEAEYABABWgxmb2N3ZG91ZXBlbGNyAiAAeACCARRzdWdnZXN0LmF6eHNteWdvdzVhbJoBBggAEAAYALABALgBABjz963R6jEgio2u0eoxMABCFHN1Z2dlc3QuYXp4c215Z293NWFsMghoLmxueGJ6OTIJaC4zMGowemxsMgloLjFjaTkzeGIyDmguaTUxNXU3emhqa2h2MgloLjFmb2I5dGUyCWguM3pueXNoNzIJaC4yZXQ5MnAwMghoLnR5amN3dDIJaC4zZHk2dmttMghoLnFzaDcwcTIJaC4xdDNoNXNmMgloLjRkMzRvZzgyCWguM3dod21sNDIJaC4yczhleW8xMgloLjE3ZHA4dnUyCWguM3JkY3JqbjIJaC4yNmluMXJnMgloLjM1bmt1bjIyCWguMWtzdjR1djIJaC40NHNpbmlvMgloLjJqeHN4cWgyCGguejMzN3lhMgloLjNqMnFxbTMyCWguMXk4MTB0dzIJaC40aTdvamhwOABqJgoUc3VnZ2VzdC5wcHdqZHZ5Z3o2cDkSDkNhbmRhY2UgQnJvb2tzaiYKFHN1Z2dlc3QuNW8ycXdiZmtmcjdhEg5DYW5kYWNlIEJyb29rc2omChRzdWdnZXN0LjhlcThsdXBkbW81chIOQ2FuZGFjZSBCcm9va3NqJgoUc3VnZ2VzdC42ZjBoNHltd3Qzb2YSDkNhbmRhY2UgQnJvb2tzaiYKFHN1Z2dlc3QuOTdsMjZnZ2JhZGYwEg5DYW5kYWNlIEJyb29rc2omChRzdWdnZXN0LnY3OXk0djJydzIzMBIOQ2FuZGFjZSBCcm9va3NqJgoUc3VnZ2VzdC5ybmRzdWJ5ejFtYmQSDkNhbmRhY2UgQnJvb2tzaiYKFHN1Z2dlc3QuaGR5MDN1NWEwYXM0Eg5DYW5kYWNlIEJyb29rc2omChRzdWdnZXN0LnRhbm10MzlvNWQzeRIOQ2FuZGFjZSBCcm9va3NqJgoUc3VnZ2VzdC5rb3oxdTBlemQ5c2sSDkNhbmRhY2UgQnJvb2tzaiYKFHN1Z2dlc3QuYXp4c215Z293NWFsEg5DYW5kYWNlIEJyb29rc2omChRzdWdnZXN0LnM5amZqNzczYWdoaxIOQ2FuZGFjZSBCcm9va3NyITE2X2xUcDBUamswUUV1d3l1RW1VUGVQNG5URnFxMm5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2023-05-30T18:43:00Z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