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Letter of Intent to Guarantee – RM6232 Facilities Management &amp; Workplace Services (the “Framework Agreement”)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OaL+4PwuyXAdQspNS0pB3O+Iw==">AMUW2mUDX7IMM6SCD5b1AAKLzIalzl5JV+vnczUFSSnBXkliSEeipsJJDeeGdlsrV4DY7b7I+GenGvhCZh3oBrKHBcI3XqCmC9C17ETJ+eC3/NPDsfaycpuKSz1lb/JqymVuk93IORdR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