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67" w:rsidRPr="00A81867" w:rsidRDefault="00A81867" w:rsidP="00A81867">
      <w:pPr>
        <w:tabs>
          <w:tab w:val="left" w:pos="0"/>
        </w:tabs>
        <w:suppressAutoHyphens/>
        <w:jc w:val="both"/>
        <w:rPr>
          <w:rFonts w:ascii="Arial" w:hAnsi="Arial"/>
          <w:b/>
          <w:sz w:val="28"/>
          <w:szCs w:val="28"/>
          <w:lang w:val="en-US"/>
        </w:rPr>
      </w:pPr>
      <w:r w:rsidRPr="00A71017">
        <w:rPr>
          <w:rFonts w:ascii="Arial" w:hAnsi="Arial"/>
          <w:b/>
          <w:sz w:val="28"/>
          <w:szCs w:val="28"/>
          <w:lang w:val="en-US"/>
        </w:rPr>
        <w:t>HOUSING MEDIATION SERVICES</w:t>
      </w:r>
    </w:p>
    <w:p w:rsidR="006A0B06" w:rsidRPr="00335122" w:rsidRDefault="006A0B06" w:rsidP="00335122">
      <w:pPr>
        <w:pStyle w:val="Heading1"/>
        <w:numPr>
          <w:ilvl w:val="0"/>
          <w:numId w:val="13"/>
        </w:numPr>
        <w:spacing w:before="120" w:after="120"/>
        <w:ind w:right="691"/>
        <w:jc w:val="both"/>
        <w:rPr>
          <w:rFonts w:cs="Arial"/>
          <w:bCs/>
          <w:sz w:val="22"/>
          <w:szCs w:val="22"/>
        </w:rPr>
      </w:pPr>
      <w:r w:rsidRPr="00335122">
        <w:rPr>
          <w:rFonts w:cs="Arial"/>
          <w:bCs/>
          <w:sz w:val="22"/>
          <w:szCs w:val="22"/>
        </w:rPr>
        <w:t>Introduction</w:t>
      </w:r>
    </w:p>
    <w:p w:rsidR="006A0B06" w:rsidRDefault="006A0B06" w:rsidP="00F446DE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A0B06">
        <w:rPr>
          <w:rFonts w:ascii="Arial" w:hAnsi="Arial" w:cs="Arial"/>
          <w:sz w:val="22"/>
          <w:szCs w:val="22"/>
        </w:rPr>
        <w:t>The following set</w:t>
      </w:r>
      <w:r w:rsidR="006D6D18">
        <w:rPr>
          <w:rFonts w:ascii="Arial" w:hAnsi="Arial" w:cs="Arial"/>
          <w:sz w:val="22"/>
          <w:szCs w:val="22"/>
        </w:rPr>
        <w:t>s</w:t>
      </w:r>
      <w:r w:rsidRPr="006A0B06">
        <w:rPr>
          <w:rFonts w:ascii="Arial" w:hAnsi="Arial" w:cs="Arial"/>
          <w:sz w:val="22"/>
          <w:szCs w:val="22"/>
        </w:rPr>
        <w:t xml:space="preserve"> out the required delivery standards and Provider requirements</w:t>
      </w:r>
      <w:r>
        <w:rPr>
          <w:rFonts w:ascii="Arial" w:hAnsi="Arial" w:cs="Arial"/>
          <w:sz w:val="22"/>
          <w:szCs w:val="22"/>
        </w:rPr>
        <w:t>.</w:t>
      </w:r>
      <w:r w:rsidR="00F446DE">
        <w:rPr>
          <w:rFonts w:ascii="Arial" w:hAnsi="Arial" w:cs="Arial"/>
          <w:sz w:val="22"/>
          <w:szCs w:val="22"/>
        </w:rPr>
        <w:t xml:space="preserve">  These are applicable to both of the</w:t>
      </w:r>
      <w:r w:rsidR="00247F34">
        <w:rPr>
          <w:rFonts w:ascii="Arial" w:hAnsi="Arial" w:cs="Arial"/>
          <w:sz w:val="22"/>
          <w:szCs w:val="22"/>
        </w:rPr>
        <w:t xml:space="preserve"> mediation</w:t>
      </w:r>
      <w:r w:rsidR="00F446DE">
        <w:rPr>
          <w:rFonts w:ascii="Arial" w:hAnsi="Arial" w:cs="Arial"/>
          <w:sz w:val="22"/>
          <w:szCs w:val="22"/>
        </w:rPr>
        <w:t xml:space="preserve"> services:</w:t>
      </w:r>
    </w:p>
    <w:p w:rsidR="00875F1B" w:rsidRDefault="00F446DE" w:rsidP="00875F1B">
      <w:pPr>
        <w:numPr>
          <w:ilvl w:val="0"/>
          <w:numId w:val="27"/>
        </w:numPr>
        <w:spacing w:before="120" w:after="120"/>
        <w:ind w:left="1560" w:hanging="426"/>
        <w:jc w:val="both"/>
        <w:rPr>
          <w:rFonts w:ascii="Arial" w:hAnsi="Arial" w:cs="Arial"/>
          <w:sz w:val="22"/>
          <w:szCs w:val="22"/>
        </w:rPr>
      </w:pPr>
      <w:r w:rsidRPr="00875F1B">
        <w:rPr>
          <w:rFonts w:ascii="Arial" w:hAnsi="Arial" w:cs="Arial"/>
          <w:sz w:val="22"/>
          <w:szCs w:val="22"/>
        </w:rPr>
        <w:t>Noise disturbance cases</w:t>
      </w:r>
      <w:r w:rsidR="0088159F">
        <w:rPr>
          <w:rFonts w:ascii="Arial" w:hAnsi="Arial" w:cs="Arial"/>
          <w:sz w:val="22"/>
          <w:szCs w:val="22"/>
        </w:rPr>
        <w:t xml:space="preserve"> requiring</w:t>
      </w:r>
      <w:r w:rsidR="0053162E">
        <w:rPr>
          <w:rFonts w:ascii="Arial" w:hAnsi="Arial" w:cs="Arial"/>
          <w:sz w:val="22"/>
          <w:szCs w:val="22"/>
        </w:rPr>
        <w:t xml:space="preserve"> a professional witness service</w:t>
      </w:r>
      <w:r w:rsidR="00247F34">
        <w:rPr>
          <w:rFonts w:ascii="Arial" w:hAnsi="Arial" w:cs="Arial"/>
          <w:sz w:val="22"/>
          <w:szCs w:val="22"/>
        </w:rPr>
        <w:t xml:space="preserve"> (Service A)</w:t>
      </w:r>
      <w:r w:rsidR="0053162E">
        <w:rPr>
          <w:rFonts w:ascii="Arial" w:hAnsi="Arial" w:cs="Arial"/>
          <w:sz w:val="22"/>
          <w:szCs w:val="22"/>
        </w:rPr>
        <w:t>.</w:t>
      </w:r>
      <w:r w:rsidRPr="00875F1B">
        <w:rPr>
          <w:rFonts w:ascii="Arial" w:hAnsi="Arial" w:cs="Arial"/>
          <w:sz w:val="22"/>
          <w:szCs w:val="22"/>
        </w:rPr>
        <w:t xml:space="preserve"> </w:t>
      </w:r>
    </w:p>
    <w:p w:rsidR="0088159F" w:rsidRDefault="0088159F" w:rsidP="001A50EA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service shall deliver a mediation service, including professional witnessing, for noise nuisance cases.</w:t>
      </w:r>
      <w:r w:rsidR="001A50EA">
        <w:rPr>
          <w:rFonts w:ascii="Arial" w:hAnsi="Arial" w:cs="Arial"/>
          <w:sz w:val="22"/>
          <w:szCs w:val="22"/>
        </w:rPr>
        <w:t xml:space="preserve"> This may include the use of surveillance tools to identify perpetrators and vexatious complainants. Cases shall be closed with evidence and case notes provided to the Council with </w:t>
      </w:r>
      <w:r w:rsidR="00BC2EEE">
        <w:rPr>
          <w:rFonts w:ascii="Arial" w:hAnsi="Arial" w:cs="Arial"/>
          <w:sz w:val="22"/>
          <w:szCs w:val="22"/>
        </w:rPr>
        <w:t>recommendations for further action</w:t>
      </w:r>
      <w:r w:rsidR="001A50EA">
        <w:rPr>
          <w:rFonts w:ascii="Arial" w:hAnsi="Arial" w:cs="Arial"/>
          <w:sz w:val="22"/>
          <w:szCs w:val="22"/>
        </w:rPr>
        <w:t xml:space="preserve"> or to allow the Council to take forward enforcement action.</w:t>
      </w:r>
    </w:p>
    <w:p w:rsidR="001A50EA" w:rsidRPr="001A50EA" w:rsidRDefault="00F446DE" w:rsidP="001A50EA">
      <w:pPr>
        <w:numPr>
          <w:ilvl w:val="0"/>
          <w:numId w:val="27"/>
        </w:numPr>
        <w:spacing w:before="120" w:after="120"/>
        <w:ind w:left="1560" w:hanging="426"/>
        <w:jc w:val="both"/>
        <w:rPr>
          <w:rFonts w:ascii="Arial" w:hAnsi="Arial" w:cs="Arial"/>
          <w:sz w:val="22"/>
          <w:szCs w:val="22"/>
        </w:rPr>
      </w:pPr>
      <w:r w:rsidRPr="001A50EA">
        <w:rPr>
          <w:rFonts w:ascii="Arial" w:hAnsi="Arial" w:cs="Arial"/>
          <w:sz w:val="22"/>
          <w:szCs w:val="22"/>
        </w:rPr>
        <w:t>Non-noise disturbance cases</w:t>
      </w:r>
      <w:r w:rsidR="0088159F" w:rsidRPr="001A50EA">
        <w:rPr>
          <w:rFonts w:ascii="Arial" w:hAnsi="Arial" w:cs="Arial"/>
          <w:sz w:val="22"/>
          <w:szCs w:val="22"/>
        </w:rPr>
        <w:t xml:space="preserve"> </w:t>
      </w:r>
      <w:r w:rsidR="00A81867">
        <w:rPr>
          <w:rFonts w:ascii="Arial" w:hAnsi="Arial" w:cs="Arial"/>
          <w:sz w:val="22"/>
          <w:szCs w:val="22"/>
        </w:rPr>
        <w:t xml:space="preserve">and more complex cases </w:t>
      </w:r>
      <w:r w:rsidR="0088159F" w:rsidRPr="001A50EA">
        <w:rPr>
          <w:rFonts w:ascii="Arial" w:hAnsi="Arial" w:cs="Arial"/>
          <w:sz w:val="22"/>
          <w:szCs w:val="22"/>
        </w:rPr>
        <w:t>requiring more</w:t>
      </w:r>
      <w:r w:rsidR="00A81867">
        <w:rPr>
          <w:rFonts w:ascii="Arial" w:hAnsi="Arial" w:cs="Arial"/>
          <w:sz w:val="22"/>
          <w:szCs w:val="22"/>
        </w:rPr>
        <w:t xml:space="preserve"> detailed involvement</w:t>
      </w:r>
      <w:r w:rsidR="00247F34">
        <w:rPr>
          <w:rFonts w:ascii="Arial" w:hAnsi="Arial" w:cs="Arial"/>
          <w:sz w:val="22"/>
          <w:szCs w:val="22"/>
        </w:rPr>
        <w:t xml:space="preserve"> (Service B)</w:t>
      </w:r>
      <w:r w:rsidR="001A50EA">
        <w:rPr>
          <w:rStyle w:val="CommentReference"/>
        </w:rPr>
        <w:t>.</w:t>
      </w:r>
    </w:p>
    <w:p w:rsidR="00A81867" w:rsidRPr="00A81867" w:rsidRDefault="001A50EA" w:rsidP="00A81867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 w:rsidRPr="0088159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his service shall deliver a mediation service for anti social behaviour cases requiring more complex</w:t>
      </w:r>
      <w:r w:rsidR="00335122">
        <w:rPr>
          <w:rFonts w:ascii="Arial" w:hAnsi="Arial" w:cs="Arial"/>
          <w:sz w:val="22"/>
          <w:szCs w:val="22"/>
        </w:rPr>
        <w:t xml:space="preserve"> or specialist</w:t>
      </w:r>
      <w:r>
        <w:rPr>
          <w:rFonts w:ascii="Arial" w:hAnsi="Arial" w:cs="Arial"/>
          <w:sz w:val="22"/>
          <w:szCs w:val="22"/>
        </w:rPr>
        <w:t xml:space="preserve"> mediation to</w:t>
      </w:r>
      <w:r w:rsidRPr="0088159F">
        <w:rPr>
          <w:rFonts w:ascii="Arial" w:hAnsi="Arial" w:cs="Arial"/>
          <w:sz w:val="22"/>
          <w:szCs w:val="22"/>
        </w:rPr>
        <w:t xml:space="preserve"> de-escalate and resolve difficult neighbour disputes.</w:t>
      </w:r>
      <w:r w:rsidR="00335122">
        <w:rPr>
          <w:rFonts w:ascii="Arial" w:hAnsi="Arial" w:cs="Arial"/>
          <w:sz w:val="22"/>
          <w:szCs w:val="22"/>
        </w:rPr>
        <w:t xml:space="preserve"> Cases shall be closed with evidence and case notes provided to the C</w:t>
      </w:r>
      <w:r w:rsidR="00BC2EEE">
        <w:rPr>
          <w:rFonts w:ascii="Arial" w:hAnsi="Arial" w:cs="Arial"/>
          <w:sz w:val="22"/>
          <w:szCs w:val="22"/>
        </w:rPr>
        <w:t>ouncil with recommendations for further action</w:t>
      </w:r>
      <w:r w:rsidR="0033512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335122">
        <w:rPr>
          <w:rFonts w:ascii="Arial" w:hAnsi="Arial" w:cs="Arial"/>
          <w:sz w:val="22"/>
          <w:szCs w:val="22"/>
        </w:rPr>
        <w:t>or to allow the Council to take forward enforcement action.</w:t>
      </w:r>
    </w:p>
    <w:p w:rsidR="00247F34" w:rsidRPr="00247F34" w:rsidRDefault="00247F34" w:rsidP="00247F34">
      <w:pPr>
        <w:pStyle w:val="Heading1"/>
        <w:numPr>
          <w:ilvl w:val="0"/>
          <w:numId w:val="13"/>
        </w:numPr>
        <w:spacing w:before="120" w:after="120"/>
        <w:ind w:right="691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Price</w:t>
      </w:r>
    </w:p>
    <w:p w:rsidR="00247F34" w:rsidRPr="00247F34" w:rsidRDefault="00AC4F02" w:rsidP="00BC14E9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47F34">
        <w:rPr>
          <w:rFonts w:ascii="Arial" w:hAnsi="Arial" w:cs="Arial"/>
          <w:sz w:val="22"/>
          <w:szCs w:val="22"/>
        </w:rPr>
        <w:t>The number of cases that may be referred by the Council</w:t>
      </w:r>
      <w:r w:rsidR="00BC14E9" w:rsidRPr="00247F34">
        <w:rPr>
          <w:rFonts w:ascii="Arial" w:hAnsi="Arial" w:cs="Arial"/>
          <w:sz w:val="22"/>
          <w:szCs w:val="22"/>
        </w:rPr>
        <w:t xml:space="preserve"> is to be set by the Provider for a fixed price/year, and will be allocated by the Council on that basis. </w:t>
      </w:r>
    </w:p>
    <w:p w:rsidR="00AC4F02" w:rsidRPr="00247F34" w:rsidRDefault="00247F34" w:rsidP="00BC14E9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47F34">
        <w:rPr>
          <w:rFonts w:ascii="Arial" w:hAnsi="Arial" w:cs="Arial"/>
          <w:sz w:val="22"/>
          <w:szCs w:val="22"/>
        </w:rPr>
        <w:t>In circumstances where</w:t>
      </w:r>
      <w:r w:rsidR="00BC14E9" w:rsidRPr="00247F34">
        <w:rPr>
          <w:rFonts w:ascii="Arial" w:hAnsi="Arial" w:cs="Arial"/>
          <w:sz w:val="22"/>
          <w:szCs w:val="22"/>
        </w:rPr>
        <w:t xml:space="preserve"> the number of cases that the Council wishes to refer exceeds the limit set by the Provider’s quotation, the qu</w:t>
      </w:r>
      <w:r w:rsidRPr="00247F34">
        <w:rPr>
          <w:rFonts w:ascii="Arial" w:hAnsi="Arial" w:cs="Arial"/>
          <w:sz w:val="22"/>
          <w:szCs w:val="22"/>
        </w:rPr>
        <w:t>otation price/case shall apply.</w:t>
      </w:r>
    </w:p>
    <w:p w:rsidR="008C08F1" w:rsidRPr="00A8656D" w:rsidRDefault="00AC5BFB" w:rsidP="00E774C9">
      <w:pPr>
        <w:pStyle w:val="Heading1"/>
        <w:numPr>
          <w:ilvl w:val="0"/>
          <w:numId w:val="13"/>
        </w:numPr>
        <w:spacing w:before="120" w:after="120"/>
        <w:ind w:right="691"/>
        <w:jc w:val="both"/>
        <w:rPr>
          <w:rFonts w:cs="Arial"/>
          <w:bCs/>
          <w:sz w:val="22"/>
          <w:szCs w:val="22"/>
        </w:rPr>
      </w:pPr>
      <w:r w:rsidRPr="00A8656D">
        <w:rPr>
          <w:rFonts w:cs="Arial"/>
          <w:bCs/>
          <w:sz w:val="22"/>
          <w:szCs w:val="22"/>
        </w:rPr>
        <w:t>Outcomes expec</w:t>
      </w:r>
      <w:r w:rsidR="008F327C" w:rsidRPr="00A8656D">
        <w:rPr>
          <w:rFonts w:cs="Arial"/>
          <w:bCs/>
          <w:sz w:val="22"/>
          <w:szCs w:val="22"/>
        </w:rPr>
        <w:t>ted</w:t>
      </w:r>
    </w:p>
    <w:p w:rsidR="008F327C" w:rsidRPr="00A8656D" w:rsidRDefault="008F327C" w:rsidP="006A0B06">
      <w:pPr>
        <w:numPr>
          <w:ilvl w:val="1"/>
          <w:numId w:val="13"/>
        </w:numPr>
        <w:spacing w:before="120" w:after="120"/>
        <w:ind w:hanging="792"/>
        <w:jc w:val="both"/>
        <w:rPr>
          <w:rFonts w:ascii="Arial" w:hAnsi="Arial" w:cs="Arial"/>
          <w:sz w:val="22"/>
          <w:szCs w:val="22"/>
        </w:rPr>
      </w:pPr>
      <w:r w:rsidRPr="00A8656D">
        <w:rPr>
          <w:rFonts w:ascii="Arial" w:hAnsi="Arial" w:cs="Arial"/>
          <w:sz w:val="22"/>
          <w:szCs w:val="22"/>
        </w:rPr>
        <w:t>One of the following outcomes is expected for all cases referred to the mediation service</w:t>
      </w:r>
      <w:r w:rsidR="00247F34">
        <w:rPr>
          <w:rFonts w:ascii="Arial" w:hAnsi="Arial" w:cs="Arial"/>
          <w:sz w:val="22"/>
          <w:szCs w:val="22"/>
        </w:rPr>
        <w:t>s</w:t>
      </w:r>
      <w:r w:rsidR="00A8656D">
        <w:rPr>
          <w:rFonts w:ascii="Arial" w:hAnsi="Arial" w:cs="Arial"/>
          <w:sz w:val="22"/>
          <w:szCs w:val="22"/>
        </w:rPr>
        <w:t>:</w:t>
      </w:r>
    </w:p>
    <w:p w:rsidR="00C277DF" w:rsidRPr="00A8656D" w:rsidRDefault="00AC5BFB" w:rsidP="00E774C9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8656D">
        <w:rPr>
          <w:rFonts w:ascii="Arial" w:hAnsi="Arial" w:cs="Arial"/>
          <w:sz w:val="22"/>
          <w:szCs w:val="22"/>
        </w:rPr>
        <w:t>Case closed with s</w:t>
      </w:r>
      <w:r w:rsidR="008C08F1" w:rsidRPr="00A8656D">
        <w:rPr>
          <w:rFonts w:ascii="Arial" w:hAnsi="Arial" w:cs="Arial"/>
          <w:sz w:val="22"/>
          <w:szCs w:val="22"/>
        </w:rPr>
        <w:t xml:space="preserve">atisfactory feedback from </w:t>
      </w:r>
      <w:r w:rsidRPr="00A8656D">
        <w:rPr>
          <w:rFonts w:ascii="Arial" w:hAnsi="Arial" w:cs="Arial"/>
          <w:sz w:val="22"/>
          <w:szCs w:val="22"/>
        </w:rPr>
        <w:t>at least one party</w:t>
      </w:r>
      <w:r w:rsidR="008C08F1" w:rsidRPr="00A8656D">
        <w:rPr>
          <w:rFonts w:ascii="Arial" w:hAnsi="Arial" w:cs="Arial"/>
          <w:sz w:val="22"/>
          <w:szCs w:val="22"/>
        </w:rPr>
        <w:t xml:space="preserve"> </w:t>
      </w:r>
    </w:p>
    <w:p w:rsidR="00CE3910" w:rsidRPr="00A8656D" w:rsidRDefault="00AC5BFB" w:rsidP="00E774C9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8656D">
        <w:rPr>
          <w:rFonts w:ascii="Arial" w:hAnsi="Arial" w:cs="Arial"/>
          <w:sz w:val="22"/>
          <w:szCs w:val="22"/>
        </w:rPr>
        <w:t>Case closed with a</w:t>
      </w:r>
      <w:r w:rsidR="00C277DF" w:rsidRPr="00A8656D">
        <w:rPr>
          <w:rFonts w:ascii="Arial" w:hAnsi="Arial" w:cs="Arial"/>
          <w:sz w:val="22"/>
          <w:szCs w:val="22"/>
        </w:rPr>
        <w:t xml:space="preserve"> </w:t>
      </w:r>
      <w:r w:rsidRPr="00A8656D">
        <w:rPr>
          <w:rFonts w:ascii="Arial" w:hAnsi="Arial" w:cs="Arial"/>
          <w:sz w:val="22"/>
          <w:szCs w:val="22"/>
        </w:rPr>
        <w:t>signed good neighbour agreement</w:t>
      </w:r>
      <w:r w:rsidR="00C277DF" w:rsidRPr="00A8656D">
        <w:rPr>
          <w:rFonts w:ascii="Arial" w:hAnsi="Arial" w:cs="Arial"/>
          <w:sz w:val="22"/>
          <w:szCs w:val="22"/>
        </w:rPr>
        <w:t xml:space="preserve"> </w:t>
      </w:r>
    </w:p>
    <w:p w:rsidR="00CE3910" w:rsidRPr="00A8656D" w:rsidRDefault="00AC5BFB" w:rsidP="00E774C9">
      <w:pPr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8656D">
        <w:rPr>
          <w:rFonts w:ascii="Arial" w:hAnsi="Arial" w:cs="Arial"/>
          <w:sz w:val="22"/>
          <w:szCs w:val="22"/>
        </w:rPr>
        <w:t>Case closed due to l</w:t>
      </w:r>
      <w:r w:rsidR="00CE3910" w:rsidRPr="00A8656D">
        <w:rPr>
          <w:rFonts w:ascii="Arial" w:hAnsi="Arial" w:cs="Arial"/>
          <w:sz w:val="22"/>
          <w:szCs w:val="22"/>
        </w:rPr>
        <w:t xml:space="preserve">ack of evidence </w:t>
      </w:r>
    </w:p>
    <w:p w:rsidR="008F327C" w:rsidRPr="00A8656D" w:rsidRDefault="00645E58" w:rsidP="00E774C9">
      <w:pPr>
        <w:widowControl w:val="0"/>
        <w:numPr>
          <w:ilvl w:val="0"/>
          <w:numId w:val="17"/>
        </w:numPr>
        <w:spacing w:before="120" w:after="120"/>
        <w:ind w:right="693"/>
        <w:jc w:val="both"/>
        <w:rPr>
          <w:rFonts w:ascii="Arial" w:hAnsi="Arial" w:cs="Arial"/>
          <w:bCs/>
          <w:sz w:val="22"/>
          <w:szCs w:val="22"/>
        </w:rPr>
      </w:pPr>
      <w:r w:rsidRPr="00A8656D">
        <w:rPr>
          <w:rFonts w:ascii="Arial" w:hAnsi="Arial" w:cs="Arial"/>
          <w:bCs/>
          <w:sz w:val="22"/>
          <w:szCs w:val="22"/>
        </w:rPr>
        <w:t>Sufficient e</w:t>
      </w:r>
      <w:r w:rsidR="0053162E">
        <w:rPr>
          <w:rFonts w:ascii="Arial" w:hAnsi="Arial" w:cs="Arial"/>
          <w:bCs/>
          <w:sz w:val="22"/>
          <w:szCs w:val="22"/>
        </w:rPr>
        <w:t>vidence provided to enable the C</w:t>
      </w:r>
      <w:r w:rsidR="00A8656D">
        <w:rPr>
          <w:rFonts w:ascii="Arial" w:hAnsi="Arial" w:cs="Arial"/>
          <w:bCs/>
          <w:sz w:val="22"/>
          <w:szCs w:val="22"/>
        </w:rPr>
        <w:t>ouncil</w:t>
      </w:r>
      <w:r w:rsidR="00E774C9">
        <w:rPr>
          <w:rFonts w:ascii="Arial" w:hAnsi="Arial" w:cs="Arial"/>
          <w:bCs/>
          <w:sz w:val="22"/>
          <w:szCs w:val="22"/>
        </w:rPr>
        <w:t xml:space="preserve"> to pursue enforcement action.</w:t>
      </w:r>
    </w:p>
    <w:p w:rsidR="00C277DF" w:rsidRPr="00E774C9" w:rsidRDefault="00335122" w:rsidP="006A0B06">
      <w:pPr>
        <w:numPr>
          <w:ilvl w:val="1"/>
          <w:numId w:val="13"/>
        </w:numPr>
        <w:spacing w:before="120" w:after="120"/>
        <w:ind w:hanging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Provider shall</w:t>
      </w:r>
      <w:r w:rsidR="008F327C" w:rsidRPr="00E774C9">
        <w:rPr>
          <w:rFonts w:ascii="Arial" w:hAnsi="Arial" w:cs="Arial"/>
          <w:sz w:val="22"/>
          <w:szCs w:val="22"/>
        </w:rPr>
        <w:t xml:space="preserve"> record the case outcome in a full case report</w:t>
      </w:r>
      <w:r w:rsidR="00E774C9">
        <w:rPr>
          <w:rFonts w:ascii="Arial" w:hAnsi="Arial" w:cs="Arial"/>
          <w:sz w:val="22"/>
          <w:szCs w:val="22"/>
        </w:rPr>
        <w:t>, including any recommendations for further referral or escalation,</w:t>
      </w:r>
      <w:r w:rsidR="008F327C" w:rsidRPr="00E774C9">
        <w:rPr>
          <w:rFonts w:ascii="Arial" w:hAnsi="Arial" w:cs="Arial"/>
          <w:sz w:val="22"/>
          <w:szCs w:val="22"/>
        </w:rPr>
        <w:t xml:space="preserve"> to be sent to the relevant council officer following case closure.</w:t>
      </w:r>
    </w:p>
    <w:p w:rsidR="00CE3910" w:rsidRPr="00A8656D" w:rsidRDefault="00496701" w:rsidP="00E774C9">
      <w:pPr>
        <w:pStyle w:val="Heading1"/>
        <w:numPr>
          <w:ilvl w:val="0"/>
          <w:numId w:val="13"/>
        </w:numPr>
        <w:spacing w:before="120" w:after="120"/>
        <w:ind w:right="691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Location for provision of</w:t>
      </w:r>
      <w:r w:rsidR="00AC5BFB" w:rsidRPr="00A8656D">
        <w:rPr>
          <w:rFonts w:cs="Arial"/>
          <w:bCs/>
          <w:sz w:val="22"/>
          <w:szCs w:val="22"/>
        </w:rPr>
        <w:t xml:space="preserve"> s</w:t>
      </w:r>
      <w:r w:rsidR="004009D1" w:rsidRPr="00A8656D">
        <w:rPr>
          <w:rFonts w:cs="Arial"/>
          <w:bCs/>
          <w:sz w:val="22"/>
          <w:szCs w:val="22"/>
        </w:rPr>
        <w:t xml:space="preserve">ervices </w:t>
      </w:r>
    </w:p>
    <w:p w:rsidR="004009D1" w:rsidRPr="00CE33A2" w:rsidRDefault="00CE3910" w:rsidP="006A0B06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E33A2">
        <w:rPr>
          <w:rFonts w:ascii="Arial" w:hAnsi="Arial" w:cs="Arial"/>
          <w:sz w:val="22"/>
          <w:szCs w:val="22"/>
        </w:rPr>
        <w:t xml:space="preserve">The service </w:t>
      </w:r>
      <w:r w:rsidR="00335122" w:rsidRPr="00CE33A2">
        <w:rPr>
          <w:rFonts w:ascii="Arial" w:hAnsi="Arial" w:cs="Arial"/>
          <w:sz w:val="22"/>
          <w:szCs w:val="22"/>
        </w:rPr>
        <w:t>shall</w:t>
      </w:r>
      <w:r w:rsidR="00D95823" w:rsidRPr="00CE33A2">
        <w:rPr>
          <w:rFonts w:ascii="Arial" w:hAnsi="Arial" w:cs="Arial"/>
          <w:sz w:val="22"/>
          <w:szCs w:val="22"/>
        </w:rPr>
        <w:t xml:space="preserve"> be delivered</w:t>
      </w:r>
      <w:r w:rsidRPr="00CE33A2">
        <w:rPr>
          <w:rFonts w:ascii="Arial" w:hAnsi="Arial" w:cs="Arial"/>
          <w:sz w:val="22"/>
          <w:szCs w:val="22"/>
        </w:rPr>
        <w:t xml:space="preserve"> to residents</w:t>
      </w:r>
      <w:r w:rsidR="00CE33A2">
        <w:rPr>
          <w:rFonts w:ascii="Arial" w:hAnsi="Arial" w:cs="Arial"/>
          <w:sz w:val="22"/>
          <w:szCs w:val="22"/>
        </w:rPr>
        <w:t xml:space="preserve"> (service users)</w:t>
      </w:r>
      <w:r w:rsidR="00D95823" w:rsidRPr="00CE33A2">
        <w:rPr>
          <w:rFonts w:ascii="Arial" w:hAnsi="Arial" w:cs="Arial"/>
          <w:sz w:val="22"/>
          <w:szCs w:val="22"/>
        </w:rPr>
        <w:t xml:space="preserve"> </w:t>
      </w:r>
      <w:r w:rsidR="00335122" w:rsidRPr="00CE33A2">
        <w:rPr>
          <w:rFonts w:ascii="Arial" w:hAnsi="Arial" w:cs="Arial"/>
          <w:sz w:val="22"/>
          <w:szCs w:val="22"/>
        </w:rPr>
        <w:t>in</w:t>
      </w:r>
      <w:r w:rsidR="00372E2D" w:rsidRPr="00CE33A2">
        <w:rPr>
          <w:rFonts w:ascii="Arial" w:hAnsi="Arial" w:cs="Arial"/>
          <w:sz w:val="22"/>
          <w:szCs w:val="22"/>
        </w:rPr>
        <w:t xml:space="preserve"> their own Council-managed homes</w:t>
      </w:r>
      <w:r w:rsidR="00AE45D6" w:rsidRPr="00CE33A2">
        <w:rPr>
          <w:rFonts w:ascii="Arial" w:hAnsi="Arial" w:cs="Arial"/>
          <w:sz w:val="22"/>
          <w:szCs w:val="22"/>
        </w:rPr>
        <w:t>, or</w:t>
      </w:r>
      <w:r w:rsidRPr="00CE33A2">
        <w:rPr>
          <w:rFonts w:ascii="Arial" w:hAnsi="Arial" w:cs="Arial"/>
          <w:sz w:val="22"/>
          <w:szCs w:val="22"/>
        </w:rPr>
        <w:t xml:space="preserve"> in other suitable loca</w:t>
      </w:r>
      <w:r w:rsidR="00AE45D6" w:rsidRPr="00CE33A2">
        <w:rPr>
          <w:rFonts w:ascii="Arial" w:hAnsi="Arial" w:cs="Arial"/>
          <w:sz w:val="22"/>
          <w:szCs w:val="22"/>
        </w:rPr>
        <w:t xml:space="preserve">tions agreed </w:t>
      </w:r>
      <w:r w:rsidR="00E42356" w:rsidRPr="00CE33A2">
        <w:rPr>
          <w:rFonts w:ascii="Arial" w:hAnsi="Arial" w:cs="Arial"/>
          <w:sz w:val="22"/>
          <w:szCs w:val="22"/>
        </w:rPr>
        <w:t>betwe</w:t>
      </w:r>
      <w:r w:rsidR="00D95823" w:rsidRPr="00CE33A2">
        <w:rPr>
          <w:rFonts w:ascii="Arial" w:hAnsi="Arial" w:cs="Arial"/>
          <w:sz w:val="22"/>
          <w:szCs w:val="22"/>
        </w:rPr>
        <w:t>en the service user</w:t>
      </w:r>
      <w:r w:rsidR="00A8656D" w:rsidRPr="00CE33A2">
        <w:rPr>
          <w:rFonts w:ascii="Arial" w:hAnsi="Arial" w:cs="Arial"/>
          <w:sz w:val="22"/>
          <w:szCs w:val="22"/>
        </w:rPr>
        <w:t>(s)</w:t>
      </w:r>
      <w:r w:rsidR="00D95823" w:rsidRPr="00CE33A2">
        <w:rPr>
          <w:rFonts w:ascii="Arial" w:hAnsi="Arial" w:cs="Arial"/>
          <w:sz w:val="22"/>
          <w:szCs w:val="22"/>
        </w:rPr>
        <w:t xml:space="preserve"> and P</w:t>
      </w:r>
      <w:r w:rsidR="00AE45D6" w:rsidRPr="00CE33A2">
        <w:rPr>
          <w:rFonts w:ascii="Arial" w:hAnsi="Arial" w:cs="Arial"/>
          <w:sz w:val="22"/>
          <w:szCs w:val="22"/>
        </w:rPr>
        <w:t>rovider</w:t>
      </w:r>
      <w:r w:rsidR="00372E2D" w:rsidRPr="00CE33A2">
        <w:rPr>
          <w:rFonts w:ascii="Arial" w:hAnsi="Arial" w:cs="Arial"/>
          <w:sz w:val="22"/>
          <w:szCs w:val="22"/>
        </w:rPr>
        <w:t>. It is expected that the Provider will make use of</w:t>
      </w:r>
      <w:r w:rsidR="00335122" w:rsidRPr="00CE33A2">
        <w:rPr>
          <w:rFonts w:ascii="Arial" w:hAnsi="Arial" w:cs="Arial"/>
          <w:sz w:val="22"/>
          <w:szCs w:val="22"/>
        </w:rPr>
        <w:t xml:space="preserve"> C</w:t>
      </w:r>
      <w:r w:rsidR="00AE45D6" w:rsidRPr="00CE33A2">
        <w:rPr>
          <w:rFonts w:ascii="Arial" w:hAnsi="Arial" w:cs="Arial"/>
          <w:sz w:val="22"/>
          <w:szCs w:val="22"/>
        </w:rPr>
        <w:t>ouncil offices</w:t>
      </w:r>
      <w:r w:rsidR="00372E2D" w:rsidRPr="00CE33A2">
        <w:rPr>
          <w:rFonts w:ascii="Arial" w:hAnsi="Arial" w:cs="Arial"/>
          <w:sz w:val="22"/>
          <w:szCs w:val="22"/>
        </w:rPr>
        <w:t>; where alternative locations are agreed between service user(s) and Provider these should</w:t>
      </w:r>
      <w:r w:rsidR="00AC4F02" w:rsidRPr="00CE33A2">
        <w:rPr>
          <w:rFonts w:ascii="Arial" w:hAnsi="Arial" w:cs="Arial"/>
          <w:sz w:val="22"/>
          <w:szCs w:val="22"/>
        </w:rPr>
        <w:t xml:space="preserve"> satisfy requirements for accessibility under the Council’s equality policy.</w:t>
      </w:r>
    </w:p>
    <w:p w:rsidR="004009D1" w:rsidRPr="00A8656D" w:rsidRDefault="00A363F5" w:rsidP="00E774C9">
      <w:pPr>
        <w:pStyle w:val="Heading1"/>
        <w:numPr>
          <w:ilvl w:val="0"/>
          <w:numId w:val="13"/>
        </w:numPr>
        <w:spacing w:before="120" w:after="120"/>
        <w:ind w:right="691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>Process for</w:t>
      </w:r>
      <w:r w:rsidR="00FD5B16" w:rsidRPr="00A8656D">
        <w:rPr>
          <w:rFonts w:cs="Arial"/>
          <w:bCs/>
          <w:sz w:val="22"/>
          <w:szCs w:val="22"/>
        </w:rPr>
        <w:t xml:space="preserve"> access</w:t>
      </w:r>
      <w:r>
        <w:rPr>
          <w:rFonts w:cs="Arial"/>
          <w:bCs/>
          <w:sz w:val="22"/>
          <w:szCs w:val="22"/>
        </w:rPr>
        <w:t>ing</w:t>
      </w:r>
      <w:r w:rsidR="00FD5B16" w:rsidRPr="00A8656D">
        <w:rPr>
          <w:rFonts w:cs="Arial"/>
          <w:bCs/>
          <w:sz w:val="22"/>
          <w:szCs w:val="22"/>
        </w:rPr>
        <w:t xml:space="preserve"> the s</w:t>
      </w:r>
      <w:r w:rsidR="004009D1" w:rsidRPr="00A8656D">
        <w:rPr>
          <w:rFonts w:cs="Arial"/>
          <w:bCs/>
          <w:sz w:val="22"/>
          <w:szCs w:val="22"/>
        </w:rPr>
        <w:t>ervices</w:t>
      </w:r>
    </w:p>
    <w:p w:rsidR="000839E8" w:rsidRPr="006A0B06" w:rsidRDefault="00335122" w:rsidP="006A0B06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Service users shall</w:t>
      </w:r>
      <w:r w:rsidR="00C90EFB" w:rsidRPr="006A0B06">
        <w:rPr>
          <w:rFonts w:ascii="Arial" w:hAnsi="Arial" w:cs="Arial"/>
          <w:bCs/>
          <w:sz w:val="22"/>
          <w:szCs w:val="22"/>
        </w:rPr>
        <w:t xml:space="preserve"> give their consent</w:t>
      </w:r>
      <w:r w:rsidR="0053162E">
        <w:rPr>
          <w:rFonts w:ascii="Arial" w:hAnsi="Arial" w:cs="Arial"/>
          <w:bCs/>
          <w:sz w:val="22"/>
          <w:szCs w:val="22"/>
        </w:rPr>
        <w:t xml:space="preserve"> to the Council</w:t>
      </w:r>
      <w:r w:rsidR="00C90EFB" w:rsidRPr="006A0B06">
        <w:rPr>
          <w:rFonts w:ascii="Arial" w:hAnsi="Arial" w:cs="Arial"/>
          <w:bCs/>
          <w:sz w:val="22"/>
          <w:szCs w:val="22"/>
        </w:rPr>
        <w:t xml:space="preserve"> for the case to be ref</w:t>
      </w:r>
      <w:r w:rsidR="00A8656D" w:rsidRPr="006A0B06">
        <w:rPr>
          <w:rFonts w:ascii="Arial" w:hAnsi="Arial" w:cs="Arial"/>
          <w:bCs/>
          <w:sz w:val="22"/>
          <w:szCs w:val="22"/>
        </w:rPr>
        <w:t>erred to mediation. A</w:t>
      </w:r>
      <w:r w:rsidR="0053162E">
        <w:rPr>
          <w:rFonts w:ascii="Arial" w:hAnsi="Arial" w:cs="Arial"/>
          <w:bCs/>
          <w:sz w:val="22"/>
          <w:szCs w:val="22"/>
        </w:rPr>
        <w:t>n authorised officer</w:t>
      </w:r>
      <w:r w:rsidR="006D6D18">
        <w:rPr>
          <w:rFonts w:ascii="Arial" w:hAnsi="Arial" w:cs="Arial"/>
          <w:bCs/>
          <w:sz w:val="22"/>
          <w:szCs w:val="22"/>
        </w:rPr>
        <w:t xml:space="preserve"> (or officer designated by the authorised officer)</w:t>
      </w:r>
      <w:r w:rsidR="0053162E">
        <w:rPr>
          <w:rFonts w:ascii="Arial" w:hAnsi="Arial" w:cs="Arial"/>
          <w:bCs/>
          <w:sz w:val="22"/>
          <w:szCs w:val="22"/>
        </w:rPr>
        <w:t xml:space="preserve"> of the C</w:t>
      </w:r>
      <w:r w:rsidR="00A8656D" w:rsidRPr="006A0B06">
        <w:rPr>
          <w:rFonts w:ascii="Arial" w:hAnsi="Arial" w:cs="Arial"/>
          <w:bCs/>
          <w:sz w:val="22"/>
          <w:szCs w:val="22"/>
        </w:rPr>
        <w:t xml:space="preserve">ouncil </w:t>
      </w:r>
      <w:r>
        <w:rPr>
          <w:rFonts w:ascii="Arial" w:hAnsi="Arial" w:cs="Arial"/>
          <w:bCs/>
          <w:sz w:val="22"/>
          <w:szCs w:val="22"/>
        </w:rPr>
        <w:t>shall</w:t>
      </w:r>
      <w:r w:rsidR="00C90EFB" w:rsidRPr="006A0B06">
        <w:rPr>
          <w:rFonts w:ascii="Arial" w:hAnsi="Arial" w:cs="Arial"/>
          <w:bCs/>
          <w:sz w:val="22"/>
          <w:szCs w:val="22"/>
        </w:rPr>
        <w:t xml:space="preserve"> then send a service request</w:t>
      </w:r>
      <w:r w:rsidR="00CE3910" w:rsidRPr="006A0B06">
        <w:rPr>
          <w:rFonts w:ascii="Arial" w:hAnsi="Arial" w:cs="Arial"/>
          <w:bCs/>
          <w:sz w:val="22"/>
          <w:szCs w:val="22"/>
        </w:rPr>
        <w:t xml:space="preserve"> refe</w:t>
      </w:r>
      <w:r w:rsidR="00C90EFB" w:rsidRPr="006A0B06">
        <w:rPr>
          <w:rFonts w:ascii="Arial" w:hAnsi="Arial" w:cs="Arial"/>
          <w:bCs/>
          <w:sz w:val="22"/>
          <w:szCs w:val="22"/>
        </w:rPr>
        <w:t>rral</w:t>
      </w:r>
      <w:r w:rsidR="00FD5B16" w:rsidRPr="006A0B06">
        <w:rPr>
          <w:rFonts w:ascii="Arial" w:hAnsi="Arial" w:cs="Arial"/>
          <w:bCs/>
          <w:sz w:val="22"/>
          <w:szCs w:val="22"/>
        </w:rPr>
        <w:t xml:space="preserve"> into the</w:t>
      </w:r>
      <w:r w:rsidR="00C90EFB" w:rsidRPr="006A0B06">
        <w:rPr>
          <w:rFonts w:ascii="Arial" w:hAnsi="Arial" w:cs="Arial"/>
          <w:bCs/>
          <w:sz w:val="22"/>
          <w:szCs w:val="22"/>
        </w:rPr>
        <w:t xml:space="preserve"> mediation</w:t>
      </w:r>
      <w:r w:rsidR="00FD5B16" w:rsidRPr="006A0B06">
        <w:rPr>
          <w:rFonts w:ascii="Arial" w:hAnsi="Arial" w:cs="Arial"/>
          <w:bCs/>
          <w:sz w:val="22"/>
          <w:szCs w:val="22"/>
        </w:rPr>
        <w:t xml:space="preserve"> service for a cas</w:t>
      </w:r>
      <w:r w:rsidR="00C90EFB" w:rsidRPr="006A0B06">
        <w:rPr>
          <w:rFonts w:ascii="Arial" w:hAnsi="Arial" w:cs="Arial"/>
          <w:bCs/>
          <w:sz w:val="22"/>
          <w:szCs w:val="22"/>
        </w:rPr>
        <w:t>e to be opened.</w:t>
      </w:r>
    </w:p>
    <w:p w:rsidR="00C63C83" w:rsidRPr="006A0B06" w:rsidRDefault="00FD5B16" w:rsidP="006A0B06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6A0B06">
        <w:rPr>
          <w:rFonts w:ascii="Arial" w:hAnsi="Arial" w:cs="Arial"/>
          <w:bCs/>
          <w:sz w:val="22"/>
          <w:szCs w:val="22"/>
        </w:rPr>
        <w:t xml:space="preserve">Service requests </w:t>
      </w:r>
      <w:r w:rsidR="00A363F5">
        <w:rPr>
          <w:rFonts w:ascii="Arial" w:hAnsi="Arial" w:cs="Arial"/>
          <w:bCs/>
          <w:sz w:val="22"/>
          <w:szCs w:val="22"/>
        </w:rPr>
        <w:t xml:space="preserve">accompanied by a completed referral form </w:t>
      </w:r>
      <w:r w:rsidR="00335122">
        <w:rPr>
          <w:rFonts w:ascii="Arial" w:hAnsi="Arial" w:cs="Arial"/>
          <w:bCs/>
          <w:sz w:val="22"/>
          <w:szCs w:val="22"/>
        </w:rPr>
        <w:t>shall</w:t>
      </w:r>
      <w:r w:rsidR="00A8656D" w:rsidRPr="006A0B06">
        <w:rPr>
          <w:rFonts w:ascii="Arial" w:hAnsi="Arial" w:cs="Arial"/>
          <w:bCs/>
          <w:sz w:val="22"/>
          <w:szCs w:val="22"/>
        </w:rPr>
        <w:t xml:space="preserve"> be sent from the </w:t>
      </w:r>
      <w:r w:rsidR="00335122">
        <w:rPr>
          <w:rFonts w:ascii="Arial" w:hAnsi="Arial" w:cs="Arial"/>
          <w:bCs/>
          <w:sz w:val="22"/>
          <w:szCs w:val="22"/>
        </w:rPr>
        <w:t>authorised officer of the Council</w:t>
      </w:r>
      <w:r w:rsidR="006D6D18">
        <w:rPr>
          <w:rFonts w:ascii="Arial" w:hAnsi="Arial" w:cs="Arial"/>
          <w:bCs/>
          <w:sz w:val="22"/>
          <w:szCs w:val="22"/>
        </w:rPr>
        <w:t xml:space="preserve"> (or officer designated by the authorised officer)</w:t>
      </w:r>
      <w:r w:rsidR="00AE62EF" w:rsidRPr="006A0B06">
        <w:rPr>
          <w:rFonts w:ascii="Arial" w:hAnsi="Arial" w:cs="Arial"/>
          <w:bCs/>
          <w:sz w:val="22"/>
          <w:szCs w:val="22"/>
        </w:rPr>
        <w:t xml:space="preserve"> to </w:t>
      </w:r>
      <w:r w:rsidR="00EB0920" w:rsidRPr="006A0B06">
        <w:rPr>
          <w:rFonts w:ascii="Arial" w:hAnsi="Arial" w:cs="Arial"/>
          <w:bCs/>
          <w:sz w:val="22"/>
          <w:szCs w:val="22"/>
        </w:rPr>
        <w:t xml:space="preserve">the Provider, </w:t>
      </w:r>
      <w:r w:rsidR="00535274" w:rsidRPr="006A0B06">
        <w:rPr>
          <w:rFonts w:ascii="Arial" w:hAnsi="Arial" w:cs="Arial"/>
          <w:bCs/>
          <w:sz w:val="22"/>
          <w:szCs w:val="22"/>
        </w:rPr>
        <w:t>authorising the opening of a case.</w:t>
      </w:r>
      <w:r w:rsidR="00AE62EF" w:rsidRPr="006A0B06">
        <w:rPr>
          <w:rFonts w:ascii="Arial" w:hAnsi="Arial" w:cs="Arial"/>
          <w:bCs/>
          <w:sz w:val="22"/>
          <w:szCs w:val="22"/>
        </w:rPr>
        <w:t xml:space="preserve"> </w:t>
      </w:r>
      <w:r w:rsidR="00A363F5">
        <w:rPr>
          <w:rFonts w:ascii="Arial" w:hAnsi="Arial" w:cs="Arial"/>
          <w:bCs/>
          <w:sz w:val="22"/>
          <w:szCs w:val="22"/>
        </w:rPr>
        <w:t>On receipt of the information provided by th</w:t>
      </w:r>
      <w:r w:rsidR="00335122">
        <w:rPr>
          <w:rFonts w:ascii="Arial" w:hAnsi="Arial" w:cs="Arial"/>
          <w:bCs/>
          <w:sz w:val="22"/>
          <w:szCs w:val="22"/>
        </w:rPr>
        <w:t>e Council, the Provider shall</w:t>
      </w:r>
      <w:r w:rsidR="000839E8" w:rsidRPr="006A0B06">
        <w:rPr>
          <w:rFonts w:ascii="Arial" w:hAnsi="Arial" w:cs="Arial"/>
          <w:bCs/>
          <w:sz w:val="22"/>
          <w:szCs w:val="22"/>
        </w:rPr>
        <w:t xml:space="preserve"> email</w:t>
      </w:r>
      <w:r w:rsidR="00BB41FC">
        <w:rPr>
          <w:rFonts w:ascii="Arial" w:hAnsi="Arial" w:cs="Arial"/>
          <w:bCs/>
          <w:sz w:val="22"/>
          <w:szCs w:val="22"/>
        </w:rPr>
        <w:t xml:space="preserve"> an</w:t>
      </w:r>
      <w:r w:rsidR="000839E8" w:rsidRPr="006A0B06">
        <w:rPr>
          <w:rFonts w:ascii="Arial" w:hAnsi="Arial" w:cs="Arial"/>
          <w:bCs/>
          <w:sz w:val="22"/>
          <w:szCs w:val="22"/>
        </w:rPr>
        <w:t xml:space="preserve"> acknowledgemen</w:t>
      </w:r>
      <w:r w:rsidR="00AE62EF" w:rsidRPr="006A0B06">
        <w:rPr>
          <w:rFonts w:ascii="Arial" w:hAnsi="Arial" w:cs="Arial"/>
          <w:bCs/>
          <w:sz w:val="22"/>
          <w:szCs w:val="22"/>
        </w:rPr>
        <w:t xml:space="preserve">t </w:t>
      </w:r>
      <w:r w:rsidR="00335122">
        <w:rPr>
          <w:rFonts w:ascii="Arial" w:hAnsi="Arial" w:cs="Arial"/>
          <w:bCs/>
          <w:sz w:val="22"/>
          <w:szCs w:val="22"/>
        </w:rPr>
        <w:t>to the C</w:t>
      </w:r>
      <w:r w:rsidR="00A363F5">
        <w:rPr>
          <w:rFonts w:ascii="Arial" w:hAnsi="Arial" w:cs="Arial"/>
          <w:bCs/>
          <w:sz w:val="22"/>
          <w:szCs w:val="22"/>
        </w:rPr>
        <w:t>ouncil</w:t>
      </w:r>
      <w:r w:rsidR="00AE62EF" w:rsidRPr="006A0B06">
        <w:rPr>
          <w:rFonts w:ascii="Arial" w:hAnsi="Arial" w:cs="Arial"/>
          <w:bCs/>
          <w:sz w:val="22"/>
          <w:szCs w:val="22"/>
        </w:rPr>
        <w:t>.</w:t>
      </w:r>
    </w:p>
    <w:p w:rsidR="00AE62EF" w:rsidRDefault="00335122" w:rsidP="006A0B06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Provider shall</w:t>
      </w:r>
      <w:r w:rsidR="00C63C83" w:rsidRPr="006A0B06">
        <w:rPr>
          <w:rFonts w:ascii="Arial" w:hAnsi="Arial" w:cs="Arial"/>
          <w:bCs/>
          <w:sz w:val="22"/>
          <w:szCs w:val="22"/>
        </w:rPr>
        <w:t xml:space="preserve"> then liaise with the service user(s) in respect of timings and locations for</w:t>
      </w:r>
      <w:r w:rsidR="00C63C83" w:rsidRPr="006A0B06">
        <w:rPr>
          <w:rFonts w:ascii="Arial" w:hAnsi="Arial" w:cs="Arial"/>
          <w:sz w:val="22"/>
          <w:szCs w:val="22"/>
        </w:rPr>
        <w:t xml:space="preserve"> mediation, and conduct mediation sessions to reach a suitable outcome.</w:t>
      </w:r>
    </w:p>
    <w:p w:rsidR="00DC3D2D" w:rsidRPr="00A8656D" w:rsidRDefault="00DC3D2D" w:rsidP="00DC3D2D">
      <w:pPr>
        <w:pStyle w:val="Heading1"/>
        <w:numPr>
          <w:ilvl w:val="0"/>
          <w:numId w:val="13"/>
        </w:numPr>
        <w:spacing w:before="120" w:after="120"/>
        <w:ind w:right="691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Service availability</w:t>
      </w:r>
    </w:p>
    <w:p w:rsidR="00DC3D2D" w:rsidRPr="00DC3D2D" w:rsidRDefault="00DC3D2D" w:rsidP="00DC3D2D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6A0B06">
        <w:rPr>
          <w:rFonts w:ascii="Arial" w:hAnsi="Arial" w:cs="Arial"/>
          <w:bCs/>
          <w:sz w:val="22"/>
          <w:szCs w:val="22"/>
        </w:rPr>
        <w:t>The service</w:t>
      </w:r>
      <w:r>
        <w:rPr>
          <w:rFonts w:ascii="Arial" w:hAnsi="Arial" w:cs="Arial"/>
          <w:bCs/>
          <w:sz w:val="22"/>
          <w:szCs w:val="22"/>
        </w:rPr>
        <w:t xml:space="preserve"> shall</w:t>
      </w:r>
      <w:r w:rsidRPr="006A0B06">
        <w:rPr>
          <w:rFonts w:ascii="Arial" w:hAnsi="Arial" w:cs="Arial"/>
          <w:bCs/>
          <w:sz w:val="22"/>
          <w:szCs w:val="22"/>
        </w:rPr>
        <w:t xml:space="preserve"> be delivered at times agreed as satisfactory between the service user and the Provider. The Provider</w:t>
      </w:r>
      <w:r>
        <w:rPr>
          <w:rFonts w:ascii="Arial" w:hAnsi="Arial" w:cs="Arial"/>
          <w:bCs/>
          <w:sz w:val="22"/>
          <w:szCs w:val="22"/>
        </w:rPr>
        <w:t xml:space="preserve"> shall</w:t>
      </w:r>
      <w:r w:rsidRPr="006A0B06">
        <w:rPr>
          <w:rFonts w:ascii="Arial" w:hAnsi="Arial" w:cs="Arial"/>
          <w:bCs/>
          <w:sz w:val="22"/>
          <w:szCs w:val="22"/>
        </w:rPr>
        <w:t xml:space="preserve"> act as a single point of contact for the service user and be available to the service user when nece</w:t>
      </w:r>
      <w:r w:rsidR="00CE33A2">
        <w:rPr>
          <w:rFonts w:ascii="Arial" w:hAnsi="Arial" w:cs="Arial"/>
          <w:bCs/>
          <w:sz w:val="22"/>
          <w:szCs w:val="22"/>
        </w:rPr>
        <w:t>ssary, both inside and outside C</w:t>
      </w:r>
      <w:r w:rsidRPr="006A0B06">
        <w:rPr>
          <w:rFonts w:ascii="Arial" w:hAnsi="Arial" w:cs="Arial"/>
          <w:bCs/>
          <w:sz w:val="22"/>
          <w:szCs w:val="22"/>
        </w:rPr>
        <w:t>ouncil office hours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8656D">
        <w:rPr>
          <w:rFonts w:ascii="Arial" w:hAnsi="Arial" w:cs="Arial"/>
          <w:sz w:val="22"/>
          <w:szCs w:val="22"/>
        </w:rPr>
        <w:t>(9am – 5pm)</w:t>
      </w:r>
      <w:r w:rsidRPr="006A0B06">
        <w:rPr>
          <w:rFonts w:ascii="Arial" w:hAnsi="Arial" w:cs="Arial"/>
          <w:bCs/>
          <w:sz w:val="22"/>
          <w:szCs w:val="22"/>
        </w:rPr>
        <w:t>, seven days a week.</w:t>
      </w:r>
    </w:p>
    <w:p w:rsidR="00CE3910" w:rsidRPr="00A8656D" w:rsidRDefault="004009D1" w:rsidP="00E774C9">
      <w:pPr>
        <w:pStyle w:val="Heading1"/>
        <w:numPr>
          <w:ilvl w:val="0"/>
          <w:numId w:val="13"/>
        </w:numPr>
        <w:spacing w:before="120" w:after="120"/>
        <w:ind w:right="691"/>
        <w:jc w:val="both"/>
        <w:rPr>
          <w:rFonts w:cs="Arial"/>
          <w:bCs/>
          <w:sz w:val="22"/>
          <w:szCs w:val="22"/>
        </w:rPr>
      </w:pPr>
      <w:r w:rsidRPr="00A8656D">
        <w:rPr>
          <w:rFonts w:cs="Arial"/>
          <w:bCs/>
          <w:sz w:val="22"/>
          <w:szCs w:val="22"/>
        </w:rPr>
        <w:t>T</w:t>
      </w:r>
      <w:r w:rsidR="00AE62EF" w:rsidRPr="00A8656D">
        <w:rPr>
          <w:rFonts w:cs="Arial"/>
          <w:bCs/>
          <w:sz w:val="22"/>
          <w:szCs w:val="22"/>
        </w:rPr>
        <w:t>iming of referrals</w:t>
      </w:r>
    </w:p>
    <w:p w:rsidR="004009D1" w:rsidRPr="00A8656D" w:rsidRDefault="00CE3910" w:rsidP="00BB41FC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656D">
        <w:rPr>
          <w:rFonts w:ascii="Arial" w:hAnsi="Arial" w:cs="Arial"/>
          <w:sz w:val="22"/>
          <w:szCs w:val="22"/>
        </w:rPr>
        <w:t xml:space="preserve">All </w:t>
      </w:r>
      <w:r w:rsidR="00EB0920" w:rsidRPr="00A8656D">
        <w:rPr>
          <w:rFonts w:ascii="Arial" w:hAnsi="Arial" w:cs="Arial"/>
          <w:sz w:val="22"/>
          <w:szCs w:val="22"/>
        </w:rPr>
        <w:t xml:space="preserve">service request </w:t>
      </w:r>
      <w:r w:rsidRPr="00A8656D">
        <w:rPr>
          <w:rFonts w:ascii="Arial" w:hAnsi="Arial" w:cs="Arial"/>
          <w:sz w:val="22"/>
          <w:szCs w:val="22"/>
        </w:rPr>
        <w:t>r</w:t>
      </w:r>
      <w:r w:rsidR="00335122">
        <w:rPr>
          <w:rFonts w:ascii="Arial" w:hAnsi="Arial" w:cs="Arial"/>
          <w:sz w:val="22"/>
          <w:szCs w:val="22"/>
        </w:rPr>
        <w:t>eferrals shall be made during C</w:t>
      </w:r>
      <w:r w:rsidR="00AE62EF" w:rsidRPr="00A8656D">
        <w:rPr>
          <w:rFonts w:ascii="Arial" w:hAnsi="Arial" w:cs="Arial"/>
          <w:sz w:val="22"/>
          <w:szCs w:val="22"/>
        </w:rPr>
        <w:t>ouncil office hours (9am – 5pm).</w:t>
      </w:r>
      <w:r w:rsidR="000724DF" w:rsidRPr="00A8656D">
        <w:rPr>
          <w:rFonts w:ascii="Arial" w:hAnsi="Arial" w:cs="Arial"/>
          <w:sz w:val="22"/>
          <w:szCs w:val="22"/>
        </w:rPr>
        <w:t xml:space="preserve"> </w:t>
      </w:r>
      <w:r w:rsidR="002D1F0F">
        <w:rPr>
          <w:rFonts w:ascii="Arial" w:hAnsi="Arial" w:cs="Arial"/>
          <w:sz w:val="22"/>
          <w:szCs w:val="22"/>
        </w:rPr>
        <w:t>The fixed maximum budget for mediation services means that referrals will be made on a</w:t>
      </w:r>
      <w:r w:rsidR="000724DF" w:rsidRPr="00A8656D">
        <w:rPr>
          <w:rFonts w:ascii="Arial" w:hAnsi="Arial" w:cs="Arial"/>
          <w:sz w:val="22"/>
          <w:szCs w:val="22"/>
        </w:rPr>
        <w:t xml:space="preserve"> regular </w:t>
      </w:r>
      <w:r w:rsidR="002D1F0F">
        <w:rPr>
          <w:rFonts w:ascii="Arial" w:hAnsi="Arial" w:cs="Arial"/>
          <w:sz w:val="22"/>
          <w:szCs w:val="22"/>
        </w:rPr>
        <w:t xml:space="preserve">basis </w:t>
      </w:r>
      <w:r w:rsidR="000724DF" w:rsidRPr="00A8656D">
        <w:rPr>
          <w:rFonts w:ascii="Arial" w:hAnsi="Arial" w:cs="Arial"/>
          <w:sz w:val="22"/>
          <w:szCs w:val="22"/>
        </w:rPr>
        <w:t>throughout the year, with referral volumes</w:t>
      </w:r>
      <w:r w:rsidR="005D374E">
        <w:rPr>
          <w:rFonts w:ascii="Arial" w:hAnsi="Arial" w:cs="Arial"/>
          <w:sz w:val="22"/>
          <w:szCs w:val="22"/>
        </w:rPr>
        <w:t xml:space="preserve"> (and maximum number of referrals)</w:t>
      </w:r>
      <w:r w:rsidR="000724DF" w:rsidRPr="00A8656D">
        <w:rPr>
          <w:rFonts w:ascii="Arial" w:hAnsi="Arial" w:cs="Arial"/>
          <w:sz w:val="22"/>
          <w:szCs w:val="22"/>
        </w:rPr>
        <w:t xml:space="preserve"> determined by the Provider quotation. It is likely that the number of referrals will increase during summer and Christmas</w:t>
      </w:r>
      <w:r w:rsidR="00CE33A2">
        <w:rPr>
          <w:rFonts w:ascii="Arial" w:hAnsi="Arial" w:cs="Arial"/>
          <w:sz w:val="22"/>
          <w:szCs w:val="22"/>
        </w:rPr>
        <w:t xml:space="preserve"> holiday</w:t>
      </w:r>
      <w:r w:rsidR="000724DF" w:rsidRPr="00A8656D">
        <w:rPr>
          <w:rFonts w:ascii="Arial" w:hAnsi="Arial" w:cs="Arial"/>
          <w:sz w:val="22"/>
          <w:szCs w:val="22"/>
        </w:rPr>
        <w:t xml:space="preserve"> periods.</w:t>
      </w:r>
      <w:r w:rsidR="00335122">
        <w:rPr>
          <w:rFonts w:ascii="Arial" w:hAnsi="Arial" w:cs="Arial"/>
          <w:sz w:val="22"/>
          <w:szCs w:val="22"/>
        </w:rPr>
        <w:t xml:space="preserve"> The Provider shall</w:t>
      </w:r>
      <w:r w:rsidR="00C90EFB" w:rsidRPr="00A8656D">
        <w:rPr>
          <w:rFonts w:ascii="Arial" w:hAnsi="Arial" w:cs="Arial"/>
          <w:sz w:val="22"/>
          <w:szCs w:val="22"/>
        </w:rPr>
        <w:t xml:space="preserve"> make initial contact with the service user within two weeks of the referral.</w:t>
      </w:r>
    </w:p>
    <w:p w:rsidR="00CB35F9" w:rsidRPr="00A8656D" w:rsidRDefault="00D9618D" w:rsidP="00E774C9">
      <w:pPr>
        <w:pStyle w:val="Heading1"/>
        <w:numPr>
          <w:ilvl w:val="0"/>
          <w:numId w:val="13"/>
        </w:numPr>
        <w:spacing w:before="120" w:after="120"/>
        <w:ind w:right="691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M</w:t>
      </w:r>
      <w:r w:rsidR="004009D1" w:rsidRPr="00A8656D">
        <w:rPr>
          <w:rFonts w:cs="Arial"/>
          <w:bCs/>
          <w:sz w:val="22"/>
          <w:szCs w:val="22"/>
        </w:rPr>
        <w:t>eet</w:t>
      </w:r>
      <w:r>
        <w:rPr>
          <w:rFonts w:cs="Arial"/>
          <w:bCs/>
          <w:sz w:val="22"/>
          <w:szCs w:val="22"/>
        </w:rPr>
        <w:t>ing the</w:t>
      </w:r>
      <w:r w:rsidR="004009D1" w:rsidRPr="00A8656D">
        <w:rPr>
          <w:rFonts w:cs="Arial"/>
          <w:bCs/>
          <w:sz w:val="22"/>
          <w:szCs w:val="22"/>
        </w:rPr>
        <w:t xml:space="preserve"> service users’ needs </w:t>
      </w:r>
    </w:p>
    <w:p w:rsidR="001A22FA" w:rsidRPr="00A8656D" w:rsidRDefault="00C63C83" w:rsidP="006A0B06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656D">
        <w:rPr>
          <w:rFonts w:ascii="Arial" w:hAnsi="Arial" w:cs="Arial"/>
          <w:sz w:val="22"/>
          <w:szCs w:val="22"/>
        </w:rPr>
        <w:t>Follow</w:t>
      </w:r>
      <w:r w:rsidR="002D1F0F">
        <w:rPr>
          <w:rFonts w:ascii="Arial" w:hAnsi="Arial" w:cs="Arial"/>
          <w:sz w:val="22"/>
          <w:szCs w:val="22"/>
        </w:rPr>
        <w:t>ing a service request from the Council the Provider shall</w:t>
      </w:r>
      <w:r w:rsidRPr="00A8656D">
        <w:rPr>
          <w:rFonts w:ascii="Arial" w:hAnsi="Arial" w:cs="Arial"/>
          <w:sz w:val="22"/>
          <w:szCs w:val="22"/>
        </w:rPr>
        <w:t xml:space="preserve"> liaise with the service user(s) during mediation to reach an expected outcome.</w:t>
      </w:r>
    </w:p>
    <w:p w:rsidR="00C63C83" w:rsidRPr="00A8656D" w:rsidRDefault="00A8656D" w:rsidP="006A0B06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616095">
        <w:rPr>
          <w:rFonts w:ascii="Arial" w:hAnsi="Arial" w:cs="Arial"/>
          <w:sz w:val="22"/>
          <w:szCs w:val="22"/>
        </w:rPr>
        <w:t>rovider shall</w:t>
      </w:r>
      <w:r w:rsidR="001A22FA" w:rsidRPr="00A8656D">
        <w:rPr>
          <w:rFonts w:ascii="Arial" w:hAnsi="Arial" w:cs="Arial"/>
          <w:sz w:val="22"/>
          <w:szCs w:val="22"/>
        </w:rPr>
        <w:t xml:space="preserve"> agree a me</w:t>
      </w:r>
      <w:r>
        <w:rPr>
          <w:rFonts w:ascii="Arial" w:hAnsi="Arial" w:cs="Arial"/>
          <w:sz w:val="22"/>
          <w:szCs w:val="22"/>
        </w:rPr>
        <w:t>diation process wi</w:t>
      </w:r>
      <w:r w:rsidR="00616095">
        <w:rPr>
          <w:rFonts w:ascii="Arial" w:hAnsi="Arial" w:cs="Arial"/>
          <w:sz w:val="22"/>
          <w:szCs w:val="22"/>
        </w:rPr>
        <w:t>th the authorised officer of the Council</w:t>
      </w:r>
      <w:r w:rsidR="00A81867">
        <w:rPr>
          <w:rFonts w:ascii="Arial" w:hAnsi="Arial" w:cs="Arial"/>
          <w:sz w:val="22"/>
          <w:szCs w:val="22"/>
        </w:rPr>
        <w:t xml:space="preserve"> (or officer designated by the authorised officer)</w:t>
      </w:r>
      <w:r w:rsidR="001A22FA" w:rsidRPr="00A8656D">
        <w:rPr>
          <w:rFonts w:ascii="Arial" w:hAnsi="Arial" w:cs="Arial"/>
          <w:sz w:val="22"/>
          <w:szCs w:val="22"/>
        </w:rPr>
        <w:t>, and any standard documents and templates to be used.</w:t>
      </w:r>
    </w:p>
    <w:p w:rsidR="00C63C83" w:rsidRPr="00A8656D" w:rsidRDefault="00C63C83" w:rsidP="006A0B06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656D">
        <w:rPr>
          <w:rFonts w:ascii="Arial" w:hAnsi="Arial" w:cs="Arial"/>
          <w:sz w:val="22"/>
          <w:szCs w:val="22"/>
        </w:rPr>
        <w:t>The Provid</w:t>
      </w:r>
      <w:r w:rsidR="00616095">
        <w:rPr>
          <w:rFonts w:ascii="Arial" w:hAnsi="Arial" w:cs="Arial"/>
          <w:sz w:val="22"/>
          <w:szCs w:val="22"/>
        </w:rPr>
        <w:t>er shall</w:t>
      </w:r>
      <w:r w:rsidR="00711F15">
        <w:rPr>
          <w:rFonts w:ascii="Arial" w:hAnsi="Arial" w:cs="Arial"/>
          <w:sz w:val="22"/>
          <w:szCs w:val="22"/>
        </w:rPr>
        <w:t xml:space="preserve"> be responsible for </w:t>
      </w:r>
      <w:r w:rsidRPr="00A8656D">
        <w:rPr>
          <w:rFonts w:ascii="Arial" w:hAnsi="Arial" w:cs="Arial"/>
          <w:sz w:val="22"/>
          <w:szCs w:val="22"/>
        </w:rPr>
        <w:t>management of the case</w:t>
      </w:r>
      <w:r w:rsidR="00711F15">
        <w:rPr>
          <w:rFonts w:ascii="Arial" w:hAnsi="Arial" w:cs="Arial"/>
          <w:sz w:val="22"/>
          <w:szCs w:val="22"/>
        </w:rPr>
        <w:t xml:space="preserve"> (including risk management)</w:t>
      </w:r>
      <w:r w:rsidRPr="00A8656D">
        <w:rPr>
          <w:rFonts w:ascii="Arial" w:hAnsi="Arial" w:cs="Arial"/>
          <w:sz w:val="22"/>
          <w:szCs w:val="22"/>
        </w:rPr>
        <w:t>, ensuring that appropriate documents and records are maintained</w:t>
      </w:r>
      <w:r w:rsidR="001A22FA" w:rsidRPr="00A8656D">
        <w:rPr>
          <w:rFonts w:ascii="Arial" w:hAnsi="Arial" w:cs="Arial"/>
          <w:sz w:val="22"/>
          <w:szCs w:val="22"/>
        </w:rPr>
        <w:t xml:space="preserve"> for audit purposes.</w:t>
      </w:r>
    </w:p>
    <w:p w:rsidR="00C63C83" w:rsidRPr="00A8656D" w:rsidRDefault="00083162" w:rsidP="006A0B06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656D">
        <w:rPr>
          <w:rFonts w:ascii="Arial" w:hAnsi="Arial" w:cs="Arial"/>
          <w:sz w:val="22"/>
          <w:szCs w:val="22"/>
        </w:rPr>
        <w:t xml:space="preserve">The </w:t>
      </w:r>
      <w:r w:rsidR="00A8656D">
        <w:rPr>
          <w:rFonts w:ascii="Arial" w:hAnsi="Arial" w:cs="Arial"/>
          <w:sz w:val="22"/>
          <w:szCs w:val="22"/>
        </w:rPr>
        <w:t>P</w:t>
      </w:r>
      <w:r w:rsidR="00CB35F9" w:rsidRPr="00A8656D">
        <w:rPr>
          <w:rFonts w:ascii="Arial" w:hAnsi="Arial" w:cs="Arial"/>
          <w:sz w:val="22"/>
          <w:szCs w:val="22"/>
        </w:rPr>
        <w:t>rovide</w:t>
      </w:r>
      <w:r w:rsidR="00616095">
        <w:rPr>
          <w:rFonts w:ascii="Arial" w:hAnsi="Arial" w:cs="Arial"/>
          <w:sz w:val="22"/>
          <w:szCs w:val="22"/>
        </w:rPr>
        <w:t>r shall work with the C</w:t>
      </w:r>
      <w:r w:rsidRPr="00A8656D">
        <w:rPr>
          <w:rFonts w:ascii="Arial" w:hAnsi="Arial" w:cs="Arial"/>
          <w:sz w:val="22"/>
          <w:szCs w:val="22"/>
        </w:rPr>
        <w:t>ouncil to gather</w:t>
      </w:r>
      <w:r w:rsidR="00CB35F9" w:rsidRPr="00A8656D">
        <w:rPr>
          <w:rFonts w:ascii="Arial" w:hAnsi="Arial" w:cs="Arial"/>
          <w:sz w:val="22"/>
          <w:szCs w:val="22"/>
        </w:rPr>
        <w:t xml:space="preserve"> evidence </w:t>
      </w:r>
      <w:r w:rsidRPr="00A8656D">
        <w:rPr>
          <w:rFonts w:ascii="Arial" w:hAnsi="Arial" w:cs="Arial"/>
          <w:sz w:val="22"/>
          <w:szCs w:val="22"/>
        </w:rPr>
        <w:t>where enforcement action is necessary.</w:t>
      </w:r>
    </w:p>
    <w:p w:rsidR="0035672E" w:rsidRDefault="00A8656D" w:rsidP="006A0B06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616095">
        <w:rPr>
          <w:rFonts w:ascii="Arial" w:hAnsi="Arial" w:cs="Arial"/>
          <w:sz w:val="22"/>
          <w:szCs w:val="22"/>
        </w:rPr>
        <w:t>rovider shall</w:t>
      </w:r>
      <w:r w:rsidR="00C63C83" w:rsidRPr="00A8656D">
        <w:rPr>
          <w:rFonts w:ascii="Arial" w:hAnsi="Arial" w:cs="Arial"/>
          <w:sz w:val="22"/>
          <w:szCs w:val="22"/>
        </w:rPr>
        <w:t xml:space="preserve"> be expected to gi</w:t>
      </w:r>
      <w:r w:rsidR="00616095">
        <w:rPr>
          <w:rFonts w:ascii="Arial" w:hAnsi="Arial" w:cs="Arial"/>
          <w:sz w:val="22"/>
          <w:szCs w:val="22"/>
        </w:rPr>
        <w:t>ve evidence in court where the C</w:t>
      </w:r>
      <w:r w:rsidR="00C63C83" w:rsidRPr="00A8656D">
        <w:rPr>
          <w:rFonts w:ascii="Arial" w:hAnsi="Arial" w:cs="Arial"/>
          <w:sz w:val="22"/>
          <w:szCs w:val="22"/>
        </w:rPr>
        <w:t>ouncil chooses to pursue legal enforcement action.</w:t>
      </w:r>
    </w:p>
    <w:p w:rsidR="00711F15" w:rsidRDefault="00616095" w:rsidP="006A0B06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Provider shall liaise with the relevant C</w:t>
      </w:r>
      <w:r w:rsidR="00711F15">
        <w:rPr>
          <w:rFonts w:ascii="Arial" w:hAnsi="Arial" w:cs="Arial"/>
          <w:sz w:val="22"/>
          <w:szCs w:val="22"/>
        </w:rPr>
        <w:t xml:space="preserve">ouncil officer to resolve any service user complaints, following </w:t>
      </w:r>
      <w:r>
        <w:rPr>
          <w:rFonts w:ascii="Arial" w:hAnsi="Arial" w:cs="Arial"/>
          <w:sz w:val="22"/>
          <w:szCs w:val="22"/>
        </w:rPr>
        <w:t>the C</w:t>
      </w:r>
      <w:r w:rsidR="00711F15">
        <w:rPr>
          <w:rFonts w:ascii="Arial" w:hAnsi="Arial" w:cs="Arial"/>
          <w:sz w:val="22"/>
          <w:szCs w:val="22"/>
        </w:rPr>
        <w:t>ouncil complaints process.</w:t>
      </w:r>
    </w:p>
    <w:p w:rsidR="000A7442" w:rsidRPr="00CE33A2" w:rsidRDefault="000A7442" w:rsidP="006A0B06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E33A2">
        <w:rPr>
          <w:rFonts w:ascii="Arial" w:hAnsi="Arial" w:cs="Arial"/>
          <w:sz w:val="22"/>
          <w:szCs w:val="22"/>
        </w:rPr>
        <w:t>The Provider shall ensure that staff responsible for delivering mediation or professional witness services are suitably qualified, with related experience of working wi</w:t>
      </w:r>
      <w:r w:rsidR="00AC4F02" w:rsidRPr="00CE33A2">
        <w:rPr>
          <w:rFonts w:ascii="Arial" w:hAnsi="Arial" w:cs="Arial"/>
          <w:sz w:val="22"/>
          <w:szCs w:val="22"/>
        </w:rPr>
        <w:t>th housing providers and residents</w:t>
      </w:r>
      <w:r w:rsidRPr="00CE33A2">
        <w:rPr>
          <w:rFonts w:ascii="Arial" w:hAnsi="Arial" w:cs="Arial"/>
          <w:sz w:val="22"/>
          <w:szCs w:val="22"/>
        </w:rPr>
        <w:t xml:space="preserve"> preferred.</w:t>
      </w:r>
    </w:p>
    <w:p w:rsidR="004009D1" w:rsidRPr="00A8656D" w:rsidRDefault="004009D1" w:rsidP="00E774C9">
      <w:pPr>
        <w:pStyle w:val="Heading1"/>
        <w:numPr>
          <w:ilvl w:val="0"/>
          <w:numId w:val="13"/>
        </w:numPr>
        <w:spacing w:before="120" w:after="120"/>
        <w:ind w:right="691"/>
        <w:jc w:val="both"/>
        <w:rPr>
          <w:rFonts w:cs="Arial"/>
          <w:bCs/>
          <w:sz w:val="22"/>
          <w:szCs w:val="22"/>
        </w:rPr>
      </w:pPr>
      <w:r w:rsidRPr="00A8656D">
        <w:rPr>
          <w:rFonts w:cs="Arial"/>
          <w:bCs/>
          <w:sz w:val="22"/>
          <w:szCs w:val="22"/>
        </w:rPr>
        <w:lastRenderedPageBreak/>
        <w:t>Number of service users who may</w:t>
      </w:r>
      <w:r w:rsidR="00083162" w:rsidRPr="00A8656D">
        <w:rPr>
          <w:rFonts w:cs="Arial"/>
          <w:bCs/>
          <w:sz w:val="22"/>
          <w:szCs w:val="22"/>
        </w:rPr>
        <w:t xml:space="preserve"> be referred for access to the services</w:t>
      </w:r>
    </w:p>
    <w:p w:rsidR="004009D1" w:rsidRPr="00A8656D" w:rsidRDefault="0035672E" w:rsidP="00F446DE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656D">
        <w:rPr>
          <w:rFonts w:ascii="Arial" w:hAnsi="Arial" w:cs="Arial"/>
          <w:sz w:val="22"/>
          <w:szCs w:val="22"/>
        </w:rPr>
        <w:t>This will be agreed as</w:t>
      </w:r>
      <w:r w:rsidR="00535274" w:rsidRPr="00A8656D">
        <w:rPr>
          <w:rFonts w:ascii="Arial" w:hAnsi="Arial" w:cs="Arial"/>
          <w:sz w:val="22"/>
          <w:szCs w:val="22"/>
        </w:rPr>
        <w:t xml:space="preserve"> part of the quotation process.</w:t>
      </w:r>
    </w:p>
    <w:p w:rsidR="00C277DF" w:rsidRPr="00A8656D" w:rsidRDefault="00C63C83" w:rsidP="00E774C9">
      <w:pPr>
        <w:pStyle w:val="Heading1"/>
        <w:numPr>
          <w:ilvl w:val="0"/>
          <w:numId w:val="13"/>
        </w:numPr>
        <w:spacing w:before="120" w:after="120"/>
        <w:ind w:right="691"/>
        <w:jc w:val="both"/>
        <w:rPr>
          <w:rFonts w:cs="Arial"/>
          <w:bCs/>
          <w:sz w:val="22"/>
          <w:szCs w:val="22"/>
        </w:rPr>
      </w:pPr>
      <w:r w:rsidRPr="00A8656D">
        <w:rPr>
          <w:rFonts w:cs="Arial"/>
          <w:bCs/>
          <w:sz w:val="22"/>
          <w:szCs w:val="22"/>
        </w:rPr>
        <w:t>Performance monitoring &amp; k</w:t>
      </w:r>
      <w:r w:rsidR="004009D1" w:rsidRPr="00A8656D">
        <w:rPr>
          <w:rFonts w:cs="Arial"/>
          <w:bCs/>
          <w:sz w:val="22"/>
          <w:szCs w:val="22"/>
        </w:rPr>
        <w:t>ey performance indicators</w:t>
      </w:r>
    </w:p>
    <w:p w:rsidR="00D95823" w:rsidRPr="00A8656D" w:rsidRDefault="00A8656D" w:rsidP="00F446DE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each mediation case t</w:t>
      </w:r>
      <w:r w:rsidR="00D95823" w:rsidRPr="00A8656D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P</w:t>
      </w:r>
      <w:r w:rsidR="00616095">
        <w:rPr>
          <w:rFonts w:ascii="Arial" w:hAnsi="Arial" w:cs="Arial"/>
          <w:sz w:val="22"/>
          <w:szCs w:val="22"/>
        </w:rPr>
        <w:t>rovider shall</w:t>
      </w:r>
      <w:r w:rsidR="00AE45D6" w:rsidRPr="00A8656D">
        <w:rPr>
          <w:rFonts w:ascii="Arial" w:hAnsi="Arial" w:cs="Arial"/>
          <w:sz w:val="22"/>
          <w:szCs w:val="22"/>
        </w:rPr>
        <w:t xml:space="preserve"> maintain an audit log and records of text messages, emails and other</w:t>
      </w:r>
      <w:r>
        <w:rPr>
          <w:rFonts w:ascii="Arial" w:hAnsi="Arial" w:cs="Arial"/>
          <w:sz w:val="22"/>
          <w:szCs w:val="22"/>
        </w:rPr>
        <w:t xml:space="preserve"> communications</w:t>
      </w:r>
      <w:r w:rsidR="00D95823" w:rsidRPr="00A8656D">
        <w:rPr>
          <w:rFonts w:ascii="Arial" w:hAnsi="Arial" w:cs="Arial"/>
          <w:sz w:val="22"/>
          <w:szCs w:val="22"/>
        </w:rPr>
        <w:t>.</w:t>
      </w:r>
    </w:p>
    <w:p w:rsidR="00D95823" w:rsidRPr="00A8656D" w:rsidRDefault="00A8656D" w:rsidP="00F446DE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616095">
        <w:rPr>
          <w:rFonts w:ascii="Arial" w:hAnsi="Arial" w:cs="Arial"/>
          <w:sz w:val="22"/>
          <w:szCs w:val="22"/>
        </w:rPr>
        <w:t>rovider shall</w:t>
      </w:r>
      <w:r w:rsidR="00D95823" w:rsidRPr="00A8656D">
        <w:rPr>
          <w:rFonts w:ascii="Arial" w:hAnsi="Arial" w:cs="Arial"/>
          <w:sz w:val="22"/>
          <w:szCs w:val="22"/>
        </w:rPr>
        <w:t xml:space="preserve"> compile a case rep</w:t>
      </w:r>
      <w:r w:rsidR="00616095">
        <w:rPr>
          <w:rFonts w:ascii="Arial" w:hAnsi="Arial" w:cs="Arial"/>
          <w:sz w:val="22"/>
          <w:szCs w:val="22"/>
        </w:rPr>
        <w:t>ort to be sent to the relevant C</w:t>
      </w:r>
      <w:r w:rsidR="00D95823" w:rsidRPr="00A8656D">
        <w:rPr>
          <w:rFonts w:ascii="Arial" w:hAnsi="Arial" w:cs="Arial"/>
          <w:sz w:val="22"/>
          <w:szCs w:val="22"/>
        </w:rPr>
        <w:t>ouncil officer at the closure of each case.</w:t>
      </w:r>
    </w:p>
    <w:p w:rsidR="00C63C83" w:rsidRPr="00E774C9" w:rsidRDefault="00A8656D" w:rsidP="00F446DE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616095">
        <w:rPr>
          <w:rFonts w:ascii="Arial" w:hAnsi="Arial" w:cs="Arial"/>
          <w:sz w:val="22"/>
          <w:szCs w:val="22"/>
        </w:rPr>
        <w:t>rovider shall</w:t>
      </w:r>
      <w:r w:rsidR="00D95823" w:rsidRPr="00A8656D">
        <w:rPr>
          <w:rFonts w:ascii="Arial" w:hAnsi="Arial" w:cs="Arial"/>
          <w:sz w:val="22"/>
          <w:szCs w:val="22"/>
        </w:rPr>
        <w:t xml:space="preserve"> meet with </w:t>
      </w:r>
      <w:r w:rsidR="00616095">
        <w:rPr>
          <w:rFonts w:ascii="Arial" w:hAnsi="Arial" w:cs="Arial"/>
          <w:sz w:val="22"/>
          <w:szCs w:val="22"/>
        </w:rPr>
        <w:t xml:space="preserve">the authorised </w:t>
      </w:r>
      <w:r w:rsidR="00711F15">
        <w:rPr>
          <w:rFonts w:ascii="Arial" w:hAnsi="Arial" w:cs="Arial"/>
          <w:sz w:val="22"/>
          <w:szCs w:val="22"/>
        </w:rPr>
        <w:t>officer</w:t>
      </w:r>
      <w:r w:rsidR="00616095">
        <w:rPr>
          <w:rFonts w:ascii="Arial" w:hAnsi="Arial" w:cs="Arial"/>
          <w:sz w:val="22"/>
          <w:szCs w:val="22"/>
        </w:rPr>
        <w:t xml:space="preserve"> of the Council</w:t>
      </w:r>
      <w:r w:rsidR="00A81867">
        <w:rPr>
          <w:rFonts w:ascii="Arial" w:hAnsi="Arial" w:cs="Arial"/>
          <w:sz w:val="22"/>
          <w:szCs w:val="22"/>
        </w:rPr>
        <w:t xml:space="preserve"> (or officer designated by the authorised officer)</w:t>
      </w:r>
      <w:r w:rsidR="00D95823" w:rsidRPr="00A8656D">
        <w:rPr>
          <w:rFonts w:ascii="Arial" w:hAnsi="Arial" w:cs="Arial"/>
          <w:sz w:val="22"/>
          <w:szCs w:val="22"/>
        </w:rPr>
        <w:t xml:space="preserve"> for a monthly performance meeting</w:t>
      </w:r>
      <w:r w:rsidR="00C90EFB" w:rsidRPr="00A8656D">
        <w:rPr>
          <w:rFonts w:ascii="Arial" w:hAnsi="Arial" w:cs="Arial"/>
          <w:sz w:val="22"/>
          <w:szCs w:val="22"/>
        </w:rPr>
        <w:t xml:space="preserve"> to review</w:t>
      </w:r>
      <w:r w:rsidR="00E774C9">
        <w:rPr>
          <w:rFonts w:ascii="Arial" w:hAnsi="Arial" w:cs="Arial"/>
          <w:sz w:val="22"/>
          <w:szCs w:val="22"/>
        </w:rPr>
        <w:t xml:space="preserve">: </w:t>
      </w:r>
      <w:r w:rsidRPr="00E774C9">
        <w:rPr>
          <w:rFonts w:ascii="Arial" w:hAnsi="Arial" w:cs="Arial"/>
          <w:sz w:val="22"/>
          <w:szCs w:val="22"/>
        </w:rPr>
        <w:t>c</w:t>
      </w:r>
      <w:r w:rsidR="00C63C83" w:rsidRPr="00E774C9">
        <w:rPr>
          <w:rFonts w:ascii="Arial" w:hAnsi="Arial" w:cs="Arial"/>
          <w:sz w:val="22"/>
          <w:szCs w:val="22"/>
        </w:rPr>
        <w:t xml:space="preserve">ase </w:t>
      </w:r>
      <w:r w:rsidRPr="00E774C9">
        <w:rPr>
          <w:rFonts w:ascii="Arial" w:hAnsi="Arial" w:cs="Arial"/>
          <w:sz w:val="22"/>
          <w:szCs w:val="22"/>
        </w:rPr>
        <w:t>feedback</w:t>
      </w:r>
      <w:r w:rsidR="00E774C9">
        <w:rPr>
          <w:rFonts w:ascii="Arial" w:hAnsi="Arial" w:cs="Arial"/>
          <w:sz w:val="22"/>
          <w:szCs w:val="22"/>
        </w:rPr>
        <w:t xml:space="preserve">; </w:t>
      </w:r>
      <w:r w:rsidRPr="00E774C9">
        <w:rPr>
          <w:rFonts w:ascii="Arial" w:hAnsi="Arial" w:cs="Arial"/>
          <w:sz w:val="22"/>
          <w:szCs w:val="22"/>
        </w:rPr>
        <w:t>delivery against outcomes</w:t>
      </w:r>
      <w:r w:rsidR="00E774C9">
        <w:rPr>
          <w:rFonts w:ascii="Arial" w:hAnsi="Arial" w:cs="Arial"/>
          <w:sz w:val="22"/>
          <w:szCs w:val="22"/>
        </w:rPr>
        <w:t xml:space="preserve">; </w:t>
      </w:r>
      <w:r w:rsidRPr="00E774C9">
        <w:rPr>
          <w:rFonts w:ascii="Arial" w:hAnsi="Arial" w:cs="Arial"/>
          <w:sz w:val="22"/>
          <w:szCs w:val="22"/>
        </w:rPr>
        <w:t xml:space="preserve">case </w:t>
      </w:r>
      <w:r w:rsidR="00C90EFB" w:rsidRPr="00E774C9">
        <w:rPr>
          <w:rFonts w:ascii="Arial" w:hAnsi="Arial" w:cs="Arial"/>
          <w:sz w:val="22"/>
          <w:szCs w:val="22"/>
        </w:rPr>
        <w:t>exceptions or escalations</w:t>
      </w:r>
      <w:r w:rsidR="00E774C9">
        <w:rPr>
          <w:rFonts w:ascii="Arial" w:hAnsi="Arial" w:cs="Arial"/>
          <w:sz w:val="22"/>
          <w:szCs w:val="22"/>
        </w:rPr>
        <w:t xml:space="preserve">; </w:t>
      </w:r>
      <w:r w:rsidRPr="00E774C9">
        <w:rPr>
          <w:rFonts w:ascii="Arial" w:hAnsi="Arial" w:cs="Arial"/>
          <w:sz w:val="22"/>
          <w:szCs w:val="22"/>
        </w:rPr>
        <w:t xml:space="preserve">service user </w:t>
      </w:r>
      <w:r w:rsidR="00C63C83" w:rsidRPr="00E774C9">
        <w:rPr>
          <w:rFonts w:ascii="Arial" w:hAnsi="Arial" w:cs="Arial"/>
          <w:sz w:val="22"/>
          <w:szCs w:val="22"/>
        </w:rPr>
        <w:t>complaints</w:t>
      </w:r>
      <w:r w:rsidR="00D95823" w:rsidRPr="00E774C9">
        <w:rPr>
          <w:rFonts w:ascii="Arial" w:hAnsi="Arial" w:cs="Arial"/>
          <w:sz w:val="22"/>
          <w:szCs w:val="22"/>
        </w:rPr>
        <w:t>.</w:t>
      </w:r>
      <w:r w:rsidR="00C90EFB" w:rsidRPr="00E774C9">
        <w:rPr>
          <w:rFonts w:ascii="Arial" w:hAnsi="Arial" w:cs="Arial"/>
          <w:sz w:val="22"/>
          <w:szCs w:val="22"/>
        </w:rPr>
        <w:t xml:space="preserve"> </w:t>
      </w:r>
    </w:p>
    <w:p w:rsidR="00AE45D6" w:rsidRPr="00A8656D" w:rsidRDefault="00C90EFB" w:rsidP="00F446DE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656D">
        <w:rPr>
          <w:rFonts w:ascii="Arial" w:hAnsi="Arial" w:cs="Arial"/>
          <w:sz w:val="22"/>
          <w:szCs w:val="22"/>
        </w:rPr>
        <w:t>The P</w:t>
      </w:r>
      <w:r w:rsidR="00616095">
        <w:rPr>
          <w:rFonts w:ascii="Arial" w:hAnsi="Arial" w:cs="Arial"/>
          <w:sz w:val="22"/>
          <w:szCs w:val="22"/>
        </w:rPr>
        <w:t>rovider shall</w:t>
      </w:r>
      <w:r w:rsidR="00AE45D6" w:rsidRPr="00A8656D">
        <w:rPr>
          <w:rFonts w:ascii="Arial" w:hAnsi="Arial" w:cs="Arial"/>
          <w:sz w:val="22"/>
          <w:szCs w:val="22"/>
        </w:rPr>
        <w:t xml:space="preserve"> maintain for </w:t>
      </w:r>
      <w:r w:rsidR="00E774C9">
        <w:rPr>
          <w:rFonts w:ascii="Arial" w:hAnsi="Arial" w:cs="Arial"/>
          <w:sz w:val="22"/>
          <w:szCs w:val="22"/>
        </w:rPr>
        <w:t>performance monitoring purposes:</w:t>
      </w:r>
    </w:p>
    <w:p w:rsidR="00D95823" w:rsidRPr="00A8656D" w:rsidRDefault="00AE45D6" w:rsidP="002356C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8656D">
        <w:rPr>
          <w:rFonts w:ascii="Arial" w:hAnsi="Arial" w:cs="Arial"/>
          <w:sz w:val="22"/>
          <w:szCs w:val="22"/>
        </w:rPr>
        <w:t xml:space="preserve">a record of open and closed cases </w:t>
      </w:r>
    </w:p>
    <w:p w:rsidR="00AE45D6" w:rsidRPr="00A8656D" w:rsidRDefault="00AE45D6" w:rsidP="002356C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8656D">
        <w:rPr>
          <w:rFonts w:ascii="Arial" w:hAnsi="Arial" w:cs="Arial"/>
          <w:sz w:val="22"/>
          <w:szCs w:val="22"/>
        </w:rPr>
        <w:t>case reports for open and recently closed cases</w:t>
      </w:r>
    </w:p>
    <w:p w:rsidR="008F327C" w:rsidRPr="00A8656D" w:rsidRDefault="008F327C" w:rsidP="002356C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8656D">
        <w:rPr>
          <w:rFonts w:ascii="Arial" w:hAnsi="Arial" w:cs="Arial"/>
          <w:sz w:val="22"/>
          <w:szCs w:val="22"/>
        </w:rPr>
        <w:t>feedback ‘satisfaction survey’ records completed by service users following case closure</w:t>
      </w:r>
    </w:p>
    <w:p w:rsidR="00D95823" w:rsidRDefault="00A8656D" w:rsidP="002356C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complaint</w:t>
      </w:r>
      <w:r w:rsidR="00C63C83" w:rsidRPr="00A8656D">
        <w:rPr>
          <w:rFonts w:ascii="Arial" w:hAnsi="Arial" w:cs="Arial"/>
          <w:sz w:val="22"/>
          <w:szCs w:val="22"/>
        </w:rPr>
        <w:t xml:space="preserve"> records</w:t>
      </w:r>
    </w:p>
    <w:p w:rsidR="00CE33A2" w:rsidRPr="00CE33A2" w:rsidRDefault="00E111B0" w:rsidP="00CE33A2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E33A2">
        <w:rPr>
          <w:rFonts w:ascii="Arial" w:hAnsi="Arial" w:cs="Arial"/>
          <w:sz w:val="22"/>
          <w:szCs w:val="22"/>
        </w:rPr>
        <w:t>ecords of payment of the London Living Wage where applicable</w:t>
      </w:r>
      <w:r w:rsidR="000F05F3">
        <w:rPr>
          <w:rFonts w:ascii="Arial" w:hAnsi="Arial" w:cs="Arial"/>
          <w:sz w:val="22"/>
          <w:szCs w:val="22"/>
        </w:rPr>
        <w:t>.</w:t>
      </w:r>
    </w:p>
    <w:p w:rsidR="00C63C83" w:rsidRPr="00A8656D" w:rsidRDefault="001A22FA" w:rsidP="00F446DE">
      <w:pPr>
        <w:numPr>
          <w:ilvl w:val="1"/>
          <w:numId w:val="13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656D">
        <w:rPr>
          <w:rFonts w:ascii="Arial" w:hAnsi="Arial" w:cs="Arial"/>
          <w:sz w:val="22"/>
          <w:szCs w:val="22"/>
        </w:rPr>
        <w:t xml:space="preserve">The </w:t>
      </w:r>
      <w:r w:rsidR="00A8656D">
        <w:rPr>
          <w:rFonts w:ascii="Arial" w:hAnsi="Arial" w:cs="Arial"/>
          <w:sz w:val="22"/>
          <w:szCs w:val="22"/>
        </w:rPr>
        <w:t>P</w:t>
      </w:r>
      <w:r w:rsidR="00616095">
        <w:rPr>
          <w:rFonts w:ascii="Arial" w:hAnsi="Arial" w:cs="Arial"/>
          <w:sz w:val="22"/>
          <w:szCs w:val="22"/>
        </w:rPr>
        <w:t>rovider shall</w:t>
      </w:r>
      <w:r w:rsidRPr="00A8656D">
        <w:rPr>
          <w:rFonts w:ascii="Arial" w:hAnsi="Arial" w:cs="Arial"/>
          <w:sz w:val="22"/>
          <w:szCs w:val="22"/>
        </w:rPr>
        <w:t xml:space="preserve"> endeavour to meet the following key performance indicators:</w:t>
      </w:r>
    </w:p>
    <w:p w:rsidR="00CB35F9" w:rsidRDefault="00E20D3A" w:rsidP="00E774C9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8656D">
        <w:rPr>
          <w:rFonts w:ascii="Arial" w:hAnsi="Arial" w:cs="Arial"/>
          <w:sz w:val="22"/>
          <w:szCs w:val="22"/>
        </w:rPr>
        <w:t>All i</w:t>
      </w:r>
      <w:r w:rsidR="00CB35F9" w:rsidRPr="00A8656D">
        <w:rPr>
          <w:rFonts w:ascii="Arial" w:hAnsi="Arial" w:cs="Arial"/>
          <w:sz w:val="22"/>
          <w:szCs w:val="22"/>
        </w:rPr>
        <w:t>nitial visit</w:t>
      </w:r>
      <w:r w:rsidR="00083162" w:rsidRPr="00A8656D">
        <w:rPr>
          <w:rFonts w:ascii="Arial" w:hAnsi="Arial" w:cs="Arial"/>
          <w:sz w:val="22"/>
          <w:szCs w:val="22"/>
        </w:rPr>
        <w:t>s</w:t>
      </w:r>
      <w:r w:rsidRPr="00A8656D">
        <w:rPr>
          <w:rFonts w:ascii="Arial" w:hAnsi="Arial" w:cs="Arial"/>
          <w:sz w:val="22"/>
          <w:szCs w:val="22"/>
        </w:rPr>
        <w:t xml:space="preserve"> to service users </w:t>
      </w:r>
      <w:r w:rsidR="00083162" w:rsidRPr="00A8656D">
        <w:rPr>
          <w:rFonts w:ascii="Arial" w:hAnsi="Arial" w:cs="Arial"/>
          <w:sz w:val="22"/>
          <w:szCs w:val="22"/>
        </w:rPr>
        <w:t>conducted within two</w:t>
      </w:r>
      <w:r w:rsidR="00CB35F9" w:rsidRPr="00A8656D">
        <w:rPr>
          <w:rFonts w:ascii="Arial" w:hAnsi="Arial" w:cs="Arial"/>
          <w:sz w:val="22"/>
          <w:szCs w:val="22"/>
        </w:rPr>
        <w:t xml:space="preserve"> weeks of </w:t>
      </w:r>
      <w:r w:rsidR="00083162" w:rsidRPr="00A8656D">
        <w:rPr>
          <w:rFonts w:ascii="Arial" w:hAnsi="Arial" w:cs="Arial"/>
          <w:sz w:val="22"/>
          <w:szCs w:val="22"/>
        </w:rPr>
        <w:t xml:space="preserve">case </w:t>
      </w:r>
      <w:r w:rsidR="00CB35F9" w:rsidRPr="00A8656D">
        <w:rPr>
          <w:rFonts w:ascii="Arial" w:hAnsi="Arial" w:cs="Arial"/>
          <w:sz w:val="22"/>
          <w:szCs w:val="22"/>
        </w:rPr>
        <w:t>referral</w:t>
      </w:r>
      <w:r w:rsidRPr="00A8656D">
        <w:rPr>
          <w:rFonts w:ascii="Arial" w:hAnsi="Arial" w:cs="Arial"/>
          <w:sz w:val="22"/>
          <w:szCs w:val="22"/>
        </w:rPr>
        <w:t>.</w:t>
      </w:r>
    </w:p>
    <w:p w:rsidR="005D374E" w:rsidRPr="00A8656D" w:rsidRDefault="005D374E" w:rsidP="00E774C9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90% or more cases resolved with an expected outcome.</w:t>
      </w:r>
    </w:p>
    <w:p w:rsidR="00CB35F9" w:rsidRPr="00A8656D" w:rsidRDefault="00083162" w:rsidP="00E774C9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8656D">
        <w:rPr>
          <w:rFonts w:ascii="Arial" w:hAnsi="Arial" w:cs="Arial"/>
          <w:sz w:val="22"/>
          <w:szCs w:val="22"/>
        </w:rPr>
        <w:t>Less than 10% of cases require multi-</w:t>
      </w:r>
      <w:r w:rsidR="00CB35F9" w:rsidRPr="00A8656D">
        <w:rPr>
          <w:rFonts w:ascii="Arial" w:hAnsi="Arial" w:cs="Arial"/>
          <w:sz w:val="22"/>
          <w:szCs w:val="22"/>
        </w:rPr>
        <w:t>agency involveme</w:t>
      </w:r>
      <w:r w:rsidRPr="00A8656D">
        <w:rPr>
          <w:rFonts w:ascii="Arial" w:hAnsi="Arial" w:cs="Arial"/>
          <w:sz w:val="22"/>
          <w:szCs w:val="22"/>
        </w:rPr>
        <w:t>nt three months after case opening</w:t>
      </w:r>
      <w:r w:rsidR="00E20D3A" w:rsidRPr="00A8656D">
        <w:rPr>
          <w:rFonts w:ascii="Arial" w:hAnsi="Arial" w:cs="Arial"/>
          <w:sz w:val="22"/>
          <w:szCs w:val="22"/>
        </w:rPr>
        <w:t>.</w:t>
      </w:r>
    </w:p>
    <w:p w:rsidR="000839E8" w:rsidRDefault="00E20D3A" w:rsidP="00E774C9">
      <w:pPr>
        <w:widowControl w:val="0"/>
        <w:numPr>
          <w:ilvl w:val="0"/>
          <w:numId w:val="2"/>
        </w:numPr>
        <w:spacing w:before="120" w:after="120"/>
        <w:ind w:right="693"/>
        <w:jc w:val="both"/>
        <w:rPr>
          <w:rFonts w:ascii="Arial" w:hAnsi="Arial" w:cs="Arial"/>
          <w:bCs/>
          <w:sz w:val="22"/>
          <w:szCs w:val="22"/>
        </w:rPr>
      </w:pPr>
      <w:r w:rsidRPr="00A8656D">
        <w:rPr>
          <w:rFonts w:ascii="Arial" w:hAnsi="Arial" w:cs="Arial"/>
          <w:bCs/>
          <w:sz w:val="22"/>
          <w:szCs w:val="22"/>
        </w:rPr>
        <w:t>5% or fewer</w:t>
      </w:r>
      <w:r w:rsidR="000839E8" w:rsidRPr="00A8656D">
        <w:rPr>
          <w:rFonts w:ascii="Arial" w:hAnsi="Arial" w:cs="Arial"/>
          <w:bCs/>
          <w:sz w:val="22"/>
          <w:szCs w:val="22"/>
        </w:rPr>
        <w:t xml:space="preserve"> cases reopened</w:t>
      </w:r>
      <w:r w:rsidRPr="00A8656D">
        <w:rPr>
          <w:rFonts w:ascii="Arial" w:hAnsi="Arial" w:cs="Arial"/>
          <w:bCs/>
          <w:sz w:val="22"/>
          <w:szCs w:val="22"/>
        </w:rPr>
        <w:t xml:space="preserve"> within a 12-month period.</w:t>
      </w:r>
    </w:p>
    <w:p w:rsidR="006A0B06" w:rsidRPr="00A8656D" w:rsidRDefault="006A0B06" w:rsidP="006A0B06">
      <w:pPr>
        <w:pStyle w:val="Heading1"/>
        <w:numPr>
          <w:ilvl w:val="0"/>
          <w:numId w:val="13"/>
        </w:numPr>
        <w:spacing w:before="120" w:after="120"/>
        <w:ind w:right="691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London Living Wage (LLW)</w:t>
      </w:r>
    </w:p>
    <w:p w:rsidR="00BC14E9" w:rsidRPr="00BC14E9" w:rsidRDefault="0053162E" w:rsidP="00A8656D">
      <w:pPr>
        <w:numPr>
          <w:ilvl w:val="1"/>
          <w:numId w:val="13"/>
        </w:numPr>
        <w:spacing w:before="120" w:after="120"/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</w:t>
      </w:r>
      <w:r w:rsidR="006A0B06" w:rsidRPr="00A8656D">
        <w:rPr>
          <w:rFonts w:ascii="Arial" w:hAnsi="Arial" w:cs="Arial"/>
          <w:sz w:val="22"/>
          <w:szCs w:val="22"/>
        </w:rPr>
        <w:t>ouncil has committed to including the London Living Wage (LLW) in new contracts for the provision of services which</w:t>
      </w:r>
      <w:r>
        <w:rPr>
          <w:rFonts w:ascii="Arial" w:hAnsi="Arial" w:cs="Arial"/>
          <w:sz w:val="22"/>
          <w:szCs w:val="22"/>
        </w:rPr>
        <w:t xml:space="preserve"> are to be performed either on C</w:t>
      </w:r>
      <w:r w:rsidR="006A0B06" w:rsidRPr="00A8656D">
        <w:rPr>
          <w:rFonts w:ascii="Arial" w:hAnsi="Arial" w:cs="Arial"/>
          <w:sz w:val="22"/>
          <w:szCs w:val="22"/>
        </w:rPr>
        <w:t>ouncil premises or in the Greater London area, and where best value can be demonstrated on a case by case basis.  Providers of the service will be required to pay relevant staff as a minimum the LLW.</w:t>
      </w:r>
    </w:p>
    <w:sectPr w:rsidR="00BC14E9" w:rsidRPr="00BC14E9">
      <w:headerReference w:type="default" r:id="rId9"/>
      <w:footerReference w:type="default" r:id="rId10"/>
      <w:endnotePr>
        <w:numFmt w:val="decimal"/>
      </w:endnotePr>
      <w:pgSz w:w="11907" w:h="16840" w:code="9"/>
      <w:pgMar w:top="851" w:right="851" w:bottom="851" w:left="851" w:header="284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15" w:rsidRDefault="00E83D15">
      <w:pPr>
        <w:spacing w:line="20" w:lineRule="exact"/>
        <w:rPr>
          <w:sz w:val="24"/>
        </w:rPr>
      </w:pPr>
    </w:p>
  </w:endnote>
  <w:endnote w:type="continuationSeparator" w:id="0">
    <w:p w:rsidR="00E83D15" w:rsidRDefault="00E83D15">
      <w:r>
        <w:rPr>
          <w:sz w:val="24"/>
        </w:rPr>
        <w:t xml:space="preserve"> </w:t>
      </w:r>
    </w:p>
  </w:endnote>
  <w:endnote w:type="continuationNotice" w:id="1">
    <w:p w:rsidR="00E83D15" w:rsidRDefault="00E83D1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D1" w:rsidRPr="00181749" w:rsidRDefault="00181749" w:rsidP="00181749">
    <w:pPr>
      <w:tabs>
        <w:tab w:val="center" w:pos="5102"/>
        <w:tab w:val="right" w:pos="10205"/>
      </w:tabs>
      <w:spacing w:before="140" w:line="100" w:lineRule="exact"/>
      <w:jc w:val="center"/>
      <w:rPr>
        <w:rFonts w:ascii="Arial" w:hAnsi="Arial"/>
      </w:rPr>
    </w:pPr>
    <w:r>
      <w:rPr>
        <w:rFonts w:ascii="Arial" w:hAnsi="Arial"/>
      </w:rPr>
      <w:t>Service specification</w:t>
    </w:r>
    <w:r w:rsidRPr="00181749"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\* Arabic  \* MERGEFORMAT </w:instrText>
    </w:r>
    <w:r>
      <w:rPr>
        <w:rFonts w:ascii="Arial" w:hAnsi="Arial"/>
      </w:rPr>
      <w:fldChar w:fldCharType="separate"/>
    </w:r>
    <w:r w:rsidR="00BC2EEE"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 w:rsidRPr="00181749">
      <w:rPr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15" w:rsidRDefault="00E83D15">
      <w:r>
        <w:rPr>
          <w:sz w:val="24"/>
        </w:rPr>
        <w:separator/>
      </w:r>
    </w:p>
  </w:footnote>
  <w:footnote w:type="continuationSeparator" w:id="0">
    <w:p w:rsidR="00E83D15" w:rsidRDefault="00E8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67" w:rsidRDefault="00A81867">
    <w:pPr>
      <w:pStyle w:val="Header"/>
      <w:rPr>
        <w:rFonts w:ascii="Arial" w:hAnsi="Arial" w:cs="Arial"/>
        <w:sz w:val="24"/>
        <w:szCs w:val="24"/>
      </w:rPr>
    </w:pPr>
  </w:p>
  <w:p w:rsidR="00A81867" w:rsidRDefault="00A81867">
    <w:pPr>
      <w:pStyle w:val="Header"/>
      <w:rPr>
        <w:rFonts w:ascii="Arial" w:hAnsi="Arial" w:cs="Arial"/>
        <w:sz w:val="24"/>
        <w:szCs w:val="24"/>
      </w:rPr>
    </w:pPr>
  </w:p>
  <w:p w:rsidR="00A81867" w:rsidRDefault="00A81867" w:rsidP="00A81867">
    <w:pPr>
      <w:pStyle w:val="Header"/>
      <w:pBdr>
        <w:bottom w:val="single" w:sz="4" w:space="1" w:color="auto"/>
      </w:pBdr>
      <w:rPr>
        <w:rFonts w:ascii="Arial" w:hAnsi="Arial"/>
        <w:b/>
        <w:sz w:val="28"/>
        <w:szCs w:val="28"/>
        <w:lang w:val="en-US"/>
      </w:rPr>
    </w:pPr>
  </w:p>
  <w:p w:rsidR="00A81867" w:rsidRDefault="00A81867" w:rsidP="00A81867">
    <w:pPr>
      <w:pStyle w:val="Header"/>
      <w:pBdr>
        <w:bottom w:val="single" w:sz="4" w:space="1" w:color="auto"/>
      </w:pBdr>
    </w:pPr>
    <w:r>
      <w:rPr>
        <w:rFonts w:ascii="Arial" w:hAnsi="Arial"/>
        <w:b/>
        <w:sz w:val="28"/>
        <w:szCs w:val="28"/>
        <w:lang w:val="en-US"/>
      </w:rPr>
      <w:t xml:space="preserve">APPENDIX A – SERVICE SPECIFICATION </w:t>
    </w:r>
  </w:p>
  <w:p w:rsidR="00A81867" w:rsidRDefault="00A818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0DE"/>
    <w:multiLevelType w:val="hybridMultilevel"/>
    <w:tmpl w:val="30661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8208BD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188D7F67"/>
    <w:multiLevelType w:val="hybridMultilevel"/>
    <w:tmpl w:val="DFB849C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1A365124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1A5C5F2A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232C78FE"/>
    <w:multiLevelType w:val="hybridMultilevel"/>
    <w:tmpl w:val="4C827CF6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48C4F1A"/>
    <w:multiLevelType w:val="hybridMultilevel"/>
    <w:tmpl w:val="B2E46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A2191"/>
    <w:multiLevelType w:val="hybridMultilevel"/>
    <w:tmpl w:val="1FF085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9670D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9232E0"/>
    <w:multiLevelType w:val="hybridMultilevel"/>
    <w:tmpl w:val="3AA07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12A7C"/>
    <w:multiLevelType w:val="hybridMultilevel"/>
    <w:tmpl w:val="466044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17025"/>
    <w:multiLevelType w:val="hybridMultilevel"/>
    <w:tmpl w:val="3098C844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30559B"/>
    <w:multiLevelType w:val="hybridMultilevel"/>
    <w:tmpl w:val="D904EB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C1304D"/>
    <w:multiLevelType w:val="hybridMultilevel"/>
    <w:tmpl w:val="63A072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625084"/>
    <w:multiLevelType w:val="hybridMultilevel"/>
    <w:tmpl w:val="34448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E362EB"/>
    <w:multiLevelType w:val="hybridMultilevel"/>
    <w:tmpl w:val="1F2C4D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14A4478"/>
    <w:multiLevelType w:val="hybridMultilevel"/>
    <w:tmpl w:val="F8A69AD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529A32B0"/>
    <w:multiLevelType w:val="hybridMultilevel"/>
    <w:tmpl w:val="8806B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B357DA"/>
    <w:multiLevelType w:val="hybridMultilevel"/>
    <w:tmpl w:val="14E4E3CC"/>
    <w:lvl w:ilvl="0" w:tplc="08090017">
      <w:start w:val="1"/>
      <w:numFmt w:val="lowerLetter"/>
      <w:lvlText w:val="%1)"/>
      <w:lvlJc w:val="left"/>
      <w:pPr>
        <w:ind w:left="2232" w:hanging="360"/>
      </w:pPr>
    </w:lvl>
    <w:lvl w:ilvl="1" w:tplc="08090019">
      <w:start w:val="1"/>
      <w:numFmt w:val="lowerLetter"/>
      <w:lvlText w:val="%2."/>
      <w:lvlJc w:val="left"/>
      <w:pPr>
        <w:ind w:left="2952" w:hanging="360"/>
      </w:pPr>
    </w:lvl>
    <w:lvl w:ilvl="2" w:tplc="0809001B" w:tentative="1">
      <w:start w:val="1"/>
      <w:numFmt w:val="lowerRoman"/>
      <w:lvlText w:val="%3."/>
      <w:lvlJc w:val="right"/>
      <w:pPr>
        <w:ind w:left="3672" w:hanging="180"/>
      </w:pPr>
    </w:lvl>
    <w:lvl w:ilvl="3" w:tplc="0809000F" w:tentative="1">
      <w:start w:val="1"/>
      <w:numFmt w:val="decimal"/>
      <w:lvlText w:val="%4."/>
      <w:lvlJc w:val="left"/>
      <w:pPr>
        <w:ind w:left="4392" w:hanging="360"/>
      </w:pPr>
    </w:lvl>
    <w:lvl w:ilvl="4" w:tplc="08090019" w:tentative="1">
      <w:start w:val="1"/>
      <w:numFmt w:val="lowerLetter"/>
      <w:lvlText w:val="%5."/>
      <w:lvlJc w:val="left"/>
      <w:pPr>
        <w:ind w:left="5112" w:hanging="360"/>
      </w:pPr>
    </w:lvl>
    <w:lvl w:ilvl="5" w:tplc="0809001B" w:tentative="1">
      <w:start w:val="1"/>
      <w:numFmt w:val="lowerRoman"/>
      <w:lvlText w:val="%6."/>
      <w:lvlJc w:val="right"/>
      <w:pPr>
        <w:ind w:left="5832" w:hanging="180"/>
      </w:pPr>
    </w:lvl>
    <w:lvl w:ilvl="6" w:tplc="0809000F" w:tentative="1">
      <w:start w:val="1"/>
      <w:numFmt w:val="decimal"/>
      <w:lvlText w:val="%7."/>
      <w:lvlJc w:val="left"/>
      <w:pPr>
        <w:ind w:left="6552" w:hanging="360"/>
      </w:pPr>
    </w:lvl>
    <w:lvl w:ilvl="7" w:tplc="08090019" w:tentative="1">
      <w:start w:val="1"/>
      <w:numFmt w:val="lowerLetter"/>
      <w:lvlText w:val="%8."/>
      <w:lvlJc w:val="left"/>
      <w:pPr>
        <w:ind w:left="7272" w:hanging="360"/>
      </w:pPr>
    </w:lvl>
    <w:lvl w:ilvl="8" w:tplc="08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9">
    <w:nsid w:val="5C35234C"/>
    <w:multiLevelType w:val="hybridMultilevel"/>
    <w:tmpl w:val="881C0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B50DB8"/>
    <w:multiLevelType w:val="hybridMultilevel"/>
    <w:tmpl w:val="05387C40"/>
    <w:lvl w:ilvl="0" w:tplc="5DEA2FFA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65FC2"/>
    <w:multiLevelType w:val="hybridMultilevel"/>
    <w:tmpl w:val="B40E3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B32FC7"/>
    <w:multiLevelType w:val="hybridMultilevel"/>
    <w:tmpl w:val="4238C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368C5"/>
    <w:multiLevelType w:val="hybridMultilevel"/>
    <w:tmpl w:val="2D406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A4684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>
    <w:nsid w:val="6EE64E82"/>
    <w:multiLevelType w:val="hybridMultilevel"/>
    <w:tmpl w:val="3B6AC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57CEF"/>
    <w:multiLevelType w:val="hybridMultilevel"/>
    <w:tmpl w:val="86E8E9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FE1D4E"/>
    <w:multiLevelType w:val="multilevel"/>
    <w:tmpl w:val="60FAB5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AA30161"/>
    <w:multiLevelType w:val="hybridMultilevel"/>
    <w:tmpl w:val="4D8459B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A5481E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7"/>
  </w:num>
  <w:num w:numId="2">
    <w:abstractNumId w:val="5"/>
  </w:num>
  <w:num w:numId="3">
    <w:abstractNumId w:val="27"/>
  </w:num>
  <w:num w:numId="4">
    <w:abstractNumId w:val="27"/>
  </w:num>
  <w:num w:numId="5">
    <w:abstractNumId w:val="12"/>
  </w:num>
  <w:num w:numId="6">
    <w:abstractNumId w:val="26"/>
  </w:num>
  <w:num w:numId="7">
    <w:abstractNumId w:val="25"/>
  </w:num>
  <w:num w:numId="8">
    <w:abstractNumId w:val="22"/>
  </w:num>
  <w:num w:numId="9">
    <w:abstractNumId w:val="13"/>
  </w:num>
  <w:num w:numId="10">
    <w:abstractNumId w:val="7"/>
  </w:num>
  <w:num w:numId="11">
    <w:abstractNumId w:val="0"/>
  </w:num>
  <w:num w:numId="12">
    <w:abstractNumId w:val="6"/>
  </w:num>
  <w:num w:numId="13">
    <w:abstractNumId w:val="8"/>
  </w:num>
  <w:num w:numId="14">
    <w:abstractNumId w:val="17"/>
  </w:num>
  <w:num w:numId="15">
    <w:abstractNumId w:val="14"/>
  </w:num>
  <w:num w:numId="16">
    <w:abstractNumId w:val="19"/>
  </w:num>
  <w:num w:numId="17">
    <w:abstractNumId w:val="21"/>
  </w:num>
  <w:num w:numId="18">
    <w:abstractNumId w:val="9"/>
  </w:num>
  <w:num w:numId="19">
    <w:abstractNumId w:val="28"/>
  </w:num>
  <w:num w:numId="20">
    <w:abstractNumId w:val="23"/>
  </w:num>
  <w:num w:numId="21">
    <w:abstractNumId w:val="4"/>
  </w:num>
  <w:num w:numId="22">
    <w:abstractNumId w:val="29"/>
  </w:num>
  <w:num w:numId="23">
    <w:abstractNumId w:val="1"/>
  </w:num>
  <w:num w:numId="24">
    <w:abstractNumId w:val="3"/>
  </w:num>
  <w:num w:numId="25">
    <w:abstractNumId w:val="24"/>
  </w:num>
  <w:num w:numId="26">
    <w:abstractNumId w:val="2"/>
  </w:num>
  <w:num w:numId="27">
    <w:abstractNumId w:val="18"/>
  </w:num>
  <w:num w:numId="28">
    <w:abstractNumId w:val="16"/>
  </w:num>
  <w:num w:numId="29">
    <w:abstractNumId w:val="15"/>
  </w:num>
  <w:num w:numId="30">
    <w:abstractNumId w:val="11"/>
  </w:num>
  <w:num w:numId="31">
    <w:abstractNumId w:val="1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7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C95"/>
    <w:rsid w:val="00043444"/>
    <w:rsid w:val="000724DF"/>
    <w:rsid w:val="00083162"/>
    <w:rsid w:val="000839E8"/>
    <w:rsid w:val="000A7442"/>
    <w:rsid w:val="000C32E4"/>
    <w:rsid w:val="000D4C6B"/>
    <w:rsid w:val="000F05F3"/>
    <w:rsid w:val="0011549C"/>
    <w:rsid w:val="00181749"/>
    <w:rsid w:val="001A22FA"/>
    <w:rsid w:val="001A50EA"/>
    <w:rsid w:val="002319D6"/>
    <w:rsid w:val="00231E4A"/>
    <w:rsid w:val="002356C3"/>
    <w:rsid w:val="00247F34"/>
    <w:rsid w:val="002D1F0F"/>
    <w:rsid w:val="003253C2"/>
    <w:rsid w:val="00335122"/>
    <w:rsid w:val="0035672E"/>
    <w:rsid w:val="00372E2D"/>
    <w:rsid w:val="003D1C95"/>
    <w:rsid w:val="004009D1"/>
    <w:rsid w:val="00496701"/>
    <w:rsid w:val="0053162E"/>
    <w:rsid w:val="00535274"/>
    <w:rsid w:val="00543D4B"/>
    <w:rsid w:val="005606CF"/>
    <w:rsid w:val="00586319"/>
    <w:rsid w:val="005D374E"/>
    <w:rsid w:val="00616095"/>
    <w:rsid w:val="00627DA7"/>
    <w:rsid w:val="00645E58"/>
    <w:rsid w:val="00651808"/>
    <w:rsid w:val="006A0B06"/>
    <w:rsid w:val="006D6D18"/>
    <w:rsid w:val="006E0D7F"/>
    <w:rsid w:val="00711F15"/>
    <w:rsid w:val="00721C9D"/>
    <w:rsid w:val="007F79A0"/>
    <w:rsid w:val="00875F1B"/>
    <w:rsid w:val="008808B4"/>
    <w:rsid w:val="0088159F"/>
    <w:rsid w:val="008C08F1"/>
    <w:rsid w:val="008F327C"/>
    <w:rsid w:val="009259E0"/>
    <w:rsid w:val="00933049"/>
    <w:rsid w:val="009847AB"/>
    <w:rsid w:val="009C7ACA"/>
    <w:rsid w:val="00A363F5"/>
    <w:rsid w:val="00A81867"/>
    <w:rsid w:val="00A8656D"/>
    <w:rsid w:val="00AA4A3A"/>
    <w:rsid w:val="00AC1E52"/>
    <w:rsid w:val="00AC4F02"/>
    <w:rsid w:val="00AC5BFB"/>
    <w:rsid w:val="00AE45D6"/>
    <w:rsid w:val="00AE62EF"/>
    <w:rsid w:val="00B5317E"/>
    <w:rsid w:val="00BB41FC"/>
    <w:rsid w:val="00BC14E9"/>
    <w:rsid w:val="00BC2EEE"/>
    <w:rsid w:val="00C277DF"/>
    <w:rsid w:val="00C63C83"/>
    <w:rsid w:val="00C90EFB"/>
    <w:rsid w:val="00CB35F9"/>
    <w:rsid w:val="00CB5B92"/>
    <w:rsid w:val="00CE33A2"/>
    <w:rsid w:val="00CE3910"/>
    <w:rsid w:val="00D95823"/>
    <w:rsid w:val="00D9618D"/>
    <w:rsid w:val="00DC3D2D"/>
    <w:rsid w:val="00E111B0"/>
    <w:rsid w:val="00E20D3A"/>
    <w:rsid w:val="00E42356"/>
    <w:rsid w:val="00E52DA1"/>
    <w:rsid w:val="00E774C9"/>
    <w:rsid w:val="00E83D15"/>
    <w:rsid w:val="00EB0920"/>
    <w:rsid w:val="00EF1A1E"/>
    <w:rsid w:val="00F446DE"/>
    <w:rsid w:val="00F85D3F"/>
    <w:rsid w:val="00FA0F48"/>
    <w:rsid w:val="00FB7C1A"/>
    <w:rsid w:val="00FD5B16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-142"/>
      </w:tabs>
      <w:suppressAutoHyphens/>
      <w:jc w:val="both"/>
      <w:outlineLvl w:val="2"/>
    </w:pPr>
    <w:rPr>
      <w:rFonts w:ascii="Arial" w:hAnsi="Arial"/>
      <w:i/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-720"/>
        <w:tab w:val="left" w:pos="0"/>
        <w:tab w:val="left" w:pos="317"/>
      </w:tabs>
      <w:suppressAutoHyphens/>
      <w:jc w:val="both"/>
      <w:outlineLvl w:val="3"/>
    </w:pPr>
    <w:rPr>
      <w:rFonts w:ascii="Arial" w:hAnsi="Arial"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/>
      <w:b/>
      <w:i/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-720"/>
        <w:tab w:val="left" w:pos="0"/>
      </w:tabs>
      <w:suppressAutoHyphens/>
      <w:jc w:val="both"/>
      <w:outlineLvl w:val="5"/>
    </w:pPr>
    <w:rPr>
      <w:rFonts w:ascii="Arial" w:hAnsi="Arial"/>
      <w:spacing w:val="-3"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-720"/>
      </w:tabs>
      <w:suppressAutoHyphens/>
      <w:jc w:val="center"/>
      <w:outlineLvl w:val="6"/>
    </w:pPr>
    <w:rPr>
      <w:rFonts w:ascii="Arial" w:hAnsi="Arial"/>
      <w:b/>
      <w:spacing w:val="-3"/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-720"/>
      </w:tabs>
      <w:suppressAutoHyphens/>
      <w:jc w:val="both"/>
      <w:outlineLvl w:val="7"/>
    </w:pPr>
    <w:rPr>
      <w:rFonts w:ascii="Arial" w:hAnsi="Arial"/>
      <w:b/>
      <w:spacing w:val="-3"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left" w:pos="-720"/>
        <w:tab w:val="left" w:pos="0"/>
      </w:tabs>
      <w:suppressAutoHyphens/>
      <w:ind w:left="1134" w:hanging="876"/>
      <w:jc w:val="both"/>
    </w:pPr>
    <w:rPr>
      <w:rFonts w:ascii="Arial" w:hAnsi="Arial"/>
      <w:spacing w:val="-3"/>
      <w:sz w:val="24"/>
    </w:rPr>
  </w:style>
  <w:style w:type="paragraph" w:styleId="BodyTextIndent2">
    <w:name w:val="Body Text Indent 2"/>
    <w:basedOn w:val="Normal"/>
    <w:pPr>
      <w:tabs>
        <w:tab w:val="left" w:pos="-720"/>
        <w:tab w:val="left" w:pos="-108"/>
        <w:tab w:val="left" w:pos="0"/>
      </w:tabs>
      <w:suppressAutoHyphens/>
      <w:ind w:left="317"/>
      <w:jc w:val="both"/>
    </w:pPr>
    <w:rPr>
      <w:rFonts w:ascii="Arial" w:hAnsi="Arial"/>
      <w:spacing w:val="-3"/>
      <w:sz w:val="24"/>
    </w:rPr>
  </w:style>
  <w:style w:type="paragraph" w:styleId="BodyTextIndent3">
    <w:name w:val="Body Text Indent 3"/>
    <w:basedOn w:val="Normal"/>
    <w:pPr>
      <w:tabs>
        <w:tab w:val="left" w:pos="-720"/>
        <w:tab w:val="left" w:pos="0"/>
      </w:tabs>
      <w:suppressAutoHyphens/>
      <w:ind w:left="317" w:hanging="108"/>
      <w:jc w:val="both"/>
    </w:pPr>
    <w:rPr>
      <w:rFonts w:ascii="Arial" w:hAnsi="Arial"/>
      <w:spacing w:val="-3"/>
      <w:sz w:val="24"/>
    </w:rPr>
  </w:style>
  <w:style w:type="paragraph" w:styleId="BodyText">
    <w:name w:val="Body Text"/>
    <w:basedOn w:val="Normal"/>
    <w:pPr>
      <w:tabs>
        <w:tab w:val="left" w:pos="-720"/>
        <w:tab w:val="left" w:pos="851"/>
      </w:tabs>
      <w:suppressAutoHyphens/>
      <w:jc w:val="both"/>
    </w:pPr>
    <w:rPr>
      <w:rFonts w:ascii="Arial" w:hAnsi="Arial"/>
      <w:spacing w:val="-3"/>
      <w:sz w:val="24"/>
    </w:rPr>
  </w:style>
  <w:style w:type="paragraph" w:styleId="Title">
    <w:name w:val="Title"/>
    <w:basedOn w:val="Normal"/>
    <w:qFormat/>
    <w:pPr>
      <w:suppressAutoHyphens/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pPr>
      <w:tabs>
        <w:tab w:val="left" w:pos="-720"/>
        <w:tab w:val="left" w:pos="-142"/>
      </w:tabs>
      <w:suppressAutoHyphens/>
      <w:jc w:val="both"/>
    </w:pPr>
    <w:rPr>
      <w:rFonts w:ascii="Arial" w:hAnsi="Arial"/>
      <w:i/>
      <w:spacing w:val="-3"/>
      <w:sz w:val="24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1134" w:hanging="1134"/>
      <w:jc w:val="both"/>
    </w:pPr>
    <w:rPr>
      <w:rFonts w:ascii="Arial" w:hAnsi="Arial"/>
      <w:spacing w:val="-3"/>
      <w:sz w:val="24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360" w:lineRule="auto"/>
      <w:ind w:left="720" w:right="691"/>
      <w:jc w:val="both"/>
    </w:pPr>
    <w:rPr>
      <w:rFonts w:ascii="Arial" w:hAnsi="Arial"/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9E8"/>
    <w:pPr>
      <w:ind w:left="720"/>
    </w:pPr>
  </w:style>
  <w:style w:type="character" w:styleId="CommentReference">
    <w:name w:val="annotation reference"/>
    <w:rsid w:val="00FB7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7C1A"/>
  </w:style>
  <w:style w:type="character" w:customStyle="1" w:styleId="CommentTextChar">
    <w:name w:val="Comment Text Char"/>
    <w:link w:val="CommentText"/>
    <w:uiPriority w:val="99"/>
    <w:rsid w:val="00FB7C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B7C1A"/>
    <w:rPr>
      <w:b/>
      <w:bCs/>
    </w:rPr>
  </w:style>
  <w:style w:type="character" w:customStyle="1" w:styleId="CommentSubjectChar">
    <w:name w:val="Comment Subject Char"/>
    <w:link w:val="CommentSubject"/>
    <w:rsid w:val="00FB7C1A"/>
    <w:rPr>
      <w:b/>
      <w:bCs/>
      <w:lang w:eastAsia="en-US"/>
    </w:rPr>
  </w:style>
  <w:style w:type="character" w:customStyle="1" w:styleId="HeaderChar">
    <w:name w:val="Header Char"/>
    <w:link w:val="Header"/>
    <w:uiPriority w:val="99"/>
    <w:rsid w:val="00A8186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DC47-6754-463C-8C15-E1C78747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Consultancy Agreement - Precedent</vt:lpstr>
    </vt:vector>
  </TitlesOfParts>
  <Company>Southwark Legal Services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Consultancy Agreement - Precedent</dc:title>
  <dc:creator>Mary Micklewright</dc:creator>
  <cp:lastModifiedBy>Schaaf, Jonathan</cp:lastModifiedBy>
  <cp:revision>3</cp:revision>
  <cp:lastPrinted>2015-08-25T15:01:00Z</cp:lastPrinted>
  <dcterms:created xsi:type="dcterms:W3CDTF">2015-09-09T13:50:00Z</dcterms:created>
  <dcterms:modified xsi:type="dcterms:W3CDTF">2015-09-10T08:53:00Z</dcterms:modified>
</cp:coreProperties>
</file>