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E8EC" w14:textId="77777777" w:rsidR="003401C5" w:rsidRPr="002C58C9" w:rsidRDefault="00EB6541">
      <w:pPr>
        <w:pStyle w:val="Standard"/>
        <w:spacing w:after="0" w:line="249" w:lineRule="auto"/>
        <w:rPr>
          <w:rFonts w:ascii="Arial" w:eastAsia="Arial" w:hAnsi="Arial" w:cs="Arial"/>
          <w:b/>
          <w:sz w:val="24"/>
          <w:szCs w:val="24"/>
        </w:rPr>
      </w:pPr>
      <w:r w:rsidRPr="002C58C9">
        <w:rPr>
          <w:rFonts w:ascii="Arial" w:eastAsia="Arial" w:hAnsi="Arial" w:cs="Arial"/>
          <w:b/>
          <w:sz w:val="24"/>
          <w:szCs w:val="24"/>
        </w:rPr>
        <w:t>Framework Schedule 6 (Order Form and Call-Off Schedules)</w:t>
      </w:r>
    </w:p>
    <w:p w14:paraId="558663ED" w14:textId="77777777" w:rsidR="003401C5" w:rsidRPr="002C58C9" w:rsidRDefault="003401C5">
      <w:pPr>
        <w:pStyle w:val="Standard"/>
        <w:spacing w:after="0" w:line="249" w:lineRule="auto"/>
        <w:rPr>
          <w:rFonts w:ascii="Arial" w:eastAsia="Arial" w:hAnsi="Arial" w:cs="Arial"/>
          <w:b/>
          <w:sz w:val="24"/>
          <w:szCs w:val="24"/>
        </w:rPr>
      </w:pPr>
    </w:p>
    <w:p w14:paraId="1FB44BCC"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b/>
          <w:sz w:val="24"/>
          <w:szCs w:val="24"/>
        </w:rPr>
        <w:t>Order Form</w:t>
      </w:r>
    </w:p>
    <w:p w14:paraId="62CC9CA3" w14:textId="77777777" w:rsidR="003401C5" w:rsidRPr="002C58C9" w:rsidRDefault="003401C5">
      <w:pPr>
        <w:pStyle w:val="Standard"/>
        <w:spacing w:after="0" w:line="249" w:lineRule="auto"/>
        <w:rPr>
          <w:rFonts w:ascii="Arial" w:eastAsia="Arial" w:hAnsi="Arial" w:cs="Arial"/>
          <w:b/>
          <w:sz w:val="24"/>
          <w:szCs w:val="24"/>
        </w:rPr>
      </w:pPr>
    </w:p>
    <w:p w14:paraId="5EA1F6A6" w14:textId="77777777" w:rsidR="003401C5" w:rsidRPr="002C58C9" w:rsidRDefault="003401C5">
      <w:pPr>
        <w:pStyle w:val="Standard"/>
        <w:spacing w:after="0" w:line="249" w:lineRule="auto"/>
        <w:rPr>
          <w:rFonts w:ascii="Arial" w:eastAsia="Arial" w:hAnsi="Arial" w:cs="Arial"/>
          <w:b/>
          <w:sz w:val="24"/>
          <w:szCs w:val="24"/>
        </w:rPr>
      </w:pPr>
    </w:p>
    <w:p w14:paraId="06802B8E"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REFERENCE:</w:t>
      </w:r>
      <w:r w:rsidRPr="002C58C9">
        <w:rPr>
          <w:rFonts w:ascii="Arial" w:eastAsia="Arial" w:hAnsi="Arial" w:cs="Arial"/>
          <w:sz w:val="24"/>
          <w:szCs w:val="24"/>
        </w:rPr>
        <w:tab/>
      </w:r>
      <w:r w:rsidRPr="002C58C9">
        <w:rPr>
          <w:rFonts w:ascii="Arial" w:eastAsia="Arial" w:hAnsi="Arial" w:cs="Arial"/>
          <w:sz w:val="24"/>
          <w:szCs w:val="24"/>
        </w:rPr>
        <w:tab/>
        <w:t>CCLL23A06</w:t>
      </w:r>
    </w:p>
    <w:p w14:paraId="7E13939D" w14:textId="77777777" w:rsidR="003401C5" w:rsidRPr="002C58C9" w:rsidRDefault="003401C5">
      <w:pPr>
        <w:pStyle w:val="Standard"/>
        <w:spacing w:after="0" w:line="249" w:lineRule="auto"/>
        <w:rPr>
          <w:rFonts w:ascii="Arial" w:eastAsia="Arial" w:hAnsi="Arial" w:cs="Arial"/>
          <w:sz w:val="24"/>
          <w:szCs w:val="24"/>
        </w:rPr>
      </w:pPr>
    </w:p>
    <w:p w14:paraId="5012F49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THE BUYER:</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Government Legal Department</w:t>
      </w:r>
    </w:p>
    <w:p w14:paraId="023EC0D8" w14:textId="77777777" w:rsidR="003401C5" w:rsidRPr="002C58C9" w:rsidRDefault="003401C5">
      <w:pPr>
        <w:pStyle w:val="Standard"/>
        <w:spacing w:after="0" w:line="249" w:lineRule="auto"/>
        <w:rPr>
          <w:rFonts w:ascii="Arial" w:hAnsi="Arial" w:cs="Arial"/>
          <w:sz w:val="24"/>
          <w:szCs w:val="24"/>
        </w:rPr>
      </w:pPr>
    </w:p>
    <w:p w14:paraId="3C78CC7A" w14:textId="5D29B830" w:rsidR="003401C5" w:rsidRPr="002C58C9" w:rsidRDefault="00EB6541" w:rsidP="003E785A">
      <w:pPr>
        <w:pStyle w:val="Standard"/>
        <w:spacing w:line="249" w:lineRule="auto"/>
        <w:ind w:left="3600" w:hanging="3600"/>
        <w:rPr>
          <w:rFonts w:ascii="Arial" w:hAnsi="Arial" w:cs="Arial"/>
          <w:sz w:val="24"/>
          <w:szCs w:val="24"/>
        </w:rPr>
      </w:pPr>
      <w:r w:rsidRPr="002C58C9">
        <w:rPr>
          <w:rFonts w:ascii="Arial" w:eastAsia="Arial" w:hAnsi="Arial" w:cs="Arial"/>
          <w:sz w:val="24"/>
          <w:szCs w:val="24"/>
        </w:rPr>
        <w:t>BUYER ADDRESS</w:t>
      </w:r>
      <w:r w:rsidRPr="002C58C9">
        <w:rPr>
          <w:rFonts w:ascii="Arial" w:eastAsia="Arial" w:hAnsi="Arial" w:cs="Arial"/>
          <w:sz w:val="24"/>
          <w:szCs w:val="24"/>
        </w:rPr>
        <w:tab/>
      </w:r>
      <w:r w:rsidR="003E785A" w:rsidRPr="002C58C9">
        <w:rPr>
          <w:rFonts w:ascii="Arial" w:hAnsi="Arial" w:cs="Arial"/>
          <w:sz w:val="24"/>
          <w:szCs w:val="24"/>
        </w:rPr>
        <w:t>Government Legal Department, 102 Petty France, Westminster, London, SW1H 9GL</w:t>
      </w:r>
    </w:p>
    <w:p w14:paraId="01492C08" w14:textId="77777777" w:rsidR="003401C5" w:rsidRPr="002C58C9" w:rsidRDefault="003401C5">
      <w:pPr>
        <w:pStyle w:val="Standard"/>
        <w:spacing w:after="0" w:line="249" w:lineRule="auto"/>
        <w:rPr>
          <w:rFonts w:ascii="Arial" w:eastAsia="Arial" w:hAnsi="Arial" w:cs="Arial"/>
          <w:sz w:val="24"/>
          <w:szCs w:val="24"/>
        </w:rPr>
      </w:pPr>
    </w:p>
    <w:p w14:paraId="6F2AF2DD" w14:textId="20D6D3D1" w:rsidR="003401C5" w:rsidRPr="009C2827" w:rsidRDefault="00EB6541" w:rsidP="00BF71F0">
      <w:pPr>
        <w:tabs>
          <w:tab w:val="center" w:pos="4153"/>
          <w:tab w:val="right" w:pos="8306"/>
        </w:tabs>
        <w:spacing w:after="120" w:line="240" w:lineRule="atLeast"/>
        <w:rPr>
          <w:rFonts w:ascii="Arial" w:eastAsiaTheme="minorEastAsia" w:hAnsi="Arial" w:cs="Arial"/>
          <w:sz w:val="24"/>
          <w:szCs w:val="24"/>
        </w:rPr>
      </w:pPr>
      <w:r w:rsidRPr="002C58C9">
        <w:rPr>
          <w:rFonts w:ascii="Arial" w:eastAsia="Arial" w:hAnsi="Arial" w:cs="Arial"/>
          <w:sz w:val="24"/>
          <w:szCs w:val="24"/>
        </w:rPr>
        <w:t xml:space="preserve">THE SUPPLIER: </w:t>
      </w:r>
      <w:r w:rsidRPr="002C58C9">
        <w:rPr>
          <w:rFonts w:ascii="Arial" w:eastAsia="Arial" w:hAnsi="Arial" w:cs="Arial"/>
          <w:sz w:val="24"/>
          <w:szCs w:val="24"/>
        </w:rPr>
        <w:tab/>
      </w:r>
      <w:r w:rsidR="00BF71F0">
        <w:rPr>
          <w:rFonts w:ascii="Arial" w:eastAsia="Arial" w:hAnsi="Arial" w:cs="Arial"/>
          <w:sz w:val="24"/>
          <w:szCs w:val="24"/>
        </w:rPr>
        <w:t xml:space="preserve">              </w:t>
      </w:r>
      <w:r w:rsidR="0023234D">
        <w:rPr>
          <w:rFonts w:ascii="Arial" w:eastAsia="Arial" w:hAnsi="Arial" w:cs="Arial"/>
          <w:sz w:val="24"/>
          <w:szCs w:val="24"/>
        </w:rPr>
        <w:t xml:space="preserve">       </w:t>
      </w:r>
      <w:proofErr w:type="spellStart"/>
      <w:r w:rsidR="0023234D">
        <w:rPr>
          <w:rFonts w:ascii="Arial" w:eastAsiaTheme="minorEastAsia" w:hAnsi="Arial" w:cs="Arial"/>
          <w:sz w:val="24"/>
          <w:szCs w:val="24"/>
        </w:rPr>
        <w:t>Pheonix</w:t>
      </w:r>
      <w:proofErr w:type="spellEnd"/>
      <w:r w:rsidR="0023234D">
        <w:rPr>
          <w:rFonts w:ascii="Arial" w:eastAsiaTheme="minorEastAsia" w:hAnsi="Arial" w:cs="Arial"/>
          <w:sz w:val="24"/>
          <w:szCs w:val="24"/>
        </w:rPr>
        <w:t xml:space="preserve"> Legal Services</w:t>
      </w:r>
      <w:r w:rsidRPr="009C2827">
        <w:rPr>
          <w:rFonts w:ascii="Arial" w:eastAsia="Arial" w:hAnsi="Arial" w:cs="Arial"/>
          <w:sz w:val="24"/>
          <w:szCs w:val="24"/>
        </w:rPr>
        <w:tab/>
      </w:r>
      <w:r w:rsidRPr="009C2827">
        <w:rPr>
          <w:rFonts w:ascii="Arial" w:eastAsia="Arial" w:hAnsi="Arial" w:cs="Arial"/>
          <w:sz w:val="24"/>
          <w:szCs w:val="24"/>
        </w:rPr>
        <w:tab/>
      </w:r>
    </w:p>
    <w:p w14:paraId="40DB71FA" w14:textId="77777777" w:rsidR="0023234D" w:rsidRDefault="00EB6541" w:rsidP="0023234D">
      <w:pPr>
        <w:tabs>
          <w:tab w:val="center" w:pos="4153"/>
          <w:tab w:val="right" w:pos="8306"/>
        </w:tabs>
        <w:spacing w:after="120" w:line="240" w:lineRule="atLeast"/>
        <w:rPr>
          <w:rFonts w:ascii="Arial" w:eastAsiaTheme="minorEastAsia" w:hAnsi="Arial" w:cs="Arial"/>
          <w:sz w:val="24"/>
          <w:szCs w:val="24"/>
        </w:rPr>
      </w:pPr>
      <w:r w:rsidRPr="009C2827">
        <w:rPr>
          <w:rFonts w:ascii="Arial" w:eastAsia="Arial" w:hAnsi="Arial" w:cs="Arial"/>
          <w:sz w:val="24"/>
          <w:szCs w:val="24"/>
        </w:rPr>
        <w:t>SUPPLIER ADDRESS:</w:t>
      </w:r>
      <w:r w:rsidRPr="009C2827">
        <w:rPr>
          <w:rFonts w:ascii="Arial" w:eastAsia="Arial" w:hAnsi="Arial" w:cs="Arial"/>
          <w:b/>
          <w:sz w:val="24"/>
          <w:szCs w:val="24"/>
        </w:rPr>
        <w:t xml:space="preserve"> </w:t>
      </w:r>
      <w:r w:rsidRPr="009C2827">
        <w:rPr>
          <w:rFonts w:ascii="Arial" w:eastAsia="Arial" w:hAnsi="Arial" w:cs="Arial"/>
          <w:b/>
          <w:sz w:val="24"/>
          <w:szCs w:val="24"/>
        </w:rPr>
        <w:tab/>
      </w:r>
      <w:r w:rsidR="0023234D">
        <w:rPr>
          <w:rFonts w:ascii="Arial" w:eastAsia="Arial" w:hAnsi="Arial" w:cs="Arial"/>
          <w:b/>
          <w:sz w:val="24"/>
          <w:szCs w:val="24"/>
        </w:rPr>
        <w:t xml:space="preserve">                </w:t>
      </w:r>
      <w:r w:rsidR="0023234D" w:rsidRPr="0023234D">
        <w:rPr>
          <w:rFonts w:ascii="Arial" w:eastAsiaTheme="minorEastAsia" w:hAnsi="Arial" w:cs="Arial"/>
          <w:sz w:val="24"/>
          <w:szCs w:val="24"/>
        </w:rPr>
        <w:t xml:space="preserve">Southgate House, Wood Street, Cardiff, </w:t>
      </w:r>
    </w:p>
    <w:p w14:paraId="2441C7A6" w14:textId="6DA96D0B" w:rsidR="004F3633" w:rsidRPr="0023234D" w:rsidRDefault="0023234D" w:rsidP="004F3633">
      <w:pPr>
        <w:tabs>
          <w:tab w:val="center" w:pos="4153"/>
          <w:tab w:val="right" w:pos="8306"/>
        </w:tabs>
        <w:spacing w:after="120" w:line="240" w:lineRule="atLeast"/>
        <w:rPr>
          <w:rFonts w:ascii="Arial" w:eastAsiaTheme="minorEastAsia" w:hAnsi="Arial" w:cs="Arial"/>
        </w:rPr>
      </w:pPr>
      <w:r>
        <w:rPr>
          <w:rFonts w:ascii="Arial" w:eastAsiaTheme="minorEastAsia" w:hAnsi="Arial" w:cs="Arial"/>
          <w:sz w:val="24"/>
          <w:szCs w:val="24"/>
        </w:rPr>
        <w:tab/>
        <w:t xml:space="preserve"> </w:t>
      </w:r>
      <w:r w:rsidRPr="0023234D">
        <w:rPr>
          <w:rFonts w:ascii="Arial" w:eastAsiaTheme="minorEastAsia" w:hAnsi="Arial" w:cs="Arial"/>
          <w:sz w:val="24"/>
          <w:szCs w:val="24"/>
        </w:rPr>
        <w:t>CF10 1EW</w:t>
      </w:r>
    </w:p>
    <w:p w14:paraId="5DB3FED2" w14:textId="01F65383" w:rsidR="003401C5" w:rsidRPr="002C58C9" w:rsidRDefault="003401C5">
      <w:pPr>
        <w:pStyle w:val="Standard"/>
        <w:spacing w:line="240" w:lineRule="auto"/>
        <w:rPr>
          <w:rFonts w:ascii="Arial" w:hAnsi="Arial" w:cs="Arial"/>
          <w:sz w:val="24"/>
          <w:szCs w:val="24"/>
        </w:rPr>
      </w:pPr>
    </w:p>
    <w:p w14:paraId="5D43B14D"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REGISTRATION NUMBER:</w:t>
      </w:r>
      <w:r w:rsidRPr="002C58C9">
        <w:rPr>
          <w:rFonts w:ascii="Arial" w:eastAsia="Arial" w:hAnsi="Arial" w:cs="Arial"/>
          <w:b/>
          <w:sz w:val="24"/>
          <w:szCs w:val="24"/>
        </w:rPr>
        <w:t xml:space="preserve"> </w:t>
      </w:r>
      <w:r w:rsidRPr="002C58C9">
        <w:rPr>
          <w:rFonts w:ascii="Arial" w:eastAsia="Arial" w:hAnsi="Arial" w:cs="Arial"/>
          <w:b/>
          <w:sz w:val="24"/>
          <w:szCs w:val="24"/>
        </w:rPr>
        <w:tab/>
        <w:t>To be Confirmed</w:t>
      </w:r>
      <w:r w:rsidRPr="002C58C9">
        <w:rPr>
          <w:rFonts w:ascii="Arial" w:eastAsia="Arial" w:hAnsi="Arial" w:cs="Arial"/>
          <w:sz w:val="24"/>
          <w:szCs w:val="24"/>
        </w:rPr>
        <w:t xml:space="preserve"> </w:t>
      </w:r>
    </w:p>
    <w:p w14:paraId="08F5D036" w14:textId="5C1A9BF5"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 xml:space="preserve">DUNS NUMBER:       </w:t>
      </w:r>
      <w:r w:rsidRPr="002C58C9">
        <w:rPr>
          <w:rFonts w:ascii="Arial" w:eastAsia="Arial" w:hAnsi="Arial" w:cs="Arial"/>
          <w:sz w:val="24"/>
          <w:szCs w:val="24"/>
        </w:rPr>
        <w:tab/>
      </w:r>
      <w:r w:rsidRPr="002C58C9">
        <w:rPr>
          <w:rFonts w:ascii="Arial" w:eastAsia="Arial" w:hAnsi="Arial" w:cs="Arial"/>
          <w:sz w:val="24"/>
          <w:szCs w:val="24"/>
        </w:rPr>
        <w:tab/>
      </w:r>
      <w:r w:rsidR="00E257A5">
        <w:rPr>
          <w:rFonts w:ascii="Source Sans Pro" w:hAnsi="Source Sans Pro"/>
          <w:color w:val="0B0C0C"/>
          <w:sz w:val="26"/>
          <w:szCs w:val="26"/>
          <w:shd w:val="clear" w:color="auto" w:fill="F6F6F6"/>
        </w:rPr>
        <w:t>736066718</w:t>
      </w:r>
    </w:p>
    <w:p w14:paraId="5941570C" w14:textId="77777777" w:rsidR="003401C5" w:rsidRPr="002C58C9" w:rsidRDefault="00EB6541">
      <w:pPr>
        <w:pStyle w:val="Standard"/>
        <w:spacing w:line="240" w:lineRule="auto"/>
        <w:rPr>
          <w:rFonts w:ascii="Arial" w:hAnsi="Arial" w:cs="Arial"/>
          <w:sz w:val="24"/>
          <w:szCs w:val="24"/>
        </w:rPr>
      </w:pPr>
      <w:r w:rsidRPr="002C58C9">
        <w:rPr>
          <w:rFonts w:ascii="Arial" w:eastAsia="Arial" w:hAnsi="Arial" w:cs="Arial"/>
          <w:sz w:val="24"/>
          <w:szCs w:val="24"/>
        </w:rPr>
        <w:t>SID4GOV ID:</w:t>
      </w:r>
      <w:r w:rsidRPr="002C58C9">
        <w:rPr>
          <w:rFonts w:ascii="Arial" w:eastAsia="Arial" w:hAnsi="Arial" w:cs="Arial"/>
          <w:b/>
          <w:sz w:val="24"/>
          <w:szCs w:val="24"/>
        </w:rPr>
        <w:t xml:space="preserve">                 </w:t>
      </w:r>
      <w:r w:rsidRPr="002C58C9">
        <w:rPr>
          <w:rFonts w:ascii="Arial" w:eastAsia="Arial" w:hAnsi="Arial" w:cs="Arial"/>
          <w:b/>
          <w:sz w:val="24"/>
          <w:szCs w:val="24"/>
        </w:rPr>
        <w:tab/>
      </w:r>
      <w:r w:rsidRPr="002C58C9">
        <w:rPr>
          <w:rFonts w:ascii="Arial" w:eastAsia="Arial" w:hAnsi="Arial" w:cs="Arial"/>
          <w:b/>
          <w:sz w:val="24"/>
          <w:szCs w:val="24"/>
        </w:rPr>
        <w:tab/>
        <w:t>To be Confirmed</w:t>
      </w:r>
    </w:p>
    <w:p w14:paraId="661A9486" w14:textId="77777777" w:rsidR="003401C5" w:rsidRPr="002C58C9" w:rsidRDefault="003401C5">
      <w:pPr>
        <w:pStyle w:val="Standard"/>
        <w:spacing w:after="0" w:line="249" w:lineRule="auto"/>
        <w:rPr>
          <w:rFonts w:ascii="Arial" w:eastAsia="Arial" w:hAnsi="Arial" w:cs="Arial"/>
          <w:sz w:val="24"/>
          <w:szCs w:val="24"/>
        </w:rPr>
      </w:pPr>
    </w:p>
    <w:p w14:paraId="24C0D596"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APPLICABLE FRAMEWORK CONTRACT</w:t>
      </w:r>
    </w:p>
    <w:p w14:paraId="14CEAD77" w14:textId="77777777" w:rsidR="003401C5" w:rsidRPr="002C58C9" w:rsidRDefault="003401C5">
      <w:pPr>
        <w:pStyle w:val="Standard"/>
        <w:spacing w:after="0" w:line="249" w:lineRule="auto"/>
        <w:rPr>
          <w:rFonts w:ascii="Arial" w:eastAsia="Arial" w:hAnsi="Arial" w:cs="Arial"/>
          <w:sz w:val="24"/>
          <w:szCs w:val="24"/>
        </w:rPr>
      </w:pPr>
    </w:p>
    <w:p w14:paraId="57E17D21" w14:textId="3CA88AA8"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 xml:space="preserve">This Order Form is for the provision of the Call-Off Deliverables and dated </w:t>
      </w:r>
      <w:r w:rsidR="00E4132B">
        <w:rPr>
          <w:rFonts w:ascii="Arial" w:eastAsia="Arial" w:hAnsi="Arial" w:cs="Arial"/>
          <w:b/>
          <w:sz w:val="24"/>
          <w:szCs w:val="24"/>
        </w:rPr>
        <w:t>1</w:t>
      </w:r>
      <w:r w:rsidR="001B5F85">
        <w:rPr>
          <w:rFonts w:ascii="Arial" w:eastAsia="Arial" w:hAnsi="Arial" w:cs="Arial"/>
          <w:b/>
          <w:sz w:val="24"/>
          <w:szCs w:val="24"/>
        </w:rPr>
        <w:t>3</w:t>
      </w:r>
      <w:r w:rsidR="00E4132B">
        <w:rPr>
          <w:rFonts w:ascii="Arial" w:eastAsia="Arial" w:hAnsi="Arial" w:cs="Arial"/>
          <w:b/>
          <w:sz w:val="24"/>
          <w:szCs w:val="24"/>
        </w:rPr>
        <w:t xml:space="preserve"> December 2023</w:t>
      </w:r>
    </w:p>
    <w:p w14:paraId="008A3F19" w14:textId="77777777" w:rsidR="003401C5" w:rsidRPr="002C58C9" w:rsidRDefault="00EB6541">
      <w:pPr>
        <w:pStyle w:val="Standard"/>
        <w:spacing w:after="0" w:line="249" w:lineRule="auto"/>
        <w:jc w:val="both"/>
        <w:rPr>
          <w:rFonts w:ascii="Arial" w:hAnsi="Arial" w:cs="Arial"/>
          <w:sz w:val="24"/>
          <w:szCs w:val="24"/>
        </w:rPr>
      </w:pPr>
      <w:r w:rsidRPr="002C58C9">
        <w:rPr>
          <w:rFonts w:ascii="Arial" w:eastAsia="Arial" w:hAnsi="Arial" w:cs="Arial"/>
          <w:sz w:val="24"/>
          <w:szCs w:val="24"/>
        </w:rPr>
        <w:t>It’s issued under the Framework Contract with the reference number RM6284 for the provision of Costs Lawyer Services</w:t>
      </w:r>
    </w:p>
    <w:p w14:paraId="52A348F8" w14:textId="77777777" w:rsidR="003401C5" w:rsidRPr="002C58C9" w:rsidRDefault="003401C5">
      <w:pPr>
        <w:pStyle w:val="Standard"/>
        <w:tabs>
          <w:tab w:val="left" w:pos="2257"/>
        </w:tabs>
        <w:spacing w:after="0" w:line="249" w:lineRule="auto"/>
        <w:rPr>
          <w:rFonts w:ascii="Arial" w:eastAsia="Arial" w:hAnsi="Arial" w:cs="Arial"/>
          <w:b/>
          <w:sz w:val="24"/>
          <w:szCs w:val="24"/>
        </w:rPr>
      </w:pPr>
      <w:bookmarkStart w:id="0" w:name="_heading=h.30j0zll"/>
      <w:bookmarkEnd w:id="0"/>
    </w:p>
    <w:p w14:paraId="5D333659" w14:textId="77777777" w:rsidR="003401C5" w:rsidRPr="002C58C9" w:rsidRDefault="00EB6541">
      <w:pPr>
        <w:pStyle w:val="Standard"/>
        <w:tabs>
          <w:tab w:val="left" w:pos="5137"/>
        </w:tabs>
        <w:spacing w:after="0" w:line="249" w:lineRule="auto"/>
        <w:ind w:left="2880" w:hanging="2880"/>
        <w:rPr>
          <w:rFonts w:ascii="Arial" w:hAnsi="Arial" w:cs="Arial"/>
          <w:sz w:val="24"/>
          <w:szCs w:val="24"/>
        </w:rPr>
      </w:pPr>
      <w:r w:rsidRPr="002C58C9">
        <w:rPr>
          <w:rFonts w:ascii="Arial" w:eastAsia="Arial" w:hAnsi="Arial" w:cs="Arial"/>
          <w:sz w:val="24"/>
          <w:szCs w:val="24"/>
        </w:rPr>
        <w:t>CALL-OFF LOT(S):</w:t>
      </w:r>
    </w:p>
    <w:p w14:paraId="10B8DAFD" w14:textId="77777777" w:rsidR="003401C5" w:rsidRPr="002C58C9" w:rsidRDefault="00EB6541">
      <w:pPr>
        <w:pStyle w:val="Standard"/>
        <w:tabs>
          <w:tab w:val="left" w:pos="5137"/>
        </w:tabs>
        <w:spacing w:after="0" w:line="249" w:lineRule="auto"/>
        <w:ind w:left="2880" w:hanging="2880"/>
        <w:rPr>
          <w:rFonts w:ascii="Arial" w:eastAsia="Arial" w:hAnsi="Arial" w:cs="Arial"/>
          <w:sz w:val="24"/>
          <w:szCs w:val="24"/>
        </w:rPr>
      </w:pPr>
      <w:r w:rsidRPr="002C58C9">
        <w:rPr>
          <w:rFonts w:ascii="Arial" w:eastAsia="Arial" w:hAnsi="Arial" w:cs="Arial"/>
          <w:sz w:val="24"/>
          <w:szCs w:val="24"/>
        </w:rPr>
        <w:t>Lot 1- General Costs Law Services</w:t>
      </w:r>
    </w:p>
    <w:p w14:paraId="1EB5C98B" w14:textId="77777777" w:rsidR="003401C5" w:rsidRPr="002C58C9" w:rsidRDefault="003401C5">
      <w:pPr>
        <w:pStyle w:val="Standard"/>
        <w:rPr>
          <w:rFonts w:ascii="Arial" w:eastAsia="Arial" w:hAnsi="Arial" w:cs="Arial"/>
          <w:b/>
          <w:sz w:val="24"/>
          <w:szCs w:val="24"/>
        </w:rPr>
      </w:pPr>
      <w:bookmarkStart w:id="1" w:name="_heading=h.gjdgxs"/>
      <w:bookmarkEnd w:id="1"/>
    </w:p>
    <w:p w14:paraId="3F01A4B9" w14:textId="77777777" w:rsidR="003401C5" w:rsidRPr="002C58C9" w:rsidRDefault="00EB6541">
      <w:pPr>
        <w:pStyle w:val="Standard"/>
        <w:keepNext/>
        <w:spacing w:after="0" w:line="249" w:lineRule="auto"/>
        <w:rPr>
          <w:rFonts w:ascii="Arial" w:hAnsi="Arial" w:cs="Arial"/>
          <w:sz w:val="24"/>
          <w:szCs w:val="24"/>
        </w:rPr>
      </w:pPr>
      <w:r w:rsidRPr="002C58C9">
        <w:rPr>
          <w:rFonts w:ascii="Arial" w:eastAsia="Arial" w:hAnsi="Arial" w:cs="Arial"/>
          <w:sz w:val="24"/>
          <w:szCs w:val="24"/>
        </w:rPr>
        <w:t>CALL-OFF INCORPORATED TERMS</w:t>
      </w:r>
    </w:p>
    <w:p w14:paraId="0B1830B9" w14:textId="77777777" w:rsidR="003401C5" w:rsidRPr="002C58C9" w:rsidRDefault="003401C5">
      <w:pPr>
        <w:pStyle w:val="Standard"/>
        <w:keepNext/>
        <w:spacing w:after="0" w:line="249" w:lineRule="auto"/>
        <w:rPr>
          <w:rFonts w:ascii="Arial" w:eastAsia="Arial" w:hAnsi="Arial" w:cs="Arial"/>
          <w:sz w:val="24"/>
          <w:szCs w:val="24"/>
        </w:rPr>
      </w:pPr>
    </w:p>
    <w:p w14:paraId="3A11D4BE" w14:textId="77777777" w:rsidR="003401C5" w:rsidRPr="002C58C9" w:rsidRDefault="00EB6541">
      <w:pPr>
        <w:pStyle w:val="Standard"/>
        <w:rPr>
          <w:rFonts w:ascii="Arial" w:hAnsi="Arial" w:cs="Arial"/>
          <w:sz w:val="24"/>
          <w:szCs w:val="24"/>
        </w:rPr>
      </w:pPr>
      <w:r w:rsidRPr="002C58C9">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91B44F4" w14:textId="77777777" w:rsidR="003401C5" w:rsidRPr="002C58C9" w:rsidRDefault="00EB6541">
      <w:pPr>
        <w:pStyle w:val="Standard"/>
        <w:numPr>
          <w:ilvl w:val="0"/>
          <w:numId w:val="6"/>
        </w:numPr>
        <w:spacing w:after="0" w:line="240" w:lineRule="auto"/>
        <w:rPr>
          <w:rFonts w:ascii="Arial" w:hAnsi="Arial" w:cs="Arial"/>
          <w:sz w:val="24"/>
          <w:szCs w:val="24"/>
        </w:rPr>
      </w:pPr>
      <w:r w:rsidRPr="002C58C9">
        <w:rPr>
          <w:rFonts w:ascii="Arial" w:eastAsia="Arial" w:hAnsi="Arial" w:cs="Arial"/>
          <w:color w:val="000000"/>
          <w:sz w:val="24"/>
          <w:szCs w:val="24"/>
        </w:rPr>
        <w:t>This Order Form including the Call-Off Special Terms and Call-Off Special Schedules.</w:t>
      </w:r>
    </w:p>
    <w:p w14:paraId="06312CDF"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 xml:space="preserve">Joint Schedule 1(Definitions and Interpretation) </w:t>
      </w:r>
      <w:r w:rsidRPr="002C58C9">
        <w:rPr>
          <w:rFonts w:ascii="Arial" w:eastAsia="Arial" w:hAnsi="Arial" w:cs="Arial"/>
          <w:b/>
          <w:sz w:val="24"/>
          <w:szCs w:val="24"/>
        </w:rPr>
        <w:t>RM6284</w:t>
      </w:r>
    </w:p>
    <w:p w14:paraId="27930D87" w14:textId="39122A8E"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Framework Special Terms</w:t>
      </w:r>
    </w:p>
    <w:p w14:paraId="4F7AB574" w14:textId="77777777" w:rsidR="003401C5" w:rsidRPr="002C58C9" w:rsidRDefault="00EB6541">
      <w:pPr>
        <w:pStyle w:val="Standard"/>
        <w:keepNext/>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The following Schedules in equal order of precedence:</w:t>
      </w:r>
    </w:p>
    <w:p w14:paraId="6A83AEE9" w14:textId="34E16102" w:rsidR="003401C5" w:rsidRPr="002C58C9" w:rsidRDefault="003401C5" w:rsidP="003E785A">
      <w:pPr>
        <w:pStyle w:val="Standard"/>
        <w:keepNext/>
        <w:spacing w:after="0" w:line="244" w:lineRule="auto"/>
        <w:rPr>
          <w:rFonts w:ascii="Arial" w:eastAsia="Arial" w:hAnsi="Arial" w:cs="Arial"/>
          <w:color w:val="000000"/>
          <w:sz w:val="24"/>
          <w:szCs w:val="24"/>
        </w:rPr>
      </w:pPr>
    </w:p>
    <w:p w14:paraId="58DA1010" w14:textId="77777777" w:rsidR="003401C5" w:rsidRPr="002C58C9" w:rsidRDefault="00EB6541">
      <w:pPr>
        <w:pStyle w:val="Standard"/>
        <w:numPr>
          <w:ilvl w:val="0"/>
          <w:numId w:val="7"/>
        </w:numPr>
        <w:spacing w:after="0" w:line="240" w:lineRule="auto"/>
        <w:rPr>
          <w:rFonts w:ascii="Arial" w:hAnsi="Arial" w:cs="Arial"/>
          <w:sz w:val="24"/>
          <w:szCs w:val="24"/>
        </w:rPr>
      </w:pPr>
      <w:r w:rsidRPr="002C58C9">
        <w:rPr>
          <w:rFonts w:ascii="Arial" w:eastAsia="Arial" w:hAnsi="Arial" w:cs="Arial"/>
          <w:color w:val="000000"/>
          <w:sz w:val="24"/>
          <w:szCs w:val="24"/>
        </w:rPr>
        <w:t>Joint Schedules for</w:t>
      </w:r>
      <w:r w:rsidRPr="002C58C9">
        <w:rPr>
          <w:rFonts w:ascii="Arial" w:eastAsia="Arial" w:hAnsi="Arial" w:cs="Arial"/>
          <w:sz w:val="24"/>
          <w:szCs w:val="24"/>
        </w:rPr>
        <w:t xml:space="preserve"> </w:t>
      </w:r>
      <w:r w:rsidRPr="002C58C9">
        <w:rPr>
          <w:rFonts w:ascii="Arial" w:eastAsia="Arial" w:hAnsi="Arial" w:cs="Arial"/>
          <w:b/>
          <w:sz w:val="24"/>
          <w:szCs w:val="24"/>
        </w:rPr>
        <w:t>RM6284</w:t>
      </w:r>
    </w:p>
    <w:p w14:paraId="40A71379"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lastRenderedPageBreak/>
        <w:t>Joint Schedule 2 (Variation Form)</w:t>
      </w:r>
    </w:p>
    <w:p w14:paraId="64A2E4BE"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3 (Insurance Requirements)</w:t>
      </w:r>
    </w:p>
    <w:p w14:paraId="7A0989F4" w14:textId="77777777" w:rsidR="002C58C9"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4 (Commercially Sensitive Information)</w:t>
      </w:r>
    </w:p>
    <w:p w14:paraId="626F2EDB" w14:textId="2AFE54D7" w:rsidR="003401C5" w:rsidRPr="002C58C9" w:rsidRDefault="00EB6541" w:rsidP="002C58C9">
      <w:pPr>
        <w:pStyle w:val="Standard"/>
        <w:numPr>
          <w:ilvl w:val="1"/>
          <w:numId w:val="4"/>
        </w:numPr>
        <w:spacing w:after="0" w:line="249" w:lineRule="auto"/>
        <w:rPr>
          <w:rFonts w:ascii="Arial" w:hAnsi="Arial" w:cs="Arial"/>
          <w:sz w:val="24"/>
          <w:szCs w:val="24"/>
        </w:rPr>
      </w:pPr>
      <w:r w:rsidRPr="002C58C9">
        <w:rPr>
          <w:rFonts w:ascii="Arial" w:hAnsi="Arial" w:cs="Arial"/>
          <w:sz w:val="24"/>
          <w:szCs w:val="24"/>
        </w:rPr>
        <w:t>Joint Schedule 7 (Financial Difficulties)</w:t>
      </w:r>
    </w:p>
    <w:p w14:paraId="3DD03E66" w14:textId="34D6CE4B"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10 (Rectification Plan)</w:t>
      </w:r>
    </w:p>
    <w:p w14:paraId="6687AE40" w14:textId="35A030F4" w:rsidR="003401C5" w:rsidRPr="002C58C9" w:rsidRDefault="00EB6541" w:rsidP="00BB3036">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Joint Schedule 11 (Processing Data)</w:t>
      </w:r>
    </w:p>
    <w:p w14:paraId="7E34BB17"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47FA6C7F" w14:textId="77777777" w:rsidR="003401C5" w:rsidRPr="002C58C9" w:rsidRDefault="00EB6541">
      <w:pPr>
        <w:pStyle w:val="Standard"/>
        <w:numPr>
          <w:ilvl w:val="0"/>
          <w:numId w:val="4"/>
        </w:numPr>
        <w:spacing w:after="0" w:line="240" w:lineRule="auto"/>
        <w:rPr>
          <w:rFonts w:ascii="Arial" w:hAnsi="Arial" w:cs="Arial"/>
          <w:sz w:val="24"/>
          <w:szCs w:val="24"/>
        </w:rPr>
      </w:pPr>
      <w:r w:rsidRPr="002C58C9">
        <w:rPr>
          <w:rFonts w:ascii="Arial" w:eastAsia="Arial" w:hAnsi="Arial" w:cs="Arial"/>
          <w:color w:val="000000"/>
          <w:sz w:val="24"/>
          <w:szCs w:val="24"/>
        </w:rPr>
        <w:t>Call-Off Schedules for RM6284</w:t>
      </w:r>
      <w:r w:rsidRPr="002C58C9">
        <w:rPr>
          <w:rFonts w:ascii="Arial" w:eastAsia="Arial" w:hAnsi="Arial" w:cs="Arial"/>
          <w:color w:val="000000"/>
          <w:sz w:val="24"/>
          <w:szCs w:val="24"/>
        </w:rPr>
        <w:tab/>
      </w:r>
      <w:r w:rsidRPr="002C58C9">
        <w:rPr>
          <w:rFonts w:ascii="Arial" w:eastAsia="Arial" w:hAnsi="Arial" w:cs="Arial"/>
          <w:color w:val="000000"/>
          <w:sz w:val="24"/>
          <w:szCs w:val="24"/>
        </w:rPr>
        <w:tab/>
      </w:r>
      <w:r w:rsidRPr="002C58C9">
        <w:rPr>
          <w:rFonts w:ascii="Arial" w:eastAsia="Arial" w:hAnsi="Arial" w:cs="Arial"/>
          <w:color w:val="000000"/>
          <w:sz w:val="24"/>
          <w:szCs w:val="24"/>
        </w:rPr>
        <w:tab/>
      </w:r>
    </w:p>
    <w:p w14:paraId="6D2129D0"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1 (Transparency Reports)</w:t>
      </w:r>
    </w:p>
    <w:p w14:paraId="2C4DFD0F"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2 (Staff Transfer)</w:t>
      </w:r>
    </w:p>
    <w:p w14:paraId="46F202E3" w14:textId="77777777" w:rsidR="003401C5" w:rsidRPr="002C58C9" w:rsidRDefault="00EB6541">
      <w:pPr>
        <w:pStyle w:val="Standard"/>
        <w:numPr>
          <w:ilvl w:val="1"/>
          <w:numId w:val="4"/>
        </w:numPr>
        <w:spacing w:after="0" w:line="249" w:lineRule="auto"/>
        <w:rPr>
          <w:rFonts w:ascii="Arial" w:hAnsi="Arial" w:cs="Arial"/>
          <w:sz w:val="24"/>
          <w:szCs w:val="24"/>
        </w:rPr>
      </w:pPr>
      <w:r w:rsidRPr="002C58C9">
        <w:rPr>
          <w:rFonts w:ascii="Arial" w:eastAsia="Arial" w:hAnsi="Arial" w:cs="Arial"/>
          <w:color w:val="000000"/>
          <w:sz w:val="24"/>
          <w:szCs w:val="24"/>
        </w:rPr>
        <w:t>Call-Off Schedule 3 (Continuous Improvement)</w:t>
      </w:r>
    </w:p>
    <w:p w14:paraId="68923FF0"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5 (Pricing Details)</w:t>
      </w:r>
    </w:p>
    <w:p w14:paraId="1643AF8A"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7 (Key Supplier Staff)</w:t>
      </w:r>
    </w:p>
    <w:p w14:paraId="699B07B6" w14:textId="77777777" w:rsidR="002C58C9"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8 (Business Continuity and Disaster Recovery</w:t>
      </w:r>
    </w:p>
    <w:p w14:paraId="6ECFF2D3" w14:textId="26962876" w:rsidR="003401C5" w:rsidRPr="002C58C9" w:rsidRDefault="00EB6541" w:rsidP="002C58C9">
      <w:pPr>
        <w:pStyle w:val="Standard"/>
        <w:numPr>
          <w:ilvl w:val="1"/>
          <w:numId w:val="4"/>
        </w:numPr>
        <w:spacing w:after="0" w:line="249" w:lineRule="auto"/>
        <w:rPr>
          <w:rFonts w:ascii="Arial" w:eastAsia="Arial" w:hAnsi="Arial" w:cs="Arial"/>
          <w:color w:val="000000"/>
          <w:sz w:val="24"/>
          <w:szCs w:val="24"/>
        </w:rPr>
      </w:pPr>
      <w:r w:rsidRPr="002C58C9">
        <w:rPr>
          <w:rFonts w:ascii="Arial" w:hAnsi="Arial" w:cs="Arial"/>
          <w:sz w:val="24"/>
          <w:szCs w:val="24"/>
        </w:rPr>
        <w:t>Call-Off Schedule 9 (Security)</w:t>
      </w:r>
    </w:p>
    <w:p w14:paraId="2E2AD24A" w14:textId="2E6DE4FC" w:rsidR="003401C5" w:rsidRPr="002C58C9" w:rsidRDefault="00EB6541" w:rsidP="00BB0EA2">
      <w:pPr>
        <w:pStyle w:val="Standard"/>
        <w:numPr>
          <w:ilvl w:val="1"/>
          <w:numId w:val="4"/>
        </w:numPr>
        <w:spacing w:after="0" w:line="249" w:lineRule="auto"/>
        <w:rPr>
          <w:rFonts w:ascii="Arial" w:eastAsia="Arial" w:hAnsi="Arial" w:cs="Arial"/>
          <w:color w:val="000000"/>
          <w:sz w:val="24"/>
          <w:szCs w:val="24"/>
        </w:rPr>
      </w:pPr>
      <w:r w:rsidRPr="002C58C9">
        <w:rPr>
          <w:rFonts w:ascii="Arial" w:eastAsia="Arial" w:hAnsi="Arial" w:cs="Arial"/>
          <w:color w:val="000000"/>
          <w:sz w:val="24"/>
          <w:szCs w:val="24"/>
        </w:rPr>
        <w:t>Call-Off Schedule 20 (Call-Off Specification)</w:t>
      </w:r>
    </w:p>
    <w:p w14:paraId="3BD23999" w14:textId="77777777" w:rsidR="003401C5" w:rsidRPr="002C58C9" w:rsidRDefault="003401C5">
      <w:pPr>
        <w:pStyle w:val="Standard"/>
        <w:spacing w:after="0" w:line="249" w:lineRule="auto"/>
        <w:ind w:left="1800"/>
        <w:rPr>
          <w:rFonts w:ascii="Arial" w:hAnsi="Arial" w:cs="Arial"/>
          <w:sz w:val="24"/>
          <w:szCs w:val="24"/>
        </w:rPr>
      </w:pPr>
    </w:p>
    <w:p w14:paraId="0AF87ED3" w14:textId="77777777" w:rsidR="003401C5" w:rsidRPr="002C58C9" w:rsidRDefault="003401C5">
      <w:pPr>
        <w:pStyle w:val="Standard"/>
        <w:spacing w:after="0" w:line="249" w:lineRule="auto"/>
        <w:ind w:left="1800"/>
        <w:rPr>
          <w:rFonts w:ascii="Arial" w:eastAsia="Arial" w:hAnsi="Arial" w:cs="Arial"/>
          <w:sz w:val="24"/>
          <w:szCs w:val="24"/>
          <w:shd w:val="clear" w:color="auto" w:fill="FFFF00"/>
        </w:rPr>
      </w:pPr>
    </w:p>
    <w:p w14:paraId="7A2608C4"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CCS Core Terms (version 3.0.11)</w:t>
      </w:r>
    </w:p>
    <w:p w14:paraId="202B362D"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Joint Schedule 5 (Corporate Social Responsibility)</w:t>
      </w:r>
    </w:p>
    <w:p w14:paraId="34CA1046" w14:textId="77777777" w:rsidR="003401C5" w:rsidRPr="002C58C9" w:rsidRDefault="00EB6541">
      <w:pPr>
        <w:pStyle w:val="Standard"/>
        <w:numPr>
          <w:ilvl w:val="0"/>
          <w:numId w:val="3"/>
        </w:numPr>
        <w:spacing w:after="0" w:line="249" w:lineRule="auto"/>
        <w:rPr>
          <w:rFonts w:ascii="Arial" w:hAnsi="Arial" w:cs="Arial"/>
          <w:sz w:val="24"/>
          <w:szCs w:val="24"/>
        </w:rPr>
      </w:pPr>
      <w:r w:rsidRPr="002C58C9">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46DF228C" w14:textId="77777777" w:rsidR="003401C5" w:rsidRPr="002C58C9" w:rsidRDefault="003401C5">
      <w:pPr>
        <w:pStyle w:val="Standard"/>
        <w:spacing w:after="0" w:line="249" w:lineRule="auto"/>
        <w:ind w:left="720"/>
        <w:rPr>
          <w:rFonts w:ascii="Arial" w:eastAsia="Arial" w:hAnsi="Arial" w:cs="Arial"/>
          <w:color w:val="000000"/>
          <w:sz w:val="24"/>
          <w:szCs w:val="24"/>
          <w:shd w:val="clear" w:color="auto" w:fill="FFFF00"/>
        </w:rPr>
      </w:pPr>
    </w:p>
    <w:p w14:paraId="793D3BE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 other Supplier terms are part of the Call-Off Contract. That includes any terms written on the back of, added to this Order Form, or presented at the time of delivery.</w:t>
      </w:r>
    </w:p>
    <w:p w14:paraId="3D2F43F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94E2B52"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SPECIAL TERMS</w:t>
      </w:r>
    </w:p>
    <w:p w14:paraId="26E0E087"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following Special Terms are incorporated into this Call-Off Contract:</w:t>
      </w:r>
    </w:p>
    <w:p w14:paraId="5D71A75E" w14:textId="3157756A" w:rsidR="003401C5" w:rsidRPr="002C58C9" w:rsidRDefault="003401C5" w:rsidP="00BB0EA2">
      <w:pPr>
        <w:pStyle w:val="Standard"/>
        <w:tabs>
          <w:tab w:val="left" w:pos="2257"/>
        </w:tabs>
        <w:spacing w:after="0" w:line="249" w:lineRule="auto"/>
        <w:rPr>
          <w:rFonts w:ascii="Arial" w:hAnsi="Arial" w:cs="Arial"/>
          <w:sz w:val="24"/>
          <w:szCs w:val="24"/>
        </w:rPr>
      </w:pPr>
    </w:p>
    <w:p w14:paraId="6C2EA7B9" w14:textId="5061E951" w:rsidR="003401C5" w:rsidRPr="002C58C9" w:rsidRDefault="00EB6541">
      <w:pPr>
        <w:pStyle w:val="Standard"/>
        <w:spacing w:after="0" w:line="240" w:lineRule="auto"/>
        <w:ind w:right="936"/>
        <w:rPr>
          <w:rFonts w:ascii="Arial" w:hAnsi="Arial" w:cs="Arial"/>
          <w:sz w:val="24"/>
          <w:szCs w:val="24"/>
        </w:rPr>
      </w:pPr>
      <w:r w:rsidRPr="002C58C9">
        <w:rPr>
          <w:rFonts w:ascii="Arial" w:eastAsia="Arial" w:hAnsi="Arial" w:cs="Arial"/>
          <w:sz w:val="24"/>
          <w:szCs w:val="24"/>
        </w:rPr>
        <w:t>None</w:t>
      </w:r>
    </w:p>
    <w:p w14:paraId="54E55798" w14:textId="77777777" w:rsidR="003401C5" w:rsidRPr="002C58C9" w:rsidRDefault="003401C5">
      <w:pPr>
        <w:pStyle w:val="Standard"/>
        <w:spacing w:after="0" w:line="249" w:lineRule="auto"/>
        <w:rPr>
          <w:rFonts w:ascii="Arial" w:eastAsia="Arial" w:hAnsi="Arial" w:cs="Arial"/>
          <w:b/>
          <w:sz w:val="24"/>
          <w:szCs w:val="24"/>
        </w:rPr>
      </w:pPr>
    </w:p>
    <w:p w14:paraId="7D5E57ED"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START DATE:</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18th December 2023</w:t>
      </w:r>
    </w:p>
    <w:p w14:paraId="27602D04" w14:textId="77777777" w:rsidR="003401C5" w:rsidRPr="002C58C9" w:rsidRDefault="003401C5">
      <w:pPr>
        <w:pStyle w:val="Standard"/>
        <w:spacing w:after="0" w:line="249" w:lineRule="auto"/>
        <w:rPr>
          <w:rFonts w:ascii="Arial" w:eastAsia="Arial" w:hAnsi="Arial" w:cs="Arial"/>
          <w:sz w:val="24"/>
          <w:szCs w:val="24"/>
        </w:rPr>
      </w:pPr>
    </w:p>
    <w:p w14:paraId="2FABA721"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 xml:space="preserve">CALL-OFF EXPIRY DATE: </w:t>
      </w:r>
      <w:r w:rsidRPr="002C58C9">
        <w:rPr>
          <w:rFonts w:ascii="Arial" w:eastAsia="Arial" w:hAnsi="Arial" w:cs="Arial"/>
          <w:sz w:val="24"/>
          <w:szCs w:val="24"/>
        </w:rPr>
        <w:tab/>
      </w:r>
      <w:r w:rsidRPr="002C58C9">
        <w:rPr>
          <w:rFonts w:ascii="Arial" w:eastAsia="Arial" w:hAnsi="Arial" w:cs="Arial"/>
          <w:sz w:val="24"/>
          <w:szCs w:val="24"/>
        </w:rPr>
        <w:tab/>
        <w:t>17th December 2025</w:t>
      </w:r>
    </w:p>
    <w:p w14:paraId="67376B10" w14:textId="77777777" w:rsidR="003401C5" w:rsidRPr="002C58C9" w:rsidRDefault="003401C5">
      <w:pPr>
        <w:pStyle w:val="Standard"/>
        <w:spacing w:after="0" w:line="249" w:lineRule="auto"/>
        <w:rPr>
          <w:rFonts w:ascii="Arial" w:eastAsia="Arial" w:hAnsi="Arial" w:cs="Arial"/>
          <w:sz w:val="24"/>
          <w:szCs w:val="24"/>
        </w:rPr>
      </w:pPr>
    </w:p>
    <w:p w14:paraId="541328FE"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CALL-OFF INITIAL PERIOD:</w:t>
      </w:r>
      <w:r w:rsidRPr="002C58C9">
        <w:rPr>
          <w:rFonts w:ascii="Arial" w:eastAsia="Arial" w:hAnsi="Arial" w:cs="Arial"/>
          <w:sz w:val="24"/>
          <w:szCs w:val="24"/>
        </w:rPr>
        <w:tab/>
      </w:r>
      <w:r w:rsidRPr="002C58C9">
        <w:rPr>
          <w:rFonts w:ascii="Arial" w:eastAsia="Arial" w:hAnsi="Arial" w:cs="Arial"/>
          <w:sz w:val="24"/>
          <w:szCs w:val="24"/>
        </w:rPr>
        <w:tab/>
        <w:t>2 years</w:t>
      </w:r>
    </w:p>
    <w:p w14:paraId="7E186C7D" w14:textId="77777777" w:rsidR="003401C5" w:rsidRPr="002C58C9" w:rsidRDefault="00EB6541">
      <w:pPr>
        <w:pStyle w:val="Standard"/>
        <w:spacing w:after="0" w:line="249" w:lineRule="auto"/>
        <w:rPr>
          <w:rFonts w:ascii="Arial" w:eastAsia="Arial" w:hAnsi="Arial" w:cs="Arial"/>
          <w:sz w:val="24"/>
          <w:szCs w:val="24"/>
        </w:rPr>
      </w:pPr>
      <w:r w:rsidRPr="002C58C9">
        <w:rPr>
          <w:rFonts w:ascii="Arial" w:eastAsia="Arial" w:hAnsi="Arial" w:cs="Arial"/>
          <w:sz w:val="24"/>
          <w:szCs w:val="24"/>
        </w:rPr>
        <w:t>EXTENSION PERIOD</w:t>
      </w:r>
      <w:r w:rsidRPr="002C58C9">
        <w:rPr>
          <w:rFonts w:ascii="Arial" w:eastAsia="Arial" w:hAnsi="Arial" w:cs="Arial"/>
          <w:sz w:val="24"/>
          <w:szCs w:val="24"/>
        </w:rPr>
        <w:tab/>
      </w:r>
      <w:r w:rsidRPr="002C58C9">
        <w:rPr>
          <w:rFonts w:ascii="Arial" w:eastAsia="Arial" w:hAnsi="Arial" w:cs="Arial"/>
          <w:sz w:val="24"/>
          <w:szCs w:val="24"/>
        </w:rPr>
        <w:tab/>
      </w:r>
      <w:r w:rsidRPr="002C58C9">
        <w:rPr>
          <w:rFonts w:ascii="Arial" w:eastAsia="Arial" w:hAnsi="Arial" w:cs="Arial"/>
          <w:sz w:val="24"/>
          <w:szCs w:val="24"/>
        </w:rPr>
        <w:tab/>
        <w:t>2 Years in annual increments (1+1)</w:t>
      </w:r>
    </w:p>
    <w:p w14:paraId="0A06FDE9" w14:textId="77777777" w:rsidR="003401C5" w:rsidRPr="002C58C9" w:rsidRDefault="003401C5">
      <w:pPr>
        <w:pStyle w:val="Standard"/>
        <w:spacing w:after="0" w:line="249" w:lineRule="auto"/>
        <w:rPr>
          <w:rFonts w:ascii="Arial" w:eastAsia="Arial" w:hAnsi="Arial" w:cs="Arial"/>
          <w:sz w:val="24"/>
          <w:szCs w:val="24"/>
        </w:rPr>
      </w:pPr>
    </w:p>
    <w:p w14:paraId="494788EB" w14:textId="77777777"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CALL-OFF DELIVERABLES</w:t>
      </w:r>
    </w:p>
    <w:p w14:paraId="6F7A7496" w14:textId="13782489" w:rsidR="00E44794" w:rsidRPr="002C58C9" w:rsidRDefault="00E44794" w:rsidP="00E44794">
      <w:pPr>
        <w:pStyle w:val="Standard"/>
        <w:tabs>
          <w:tab w:val="left" w:pos="2257"/>
        </w:tabs>
        <w:spacing w:after="0" w:line="249" w:lineRule="auto"/>
        <w:rPr>
          <w:rFonts w:ascii="Arial" w:eastAsia="Arial" w:hAnsi="Arial" w:cs="Arial"/>
          <w:sz w:val="24"/>
          <w:szCs w:val="24"/>
          <w:shd w:val="clear" w:color="auto" w:fill="FFFF00"/>
        </w:rPr>
      </w:pPr>
    </w:p>
    <w:p w14:paraId="47D79C12" w14:textId="6277E314"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20 (Call-Off Specification)]</w:t>
      </w:r>
    </w:p>
    <w:p w14:paraId="358B48D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B77167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MAXIMUM LIABILITY</w:t>
      </w:r>
    </w:p>
    <w:p w14:paraId="7F790A1A" w14:textId="5291F7E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The limitation of liability for this Call-Off Contract is stated in Clause 11.2 of the Core Terms.</w:t>
      </w:r>
    </w:p>
    <w:p w14:paraId="61857211"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5775E24C" w14:textId="0E58F188"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lastRenderedPageBreak/>
        <w:t>The Estimated Year 1 Charges used to calculate liability in the first Contract Year is</w:t>
      </w:r>
      <w:r w:rsidRPr="002C58C9">
        <w:rPr>
          <w:rFonts w:ascii="Arial" w:eastAsia="Arial" w:hAnsi="Arial" w:cs="Arial"/>
          <w:b/>
          <w:sz w:val="24"/>
          <w:szCs w:val="24"/>
          <w:shd w:val="clear" w:color="auto" w:fill="FFFF00"/>
        </w:rPr>
        <w:t xml:space="preserve"> </w:t>
      </w:r>
      <w:r w:rsidR="00E44794" w:rsidRPr="002C58C9">
        <w:rPr>
          <w:rFonts w:ascii="Arial" w:hAnsi="Arial" w:cs="Arial"/>
          <w:sz w:val="24"/>
          <w:szCs w:val="24"/>
        </w:rPr>
        <w:t>£200,000.</w:t>
      </w:r>
    </w:p>
    <w:p w14:paraId="60775B91"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5E00C15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CALL-OFF CHARGES</w:t>
      </w:r>
    </w:p>
    <w:p w14:paraId="42603DE1" w14:textId="39DAF5B1"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See details in Call-Off Schedule 5 (Pricing Details)</w:t>
      </w:r>
    </w:p>
    <w:p w14:paraId="0132BE54" w14:textId="1B7A31F3"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All changes to the Charges must use procedures that are equivalent to those in Paragraphs 5,6 and 7(if used) in Framework Schedule 3 (Framework Prices)]</w:t>
      </w:r>
    </w:p>
    <w:p w14:paraId="621F7F9F" w14:textId="77777777" w:rsidR="003401C5" w:rsidRPr="002C58C9" w:rsidRDefault="003401C5">
      <w:pPr>
        <w:pStyle w:val="Standard"/>
        <w:tabs>
          <w:tab w:val="left" w:pos="2257"/>
        </w:tabs>
        <w:spacing w:after="0" w:line="249" w:lineRule="auto"/>
        <w:rPr>
          <w:rFonts w:ascii="Arial" w:eastAsia="Arial" w:hAnsi="Arial" w:cs="Arial"/>
          <w:sz w:val="24"/>
          <w:szCs w:val="24"/>
          <w:shd w:val="clear" w:color="auto" w:fill="FFFF00"/>
        </w:rPr>
      </w:pPr>
    </w:p>
    <w:p w14:paraId="6D6FEA99"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REIMBURSABLE EXPENSES</w:t>
      </w:r>
    </w:p>
    <w:p w14:paraId="7987E8BD" w14:textId="697356F9" w:rsidR="003401C5" w:rsidRPr="002C58C9" w:rsidRDefault="00EB6541" w:rsidP="002C58C9">
      <w:pPr>
        <w:rPr>
          <w:rFonts w:ascii="Arial" w:hAnsi="Arial" w:cs="Arial"/>
          <w:sz w:val="24"/>
          <w:szCs w:val="24"/>
        </w:rPr>
      </w:pPr>
      <w:r w:rsidRPr="002C58C9">
        <w:rPr>
          <w:rFonts w:ascii="Arial" w:hAnsi="Arial" w:cs="Arial"/>
          <w:sz w:val="24"/>
          <w:szCs w:val="24"/>
        </w:rPr>
        <w:t>None</w:t>
      </w:r>
    </w:p>
    <w:p w14:paraId="6DF88FEC"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73B634E9" w14:textId="5753390D" w:rsidR="003401C5"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PAYMENT METHOD</w:t>
      </w:r>
    </w:p>
    <w:p w14:paraId="3DBF8832" w14:textId="77777777" w:rsidR="00E4132B" w:rsidRPr="00E4132B" w:rsidRDefault="00E4132B" w:rsidP="00E4132B">
      <w:pPr>
        <w:pStyle w:val="Heading2"/>
        <w:tabs>
          <w:tab w:val="num" w:pos="1288"/>
        </w:tabs>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The Supplier</w:t>
      </w:r>
      <w:r w:rsidRPr="00E4132B" w:rsidDel="005F57A5">
        <w:rPr>
          <w:rFonts w:ascii="Arial" w:hAnsi="Arial" w:cs="Arial"/>
          <w:b w:val="0"/>
          <w:color w:val="000000"/>
          <w:sz w:val="24"/>
          <w:szCs w:val="24"/>
          <w:shd w:val="clear" w:color="auto" w:fill="FFFFFF"/>
        </w:rPr>
        <w:t xml:space="preserve"> </w:t>
      </w:r>
      <w:r w:rsidRPr="00E4132B">
        <w:rPr>
          <w:rFonts w:ascii="Arial" w:hAnsi="Arial" w:cs="Arial"/>
          <w:b w:val="0"/>
          <w:color w:val="000000"/>
          <w:sz w:val="24"/>
          <w:szCs w:val="24"/>
          <w:shd w:val="clear" w:color="auto" w:fill="FFFFFF"/>
        </w:rPr>
        <w:t>is required to provide a completed invoice quoting the GLD case name and reference within 14 days of conclusion of the matter.  Invoices should be submitted at the completion of the matter unless the matter is likely to run for over 6 months in which case invoices should be supplied on a quarterly basis.</w:t>
      </w:r>
    </w:p>
    <w:p w14:paraId="508FE071" w14:textId="3EBF6A06"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Before payment can be considered, each invoice must include the appropriate level of detail of work completed and the associated costs.</w:t>
      </w:r>
    </w:p>
    <w:p w14:paraId="3AA227D7"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Excluding Delegated Authority cases, suppliers must provide GLD costs team with an itemised costs breakdown of the services provided, setting out details of the grade of fee earner undertaking work, hourly rate utilised, time spent together with details of costs claimed and settlement figures.</w:t>
      </w:r>
    </w:p>
    <w:p w14:paraId="79DF464F" w14:textId="77777777" w:rsidR="00E4132B" w:rsidRPr="00E4132B" w:rsidRDefault="00E4132B" w:rsidP="00E4132B">
      <w:pPr>
        <w:pStyle w:val="Heading2"/>
        <w:rPr>
          <w:rFonts w:ascii="Arial" w:hAnsi="Arial" w:cs="Arial"/>
          <w:b w:val="0"/>
          <w:color w:val="000000"/>
          <w:sz w:val="24"/>
          <w:szCs w:val="24"/>
          <w:shd w:val="clear" w:color="auto" w:fill="FFFFFF"/>
        </w:rPr>
      </w:pPr>
      <w:r w:rsidRPr="00E4132B">
        <w:rPr>
          <w:rFonts w:ascii="Arial" w:hAnsi="Arial" w:cs="Arial"/>
          <w:b w:val="0"/>
          <w:color w:val="000000"/>
          <w:sz w:val="24"/>
          <w:szCs w:val="24"/>
          <w:shd w:val="clear" w:color="auto" w:fill="FFFFFF"/>
        </w:rPr>
        <w:t>Late submissions of invoices sent after closure of files at GLD result in administrative difficulties which may result in payments being delayed.  Suppliers are therefore expected to adhere to a deadline for submission of invoices of 14 days post conclusion of work.</w:t>
      </w:r>
    </w:p>
    <w:p w14:paraId="41EF7626"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A946E38" w14:textId="0BF1EDC8" w:rsidR="003401C5" w:rsidRPr="002C58C9" w:rsidRDefault="00EB6541">
      <w:pPr>
        <w:pStyle w:val="Standard"/>
        <w:tabs>
          <w:tab w:val="left" w:pos="2257"/>
        </w:tabs>
        <w:spacing w:after="0" w:line="249" w:lineRule="auto"/>
        <w:rPr>
          <w:rFonts w:ascii="Arial" w:eastAsia="Arial" w:hAnsi="Arial" w:cs="Arial"/>
          <w:sz w:val="24"/>
          <w:szCs w:val="24"/>
        </w:rPr>
      </w:pPr>
      <w:r w:rsidRPr="002C58C9">
        <w:rPr>
          <w:rFonts w:ascii="Arial" w:eastAsia="Arial" w:hAnsi="Arial" w:cs="Arial"/>
          <w:sz w:val="24"/>
          <w:szCs w:val="24"/>
        </w:rPr>
        <w:t>BUYER’S INVOICE ADDRESS:</w:t>
      </w:r>
    </w:p>
    <w:p w14:paraId="5B3BD670" w14:textId="219E7D27" w:rsidR="00C85715" w:rsidRPr="002C58C9" w:rsidRDefault="00C85715">
      <w:pPr>
        <w:pStyle w:val="Standard"/>
        <w:tabs>
          <w:tab w:val="left" w:pos="2257"/>
        </w:tabs>
        <w:spacing w:after="0" w:line="249" w:lineRule="auto"/>
        <w:rPr>
          <w:rFonts w:ascii="Arial" w:eastAsia="Arial" w:hAnsi="Arial" w:cs="Arial"/>
          <w:sz w:val="24"/>
          <w:szCs w:val="24"/>
        </w:rPr>
      </w:pPr>
    </w:p>
    <w:p w14:paraId="3D3762EC"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GLD Case Related</w:t>
      </w:r>
    </w:p>
    <w:p w14:paraId="10DAD972"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PO Box 678</w:t>
      </w:r>
    </w:p>
    <w:p w14:paraId="36D4987F"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Winchester</w:t>
      </w:r>
    </w:p>
    <w:p w14:paraId="69DAE00D" w14:textId="50532C4A" w:rsidR="003401C5" w:rsidRPr="00AA7BB0" w:rsidRDefault="00C85715" w:rsidP="00AA7BB0">
      <w:pPr>
        <w:pStyle w:val="NoSpacing"/>
        <w:rPr>
          <w:rFonts w:ascii="Arial" w:hAnsi="Arial" w:cs="Arial"/>
          <w:sz w:val="24"/>
          <w:szCs w:val="24"/>
        </w:rPr>
      </w:pPr>
      <w:r w:rsidRPr="002C58C9">
        <w:rPr>
          <w:rFonts w:ascii="Arial" w:hAnsi="Arial" w:cs="Arial"/>
          <w:sz w:val="24"/>
          <w:szCs w:val="24"/>
        </w:rPr>
        <w:t>SO23 5AB</w:t>
      </w:r>
    </w:p>
    <w:p w14:paraId="190C9243"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0CD232C9" w14:textId="2B4534F0"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AUTHORISED REPRESENTATIVE</w:t>
      </w:r>
    </w:p>
    <w:p w14:paraId="585A75C5" w14:textId="77777777" w:rsidR="00040286" w:rsidRDefault="00040286" w:rsidP="0004028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7FC9E680" w14:textId="77777777" w:rsidR="00C85715" w:rsidRPr="002C58C9" w:rsidRDefault="00C85715" w:rsidP="00C85715">
      <w:pPr>
        <w:pStyle w:val="NoSpacing"/>
        <w:rPr>
          <w:rFonts w:ascii="Arial" w:hAnsi="Arial" w:cs="Arial"/>
          <w:sz w:val="24"/>
          <w:szCs w:val="24"/>
        </w:rPr>
      </w:pPr>
      <w:r w:rsidRPr="002C58C9">
        <w:rPr>
          <w:rFonts w:ascii="Arial" w:hAnsi="Arial" w:cs="Arial"/>
          <w:sz w:val="24"/>
          <w:szCs w:val="24"/>
        </w:rPr>
        <w:t>Deputy Director</w:t>
      </w:r>
    </w:p>
    <w:p w14:paraId="18BE5D1B" w14:textId="50F91C92" w:rsidR="00C85715" w:rsidRPr="002C58C9" w:rsidRDefault="00C85715" w:rsidP="00C85715">
      <w:pPr>
        <w:pStyle w:val="NoSpacing"/>
        <w:rPr>
          <w:rFonts w:ascii="Arial" w:hAnsi="Arial" w:cs="Arial"/>
          <w:sz w:val="24"/>
          <w:szCs w:val="24"/>
        </w:rPr>
      </w:pPr>
      <w:r w:rsidRPr="002C58C9">
        <w:rPr>
          <w:rFonts w:ascii="Arial" w:hAnsi="Arial" w:cs="Arial"/>
          <w:sz w:val="24"/>
          <w:szCs w:val="24"/>
        </w:rPr>
        <w:t xml:space="preserve">Costs Litigation Team </w:t>
      </w:r>
    </w:p>
    <w:p w14:paraId="4A4AABCD" w14:textId="74F84685" w:rsidR="00C85715" w:rsidRPr="002C58C9" w:rsidRDefault="00C85715" w:rsidP="00C85715">
      <w:pPr>
        <w:pStyle w:val="NoSpacing"/>
        <w:rPr>
          <w:rFonts w:ascii="Arial" w:hAnsi="Arial" w:cs="Arial"/>
          <w:sz w:val="24"/>
          <w:szCs w:val="24"/>
        </w:rPr>
      </w:pPr>
      <w:r w:rsidRPr="002C58C9">
        <w:rPr>
          <w:rFonts w:ascii="Arial" w:hAnsi="Arial" w:cs="Arial"/>
          <w:sz w:val="24"/>
          <w:szCs w:val="24"/>
        </w:rPr>
        <w:t>Government Legal Department</w:t>
      </w:r>
    </w:p>
    <w:p w14:paraId="2DADA77F" w14:textId="56BEC5A4" w:rsidR="00C85715" w:rsidRPr="002C58C9" w:rsidRDefault="00C85715" w:rsidP="00C85715">
      <w:pPr>
        <w:pStyle w:val="NoSpacing"/>
        <w:rPr>
          <w:rFonts w:ascii="Arial" w:hAnsi="Arial" w:cs="Arial"/>
          <w:sz w:val="24"/>
          <w:szCs w:val="24"/>
        </w:rPr>
      </w:pPr>
      <w:r w:rsidRPr="002C58C9">
        <w:rPr>
          <w:rFonts w:ascii="Arial" w:hAnsi="Arial" w:cs="Arial"/>
          <w:sz w:val="24"/>
          <w:szCs w:val="24"/>
        </w:rPr>
        <w:t>102 Petty France, Westminster, London SW1H 9GL</w:t>
      </w:r>
    </w:p>
    <w:p w14:paraId="6FB10263" w14:textId="77777777" w:rsidR="00C85715" w:rsidRPr="002C58C9" w:rsidRDefault="00C85715" w:rsidP="00C85715">
      <w:pPr>
        <w:pStyle w:val="NoSpacing"/>
        <w:rPr>
          <w:rFonts w:ascii="Arial" w:hAnsi="Arial" w:cs="Arial"/>
          <w:sz w:val="24"/>
          <w:szCs w:val="24"/>
        </w:rPr>
      </w:pPr>
    </w:p>
    <w:p w14:paraId="79638F32" w14:textId="3BADA19A" w:rsidR="00C85715" w:rsidRPr="00040286" w:rsidRDefault="00C85715" w:rsidP="00040286">
      <w:pPr>
        <w:tabs>
          <w:tab w:val="center" w:pos="4153"/>
          <w:tab w:val="right" w:pos="8306"/>
        </w:tabs>
        <w:spacing w:after="120" w:line="240" w:lineRule="atLeast"/>
        <w:rPr>
          <w:rFonts w:ascii="Arial" w:eastAsia="Times New Roman" w:hAnsi="Arial" w:cs="Arial"/>
        </w:rPr>
      </w:pPr>
      <w:r w:rsidRPr="002C58C9">
        <w:rPr>
          <w:rFonts w:ascii="Arial" w:hAnsi="Arial" w:cs="Arial"/>
          <w:sz w:val="24"/>
          <w:szCs w:val="24"/>
        </w:rPr>
        <w:t xml:space="preserve">Email: </w:t>
      </w:r>
      <w:r w:rsidR="00040286">
        <w:rPr>
          <w:rFonts w:ascii="Arial" w:eastAsia="Times New Roman" w:hAnsi="Arial" w:cs="Arial"/>
          <w:b/>
          <w:color w:val="FF0000"/>
          <w:lang w:eastAsia="en-GB"/>
        </w:rPr>
        <w:t>REDACTED TEXT under FOIA Section 40, Personal Information</w:t>
      </w:r>
    </w:p>
    <w:p w14:paraId="7C2D1E68" w14:textId="77777777" w:rsidR="00C85715" w:rsidRPr="002C58C9" w:rsidRDefault="00C85715">
      <w:pPr>
        <w:pStyle w:val="Standard"/>
        <w:tabs>
          <w:tab w:val="left" w:pos="2257"/>
        </w:tabs>
        <w:spacing w:after="0" w:line="249" w:lineRule="auto"/>
        <w:rPr>
          <w:rFonts w:ascii="Arial" w:eastAsia="Arial" w:hAnsi="Arial" w:cs="Arial"/>
          <w:sz w:val="24"/>
          <w:szCs w:val="24"/>
        </w:rPr>
      </w:pPr>
    </w:p>
    <w:p w14:paraId="7F18AF2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lastRenderedPageBreak/>
        <w:t>BUYER’S ENVIRONMENTAL POLICY</w:t>
      </w:r>
    </w:p>
    <w:p w14:paraId="2800CC49" w14:textId="7D799A66"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Appended at Call-Off Schedule</w:t>
      </w:r>
    </w:p>
    <w:p w14:paraId="41A9C265"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2893672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BUYER’S SECURITY POLICY</w:t>
      </w:r>
    </w:p>
    <w:p w14:paraId="59343A11" w14:textId="74E4F8E5"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 xml:space="preserve">Appended at Call-Off Schedule </w:t>
      </w:r>
      <w:r w:rsidR="002C58C9" w:rsidRPr="002C58C9">
        <w:rPr>
          <w:rFonts w:ascii="Arial" w:eastAsia="Arial" w:hAnsi="Arial" w:cs="Arial"/>
          <w:sz w:val="24"/>
          <w:szCs w:val="24"/>
        </w:rPr>
        <w:t>9 (Security)</w:t>
      </w:r>
    </w:p>
    <w:p w14:paraId="43A492B0"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1B9C551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AUTHORISED REPRESENTATIVE</w:t>
      </w:r>
    </w:p>
    <w:p w14:paraId="00B3045D" w14:textId="77777777" w:rsidR="00040286" w:rsidRDefault="00040286" w:rsidP="0004028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B5537A0" w14:textId="3B63F84A" w:rsidR="003401C5" w:rsidRDefault="0075532B" w:rsidP="00B704E1">
      <w:pPr>
        <w:tabs>
          <w:tab w:val="center" w:pos="4153"/>
          <w:tab w:val="right" w:pos="8306"/>
        </w:tabs>
        <w:spacing w:after="120" w:line="240" w:lineRule="atLeast"/>
        <w:rPr>
          <w:rFonts w:ascii="Arial" w:eastAsiaTheme="minorEastAsia" w:hAnsi="Arial" w:cs="Arial"/>
        </w:rPr>
      </w:pPr>
      <w:r w:rsidRPr="0023234D">
        <w:rPr>
          <w:rFonts w:ascii="Arial" w:eastAsiaTheme="minorEastAsia" w:hAnsi="Arial" w:cs="Arial"/>
          <w:sz w:val="24"/>
          <w:szCs w:val="24"/>
        </w:rPr>
        <w:t>Southgate House, Wood Street, Cardiff, CF10 1EW</w:t>
      </w:r>
    </w:p>
    <w:p w14:paraId="70845A98" w14:textId="77777777" w:rsidR="00B704E1" w:rsidRPr="002C58C9" w:rsidRDefault="00B704E1">
      <w:pPr>
        <w:pStyle w:val="Standard"/>
        <w:tabs>
          <w:tab w:val="left" w:pos="2257"/>
        </w:tabs>
        <w:spacing w:after="0" w:line="249" w:lineRule="auto"/>
        <w:rPr>
          <w:rFonts w:ascii="Arial" w:eastAsia="Arial" w:hAnsi="Arial" w:cs="Arial"/>
          <w:sz w:val="24"/>
          <w:szCs w:val="24"/>
        </w:rPr>
      </w:pPr>
    </w:p>
    <w:p w14:paraId="2F43BA5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SUPPLIER’S CONTRACT MANAGER</w:t>
      </w:r>
    </w:p>
    <w:p w14:paraId="1B20A7F2" w14:textId="77777777" w:rsidR="00040286" w:rsidRDefault="00040286" w:rsidP="0004028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28E4CE0" w14:textId="790A0E16" w:rsidR="003401C5" w:rsidRPr="001A6533" w:rsidRDefault="001A6533" w:rsidP="001A6533">
      <w:pPr>
        <w:tabs>
          <w:tab w:val="center" w:pos="4153"/>
          <w:tab w:val="right" w:pos="8306"/>
        </w:tabs>
        <w:spacing w:after="120" w:line="240" w:lineRule="atLeast"/>
        <w:rPr>
          <w:rFonts w:ascii="Arial" w:eastAsiaTheme="minorEastAsia" w:hAnsi="Arial" w:cs="Arial"/>
        </w:rPr>
      </w:pPr>
      <w:r w:rsidRPr="0023234D">
        <w:rPr>
          <w:rFonts w:ascii="Arial" w:eastAsiaTheme="minorEastAsia" w:hAnsi="Arial" w:cs="Arial"/>
          <w:sz w:val="24"/>
          <w:szCs w:val="24"/>
        </w:rPr>
        <w:t>Southgate House, Wood Street, Cardiff, CF10 1EW</w:t>
      </w:r>
    </w:p>
    <w:p w14:paraId="08281468"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04A383E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REPORT FREQUENCY</w:t>
      </w:r>
    </w:p>
    <w:p w14:paraId="10079ED1" w14:textId="6E9F18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On the first Working Day of each calendar month</w:t>
      </w:r>
    </w:p>
    <w:p w14:paraId="0F647B5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CDD648C"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PROGRESS MEETING FREQUENCY</w:t>
      </w:r>
    </w:p>
    <w:p w14:paraId="74670674" w14:textId="7FFA391F"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Quarterly on the first Working Day of each quarter</w:t>
      </w:r>
    </w:p>
    <w:p w14:paraId="2F6F87C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4B9A075"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STAFF</w:t>
      </w:r>
    </w:p>
    <w:p w14:paraId="09E611E2" w14:textId="69E23F30" w:rsidR="003401C5" w:rsidRPr="00AA7BB0" w:rsidRDefault="00AA7BB0" w:rsidP="00AA7BB0">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bookmarkStart w:id="2" w:name="_GoBack"/>
      <w:bookmarkEnd w:id="2"/>
    </w:p>
    <w:p w14:paraId="5A48BF7A" w14:textId="77777777" w:rsidR="003401C5" w:rsidRPr="002C58C9" w:rsidRDefault="003401C5">
      <w:pPr>
        <w:pStyle w:val="Standard"/>
        <w:tabs>
          <w:tab w:val="left" w:pos="2257"/>
        </w:tabs>
        <w:spacing w:after="0" w:line="249" w:lineRule="auto"/>
        <w:rPr>
          <w:rFonts w:ascii="Arial" w:eastAsia="Arial" w:hAnsi="Arial" w:cs="Arial"/>
          <w:sz w:val="24"/>
          <w:szCs w:val="24"/>
        </w:rPr>
      </w:pPr>
    </w:p>
    <w:p w14:paraId="33E683E3"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KEY SUBCONTRACTOR(S)</w:t>
      </w:r>
    </w:p>
    <w:p w14:paraId="58F4C257" w14:textId="71973A42" w:rsidR="00BB0EA2" w:rsidRPr="002C58C9" w:rsidRDefault="00BB0EA2"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2D5E69C4" w14:textId="40D0689C" w:rsidR="003401C5" w:rsidRPr="002C58C9" w:rsidRDefault="003401C5">
      <w:pPr>
        <w:pStyle w:val="Standard"/>
        <w:tabs>
          <w:tab w:val="left" w:pos="2257"/>
        </w:tabs>
        <w:spacing w:after="0" w:line="249" w:lineRule="auto"/>
        <w:rPr>
          <w:rFonts w:ascii="Arial" w:hAnsi="Arial" w:cs="Arial"/>
          <w:sz w:val="24"/>
          <w:szCs w:val="24"/>
        </w:rPr>
      </w:pPr>
    </w:p>
    <w:p w14:paraId="1A0C56E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666F89F4"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COMMERCIALLY SENSITIVE INFORMATION</w:t>
      </w:r>
    </w:p>
    <w:p w14:paraId="10BE134D" w14:textId="77777777" w:rsidR="00FB15BE" w:rsidRDefault="00FB15BE" w:rsidP="00FB15BE">
      <w:pPr>
        <w:pStyle w:val="Standard"/>
        <w:spacing w:after="0" w:line="247" w:lineRule="auto"/>
        <w:rPr>
          <w:rFonts w:ascii="Arial" w:hAnsi="Arial" w:cs="Arial"/>
          <w:sz w:val="24"/>
          <w:szCs w:val="24"/>
        </w:rPr>
      </w:pPr>
      <w:r>
        <w:rPr>
          <w:rFonts w:ascii="Arial" w:eastAsia="Arial" w:hAnsi="Arial" w:cs="Arial"/>
          <w:sz w:val="24"/>
          <w:szCs w:val="24"/>
        </w:rPr>
        <w:t xml:space="preserve">See details in </w:t>
      </w:r>
      <w:r>
        <w:rPr>
          <w:rFonts w:ascii="Arial" w:eastAsia="Arial" w:hAnsi="Arial" w:cs="Arial"/>
          <w:color w:val="000000"/>
          <w:sz w:val="24"/>
          <w:szCs w:val="24"/>
        </w:rPr>
        <w:t>Joint Schedule 4 (Commercially Sensitive Information)</w:t>
      </w:r>
    </w:p>
    <w:p w14:paraId="4FA2E68D"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7396A0"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SERVICE CREDITS</w:t>
      </w:r>
    </w:p>
    <w:p w14:paraId="7526E6E1" w14:textId="11BF6ADB" w:rsidR="003401C5" w:rsidRPr="002C58C9" w:rsidRDefault="00EB6541" w:rsidP="00BB0EA2">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Not applicable</w:t>
      </w:r>
    </w:p>
    <w:p w14:paraId="707446C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37CB9EF3" w14:textId="77777777" w:rsidR="003401C5" w:rsidRPr="002C58C9" w:rsidRDefault="003401C5">
      <w:pPr>
        <w:pStyle w:val="Standard"/>
        <w:tabs>
          <w:tab w:val="left" w:pos="2257"/>
        </w:tabs>
        <w:spacing w:after="0" w:line="249" w:lineRule="auto"/>
        <w:rPr>
          <w:rFonts w:ascii="Arial" w:eastAsia="Arial" w:hAnsi="Arial" w:cs="Arial"/>
          <w:b/>
          <w:sz w:val="24"/>
          <w:szCs w:val="24"/>
        </w:rPr>
      </w:pPr>
    </w:p>
    <w:p w14:paraId="199DB0B6" w14:textId="77777777" w:rsidR="003401C5" w:rsidRPr="002C58C9" w:rsidRDefault="00EB6541">
      <w:pPr>
        <w:pStyle w:val="Standard"/>
        <w:tabs>
          <w:tab w:val="left" w:pos="2257"/>
        </w:tabs>
        <w:spacing w:after="0" w:line="249" w:lineRule="auto"/>
        <w:rPr>
          <w:rFonts w:ascii="Arial" w:hAnsi="Arial" w:cs="Arial"/>
          <w:sz w:val="24"/>
          <w:szCs w:val="24"/>
        </w:rPr>
      </w:pPr>
      <w:r w:rsidRPr="002C58C9">
        <w:rPr>
          <w:rFonts w:ascii="Arial" w:eastAsia="Arial" w:hAnsi="Arial" w:cs="Arial"/>
          <w:sz w:val="24"/>
          <w:szCs w:val="24"/>
        </w:rPr>
        <w:t>ADDITIONAL INSURANCES</w:t>
      </w:r>
    </w:p>
    <w:p w14:paraId="43CDAACF" w14:textId="1D784C65" w:rsidR="003401C5" w:rsidRPr="002C58C9" w:rsidRDefault="00EB6541" w:rsidP="00BB0EA2">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441E9008" w14:textId="77777777" w:rsidR="003401C5" w:rsidRPr="002C58C9" w:rsidRDefault="003401C5">
      <w:pPr>
        <w:pStyle w:val="Standard"/>
        <w:spacing w:after="0" w:line="240" w:lineRule="auto"/>
        <w:jc w:val="both"/>
        <w:rPr>
          <w:rFonts w:ascii="Arial" w:eastAsia="Arial" w:hAnsi="Arial" w:cs="Arial"/>
          <w:sz w:val="24"/>
          <w:szCs w:val="24"/>
        </w:rPr>
      </w:pPr>
    </w:p>
    <w:p w14:paraId="63884BA9"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GUARANTEE</w:t>
      </w:r>
    </w:p>
    <w:p w14:paraId="7ECB7A8B" w14:textId="2B1778D6" w:rsidR="003401C5" w:rsidRPr="002C58C9" w:rsidRDefault="00EB6541">
      <w:pPr>
        <w:pStyle w:val="Standard"/>
        <w:spacing w:after="0" w:line="249" w:lineRule="auto"/>
        <w:rPr>
          <w:rFonts w:ascii="Arial" w:hAnsi="Arial" w:cs="Arial"/>
          <w:sz w:val="24"/>
          <w:szCs w:val="24"/>
        </w:rPr>
      </w:pPr>
      <w:r w:rsidRPr="002C58C9">
        <w:rPr>
          <w:rFonts w:ascii="Arial" w:eastAsia="Arial" w:hAnsi="Arial" w:cs="Arial"/>
          <w:sz w:val="24"/>
          <w:szCs w:val="24"/>
        </w:rPr>
        <w:t>Not applicable</w:t>
      </w:r>
    </w:p>
    <w:p w14:paraId="381BEF5F" w14:textId="77777777" w:rsidR="003401C5" w:rsidRPr="002C58C9" w:rsidRDefault="003401C5">
      <w:pPr>
        <w:pStyle w:val="Standard"/>
        <w:spacing w:after="0" w:line="249" w:lineRule="auto"/>
        <w:rPr>
          <w:rFonts w:ascii="Arial" w:eastAsia="Arial" w:hAnsi="Arial" w:cs="Arial"/>
          <w:b/>
          <w:sz w:val="24"/>
          <w:szCs w:val="24"/>
          <w:shd w:val="clear" w:color="auto" w:fill="FFFF00"/>
        </w:rPr>
      </w:pPr>
    </w:p>
    <w:p w14:paraId="22BAE90E" w14:textId="77777777"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SOCIAL VALUE COMMITMENT</w:t>
      </w:r>
    </w:p>
    <w:p w14:paraId="778B73E2" w14:textId="6D790258" w:rsidR="003401C5" w:rsidRPr="002C58C9" w:rsidRDefault="00EB6541">
      <w:pPr>
        <w:pStyle w:val="Standard"/>
        <w:spacing w:after="0" w:line="240" w:lineRule="auto"/>
        <w:jc w:val="both"/>
        <w:rPr>
          <w:rFonts w:ascii="Arial" w:hAnsi="Arial" w:cs="Arial"/>
          <w:sz w:val="24"/>
          <w:szCs w:val="24"/>
        </w:rPr>
      </w:pPr>
      <w:r w:rsidRPr="002C58C9">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Pr>
          <w:rFonts w:ascii="Arial" w:eastAsia="Arial" w:hAnsi="Arial" w:cs="Arial"/>
          <w:sz w:val="24"/>
          <w:szCs w:val="24"/>
        </w:rPr>
        <w:t>.</w:t>
      </w:r>
    </w:p>
    <w:p w14:paraId="3BE98EFA" w14:textId="77777777" w:rsidR="003401C5" w:rsidRPr="002C58C9" w:rsidRDefault="003401C5">
      <w:pPr>
        <w:pStyle w:val="Standard"/>
        <w:spacing w:after="240" w:line="240" w:lineRule="auto"/>
        <w:jc w:val="both"/>
        <w:rPr>
          <w:rFonts w:ascii="Arial" w:eastAsia="Arial" w:hAnsi="Arial" w:cs="Arial"/>
          <w:sz w:val="24"/>
          <w:szCs w:val="24"/>
        </w:rPr>
      </w:pPr>
    </w:p>
    <w:tbl>
      <w:tblPr>
        <w:tblW w:w="9170" w:type="dxa"/>
        <w:tblInd w:w="-108"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3401C5" w:rsidRPr="002C58C9" w14:paraId="099D7398"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A1ED9A0" w14:textId="77777777" w:rsidR="003401C5" w:rsidRPr="002C58C9" w:rsidRDefault="00EB6541">
            <w:pPr>
              <w:pStyle w:val="Standard"/>
              <w:keepNext/>
              <w:spacing w:before="240" w:after="120" w:line="240" w:lineRule="auto"/>
              <w:jc w:val="both"/>
              <w:rPr>
                <w:rFonts w:ascii="Arial" w:hAnsi="Arial" w:cs="Arial"/>
                <w:sz w:val="24"/>
                <w:szCs w:val="24"/>
              </w:rPr>
            </w:pPr>
            <w:r w:rsidRPr="002C58C9">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8F8991" w14:textId="77777777" w:rsidR="003401C5" w:rsidRPr="002C58C9" w:rsidRDefault="00EB6541">
            <w:pPr>
              <w:pStyle w:val="Standard"/>
              <w:keepNext/>
              <w:spacing w:before="240" w:after="120"/>
              <w:jc w:val="both"/>
              <w:rPr>
                <w:rFonts w:ascii="Arial" w:hAnsi="Arial" w:cs="Arial"/>
                <w:sz w:val="24"/>
                <w:szCs w:val="24"/>
              </w:rPr>
            </w:pPr>
            <w:r w:rsidRPr="002C58C9">
              <w:rPr>
                <w:rFonts w:ascii="Arial" w:eastAsia="Arial" w:hAnsi="Arial" w:cs="Arial"/>
                <w:b/>
                <w:color w:val="000000"/>
                <w:sz w:val="24"/>
                <w:szCs w:val="24"/>
              </w:rPr>
              <w:t>For and on behalf of the Buyer:</w:t>
            </w:r>
          </w:p>
        </w:tc>
      </w:tr>
      <w:tr w:rsidR="003401C5" w:rsidRPr="002C58C9" w14:paraId="06C6218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868419E"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9384C2A" w14:textId="77777777" w:rsidR="00040286" w:rsidRDefault="00040286" w:rsidP="0004028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52AA3B77"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7B821D0"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C857ACE" w14:textId="77777777" w:rsidR="00040286" w:rsidRDefault="00040286" w:rsidP="0004028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1DF623BF"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FA862EE"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A018C1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28F4378" w14:textId="77777777" w:rsidR="00040286" w:rsidRDefault="00040286" w:rsidP="0004028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286829D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F1A151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266DA607" w14:textId="77777777" w:rsidR="00040286" w:rsidRDefault="00040286" w:rsidP="00040286">
            <w:pPr>
              <w:tabs>
                <w:tab w:val="center" w:pos="4153"/>
                <w:tab w:val="right" w:pos="8306"/>
              </w:tabs>
              <w:spacing w:after="120" w:line="240" w:lineRule="atLeast"/>
              <w:rPr>
                <w:rFonts w:ascii="Arial" w:eastAsia="Times New Roman" w:hAnsi="Arial" w:cs="Arial"/>
              </w:rPr>
            </w:pPr>
            <w:r>
              <w:rPr>
                <w:rFonts w:ascii="Arial" w:eastAsia="Times New Roman" w:hAnsi="Arial" w:cs="Arial"/>
                <w:b/>
                <w:color w:val="FF0000"/>
                <w:lang w:eastAsia="en-GB"/>
              </w:rPr>
              <w:t>REDACTED TEXT under FOIA Section 40, Personal Information</w:t>
            </w:r>
          </w:p>
          <w:p w14:paraId="66A6FF9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23E3A85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9E80FD6"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6B47A9C"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54D05B6F"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5083F8"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r w:rsidR="003401C5" w:rsidRPr="002C58C9" w14:paraId="59CF9063"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FBE1D58" w14:textId="77777777" w:rsidR="003401C5" w:rsidRPr="002C58C9" w:rsidRDefault="00EB6541">
            <w:pPr>
              <w:pStyle w:val="Standard"/>
              <w:keepNext/>
              <w:spacing w:before="240" w:after="120" w:line="240" w:lineRule="auto"/>
              <w:rPr>
                <w:rFonts w:ascii="Arial" w:hAnsi="Arial" w:cs="Arial"/>
                <w:sz w:val="24"/>
                <w:szCs w:val="24"/>
              </w:rPr>
            </w:pPr>
            <w:r w:rsidRPr="002C58C9">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B78AFF4"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0030E91" w14:textId="77777777" w:rsidR="003401C5" w:rsidRPr="002C58C9" w:rsidRDefault="00EB6541">
            <w:pPr>
              <w:pStyle w:val="Standard"/>
              <w:keepNext/>
              <w:spacing w:before="240" w:after="120" w:line="240" w:lineRule="auto"/>
              <w:ind w:left="142"/>
              <w:jc w:val="both"/>
              <w:rPr>
                <w:rFonts w:ascii="Arial" w:hAnsi="Arial" w:cs="Arial"/>
                <w:sz w:val="24"/>
                <w:szCs w:val="24"/>
              </w:rPr>
            </w:pPr>
            <w:r w:rsidRPr="002C58C9">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528BF1" w14:textId="77777777" w:rsidR="003401C5" w:rsidRPr="002C58C9" w:rsidRDefault="003401C5">
            <w:pPr>
              <w:pStyle w:val="Standard"/>
              <w:keepNext/>
              <w:spacing w:before="240" w:after="120" w:line="240" w:lineRule="auto"/>
              <w:ind w:left="142"/>
              <w:jc w:val="both"/>
              <w:rPr>
                <w:rFonts w:ascii="Arial" w:eastAsia="Arial" w:hAnsi="Arial" w:cs="Arial"/>
                <w:color w:val="000000"/>
                <w:sz w:val="24"/>
                <w:szCs w:val="24"/>
              </w:rPr>
            </w:pPr>
          </w:p>
        </w:tc>
      </w:tr>
    </w:tbl>
    <w:p w14:paraId="689561E9" w14:textId="77777777" w:rsidR="003401C5" w:rsidRPr="002C58C9" w:rsidRDefault="003401C5">
      <w:pPr>
        <w:pStyle w:val="Standard"/>
        <w:rPr>
          <w:rFonts w:ascii="Arial" w:hAnsi="Arial" w:cs="Arial"/>
          <w:sz w:val="24"/>
          <w:szCs w:val="24"/>
        </w:rPr>
      </w:pPr>
    </w:p>
    <w:sectPr w:rsidR="003401C5" w:rsidRPr="002C58C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E38BA" w14:textId="77777777" w:rsidR="00AE49E3" w:rsidRDefault="00AE49E3">
      <w:r>
        <w:separator/>
      </w:r>
    </w:p>
  </w:endnote>
  <w:endnote w:type="continuationSeparator" w:id="0">
    <w:p w14:paraId="34542AC8" w14:textId="77777777" w:rsidR="00AE49E3" w:rsidRDefault="00AE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94EA" w14:textId="77777777" w:rsidR="002C58C9" w:rsidRDefault="002C5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A421C" w14:textId="77777777" w:rsidR="00601B05" w:rsidRDefault="00EB6541">
    <w:pPr>
      <w:pStyle w:val="Standard"/>
      <w:tabs>
        <w:tab w:val="center" w:pos="4513"/>
        <w:tab w:val="right" w:pos="9026"/>
      </w:tabs>
      <w:spacing w:after="0" w:line="240" w:lineRule="auto"/>
    </w:pPr>
    <w:r>
      <w:rPr>
        <w:rFonts w:ascii="Arial" w:eastAsia="Arial" w:hAnsi="Arial" w:cs="Arial"/>
        <w:sz w:val="20"/>
        <w:szCs w:val="20"/>
      </w:rPr>
      <w:t>Framework Ref: RM6284 Costs Lawyer Services 2</w:t>
    </w:r>
    <w:r>
      <w:rPr>
        <w:rFonts w:ascii="Arial" w:eastAsia="Arial" w:hAnsi="Arial" w:cs="Arial"/>
        <w:sz w:val="20"/>
        <w:szCs w:val="20"/>
      </w:rPr>
      <w:tab/>
      <w:t xml:space="preserve">                                           </w:t>
    </w:r>
  </w:p>
  <w:p w14:paraId="46D6DE4C"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10</w:t>
    </w:r>
    <w:r>
      <w:fldChar w:fldCharType="end"/>
    </w:r>
  </w:p>
  <w:p w14:paraId="3C1AF74E" w14:textId="77777777" w:rsidR="00601B05" w:rsidRDefault="00EB6541">
    <w:pPr>
      <w:pStyle w:val="Standard"/>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63B3" w14:textId="77777777" w:rsidR="002C58C9" w:rsidRDefault="002C5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82D6" w14:textId="77777777" w:rsidR="00AE49E3" w:rsidRDefault="00AE49E3">
      <w:r>
        <w:rPr>
          <w:color w:val="000000"/>
        </w:rPr>
        <w:separator/>
      </w:r>
    </w:p>
  </w:footnote>
  <w:footnote w:type="continuationSeparator" w:id="0">
    <w:p w14:paraId="4D625DE6" w14:textId="77777777" w:rsidR="00AE49E3" w:rsidRDefault="00AE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E2864" w14:textId="77777777" w:rsidR="002C58C9" w:rsidRDefault="002C5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BCFA5" w14:textId="532E9A4B" w:rsidR="00601B05" w:rsidRDefault="00EB6541">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and Call-Off Schedules)</w:t>
    </w:r>
  </w:p>
  <w:p w14:paraId="35F9C129" w14:textId="77777777" w:rsidR="00601B05" w:rsidRDefault="00EB6541">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8CB6" w14:textId="77777777" w:rsidR="002C58C9" w:rsidRDefault="002C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43EC"/>
    <w:multiLevelType w:val="multilevel"/>
    <w:tmpl w:val="F6444552"/>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2A78FF"/>
    <w:multiLevelType w:val="multilevel"/>
    <w:tmpl w:val="3F3A023E"/>
    <w:styleLink w:val="LFO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45756222"/>
    <w:multiLevelType w:val="multilevel"/>
    <w:tmpl w:val="08AE4C60"/>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85A62FB"/>
    <w:multiLevelType w:val="multilevel"/>
    <w:tmpl w:val="2812C12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4C7C74A2"/>
    <w:multiLevelType w:val="multilevel"/>
    <w:tmpl w:val="9E14EB72"/>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 w:numId="5">
    <w:abstractNumId w:val="4"/>
  </w:num>
  <w:num w:numId="6">
    <w:abstractNumId w:val="0"/>
    <w:lvlOverride w:ilvl="0">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C5"/>
    <w:rsid w:val="00004100"/>
    <w:rsid w:val="0002395E"/>
    <w:rsid w:val="00040286"/>
    <w:rsid w:val="0011753C"/>
    <w:rsid w:val="00155F51"/>
    <w:rsid w:val="001A6533"/>
    <w:rsid w:val="001B5F85"/>
    <w:rsid w:val="001C6949"/>
    <w:rsid w:val="00213844"/>
    <w:rsid w:val="0023234D"/>
    <w:rsid w:val="002C58C9"/>
    <w:rsid w:val="002F554E"/>
    <w:rsid w:val="003401C5"/>
    <w:rsid w:val="00357724"/>
    <w:rsid w:val="0036753B"/>
    <w:rsid w:val="003E785A"/>
    <w:rsid w:val="004278F0"/>
    <w:rsid w:val="00470D0D"/>
    <w:rsid w:val="004F3633"/>
    <w:rsid w:val="00655EA6"/>
    <w:rsid w:val="0075532B"/>
    <w:rsid w:val="00764D15"/>
    <w:rsid w:val="007F411A"/>
    <w:rsid w:val="009A7EFC"/>
    <w:rsid w:val="009C2827"/>
    <w:rsid w:val="00AA7BB0"/>
    <w:rsid w:val="00AE49E3"/>
    <w:rsid w:val="00B704E1"/>
    <w:rsid w:val="00BB0EA2"/>
    <w:rsid w:val="00BB3036"/>
    <w:rsid w:val="00BF71F0"/>
    <w:rsid w:val="00C85715"/>
    <w:rsid w:val="00D03149"/>
    <w:rsid w:val="00E257A5"/>
    <w:rsid w:val="00E4132B"/>
    <w:rsid w:val="00E44794"/>
    <w:rsid w:val="00E5091E"/>
    <w:rsid w:val="00E6034D"/>
    <w:rsid w:val="00EA65CE"/>
    <w:rsid w:val="00EB6541"/>
    <w:rsid w:val="00ED1890"/>
    <w:rsid w:val="00FB15BE"/>
    <w:rsid w:val="00FC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FF52F"/>
  <w15:docId w15:val="{EF76D59E-D233-463C-8164-AD457415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NoSpacing">
    <w:name w:val="No Spacing"/>
    <w:uiPriority w:val="1"/>
    <w:qFormat/>
    <w:rsid w:val="00C85715"/>
    <w:pPr>
      <w:widowControl/>
      <w:suppressAutoHyphens/>
    </w:pPr>
    <w:rPr>
      <w:rFonts w:cs="Mangal"/>
      <w:szCs w:val="20"/>
    </w:rPr>
  </w:style>
  <w:style w:type="character" w:styleId="Hyperlink">
    <w:name w:val="Hyperlink"/>
    <w:basedOn w:val="DefaultParagraphFont"/>
    <w:uiPriority w:val="99"/>
    <w:unhideWhenUsed/>
    <w:rsid w:val="00C85715"/>
    <w:rPr>
      <w:color w:val="0563C1" w:themeColor="hyperlink"/>
      <w:u w:val="single"/>
    </w:rPr>
  </w:style>
  <w:style w:type="character" w:styleId="UnresolvedMention">
    <w:name w:val="Unresolved Mention"/>
    <w:basedOn w:val="DefaultParagraphFont"/>
    <w:uiPriority w:val="99"/>
    <w:semiHidden/>
    <w:unhideWhenUsed/>
    <w:rsid w:val="00C85715"/>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5026">
      <w:bodyDiv w:val="1"/>
      <w:marLeft w:val="0"/>
      <w:marRight w:val="0"/>
      <w:marTop w:val="0"/>
      <w:marBottom w:val="0"/>
      <w:divBdr>
        <w:top w:val="none" w:sz="0" w:space="0" w:color="auto"/>
        <w:left w:val="none" w:sz="0" w:space="0" w:color="auto"/>
        <w:bottom w:val="none" w:sz="0" w:space="0" w:color="auto"/>
        <w:right w:val="none" w:sz="0" w:space="0" w:color="auto"/>
      </w:divBdr>
    </w:div>
    <w:div w:id="447048480">
      <w:bodyDiv w:val="1"/>
      <w:marLeft w:val="0"/>
      <w:marRight w:val="0"/>
      <w:marTop w:val="0"/>
      <w:marBottom w:val="0"/>
      <w:divBdr>
        <w:top w:val="none" w:sz="0" w:space="0" w:color="auto"/>
        <w:left w:val="none" w:sz="0" w:space="0" w:color="auto"/>
        <w:bottom w:val="none" w:sz="0" w:space="0" w:color="auto"/>
        <w:right w:val="none" w:sz="0" w:space="0" w:color="auto"/>
      </w:divBdr>
    </w:div>
    <w:div w:id="779958928">
      <w:bodyDiv w:val="1"/>
      <w:marLeft w:val="0"/>
      <w:marRight w:val="0"/>
      <w:marTop w:val="0"/>
      <w:marBottom w:val="0"/>
      <w:divBdr>
        <w:top w:val="none" w:sz="0" w:space="0" w:color="auto"/>
        <w:left w:val="none" w:sz="0" w:space="0" w:color="auto"/>
        <w:bottom w:val="none" w:sz="0" w:space="0" w:color="auto"/>
        <w:right w:val="none" w:sz="0" w:space="0" w:color="auto"/>
      </w:divBdr>
    </w:div>
    <w:div w:id="906955727">
      <w:bodyDiv w:val="1"/>
      <w:marLeft w:val="0"/>
      <w:marRight w:val="0"/>
      <w:marTop w:val="0"/>
      <w:marBottom w:val="0"/>
      <w:divBdr>
        <w:top w:val="none" w:sz="0" w:space="0" w:color="auto"/>
        <w:left w:val="none" w:sz="0" w:space="0" w:color="auto"/>
        <w:bottom w:val="none" w:sz="0" w:space="0" w:color="auto"/>
        <w:right w:val="none" w:sz="0" w:space="0" w:color="auto"/>
      </w:divBdr>
    </w:div>
    <w:div w:id="1030372132">
      <w:bodyDiv w:val="1"/>
      <w:marLeft w:val="0"/>
      <w:marRight w:val="0"/>
      <w:marTop w:val="0"/>
      <w:marBottom w:val="0"/>
      <w:divBdr>
        <w:top w:val="none" w:sz="0" w:space="0" w:color="auto"/>
        <w:left w:val="none" w:sz="0" w:space="0" w:color="auto"/>
        <w:bottom w:val="none" w:sz="0" w:space="0" w:color="auto"/>
        <w:right w:val="none" w:sz="0" w:space="0" w:color="auto"/>
      </w:divBdr>
    </w:div>
    <w:div w:id="1125809253">
      <w:bodyDiv w:val="1"/>
      <w:marLeft w:val="0"/>
      <w:marRight w:val="0"/>
      <w:marTop w:val="0"/>
      <w:marBottom w:val="0"/>
      <w:divBdr>
        <w:top w:val="none" w:sz="0" w:space="0" w:color="auto"/>
        <w:left w:val="none" w:sz="0" w:space="0" w:color="auto"/>
        <w:bottom w:val="none" w:sz="0" w:space="0" w:color="auto"/>
        <w:right w:val="none" w:sz="0" w:space="0" w:color="auto"/>
      </w:divBdr>
    </w:div>
    <w:div w:id="1226913227">
      <w:bodyDiv w:val="1"/>
      <w:marLeft w:val="0"/>
      <w:marRight w:val="0"/>
      <w:marTop w:val="0"/>
      <w:marBottom w:val="0"/>
      <w:divBdr>
        <w:top w:val="none" w:sz="0" w:space="0" w:color="auto"/>
        <w:left w:val="none" w:sz="0" w:space="0" w:color="auto"/>
        <w:bottom w:val="none" w:sz="0" w:space="0" w:color="auto"/>
        <w:right w:val="none" w:sz="0" w:space="0" w:color="auto"/>
      </w:divBdr>
    </w:div>
    <w:div w:id="1675108591">
      <w:bodyDiv w:val="1"/>
      <w:marLeft w:val="0"/>
      <w:marRight w:val="0"/>
      <w:marTop w:val="0"/>
      <w:marBottom w:val="0"/>
      <w:divBdr>
        <w:top w:val="none" w:sz="0" w:space="0" w:color="auto"/>
        <w:left w:val="none" w:sz="0" w:space="0" w:color="auto"/>
        <w:bottom w:val="none" w:sz="0" w:space="0" w:color="auto"/>
        <w:right w:val="none" w:sz="0" w:space="0" w:color="auto"/>
      </w:divBdr>
    </w:div>
    <w:div w:id="190999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Nick Williams</cp:lastModifiedBy>
  <cp:revision>5</cp:revision>
  <dcterms:created xsi:type="dcterms:W3CDTF">2023-12-07T13:20:00Z</dcterms:created>
  <dcterms:modified xsi:type="dcterms:W3CDTF">2024-02-19T15:29:00Z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