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DE6E006" w:rsidR="00B327EC" w:rsidRPr="002C519F" w:rsidRDefault="000C5677" w:rsidP="00B327EC">
      <w:pPr>
        <w:widowControl w:val="0"/>
        <w:tabs>
          <w:tab w:val="center" w:pos="4513"/>
        </w:tabs>
        <w:spacing w:before="120" w:after="120"/>
        <w:jc w:val="center"/>
        <w:rPr>
          <w:b/>
          <w:bCs/>
          <w:sz w:val="36"/>
          <w:szCs w:val="36"/>
        </w:rPr>
      </w:pPr>
      <w:r>
        <w:rPr>
          <w:b/>
          <w:bCs/>
          <w:sz w:val="36"/>
          <w:szCs w:val="36"/>
        </w:rPr>
        <w:t xml:space="preserve">Cabinet Office </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50DBFBA5"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37484758" w:rsidR="00B327EC" w:rsidRPr="002C519F" w:rsidRDefault="00B327EC" w:rsidP="00B327EC">
      <w:pPr>
        <w:widowControl w:val="0"/>
        <w:tabs>
          <w:tab w:val="center" w:pos="4513"/>
        </w:tabs>
        <w:spacing w:before="120" w:after="120"/>
        <w:jc w:val="center"/>
        <w:rPr>
          <w:bCs/>
          <w:sz w:val="36"/>
          <w:szCs w:val="36"/>
        </w:rPr>
      </w:pPr>
      <w:r w:rsidRPr="00173EA0">
        <w:rPr>
          <w:b/>
          <w:bCs/>
          <w:sz w:val="36"/>
          <w:szCs w:val="36"/>
        </w:rPr>
        <w:t xml:space="preserve">NAME OF </w:t>
      </w:r>
      <w:r w:rsidR="001D6B59" w:rsidRPr="00173EA0">
        <w:rPr>
          <w:b/>
          <w:bCs/>
          <w:sz w:val="36"/>
          <w:szCs w:val="36"/>
        </w:rPr>
        <w:t>SUPPLIER</w:t>
      </w:r>
      <w:r w:rsidR="000C5677" w:rsidRPr="00173EA0">
        <w:rPr>
          <w:b/>
          <w:bCs/>
          <w:sz w:val="36"/>
          <w:szCs w:val="36"/>
        </w:rPr>
        <w:t xml:space="preserve"> – TBC</w:t>
      </w:r>
      <w:r w:rsidR="000C5677">
        <w:rPr>
          <w:b/>
          <w:bCs/>
          <w:sz w:val="36"/>
          <w:szCs w:val="36"/>
        </w:rPr>
        <w:t xml:space="preserve"> at Contract Award </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0E269805" w14:textId="2DDBC176" w:rsidR="000B47A6" w:rsidRPr="002C519F" w:rsidRDefault="000C5677" w:rsidP="00B327EC">
      <w:pPr>
        <w:widowControl w:val="0"/>
        <w:tabs>
          <w:tab w:val="center" w:pos="4513"/>
        </w:tabs>
        <w:spacing w:before="120" w:after="120"/>
        <w:jc w:val="center"/>
        <w:rPr>
          <w:b/>
          <w:bCs/>
          <w:sz w:val="36"/>
          <w:szCs w:val="36"/>
        </w:rPr>
      </w:pPr>
      <w:r>
        <w:rPr>
          <w:b/>
          <w:bCs/>
          <w:sz w:val="36"/>
          <w:szCs w:val="36"/>
        </w:rPr>
        <w:t xml:space="preserve">CCZP19A07 – The Provision of Leadership Centre Programme – Module 3 </w:t>
      </w: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344706CC"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731189">
          <w:rPr>
            <w:noProof/>
            <w:webHidden/>
          </w:rPr>
          <w:t>3</w:t>
        </w:r>
        <w:r w:rsidR="003537BB">
          <w:rPr>
            <w:noProof/>
            <w:webHidden/>
          </w:rPr>
          <w:fldChar w:fldCharType="end"/>
        </w:r>
      </w:hyperlink>
    </w:p>
    <w:p w14:paraId="0AA737F4" w14:textId="2AE04378" w:rsidR="003537BB" w:rsidRDefault="00731189">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Pr>
            <w:noProof/>
            <w:webHidden/>
          </w:rPr>
          <w:t>3</w:t>
        </w:r>
        <w:r w:rsidR="003537BB">
          <w:rPr>
            <w:noProof/>
            <w:webHidden/>
          </w:rPr>
          <w:fldChar w:fldCharType="end"/>
        </w:r>
      </w:hyperlink>
    </w:p>
    <w:p w14:paraId="4C1A2F88" w14:textId="7667CD19" w:rsidR="003537BB" w:rsidRDefault="00731189">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Pr>
            <w:noProof/>
            <w:webHidden/>
          </w:rPr>
          <w:t>4</w:t>
        </w:r>
        <w:r w:rsidR="003537BB">
          <w:rPr>
            <w:noProof/>
            <w:webHidden/>
          </w:rPr>
          <w:fldChar w:fldCharType="end"/>
        </w:r>
      </w:hyperlink>
    </w:p>
    <w:p w14:paraId="239E4E79" w14:textId="6F62EFC8" w:rsidR="003537BB" w:rsidRDefault="00731189">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Pr>
            <w:noProof/>
            <w:webHidden/>
          </w:rPr>
          <w:t>5</w:t>
        </w:r>
        <w:r w:rsidR="003537BB">
          <w:rPr>
            <w:noProof/>
            <w:webHidden/>
          </w:rPr>
          <w:fldChar w:fldCharType="end"/>
        </w:r>
      </w:hyperlink>
    </w:p>
    <w:p w14:paraId="0B35382D" w14:textId="7AFC6F87" w:rsidR="003537BB" w:rsidRDefault="00731189">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Pr>
            <w:noProof/>
            <w:webHidden/>
          </w:rPr>
          <w:t>5</w:t>
        </w:r>
        <w:r w:rsidR="003537BB">
          <w:rPr>
            <w:noProof/>
            <w:webHidden/>
          </w:rPr>
          <w:fldChar w:fldCharType="end"/>
        </w:r>
      </w:hyperlink>
    </w:p>
    <w:p w14:paraId="13B8BD04" w14:textId="3778BD7D" w:rsidR="003537BB" w:rsidRDefault="00731189">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Pr>
            <w:noProof/>
            <w:webHidden/>
          </w:rPr>
          <w:t>5</w:t>
        </w:r>
        <w:r w:rsidR="003537BB">
          <w:rPr>
            <w:noProof/>
            <w:webHidden/>
          </w:rPr>
          <w:fldChar w:fldCharType="end"/>
        </w:r>
      </w:hyperlink>
    </w:p>
    <w:p w14:paraId="3137EB71" w14:textId="5F5F2F7E" w:rsidR="003537BB" w:rsidRDefault="00731189">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Pr>
            <w:noProof/>
            <w:webHidden/>
          </w:rPr>
          <w:t>6</w:t>
        </w:r>
        <w:r w:rsidR="003537BB">
          <w:rPr>
            <w:noProof/>
            <w:webHidden/>
          </w:rPr>
          <w:fldChar w:fldCharType="end"/>
        </w:r>
      </w:hyperlink>
    </w:p>
    <w:p w14:paraId="49500F3D" w14:textId="0EF2ADFA" w:rsidR="003537BB" w:rsidRDefault="00731189">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Pr>
            <w:noProof/>
            <w:webHidden/>
          </w:rPr>
          <w:t>7</w:t>
        </w:r>
        <w:r w:rsidR="003537BB">
          <w:rPr>
            <w:noProof/>
            <w:webHidden/>
          </w:rPr>
          <w:fldChar w:fldCharType="end"/>
        </w:r>
      </w:hyperlink>
    </w:p>
    <w:p w14:paraId="1F65720D" w14:textId="6E4B1CA3" w:rsidR="003537BB" w:rsidRDefault="00731189">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Pr>
            <w:noProof/>
            <w:webHidden/>
          </w:rPr>
          <w:t>8</w:t>
        </w:r>
        <w:r w:rsidR="003537BB">
          <w:rPr>
            <w:noProof/>
            <w:webHidden/>
          </w:rPr>
          <w:fldChar w:fldCharType="end"/>
        </w:r>
      </w:hyperlink>
    </w:p>
    <w:p w14:paraId="11D51CDD" w14:textId="1CCEF50B" w:rsidR="003537BB" w:rsidRDefault="00731189">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Pr>
            <w:noProof/>
            <w:webHidden/>
          </w:rPr>
          <w:t>8</w:t>
        </w:r>
        <w:r w:rsidR="003537BB">
          <w:rPr>
            <w:noProof/>
            <w:webHidden/>
          </w:rPr>
          <w:fldChar w:fldCharType="end"/>
        </w:r>
      </w:hyperlink>
    </w:p>
    <w:p w14:paraId="37C11058" w14:textId="4D177FC3" w:rsidR="003537BB" w:rsidRDefault="00731189">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Pr>
            <w:noProof/>
            <w:webHidden/>
          </w:rPr>
          <w:t>9</w:t>
        </w:r>
        <w:r w:rsidR="003537BB">
          <w:rPr>
            <w:noProof/>
            <w:webHidden/>
          </w:rPr>
          <w:fldChar w:fldCharType="end"/>
        </w:r>
      </w:hyperlink>
    </w:p>
    <w:p w14:paraId="049CD371" w14:textId="5FEE63D2" w:rsidR="003537BB" w:rsidRDefault="00731189">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Pr>
            <w:noProof/>
            <w:webHidden/>
          </w:rPr>
          <w:t>9</w:t>
        </w:r>
        <w:r w:rsidR="003537BB">
          <w:rPr>
            <w:noProof/>
            <w:webHidden/>
          </w:rPr>
          <w:fldChar w:fldCharType="end"/>
        </w:r>
      </w:hyperlink>
    </w:p>
    <w:p w14:paraId="0F6856DE" w14:textId="23246063" w:rsidR="003537BB" w:rsidRDefault="00731189">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Pr>
            <w:noProof/>
            <w:webHidden/>
          </w:rPr>
          <w:t>10</w:t>
        </w:r>
        <w:r w:rsidR="003537BB">
          <w:rPr>
            <w:noProof/>
            <w:webHidden/>
          </w:rPr>
          <w:fldChar w:fldCharType="end"/>
        </w:r>
      </w:hyperlink>
    </w:p>
    <w:p w14:paraId="30D93AB2" w14:textId="2EC51886" w:rsidR="003537BB" w:rsidRDefault="00731189">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Pr>
            <w:noProof/>
            <w:webHidden/>
          </w:rPr>
          <w:t>11</w:t>
        </w:r>
        <w:r w:rsidR="003537BB">
          <w:rPr>
            <w:noProof/>
            <w:webHidden/>
          </w:rPr>
          <w:fldChar w:fldCharType="end"/>
        </w:r>
      </w:hyperlink>
    </w:p>
    <w:p w14:paraId="18AD9369" w14:textId="204C3FDB" w:rsidR="003537BB" w:rsidRDefault="00731189">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Pr>
            <w:noProof/>
            <w:webHidden/>
          </w:rPr>
          <w:t>11</w:t>
        </w:r>
        <w:r w:rsidR="003537BB">
          <w:rPr>
            <w:noProof/>
            <w:webHidden/>
          </w:rPr>
          <w:fldChar w:fldCharType="end"/>
        </w:r>
      </w:hyperlink>
    </w:p>
    <w:p w14:paraId="55FCE754" w14:textId="63C45799" w:rsidR="003537BB" w:rsidRDefault="00731189">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Pr>
            <w:noProof/>
            <w:webHidden/>
          </w:rPr>
          <w:t>12</w:t>
        </w:r>
        <w:r w:rsidR="003537BB">
          <w:rPr>
            <w:noProof/>
            <w:webHidden/>
          </w:rPr>
          <w:fldChar w:fldCharType="end"/>
        </w:r>
      </w:hyperlink>
    </w:p>
    <w:p w14:paraId="62436698" w14:textId="7FAEC3FE" w:rsidR="003537BB" w:rsidRDefault="00731189">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Pr>
            <w:noProof/>
            <w:webHidden/>
          </w:rPr>
          <w:t>12</w:t>
        </w:r>
        <w:r w:rsidR="003537BB">
          <w:rPr>
            <w:noProof/>
            <w:webHidden/>
          </w:rPr>
          <w:fldChar w:fldCharType="end"/>
        </w:r>
      </w:hyperlink>
    </w:p>
    <w:p w14:paraId="4EC3B055" w14:textId="5289E775" w:rsidR="003537BB" w:rsidRDefault="00731189">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Pr>
            <w:noProof/>
            <w:webHidden/>
          </w:rPr>
          <w:t>13</w:t>
        </w:r>
        <w:r w:rsidR="003537BB">
          <w:rPr>
            <w:noProof/>
            <w:webHidden/>
          </w:rPr>
          <w:fldChar w:fldCharType="end"/>
        </w:r>
      </w:hyperlink>
    </w:p>
    <w:p w14:paraId="445081EC" w14:textId="7A6562FD" w:rsidR="003537BB" w:rsidRDefault="00731189">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Pr>
            <w:noProof/>
            <w:webHidden/>
          </w:rPr>
          <w:t>13</w:t>
        </w:r>
        <w:r w:rsidR="003537BB">
          <w:rPr>
            <w:noProof/>
            <w:webHidden/>
          </w:rPr>
          <w:fldChar w:fldCharType="end"/>
        </w:r>
      </w:hyperlink>
    </w:p>
    <w:p w14:paraId="5F951ACA" w14:textId="4B876B52" w:rsidR="003537BB" w:rsidRDefault="00731189">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Pr>
            <w:noProof/>
            <w:webHidden/>
          </w:rPr>
          <w:t>14</w:t>
        </w:r>
        <w:r w:rsidR="003537BB">
          <w:rPr>
            <w:noProof/>
            <w:webHidden/>
          </w:rPr>
          <w:fldChar w:fldCharType="end"/>
        </w:r>
      </w:hyperlink>
    </w:p>
    <w:p w14:paraId="7631B256" w14:textId="0B947351" w:rsidR="003537BB" w:rsidRDefault="00731189">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Pr>
            <w:noProof/>
            <w:webHidden/>
          </w:rPr>
          <w:t>14</w:t>
        </w:r>
        <w:r w:rsidR="003537BB">
          <w:rPr>
            <w:noProof/>
            <w:webHidden/>
          </w:rPr>
          <w:fldChar w:fldCharType="end"/>
        </w:r>
      </w:hyperlink>
    </w:p>
    <w:p w14:paraId="6B939037" w14:textId="7E039A5B" w:rsidR="003537BB" w:rsidRDefault="00731189">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Pr>
            <w:noProof/>
            <w:webHidden/>
          </w:rPr>
          <w:t>15</w:t>
        </w:r>
        <w:r w:rsidR="003537BB">
          <w:rPr>
            <w:noProof/>
            <w:webHidden/>
          </w:rPr>
          <w:fldChar w:fldCharType="end"/>
        </w:r>
      </w:hyperlink>
    </w:p>
    <w:p w14:paraId="17107B4E" w14:textId="51DBD8EC" w:rsidR="003537BB" w:rsidRDefault="00731189">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Pr>
            <w:noProof/>
            <w:webHidden/>
          </w:rPr>
          <w:t>15</w:t>
        </w:r>
        <w:r w:rsidR="003537BB">
          <w:rPr>
            <w:noProof/>
            <w:webHidden/>
          </w:rPr>
          <w:fldChar w:fldCharType="end"/>
        </w:r>
      </w:hyperlink>
    </w:p>
    <w:p w14:paraId="6E571369" w14:textId="3A1322AC" w:rsidR="003537BB" w:rsidRDefault="00731189">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Pr>
            <w:noProof/>
            <w:webHidden/>
          </w:rPr>
          <w:t>16</w:t>
        </w:r>
        <w:r w:rsidR="003537BB">
          <w:rPr>
            <w:noProof/>
            <w:webHidden/>
          </w:rPr>
          <w:fldChar w:fldCharType="end"/>
        </w:r>
      </w:hyperlink>
    </w:p>
    <w:p w14:paraId="1D908634" w14:textId="59DD2F4F" w:rsidR="003537BB" w:rsidRDefault="00731189">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Pr>
            <w:noProof/>
            <w:webHidden/>
          </w:rPr>
          <w:t>17</w:t>
        </w:r>
        <w:r w:rsidR="003537BB">
          <w:rPr>
            <w:noProof/>
            <w:webHidden/>
          </w:rPr>
          <w:fldChar w:fldCharType="end"/>
        </w:r>
      </w:hyperlink>
    </w:p>
    <w:p w14:paraId="4C793176" w14:textId="7650EA84" w:rsidR="003537BB" w:rsidRDefault="00731189">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Pr>
            <w:noProof/>
            <w:webHidden/>
          </w:rPr>
          <w:t>18</w:t>
        </w:r>
        <w:r w:rsidR="003537BB">
          <w:rPr>
            <w:noProof/>
            <w:webHidden/>
          </w:rPr>
          <w:fldChar w:fldCharType="end"/>
        </w:r>
      </w:hyperlink>
    </w:p>
    <w:p w14:paraId="606B5B06" w14:textId="084FDE60" w:rsidR="003537BB" w:rsidRDefault="00731189">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Pr>
            <w:noProof/>
            <w:webHidden/>
          </w:rPr>
          <w:t>19</w:t>
        </w:r>
        <w:r w:rsidR="003537BB">
          <w:rPr>
            <w:noProof/>
            <w:webHidden/>
          </w:rPr>
          <w:fldChar w:fldCharType="end"/>
        </w:r>
      </w:hyperlink>
    </w:p>
    <w:p w14:paraId="118FE93F" w14:textId="03E62E53" w:rsidR="003537BB" w:rsidRDefault="00731189">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Pr>
            <w:noProof/>
            <w:webHidden/>
          </w:rPr>
          <w:t>20</w:t>
        </w:r>
        <w:r w:rsidR="003537BB">
          <w:rPr>
            <w:noProof/>
            <w:webHidden/>
          </w:rPr>
          <w:fldChar w:fldCharType="end"/>
        </w:r>
      </w:hyperlink>
    </w:p>
    <w:p w14:paraId="58F3D739" w14:textId="198FAC27" w:rsidR="003537BB" w:rsidRDefault="00731189">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Pr>
            <w:noProof/>
            <w:webHidden/>
          </w:rPr>
          <w:t>30</w:t>
        </w:r>
        <w:r w:rsidR="003537BB">
          <w:rPr>
            <w:noProof/>
            <w:webHidden/>
          </w:rPr>
          <w:fldChar w:fldCharType="end"/>
        </w:r>
      </w:hyperlink>
      <w:bookmarkStart w:id="2" w:name="_GoBack"/>
      <w:bookmarkEnd w:id="2"/>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650E1806"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001A060C">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2A686355"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0C5677">
        <w:rPr>
          <w:b w:val="0"/>
          <w:u w:val="none"/>
        </w:rPr>
        <w:t xml:space="preserve">within </w:t>
      </w:r>
      <w:r w:rsidR="000C5677" w:rsidRPr="000C5677">
        <w:rPr>
          <w:b w:val="0"/>
          <w:u w:val="none"/>
        </w:rPr>
        <w:t>2</w:t>
      </w:r>
      <w:r w:rsidRPr="000C5677">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488C5FA0" w14:textId="23B0CE55"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001A060C">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FE2404D"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w:t>
      </w:r>
      <w:r w:rsidRPr="000C5677">
        <w:rPr>
          <w:rFonts w:cs="Arial"/>
          <w:b w:val="0"/>
          <w:u w:val="none"/>
        </w:rPr>
        <w:t xml:space="preserve">of up to </w:t>
      </w:r>
      <w:r w:rsidR="000C5677" w:rsidRPr="000C5677">
        <w:rPr>
          <w:rFonts w:cs="Arial"/>
          <w:b w:val="0"/>
          <w:u w:val="none"/>
        </w:rPr>
        <w:t>3</w:t>
      </w:r>
      <w:r w:rsidRPr="000C5677">
        <w:rPr>
          <w:rFonts w:cs="Arial"/>
          <w:b w:val="0"/>
          <w:u w:val="none"/>
        </w:rPr>
        <w:t xml:space="preserve"> months by giving not less than 10 Working Days’ notice in writing to the Supplier prior to the</w:t>
      </w:r>
      <w:r w:rsidRPr="006E4A65">
        <w:rPr>
          <w:rFonts w:cs="Arial"/>
          <w:b w:val="0"/>
          <w:u w:val="none"/>
        </w:rPr>
        <w:t xml:space="preserv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843A00F"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001A060C">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1A060C">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6B11D4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001A060C">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lastRenderedPageBreak/>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3629796F"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001A060C">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3D61949C"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001A060C">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46EDCCFD"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001A060C">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8"/>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11A98665"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001A060C" w:rsidRPr="001A060C">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not respond directly to a Request for Information unless authorised in writing to </w:t>
      </w:r>
      <w:r w:rsidRPr="006E4A65">
        <w:rPr>
          <w:rFonts w:cs="Arial"/>
          <w:sz w:val="22"/>
          <w:szCs w:val="22"/>
        </w:rPr>
        <w:lastRenderedPageBreak/>
        <w:t>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t>Protection of Personal Data and Security of Data</w:t>
      </w:r>
      <w:bookmarkEnd w:id="43"/>
      <w:bookmarkEnd w:id="44"/>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5"/>
      <w:bookmarkEnd w:id="46"/>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63E54F7C"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001A060C">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001A060C">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21A2EB90"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001A060C">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001A060C">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559C320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001A060C">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1A060C">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63FEFB1A"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001A060C">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1B63777F"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001A060C">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001A060C">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001A060C">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001A060C">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001A060C">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B80DC5"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001A060C" w:rsidRPr="001A060C">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5C0BAD9B"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001A060C">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2AAC9D7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w:t>
      </w:r>
      <w:r w:rsidRPr="006E4A65">
        <w:rPr>
          <w:rFonts w:cs="Arial"/>
          <w:b w:val="0"/>
          <w:u w:val="none"/>
        </w:rPr>
        <w:lastRenderedPageBreak/>
        <w:t xml:space="preserve">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001A060C">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001A060C">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001A060C">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001A060C">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001A060C">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001A060C">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001A060C">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001A060C">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001A060C">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001A060C">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001A060C">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001A060C">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001A060C">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001A060C">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001A060C">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1A060C">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1A060C">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001A060C">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21A368DB"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001A060C" w:rsidRPr="001A060C">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B55F2C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001A060C">
        <w:rPr>
          <w:rFonts w:cs="Arial"/>
          <w:b w:val="0"/>
          <w:u w:val="none"/>
        </w:rPr>
        <w:t>18.1</w:t>
      </w:r>
      <w:r w:rsidRPr="006E4A65">
        <w:rPr>
          <w:rFonts w:cs="Arial"/>
          <w:b w:val="0"/>
          <w:u w:val="none"/>
        </w:rPr>
        <w:fldChar w:fldCharType="end"/>
      </w:r>
      <w:r w:rsidRPr="006E4A65">
        <w:rPr>
          <w:rFonts w:cs="Arial"/>
          <w:b w:val="0"/>
          <w:u w:val="none"/>
        </w:rPr>
        <w:t xml:space="preserve"> or commits fraud </w:t>
      </w:r>
      <w:r w:rsidRPr="006E4A65">
        <w:rPr>
          <w:rFonts w:cs="Arial"/>
          <w:b w:val="0"/>
          <w:u w:val="none"/>
        </w:rPr>
        <w:lastRenderedPageBreak/>
        <w:t>in relation to the Agreement or any other contract with the Crown (including the Customer) the Customer may:</w:t>
      </w:r>
      <w:bookmarkEnd w:id="74"/>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11205C4B"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001A060C">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w:t>
      </w:r>
      <w:r w:rsidRPr="006E4A65">
        <w:rPr>
          <w:rFonts w:cs="Arial"/>
          <w:b w:val="0"/>
          <w:u w:val="none"/>
        </w:rPr>
        <w:lastRenderedPageBreak/>
        <w:t xml:space="preserve">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1993149D" w14:textId="0066C05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001A060C" w:rsidRPr="001A060C">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3D9D5949"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001A060C" w:rsidRPr="001A060C">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001A060C" w:rsidRPr="001A060C">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001A060C" w:rsidRPr="001A060C">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07AFED0D" w14:textId="52DDFF02" w:rsidR="00A649DF" w:rsidRPr="00913679" w:rsidRDefault="000C5677" w:rsidP="000C5677">
      <w:pPr>
        <w:jc w:val="center"/>
        <w:rPr>
          <w:rFonts w:eastAsia="Times New Roman" w:cs="Arial"/>
          <w:b/>
          <w:szCs w:val="22"/>
          <w:lang w:eastAsia="en-US"/>
        </w:rPr>
      </w:pPr>
      <w:r>
        <w:rPr>
          <w:rFonts w:cs="Arial"/>
          <w:b/>
          <w:szCs w:val="22"/>
        </w:rPr>
        <w:t>To be provided at Contract Award</w:t>
      </w:r>
      <w:r w:rsidR="00A649DF"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lastRenderedPageBreak/>
        <w:t>ANNEX 3 – STATEMENT OF REQUIREMENT</w:t>
      </w:r>
      <w:bookmarkEnd w:id="109"/>
      <w:r w:rsidR="00E33C8F">
        <w:rPr>
          <w:rFonts w:eastAsia="Times New Roman"/>
          <w:b/>
          <w:szCs w:val="22"/>
          <w:lang w:eastAsia="en-US"/>
        </w:rPr>
        <w:t>S</w:t>
      </w:r>
    </w:p>
    <w:p w14:paraId="7FE12DAB" w14:textId="0D1A4A26" w:rsidR="00A649DF" w:rsidRDefault="000C5677" w:rsidP="000C5677">
      <w:pPr>
        <w:jc w:val="center"/>
        <w:rPr>
          <w:rFonts w:eastAsia="Times New Roman" w:cs="Arial"/>
          <w:b/>
          <w:szCs w:val="22"/>
          <w:lang w:eastAsia="en-US"/>
        </w:rPr>
      </w:pPr>
      <w:r>
        <w:rPr>
          <w:rFonts w:cs="Arial"/>
          <w:b/>
          <w:szCs w:val="22"/>
        </w:rPr>
        <w:t xml:space="preserve">To be provided at Contract Award </w:t>
      </w:r>
      <w:r w:rsidR="00A649DF">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3901D31C" w14:textId="19B096A8" w:rsidR="00174DC0" w:rsidRDefault="000C5677" w:rsidP="000C5677">
      <w:pPr>
        <w:jc w:val="center"/>
        <w:rPr>
          <w:rFonts w:eastAsia="Times New Roman"/>
          <w:b/>
          <w:szCs w:val="22"/>
          <w:lang w:eastAsia="en-US"/>
        </w:rPr>
      </w:pPr>
      <w:bookmarkStart w:id="111" w:name="_Toc437243999"/>
      <w:r>
        <w:rPr>
          <w:rFonts w:cs="Arial"/>
          <w:b/>
          <w:szCs w:val="22"/>
        </w:rPr>
        <w:t>To be provided at Contract Award</w:t>
      </w:r>
      <w:r>
        <w:rPr>
          <w:rFonts w:eastAsia="Times New Roman"/>
          <w:b/>
          <w:szCs w:val="22"/>
          <w:lang w:eastAsia="en-US"/>
        </w:rPr>
        <w:t xml:space="preserve"> </w:t>
      </w:r>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519D1D55" w14:textId="2A406674" w:rsidR="004B1AF8" w:rsidRDefault="000C5677" w:rsidP="000C5677">
      <w:pPr>
        <w:jc w:val="center"/>
        <w:rPr>
          <w:rFonts w:eastAsia="Times New Roman" w:cs="Arial"/>
          <w:szCs w:val="22"/>
          <w:highlight w:val="yellow"/>
          <w:lang w:eastAsia="en-US"/>
        </w:rPr>
      </w:pPr>
      <w:r>
        <w:rPr>
          <w:rFonts w:cs="Arial"/>
          <w:b/>
          <w:szCs w:val="22"/>
        </w:rPr>
        <w:t>To be provided at Contract Award</w:t>
      </w:r>
      <w:r w:rsidRPr="000049C2">
        <w:rPr>
          <w:rFonts w:cs="Arial"/>
          <w:szCs w:val="22"/>
        </w:rPr>
        <w:t xml:space="preserve"> </w:t>
      </w:r>
      <w:r w:rsidR="004B1AF8" w:rsidRPr="000049C2">
        <w:rPr>
          <w:rFonts w:cs="Arial"/>
          <w:szCs w:val="22"/>
        </w:rPr>
        <w:br w:type="page"/>
      </w:r>
    </w:p>
    <w:p w14:paraId="69AAD0A4" w14:textId="53387DD1" w:rsidR="00865B8F" w:rsidRPr="000C5677" w:rsidRDefault="004B1AF8" w:rsidP="000C5677">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240C77D1" w14:textId="09611C06" w:rsidR="00865B8F" w:rsidRDefault="001A060C" w:rsidP="000C5677">
      <w:pPr>
        <w:jc w:val="center"/>
        <w:rPr>
          <w:rFonts w:cs="Arial"/>
        </w:rPr>
      </w:pPr>
      <w:r>
        <w:rPr>
          <w:rFonts w:cs="Arial"/>
          <w:b/>
          <w:szCs w:val="22"/>
        </w:rPr>
        <w:t>Details t</w:t>
      </w:r>
      <w:r w:rsidR="000C5677">
        <w:rPr>
          <w:rFonts w:cs="Arial"/>
          <w:b/>
          <w:szCs w:val="22"/>
        </w:rPr>
        <w:t>o be provided at Contract Award</w:t>
      </w: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tyjcwt" w:colFirst="0" w:colLast="0"/>
      <w:bookmarkEnd w:id="116"/>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8" w:name="1t3h5sf" w:colFirst="0" w:colLast="0"/>
      <w:bookmarkEnd w:id="118"/>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5" w:name="35nkun2" w:colFirst="0" w:colLast="0"/>
      <w:bookmarkEnd w:id="125"/>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1F50C603" w:rsidR="00865B8F" w:rsidRPr="00D25599" w:rsidRDefault="00865B8F" w:rsidP="00865B8F">
      <w:pPr>
        <w:keepNext/>
        <w:spacing w:before="240" w:after="240"/>
        <w:ind w:left="360" w:firstLine="360"/>
        <w:rPr>
          <w:rFonts w:ascii="Calibri" w:eastAsia="Calibri" w:hAnsi="Calibri"/>
          <w:b/>
          <w:lang w:eastAsia="en-US"/>
        </w:rPr>
      </w:pPr>
      <w:r w:rsidRPr="00D25599">
        <w:rPr>
          <w:rFonts w:ascii="Calibri" w:eastAsia="Calibri" w:hAnsi="Calibri"/>
          <w:b/>
          <w:highlight w:val="yellow"/>
          <w:lang w:eastAsia="en-US"/>
        </w:rPr>
        <w:t>Insert</w:t>
      </w:r>
      <w:r w:rsidR="00336839">
        <w:rPr>
          <w:rFonts w:ascii="Calibri" w:eastAsia="Calibri" w:hAnsi="Calibri"/>
          <w:b/>
          <w:highlight w:val="yellow"/>
          <w:lang w:eastAsia="en-US"/>
        </w:rPr>
        <w:t xml:space="preserve"> c</w:t>
      </w:r>
      <w:r w:rsidR="00C86C03" w:rsidRPr="00D25599">
        <w:rPr>
          <w:rFonts w:ascii="Calibri" w:eastAsia="Calibri" w:hAnsi="Calibri"/>
          <w:b/>
          <w:highlight w:val="yellow"/>
          <w:lang w:eastAsia="en-US"/>
        </w:rPr>
        <w:t>ontact details</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040E70DA" w:rsidR="00865B8F" w:rsidRPr="00D25599" w:rsidRDefault="00865B8F" w:rsidP="00865B8F">
      <w:pPr>
        <w:keepNext/>
        <w:spacing w:before="240" w:after="240" w:line="240" w:lineRule="exact"/>
        <w:ind w:left="1440" w:hanging="731"/>
        <w:rPr>
          <w:rFonts w:eastAsia="Calibri"/>
          <w:b/>
          <w:lang w:val="en-US" w:eastAsia="en-US"/>
        </w:rPr>
      </w:pPr>
      <w:r w:rsidRPr="00D25599">
        <w:rPr>
          <w:rFonts w:eastAsia="Calibri"/>
          <w:b/>
          <w:highlight w:val="yellow"/>
          <w:lang w:val="en-US" w:eastAsia="en-US"/>
        </w:rPr>
        <w:t>Insert</w:t>
      </w:r>
      <w:r w:rsidR="00336839">
        <w:rPr>
          <w:rFonts w:eastAsia="Calibri"/>
          <w:b/>
          <w:highlight w:val="yellow"/>
          <w:lang w:val="en-US" w:eastAsia="en-US"/>
        </w:rPr>
        <w:t xml:space="preserve"> c</w:t>
      </w:r>
      <w:r w:rsidR="00C86C03" w:rsidRPr="00D25599">
        <w:rPr>
          <w:rFonts w:eastAsia="Calibri"/>
          <w:b/>
          <w:highlight w:val="yellow"/>
          <w:lang w:val="en-US" w:eastAsia="en-US"/>
        </w:rPr>
        <w:t>ontact details</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7A4E3914" w:rsidR="00865B8F" w:rsidRPr="007A4AB1" w:rsidRDefault="001A060C" w:rsidP="001A060C">
            <w:pPr>
              <w:spacing w:line="240" w:lineRule="exact"/>
              <w:rPr>
                <w:rFonts w:eastAsia="Calibri" w:cs="Arial"/>
                <w:lang w:val="en-US" w:eastAsia="en-US"/>
              </w:rPr>
            </w:pPr>
            <w:r w:rsidRPr="001A060C">
              <w:rPr>
                <w:rFonts w:eastAsia="Calibri" w:cs="Arial"/>
                <w:lang w:eastAsia="en-US"/>
              </w:rPr>
              <w:t>CCZP19A07</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7777777" w:rsidR="00865B8F" w:rsidRPr="007A4AB1" w:rsidRDefault="00865B8F" w:rsidP="00865B8F">
            <w:pPr>
              <w:spacing w:line="240" w:lineRule="exact"/>
              <w:jc w:val="center"/>
              <w:rPr>
                <w:rFonts w:eastAsia="Calibri" w:cs="Arial"/>
                <w:b/>
                <w:highlight w:val="yellow"/>
                <w:lang w:val="en-US" w:eastAsia="en-US"/>
              </w:rPr>
            </w:pP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C67BDC9" w14:textId="69B368BB" w:rsidR="00865B8F" w:rsidRPr="007A4AB1" w:rsidRDefault="00865B8F" w:rsidP="00865B8F">
            <w:pPr>
              <w:spacing w:line="240" w:lineRule="exact"/>
              <w:rPr>
                <w:rFonts w:eastAsia="Calibri" w:cs="Arial"/>
                <w:lang w:val="en-US" w:eastAsia="en-US"/>
              </w:rPr>
            </w:pPr>
            <w:r w:rsidRPr="00C86C03">
              <w:rPr>
                <w:rFonts w:eastAsia="Calibri" w:cs="Arial"/>
                <w:b/>
                <w:highlight w:val="yellow"/>
                <w:lang w:val="en-US" w:eastAsia="en-US"/>
              </w:rPr>
              <w:t>Guidance:</w:t>
            </w:r>
            <w:r w:rsidRPr="00C86C03">
              <w:rPr>
                <w:rFonts w:eastAsia="Calibri" w:cs="Arial"/>
                <w:highlight w:val="yellow"/>
                <w:lang w:val="en-US" w:eastAsia="en-US"/>
              </w:rPr>
              <w:t xml:space="preserve"> You will need to select whether to make use of Option A or Option B or Option C and/or Option D depending on which of the Parties are the data controller f</w:t>
            </w:r>
            <w:r w:rsidR="00C86C03" w:rsidRPr="00C86C03">
              <w:rPr>
                <w:rFonts w:eastAsia="Calibri" w:cs="Arial"/>
                <w:highlight w:val="yellow"/>
                <w:lang w:val="en-US" w:eastAsia="en-US"/>
              </w:rPr>
              <w:t>or the purposes of the Contract</w:t>
            </w:r>
          </w:p>
          <w:p w14:paraId="22E881CB" w14:textId="776107CB" w:rsidR="00865B8F" w:rsidRPr="007A4AB1" w:rsidRDefault="00865B8F"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7A4AB1">
              <w:rPr>
                <w:rFonts w:eastAsia="Calibri" w:cs="Arial"/>
                <w:b/>
                <w:highlight w:val="yellow"/>
                <w:lang w:val="en-US" w:eastAsia="en-US"/>
              </w:rPr>
              <w:t>OPTION A:</w:t>
            </w:r>
            <w:r w:rsidRPr="007A4AB1">
              <w:rPr>
                <w:rFonts w:eastAsia="Calibri" w:cs="Arial"/>
                <w:lang w:val="en-US" w:eastAsia="en-US"/>
              </w:rPr>
              <w:t xml:space="preserve"> </w:t>
            </w:r>
            <w:r w:rsidR="00031F13">
              <w:rPr>
                <w:rFonts w:eastAsia="Calibri" w:cs="Arial"/>
                <w:lang w:val="en-US" w:eastAsia="en-US"/>
              </w:rPr>
              <w:t xml:space="preserve"> </w:t>
            </w:r>
            <w:r w:rsidR="00031F13" w:rsidRPr="00031F13">
              <w:rPr>
                <w:rFonts w:eastAsia="Calibri" w:cs="Arial"/>
                <w:i/>
                <w:lang w:val="en-US" w:eastAsia="en-US"/>
              </w:rPr>
              <w:t xml:space="preserve">Customer </w:t>
            </w:r>
            <w:r w:rsidRPr="00031F13">
              <w:rPr>
                <w:rFonts w:eastAsia="Calibri" w:cs="Arial"/>
                <w:i/>
                <w:lang w:val="en-US" w:eastAsia="en-US"/>
              </w:rPr>
              <w:t>as Controller</w:t>
            </w:r>
            <w:r w:rsidRPr="007A4AB1">
              <w:rPr>
                <w:rFonts w:eastAsia="Calibri" w:cs="Arial"/>
                <w:i/>
                <w:lang w:val="en-US" w:eastAsia="en-US"/>
              </w:rPr>
              <w:t xml:space="preserve"> </w:t>
            </w:r>
            <w:r w:rsidRPr="007A4AB1">
              <w:rPr>
                <w:rFonts w:eastAsia="Calibri" w:cs="Arial"/>
                <w:lang w:val="en-US" w:eastAsia="en-US"/>
              </w:rPr>
              <w:t xml:space="preserve"> </w:t>
            </w:r>
          </w:p>
          <w:p w14:paraId="4CC7FDF2" w14:textId="4EFACEEA"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in accordance with Clause 1.1.]</w:t>
            </w:r>
          </w:p>
          <w:p w14:paraId="2F660568" w14:textId="6F464F67"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b/>
                <w:highlight w:val="yellow"/>
                <w:lang w:val="en-US" w:eastAsia="en-US"/>
              </w:rPr>
              <w:t>OPTION B:</w:t>
            </w:r>
            <w:r w:rsidRPr="007A4AB1">
              <w:rPr>
                <w:rFonts w:eastAsia="Calibri" w:cs="Arial"/>
                <w:lang w:val="en-US" w:eastAsia="en-US"/>
              </w:rPr>
              <w:t xml:space="preserve"> </w:t>
            </w:r>
            <w:r w:rsidRPr="007A4AB1">
              <w:rPr>
                <w:rFonts w:eastAsia="Calibri" w:cs="Arial"/>
                <w:i/>
                <w:lang w:val="en-US" w:eastAsia="en-US"/>
              </w:rPr>
              <w:t>Supplier as Controller</w:t>
            </w:r>
          </w:p>
          <w:p w14:paraId="77EA2E1C" w14:textId="00D3E9CE"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sidR="00031F13">
              <w:rPr>
                <w:rFonts w:eastAsia="Calibri" w:cs="Arial"/>
                <w:lang w:val="en-US" w:eastAsia="en-US"/>
              </w:rPr>
              <w:t xml:space="preserve">Supplier </w:t>
            </w:r>
            <w:r w:rsidRPr="007A4AB1">
              <w:rPr>
                <w:rFonts w:eastAsia="Calibri" w:cs="Arial"/>
                <w:lang w:val="en-US" w:eastAsia="en-US"/>
              </w:rPr>
              <w:t xml:space="preserve">is the Controller and </w:t>
            </w:r>
            <w:r w:rsidR="00C86C03">
              <w:rPr>
                <w:rFonts w:eastAsia="Calibri" w:cs="Arial"/>
                <w:lang w:val="en-US" w:eastAsia="en-US"/>
              </w:rPr>
              <w:t>the Customer is the Processor.</w:t>
            </w:r>
          </w:p>
          <w:p w14:paraId="6DF7E560" w14:textId="59215853" w:rsidR="00865B8F" w:rsidRPr="007A4AB1" w:rsidRDefault="00865B8F" w:rsidP="00865B8F">
            <w:pPr>
              <w:spacing w:before="280" w:after="120"/>
              <w:ind w:left="720"/>
              <w:rPr>
                <w:rFonts w:eastAsia="Calibri" w:cs="Arial"/>
                <w:lang w:eastAsia="en-US"/>
              </w:rPr>
            </w:pPr>
            <w:r w:rsidRPr="007A4AB1">
              <w:rPr>
                <w:rFonts w:eastAsia="Calibri" w:cs="Arial"/>
                <w:b/>
                <w:highlight w:val="yellow"/>
                <w:lang w:eastAsia="en-US"/>
              </w:rPr>
              <w:t>OPTION C</w:t>
            </w:r>
            <w:r w:rsidRPr="007A4AB1">
              <w:rPr>
                <w:rFonts w:eastAsia="Calibri" w:cs="Arial"/>
                <w:i/>
                <w:lang w:eastAsia="en-US"/>
              </w:rPr>
              <w:t>: Both Parties are Controller of separate data</w:t>
            </w:r>
          </w:p>
          <w:p w14:paraId="5A2781CB" w14:textId="77777777" w:rsidR="00865B8F" w:rsidRPr="007A4AB1" w:rsidRDefault="00865B8F" w:rsidP="00865B8F">
            <w:pPr>
              <w:spacing w:before="280" w:after="120"/>
              <w:ind w:left="720"/>
              <w:rPr>
                <w:rFonts w:eastAsia="Calibri" w:cs="Arial"/>
                <w:lang w:eastAsia="en-US"/>
              </w:rPr>
            </w:pPr>
            <w:r w:rsidRPr="007A4AB1">
              <w:rPr>
                <w:rFonts w:eastAsia="Calibri" w:cs="Arial"/>
                <w:lang w:eastAsia="en-US"/>
              </w:rPr>
              <w:lastRenderedPageBreak/>
              <w:t>Notwithstanding Clause 1.1 the Parties acknowledge that for the purposes of the Data Protection Legislation:</w:t>
            </w:r>
          </w:p>
          <w:p w14:paraId="38AB3492" w14:textId="40522281"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for the following Personal Data under this Contract:</w:t>
            </w:r>
          </w:p>
          <w:p w14:paraId="1B0C8721" w14:textId="620BADC9" w:rsidR="00865B8F" w:rsidRPr="0033683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336839">
              <w:rPr>
                <w:rFonts w:eastAsia="Calibri" w:cs="Arial"/>
                <w:b/>
                <w:highlight w:val="yellow"/>
                <w:lang w:val="en-US" w:eastAsia="en-US"/>
              </w:rPr>
              <w:t>Insert</w:t>
            </w:r>
            <w:r w:rsidRPr="00336839">
              <w:rPr>
                <w:rFonts w:eastAsia="Calibri" w:cs="Arial"/>
                <w:b/>
                <w:lang w:val="en-US" w:eastAsia="en-US"/>
              </w:rPr>
              <w:t xml:space="preserve"> scope of Personal Data which </w:t>
            </w:r>
            <w:r w:rsidRPr="00336839">
              <w:rPr>
                <w:rFonts w:eastAsia="Calibri" w:cs="Arial"/>
                <w:b/>
                <w:highlight w:val="yellow"/>
                <w:lang w:val="en-US" w:eastAsia="en-US"/>
              </w:rPr>
              <w:t xml:space="preserve">where the purposes and means of the processing </w:t>
            </w:r>
            <w:r w:rsidR="00C86C03" w:rsidRPr="00336839">
              <w:rPr>
                <w:rFonts w:eastAsia="Calibri" w:cs="Arial"/>
                <w:b/>
                <w:highlight w:val="yellow"/>
                <w:lang w:val="en-US" w:eastAsia="en-US"/>
              </w:rPr>
              <w:t>is determined by the Customer</w:t>
            </w:r>
            <w:r w:rsidR="00C86C03" w:rsidRPr="00336839">
              <w:rPr>
                <w:rFonts w:eastAsia="Calibri" w:cs="Arial"/>
                <w:b/>
                <w:lang w:val="en-US" w:eastAsia="en-US"/>
              </w:rPr>
              <w:t xml:space="preserve">  </w:t>
            </w:r>
          </w:p>
          <w:p w14:paraId="4AA8B868" w14:textId="16BD29CF"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Supplier is the Controller and the </w:t>
            </w:r>
            <w:r w:rsidR="000C212E">
              <w:rPr>
                <w:rFonts w:eastAsia="Calibri" w:cs="Arial"/>
                <w:lang w:val="en-US" w:eastAsia="en-US"/>
              </w:rPr>
              <w:t>Customer</w:t>
            </w:r>
            <w:r w:rsidRPr="007A4AB1">
              <w:rPr>
                <w:rFonts w:eastAsia="Calibri" w:cs="Arial"/>
                <w:lang w:val="en-US" w:eastAsia="en-US"/>
              </w:rPr>
              <w:t xml:space="preserve"> is the Processor for the following Personal Data under this Contract:</w:t>
            </w:r>
          </w:p>
          <w:p w14:paraId="45B74932" w14:textId="55850D3D" w:rsidR="00865B8F" w:rsidRPr="00D2559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D25599">
              <w:rPr>
                <w:rFonts w:eastAsia="Calibri" w:cs="Arial"/>
                <w:b/>
                <w:highlight w:val="yellow"/>
                <w:lang w:val="en-US" w:eastAsia="en-US"/>
              </w:rPr>
              <w:t>Insert scope of Personal Data which where the purposes and means of the processing is determined by the</w:t>
            </w:r>
            <w:r w:rsidR="00D25599">
              <w:rPr>
                <w:rFonts w:eastAsia="Calibri" w:cs="Arial"/>
                <w:b/>
                <w:highlight w:val="yellow"/>
                <w:lang w:val="en-US" w:eastAsia="en-US"/>
              </w:rPr>
              <w:t xml:space="preserve"> </w:t>
            </w:r>
            <w:r w:rsidR="00031F13" w:rsidRPr="00D25599">
              <w:rPr>
                <w:rFonts w:eastAsia="Calibri" w:cs="Arial"/>
                <w:b/>
                <w:highlight w:val="yellow"/>
                <w:lang w:val="en-US" w:eastAsia="en-US"/>
              </w:rPr>
              <w:t>Supplier</w:t>
            </w:r>
          </w:p>
          <w:p w14:paraId="237FCDB8" w14:textId="78FB95B3" w:rsidR="00865B8F" w:rsidRPr="007A4AB1" w:rsidRDefault="00865B8F" w:rsidP="00865B8F">
            <w:pPr>
              <w:spacing w:before="280"/>
              <w:ind w:left="720"/>
              <w:rPr>
                <w:rFonts w:eastAsia="Calibri" w:cs="Arial"/>
                <w:i/>
                <w:lang w:eastAsia="en-US"/>
              </w:rPr>
            </w:pPr>
            <w:r w:rsidRPr="007A4AB1">
              <w:rPr>
                <w:rFonts w:eastAsia="Calibri" w:cs="Arial"/>
                <w:b/>
                <w:lang w:eastAsia="en-US"/>
              </w:rPr>
              <w:t xml:space="preserve"> </w:t>
            </w:r>
            <w:r w:rsidRPr="007A4AB1">
              <w:rPr>
                <w:rFonts w:eastAsia="Calibri" w:cs="Arial"/>
                <w:b/>
                <w:highlight w:val="yellow"/>
                <w:lang w:eastAsia="en-US"/>
              </w:rPr>
              <w:t>OPTION D</w:t>
            </w:r>
            <w:r w:rsidRPr="007A4AB1">
              <w:rPr>
                <w:rFonts w:eastAsia="Calibri" w:cs="Arial"/>
                <w:i/>
                <w:highlight w:val="yellow"/>
                <w:lang w:eastAsia="en-US"/>
              </w:rPr>
              <w:t>:</w:t>
            </w:r>
            <w:r w:rsidRPr="007A4AB1">
              <w:rPr>
                <w:rFonts w:eastAsia="Calibri" w:cs="Arial"/>
                <w:i/>
                <w:lang w:eastAsia="en-US"/>
              </w:rPr>
              <w:t>Joint Controllers]</w:t>
            </w:r>
          </w:p>
          <w:p w14:paraId="7903DB6A" w14:textId="13122CBB" w:rsidR="00865B8F" w:rsidRPr="007A4AB1" w:rsidRDefault="00865B8F" w:rsidP="00865B8F">
            <w:pPr>
              <w:spacing w:before="280"/>
              <w:ind w:left="720"/>
              <w:rPr>
                <w:rFonts w:eastAsia="Calibri" w:cs="Arial"/>
                <w:lang w:eastAsia="en-US"/>
              </w:rPr>
            </w:pPr>
            <w:r w:rsidRPr="007A4AB1">
              <w:rPr>
                <w:rFonts w:eastAsia="Calibri" w:cs="Arial"/>
                <w:lang w:eastAsia="en-US"/>
              </w:rPr>
              <w:t xml:space="preserve">Notwithstanding Clause </w:t>
            </w:r>
            <w:r w:rsidRPr="007A4AB1">
              <w:rPr>
                <w:rFonts w:eastAsia="Calibri" w:cs="Arial"/>
                <w:highlight w:val="yellow"/>
                <w:lang w:eastAsia="en-US"/>
              </w:rPr>
              <w:t>[Z/X]</w:t>
            </w:r>
            <w:r w:rsidRPr="007A4AB1">
              <w:rPr>
                <w:rFonts w:eastAsia="Calibri" w:cs="Arial"/>
                <w:lang w:eastAsia="en-US"/>
              </w:rPr>
              <w:t xml:space="preserve"> the Parties acknowledge that they are joint Controllers for the purposes of the Data Protection Legislation in respect of </w:t>
            </w:r>
            <w:r w:rsidRPr="00D25599">
              <w:rPr>
                <w:rFonts w:eastAsia="Calibri" w:cs="Arial"/>
                <w:b/>
                <w:highlight w:val="yellow"/>
                <w:lang w:eastAsia="en-US"/>
              </w:rPr>
              <w:t>Insert scope of Personal Data</w:t>
            </w:r>
            <w:r w:rsidR="00D25599">
              <w:rPr>
                <w:rFonts w:eastAsia="Calibri" w:cs="Arial"/>
                <w:b/>
                <w:highlight w:val="yellow"/>
                <w:lang w:eastAsia="en-US"/>
              </w:rPr>
              <w:t xml:space="preserve"> for</w:t>
            </w:r>
            <w:r w:rsidRPr="00D25599">
              <w:rPr>
                <w:rFonts w:eastAsia="Calibri" w:cs="Arial"/>
                <w:b/>
                <w:highlight w:val="yellow"/>
                <w:lang w:eastAsia="en-US"/>
              </w:rPr>
              <w:t xml:space="preserve"> which the purposes and means of the processing is determined by the both Parties</w:t>
            </w:r>
            <w:r w:rsidR="00D25599">
              <w:rPr>
                <w:rFonts w:eastAsia="Calibri" w:cs="Arial"/>
                <w:b/>
                <w:highlight w:val="yellow"/>
                <w:lang w:eastAsia="en-US"/>
              </w:rPr>
              <w:t xml:space="preserve"> </w:t>
            </w:r>
            <w:r w:rsidRPr="00D25599">
              <w:rPr>
                <w:rFonts w:eastAsia="Calibri" w:cs="Arial"/>
                <w:b/>
                <w:highlight w:val="yellow"/>
                <w:lang w:eastAsia="en-US"/>
              </w:rPr>
              <w:t>and Annex A to this Schedule shall apply.</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Subject matter of the processing</w:t>
            </w:r>
          </w:p>
        </w:tc>
        <w:tc>
          <w:tcPr>
            <w:tcW w:w="6099" w:type="dxa"/>
            <w:shd w:val="clear" w:color="auto" w:fill="auto"/>
          </w:tcPr>
          <w:p w14:paraId="13289E1D" w14:textId="18BB8F5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This should be a high level, short description of what the processing is about i.e. its subject matter</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345CFC4B"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Clearly set out the duration of the processing including dates</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62C7DACE" w14:textId="6E47A1E2"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 xml:space="preserve">Please be as specific as possible, but make sure that you cover all intended purposes. </w:t>
            </w:r>
          </w:p>
          <w:p w14:paraId="282208B9" w14:textId="77777777"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r w:rsidRPr="00C86C03">
              <w:rPr>
                <w:rFonts w:eastAsia="Calibri"/>
                <w:highlight w:val="yellow"/>
                <w:lang w:val="en-US" w:eastAsia="en-US"/>
              </w:rPr>
              <w:lastRenderedPageBreak/>
              <w:t>erasure or destruction of data (whether or not by automated means) etc.</w:t>
            </w:r>
          </w:p>
          <w:p w14:paraId="3CB56CA9" w14:textId="3B4ACAEA"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The purpose might include: employment processing,</w:t>
            </w:r>
            <w:r w:rsidRPr="007A4AB1">
              <w:rPr>
                <w:rFonts w:eastAsia="Calibri"/>
                <w:lang w:val="en-US" w:eastAsia="en-US"/>
              </w:rPr>
              <w:t xml:space="preserve"> </w:t>
            </w:r>
            <w:r w:rsidRPr="00C86C03">
              <w:rPr>
                <w:rFonts w:eastAsia="Calibri"/>
                <w:highlight w:val="yellow"/>
                <w:lang w:val="en-US" w:eastAsia="en-US"/>
              </w:rPr>
              <w:t>statutory obligation, recruitment assessment etc</w:t>
            </w:r>
            <w:r w:rsidR="00D25599">
              <w:rPr>
                <w:rFonts w:eastAsia="Calibri"/>
                <w:lang w:val="en-US" w:eastAsia="en-US"/>
              </w:rPr>
              <w:t>.</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Type of Personal Data</w:t>
            </w:r>
          </w:p>
        </w:tc>
        <w:tc>
          <w:tcPr>
            <w:tcW w:w="6099" w:type="dxa"/>
            <w:shd w:val="clear" w:color="auto" w:fill="auto"/>
          </w:tcPr>
          <w:p w14:paraId="4F81DBE7" w14:textId="73E38838"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here include: name, address, date of birth, NI number, telephone number, pay, images, biometric data etc</w:t>
            </w:r>
            <w:r w:rsidR="00C86C03">
              <w:rPr>
                <w:rFonts w:eastAsia="Calibri"/>
                <w:highlight w:val="yellow"/>
                <w:lang w:val="en-US" w:eastAsia="en-US"/>
              </w:rPr>
              <w:t>.</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7F6BBD3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include: Staff (including volunteers, agents, and temporary workers), customers/ clients, suppliers, patients, students / pupils, members of the public, users of a particular</w:t>
            </w:r>
            <w:r w:rsidRPr="00C86C03">
              <w:rPr>
                <w:rFonts w:eastAsia="Calibri"/>
                <w:highlight w:val="yellow"/>
                <w:lang w:val="en-US" w:eastAsia="en-US"/>
              </w:rPr>
              <w:br/>
              <w:t>website etc</w:t>
            </w:r>
            <w:r w:rsidR="00C86C03" w:rsidRPr="00C86C03">
              <w:rPr>
                <w:rFonts w:eastAsia="Calibri"/>
                <w:highlight w:val="yellow"/>
                <w:lang w:val="en-US" w:eastAsia="en-US"/>
              </w:rPr>
              <w:t>.</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2AA96362" w:rsidR="00865B8F" w:rsidRPr="007A4AB1" w:rsidRDefault="00865B8F" w:rsidP="00865B8F">
            <w:pPr>
              <w:spacing w:line="240" w:lineRule="exact"/>
              <w:rPr>
                <w:rFonts w:eastAsia="Calibri"/>
                <w:lang w:val="en-US" w:eastAsia="en-US"/>
              </w:rPr>
            </w:pPr>
            <w:r w:rsidRPr="00C86C03">
              <w:rPr>
                <w:rFonts w:eastAsia="Calibri"/>
                <w:highlight w:val="yellow"/>
                <w:lang w:val="en-US" w:eastAsia="en-US"/>
              </w:rPr>
              <w:t>Describe how long the data will be retained for, how it be returned or destroyed</w:t>
            </w:r>
            <w:r w:rsidR="00C86C03" w:rsidRPr="00C86C03">
              <w:rPr>
                <w:rFonts w:eastAsia="Calibri"/>
                <w:highlight w:val="yellow"/>
                <w:lang w:val="en-US" w:eastAsia="en-US"/>
              </w:rPr>
              <w: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lastRenderedPageBreak/>
        <w:t>ANNEX 7 – CHANGE CONTROL FORMS</w:t>
      </w:r>
      <w:bookmarkEnd w:id="129"/>
      <w:bookmarkEnd w:id="13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0C5677" w:rsidRDefault="000C567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0C5677" w:rsidRDefault="000C5677"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0C5677" w:rsidRDefault="000C567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0C5677" w:rsidRDefault="000C5677"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0C5677" w:rsidRDefault="000C567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0C5677" w:rsidRDefault="000C5677"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0C5677" w:rsidRDefault="000C567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0C5677" w:rsidRDefault="000C5677"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0C5677" w:rsidRDefault="000C567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0C5677" w:rsidRDefault="000C5677"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0C5677" w:rsidRDefault="000C567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0C5677" w:rsidRDefault="000C5677"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0C5677" w:rsidRDefault="000C567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0C5677" w:rsidRDefault="000C5677"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0C5677" w:rsidRDefault="000C567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0C5677" w:rsidRDefault="000C5677"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0C5677" w:rsidRDefault="000C567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0C5677" w:rsidRDefault="000C5677"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0C5677" w:rsidRDefault="000C5677">
      <w:pPr>
        <w:spacing w:line="20" w:lineRule="exact"/>
      </w:pPr>
    </w:p>
  </w:endnote>
  <w:endnote w:type="continuationSeparator" w:id="0">
    <w:p w14:paraId="0DA0E19E" w14:textId="77777777" w:rsidR="000C5677" w:rsidRDefault="000C5677">
      <w:pPr>
        <w:spacing w:line="20" w:lineRule="exact"/>
      </w:pPr>
      <w:r>
        <w:t xml:space="preserve"> </w:t>
      </w:r>
    </w:p>
  </w:endnote>
  <w:endnote w:type="continuationNotice" w:id="1">
    <w:p w14:paraId="397CC4BC" w14:textId="77777777" w:rsidR="000C5677" w:rsidRDefault="000C567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59FE8FCA" w:rsidR="000C5677" w:rsidRDefault="000C5677"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sidR="001A060C">
      <w:rPr>
        <w:rStyle w:val="PageNumber"/>
        <w:rFonts w:ascii="Calibri" w:hAnsi="Calibri"/>
        <w:color w:val="000000"/>
      </w:rPr>
      <w:t>NO SECURITY LABEL</w:t>
    </w:r>
    <w:r>
      <w:rPr>
        <w:rStyle w:val="PageNumber"/>
      </w:rPr>
      <w:fldChar w:fldCharType="end"/>
    </w:r>
  </w:p>
  <w:p w14:paraId="03826140" w14:textId="77777777" w:rsidR="000C5677" w:rsidRDefault="000C5677"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0C5677" w:rsidRDefault="000C5677"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0C5677" w:rsidRPr="00C34E12" w:rsidRDefault="000C5677"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0C5677" w:rsidRDefault="000C5677"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0C5677" w:rsidRPr="00A65391" w:rsidRDefault="000C5677"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0C5677" w:rsidRPr="00CE50FE" w:rsidRDefault="000C5677" w:rsidP="00F70073">
        <w:pPr>
          <w:pStyle w:val="Footer"/>
          <w:pBdr>
            <w:top w:val="single" w:sz="4" w:space="1" w:color="auto"/>
          </w:pBdr>
          <w:jc w:val="center"/>
          <w:rPr>
            <w:sz w:val="20"/>
            <w:szCs w:val="20"/>
          </w:rPr>
        </w:pPr>
        <w:r w:rsidRPr="00CE50FE">
          <w:rPr>
            <w:sz w:val="20"/>
            <w:szCs w:val="20"/>
          </w:rPr>
          <w:t>OFFICIAL</w:t>
        </w:r>
      </w:p>
      <w:p w14:paraId="6369C02F" w14:textId="77777777" w:rsidR="000C5677" w:rsidRPr="00CE50FE" w:rsidRDefault="000C5677"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0C5677" w:rsidRDefault="000C5677" w:rsidP="00F70073">
        <w:pPr>
          <w:pStyle w:val="Footer"/>
          <w:pBdr>
            <w:top w:val="single" w:sz="4" w:space="1" w:color="auto"/>
          </w:pBdr>
          <w:rPr>
            <w:sz w:val="20"/>
            <w:szCs w:val="20"/>
          </w:rPr>
        </w:pPr>
      </w:p>
      <w:p w14:paraId="59D982FD" w14:textId="66B56BBB" w:rsidR="000C5677" w:rsidRPr="00CE50FE" w:rsidRDefault="000C5677"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48F71DD8" w:rsidR="000C5677" w:rsidRPr="00CE50FE" w:rsidRDefault="00731189" w:rsidP="00F70073">
        <w:pPr>
          <w:pStyle w:val="Footer"/>
          <w:pBdr>
            <w:top w:val="single" w:sz="4" w:space="1" w:color="auto"/>
          </w:pBdr>
          <w:jc w:val="right"/>
          <w:rPr>
            <w:sz w:val="20"/>
            <w:szCs w:val="20"/>
          </w:rPr>
        </w:pPr>
        <w:r>
          <w:rPr>
            <w:sz w:val="20"/>
            <w:szCs w:val="20"/>
          </w:rPr>
          <w:t>V1.0 01</w:t>
        </w:r>
        <w:r w:rsidR="000C5677" w:rsidRPr="000C5677">
          <w:rPr>
            <w:sz w:val="20"/>
            <w:szCs w:val="20"/>
          </w:rPr>
          <w:t>/1</w:t>
        </w:r>
        <w:r>
          <w:rPr>
            <w:sz w:val="20"/>
            <w:szCs w:val="20"/>
          </w:rPr>
          <w:t>1</w:t>
        </w:r>
        <w:r w:rsidR="000C5677" w:rsidRPr="000C5677">
          <w:rPr>
            <w:sz w:val="20"/>
            <w:szCs w:val="20"/>
          </w:rPr>
          <w:t>/2019</w:t>
        </w:r>
      </w:p>
      <w:p w14:paraId="3085C604" w14:textId="6344EAE1" w:rsidR="000C5677" w:rsidRDefault="000C5677"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731189">
          <w:rPr>
            <w:noProof/>
            <w:sz w:val="20"/>
            <w:szCs w:val="20"/>
          </w:rPr>
          <w:t>4</w:t>
        </w:r>
        <w:r w:rsidRPr="00CE50FE">
          <w:rPr>
            <w:noProof/>
            <w:sz w:val="20"/>
            <w:szCs w:val="20"/>
          </w:rPr>
          <w:fldChar w:fldCharType="end"/>
        </w:r>
      </w:p>
    </w:sdtContent>
  </w:sdt>
  <w:p w14:paraId="170A480B" w14:textId="77777777" w:rsidR="000C5677" w:rsidRPr="00360755" w:rsidRDefault="000C5677"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0C5677" w:rsidRDefault="000C5677">
      <w:r>
        <w:separator/>
      </w:r>
    </w:p>
  </w:footnote>
  <w:footnote w:type="continuationSeparator" w:id="0">
    <w:p w14:paraId="29CDF82A" w14:textId="77777777" w:rsidR="000C5677" w:rsidRDefault="000C5677">
      <w:r>
        <w:continuationSeparator/>
      </w:r>
    </w:p>
  </w:footnote>
  <w:footnote w:type="continuationNotice" w:id="1">
    <w:p w14:paraId="3158D084" w14:textId="77777777" w:rsidR="000C5677" w:rsidRDefault="000C56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34879DDF" w:rsidR="000C5677" w:rsidRDefault="000C5677"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sidR="001A060C">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0C5677" w:rsidRDefault="000C5677" w:rsidP="00F3190B">
    <w:pPr>
      <w:pStyle w:val="Header"/>
      <w:jc w:val="center"/>
      <w:rPr>
        <w:b/>
      </w:rPr>
    </w:pPr>
  </w:p>
  <w:p w14:paraId="64559850" w14:textId="77777777" w:rsidR="000C5677" w:rsidRDefault="000C5677"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0C5677" w:rsidRDefault="000C5677"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0C5677" w:rsidRDefault="000C5677"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7CCF38A2" w:rsidR="000C5677" w:rsidRPr="000C5677" w:rsidRDefault="000C5677" w:rsidP="00F70073">
    <w:pPr>
      <w:pStyle w:val="Header"/>
      <w:pBdr>
        <w:bottom w:val="single" w:sz="4" w:space="1" w:color="auto"/>
      </w:pBdr>
      <w:jc w:val="center"/>
      <w:rPr>
        <w:rFonts w:cs="Arial"/>
        <w:sz w:val="20"/>
        <w:szCs w:val="20"/>
      </w:rPr>
    </w:pPr>
    <w:r w:rsidRPr="000C5677">
      <w:rPr>
        <w:rFonts w:cs="Arial"/>
        <w:sz w:val="20"/>
        <w:szCs w:val="20"/>
      </w:rPr>
      <w:t xml:space="preserve">CCZP19A07 The Provision of National Leadership Centre Programme – Module 3 </w:t>
    </w:r>
  </w:p>
  <w:p w14:paraId="7FECFEFB" w14:textId="63DBBE54" w:rsidR="000C5677" w:rsidRDefault="000C5677" w:rsidP="00F70073">
    <w:pPr>
      <w:pStyle w:val="Header"/>
      <w:pBdr>
        <w:bottom w:val="single" w:sz="4" w:space="1" w:color="auto"/>
      </w:pBdr>
      <w:jc w:val="center"/>
      <w:rPr>
        <w:rFonts w:cs="Arial"/>
        <w:sz w:val="20"/>
        <w:szCs w:val="20"/>
      </w:rPr>
    </w:pPr>
  </w:p>
  <w:p w14:paraId="41FED4DA" w14:textId="77777777" w:rsidR="000C5677" w:rsidRDefault="000C5677" w:rsidP="00F70073">
    <w:pPr>
      <w:pStyle w:val="Header"/>
      <w:pBdr>
        <w:bottom w:val="single" w:sz="4" w:space="1" w:color="auto"/>
      </w:pBdr>
      <w:jc w:val="center"/>
    </w:pPr>
  </w:p>
  <w:p w14:paraId="68388EBA" w14:textId="77777777" w:rsidR="000C5677" w:rsidRDefault="000C5677"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0D7B"/>
    <w:rsid w:val="000B1C66"/>
    <w:rsid w:val="000B29B2"/>
    <w:rsid w:val="000B47A6"/>
    <w:rsid w:val="000B57B1"/>
    <w:rsid w:val="000B5C9F"/>
    <w:rsid w:val="000B7AFA"/>
    <w:rsid w:val="000C1CC0"/>
    <w:rsid w:val="000C212E"/>
    <w:rsid w:val="000C2484"/>
    <w:rsid w:val="000C2E05"/>
    <w:rsid w:val="000C5677"/>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3EA0"/>
    <w:rsid w:val="00174DC0"/>
    <w:rsid w:val="00176541"/>
    <w:rsid w:val="00176DF8"/>
    <w:rsid w:val="00181D58"/>
    <w:rsid w:val="001828BF"/>
    <w:rsid w:val="00183EB0"/>
    <w:rsid w:val="00184673"/>
    <w:rsid w:val="001863E6"/>
    <w:rsid w:val="0018756A"/>
    <w:rsid w:val="001962E6"/>
    <w:rsid w:val="001A060C"/>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1189"/>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CF86EEC-D696-4663-BF75-01A81623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31</Pages>
  <Words>9530</Words>
  <Characters>52232</Characters>
  <Application>Microsoft Office Word</Application>
  <DocSecurity>0</DocSecurity>
  <Lines>435</Lines>
  <Paragraphs>123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61639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Christopher Dier</cp:lastModifiedBy>
  <cp:revision>4</cp:revision>
  <cp:lastPrinted>2012-12-10T12:26:00Z</cp:lastPrinted>
  <dcterms:created xsi:type="dcterms:W3CDTF">2019-10-30T12:18:00Z</dcterms:created>
  <dcterms:modified xsi:type="dcterms:W3CDTF">2019-11-01T15:01:00Z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