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10B6F" w14:textId="77777777" w:rsidR="00126DEF" w:rsidRDefault="00126DEF" w:rsidP="00126DEF">
      <w:pPr>
        <w:pStyle w:val="Header"/>
        <w:tabs>
          <w:tab w:val="clear" w:pos="4153"/>
          <w:tab w:val="clear" w:pos="8306"/>
        </w:tabs>
      </w:pPr>
    </w:p>
    <w:p w14:paraId="3B806596" w14:textId="14979EDD" w:rsidR="00126DEF" w:rsidRDefault="00EE3134" w:rsidP="00126DEF">
      <w:r>
        <w:rPr>
          <w:noProof/>
        </w:rPr>
        <w:drawing>
          <wp:inline distT="0" distB="0" distL="0" distR="0" wp14:anchorId="17B63BF6" wp14:editId="7AB735C3">
            <wp:extent cx="1762371" cy="666843"/>
            <wp:effectExtent l="0" t="0" r="9525" b="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762371" cy="666843"/>
                    </a:xfrm>
                    <a:prstGeom prst="rect">
                      <a:avLst/>
                    </a:prstGeom>
                  </pic:spPr>
                </pic:pic>
              </a:graphicData>
            </a:graphic>
          </wp:inline>
        </w:drawing>
      </w:r>
    </w:p>
    <w:p w14:paraId="47C5F12D" w14:textId="77777777" w:rsidR="00126DEF" w:rsidRDefault="00126DEF" w:rsidP="00126DEF"/>
    <w:p w14:paraId="0FC22258" w14:textId="77777777" w:rsidR="00126DEF" w:rsidRDefault="00126DEF" w:rsidP="00126DEF">
      <w:pPr>
        <w:pStyle w:val="Header"/>
        <w:tabs>
          <w:tab w:val="clear" w:pos="4153"/>
          <w:tab w:val="clear" w:pos="8306"/>
        </w:tabs>
      </w:pPr>
    </w:p>
    <w:p w14:paraId="25AC3907" w14:textId="77777777" w:rsidR="00126DEF" w:rsidRDefault="00126DEF" w:rsidP="00126DEF"/>
    <w:p w14:paraId="5B1477B7" w14:textId="77777777" w:rsidR="00126DEF" w:rsidRDefault="00126DEF" w:rsidP="00126DEF"/>
    <w:p w14:paraId="3B418DD5" w14:textId="70782319" w:rsidR="00126DEF" w:rsidRPr="0054106F" w:rsidRDefault="00EE3134" w:rsidP="00126DEF">
      <w:pPr>
        <w:tabs>
          <w:tab w:val="left" w:pos="-720"/>
        </w:tabs>
        <w:suppressAutoHyphens/>
        <w:jc w:val="center"/>
        <w:rPr>
          <w:rFonts w:ascii="Arial" w:hAnsi="Arial" w:cs="Arial"/>
          <w:b/>
          <w:spacing w:val="-3"/>
          <w:sz w:val="28"/>
          <w:szCs w:val="28"/>
        </w:rPr>
      </w:pPr>
      <w:r>
        <w:rPr>
          <w:rFonts w:ascii="Arial" w:hAnsi="Arial" w:cs="Arial"/>
          <w:b/>
          <w:spacing w:val="-3"/>
          <w:sz w:val="28"/>
          <w:szCs w:val="28"/>
        </w:rPr>
        <w:t xml:space="preserve">National </w:t>
      </w:r>
      <w:r w:rsidR="00126DEF" w:rsidRPr="0054106F">
        <w:rPr>
          <w:rFonts w:ascii="Arial" w:hAnsi="Arial" w:cs="Arial"/>
          <w:b/>
          <w:spacing w:val="-3"/>
          <w:sz w:val="28"/>
          <w:szCs w:val="28"/>
        </w:rPr>
        <w:t>Highways Limited</w:t>
      </w:r>
    </w:p>
    <w:p w14:paraId="5CEB02DD" w14:textId="77777777" w:rsidR="00126DEF" w:rsidRDefault="00126DEF" w:rsidP="00126DEF">
      <w:pPr>
        <w:pStyle w:val="Header"/>
        <w:tabs>
          <w:tab w:val="clear" w:pos="4153"/>
          <w:tab w:val="clear" w:pos="8306"/>
        </w:tabs>
      </w:pPr>
    </w:p>
    <w:p w14:paraId="3ED9B3FF" w14:textId="77777777" w:rsidR="00126DEF" w:rsidRDefault="00126DEF" w:rsidP="00126DEF"/>
    <w:p w14:paraId="40DB2410" w14:textId="77777777" w:rsidR="00126DEF" w:rsidRDefault="00126DEF" w:rsidP="00126DEF"/>
    <w:p w14:paraId="32035F44" w14:textId="77777777" w:rsidR="00126DEF" w:rsidRDefault="00126DEF" w:rsidP="00126DEF"/>
    <w:p w14:paraId="466A8B4B" w14:textId="77777777" w:rsidR="00126DEF" w:rsidRDefault="00126DEF" w:rsidP="00126DEF"/>
    <w:p w14:paraId="006EA30D" w14:textId="77777777" w:rsidR="00126DEF" w:rsidRDefault="00126DEF" w:rsidP="00126DEF">
      <w:pPr>
        <w:jc w:val="center"/>
        <w:rPr>
          <w:rFonts w:ascii="Arial" w:hAnsi="Arial"/>
          <w:b/>
          <w:sz w:val="44"/>
        </w:rPr>
      </w:pPr>
    </w:p>
    <w:p w14:paraId="2F71E54B" w14:textId="77777777" w:rsidR="00126DEF" w:rsidRDefault="00126DEF" w:rsidP="00126DEF">
      <w:pPr>
        <w:jc w:val="center"/>
        <w:rPr>
          <w:rFonts w:ascii="Arial" w:hAnsi="Arial"/>
          <w:b/>
          <w:sz w:val="44"/>
        </w:rPr>
      </w:pPr>
    </w:p>
    <w:p w14:paraId="3F76313C" w14:textId="77777777" w:rsidR="00126DEF" w:rsidRPr="006A49D7" w:rsidRDefault="00126DEF" w:rsidP="00126DEF">
      <w:pPr>
        <w:jc w:val="center"/>
        <w:rPr>
          <w:rFonts w:ascii="Arial" w:hAnsi="Arial"/>
          <w:b/>
          <w:sz w:val="40"/>
          <w:szCs w:val="40"/>
        </w:rPr>
      </w:pPr>
    </w:p>
    <w:p w14:paraId="344B989C" w14:textId="77777777" w:rsidR="00126DEF" w:rsidRPr="006A49D7" w:rsidRDefault="00126DEF" w:rsidP="00126DEF">
      <w:pPr>
        <w:jc w:val="center"/>
        <w:rPr>
          <w:rFonts w:ascii="Arial" w:hAnsi="Arial" w:cs="Arial"/>
          <w:b/>
          <w:sz w:val="40"/>
          <w:szCs w:val="40"/>
        </w:rPr>
      </w:pPr>
      <w:r w:rsidRPr="006A49D7">
        <w:rPr>
          <w:rFonts w:ascii="Arial" w:hAnsi="Arial" w:cs="Arial"/>
          <w:b/>
          <w:sz w:val="40"/>
          <w:szCs w:val="40"/>
        </w:rPr>
        <w:t>Scope</w:t>
      </w:r>
    </w:p>
    <w:p w14:paraId="532A77AE" w14:textId="77777777" w:rsidR="00126DEF" w:rsidRPr="006A49D7" w:rsidRDefault="00126DEF" w:rsidP="00126DEF">
      <w:pPr>
        <w:jc w:val="center"/>
        <w:rPr>
          <w:rFonts w:ascii="Arial" w:hAnsi="Arial"/>
          <w:b/>
          <w:sz w:val="40"/>
          <w:szCs w:val="40"/>
        </w:rPr>
      </w:pPr>
    </w:p>
    <w:p w14:paraId="1F3E3457" w14:textId="77777777" w:rsidR="00BB2B59" w:rsidRDefault="00126DEF" w:rsidP="00126DEF">
      <w:pPr>
        <w:jc w:val="center"/>
        <w:rPr>
          <w:rFonts w:ascii="Arial" w:hAnsi="Arial" w:cs="Arial"/>
          <w:b/>
          <w:sz w:val="40"/>
          <w:szCs w:val="40"/>
        </w:rPr>
      </w:pPr>
      <w:r>
        <w:rPr>
          <w:rFonts w:ascii="Arial" w:hAnsi="Arial" w:cs="Arial"/>
          <w:b/>
          <w:sz w:val="40"/>
          <w:szCs w:val="40"/>
        </w:rPr>
        <w:t xml:space="preserve">Defined Terms </w:t>
      </w:r>
    </w:p>
    <w:p w14:paraId="306AB730" w14:textId="77777777" w:rsidR="000B1EBD" w:rsidRDefault="000B1EBD" w:rsidP="00126DEF">
      <w:pPr>
        <w:jc w:val="center"/>
        <w:rPr>
          <w:rFonts w:ascii="Arial" w:hAnsi="Arial" w:cs="Arial"/>
          <w:b/>
          <w:sz w:val="40"/>
          <w:szCs w:val="40"/>
        </w:rPr>
      </w:pPr>
    </w:p>
    <w:p w14:paraId="09026E27" w14:textId="6756129E" w:rsidR="00126DEF" w:rsidRPr="00C01A43" w:rsidRDefault="00126DEF" w:rsidP="00126DEF">
      <w:pPr>
        <w:jc w:val="center"/>
        <w:rPr>
          <w:rFonts w:ascii="Arial" w:hAnsi="Arial" w:cs="Arial"/>
          <w:b/>
          <w:color w:val="FF0000"/>
          <w:sz w:val="40"/>
          <w:szCs w:val="40"/>
        </w:rPr>
      </w:pPr>
      <w:r w:rsidRPr="006A49D7">
        <w:rPr>
          <w:rFonts w:ascii="Arial" w:hAnsi="Arial" w:cs="Arial"/>
          <w:b/>
          <w:sz w:val="40"/>
          <w:szCs w:val="40"/>
        </w:rPr>
        <w:t>Annex</w:t>
      </w:r>
      <w:r w:rsidR="000E62D8">
        <w:rPr>
          <w:rFonts w:ascii="Arial" w:hAnsi="Arial" w:cs="Arial"/>
          <w:b/>
          <w:sz w:val="40"/>
          <w:szCs w:val="40"/>
        </w:rPr>
        <w:t xml:space="preserve"> </w:t>
      </w:r>
      <w:r w:rsidR="00740D57">
        <w:rPr>
          <w:rFonts w:ascii="Arial" w:hAnsi="Arial" w:cs="Arial"/>
          <w:b/>
          <w:sz w:val="40"/>
          <w:szCs w:val="40"/>
        </w:rPr>
        <w:t>0</w:t>
      </w:r>
      <w:r w:rsidR="000E62D8">
        <w:rPr>
          <w:rFonts w:ascii="Arial" w:hAnsi="Arial" w:cs="Arial"/>
          <w:b/>
          <w:sz w:val="40"/>
          <w:szCs w:val="40"/>
        </w:rPr>
        <w:t>1</w:t>
      </w:r>
    </w:p>
    <w:p w14:paraId="3D488D1C" w14:textId="77777777" w:rsidR="00126DEF" w:rsidRPr="006A49D7" w:rsidRDefault="00126DEF" w:rsidP="00126DEF">
      <w:pPr>
        <w:jc w:val="center"/>
        <w:rPr>
          <w:rFonts w:ascii="Arial" w:hAnsi="Arial"/>
          <w:b/>
          <w:sz w:val="40"/>
          <w:szCs w:val="40"/>
        </w:rPr>
      </w:pPr>
    </w:p>
    <w:p w14:paraId="235A34D4" w14:textId="77777777" w:rsidR="00126DEF" w:rsidRPr="006A49D7" w:rsidRDefault="00126DEF" w:rsidP="00126DEF">
      <w:pPr>
        <w:jc w:val="center"/>
        <w:rPr>
          <w:rFonts w:ascii="Arial" w:hAnsi="Arial"/>
          <w:b/>
          <w:sz w:val="40"/>
          <w:szCs w:val="40"/>
        </w:rPr>
      </w:pPr>
    </w:p>
    <w:p w14:paraId="56A971B2" w14:textId="77777777" w:rsidR="00126DEF" w:rsidRDefault="00126DEF" w:rsidP="00126DEF">
      <w:pPr>
        <w:spacing w:before="240"/>
        <w:jc w:val="center"/>
        <w:rPr>
          <w:rFonts w:ascii="Arial" w:hAnsi="Arial"/>
          <w:b/>
          <w:sz w:val="28"/>
        </w:rPr>
      </w:pPr>
    </w:p>
    <w:p w14:paraId="3D7B9AD9" w14:textId="77777777" w:rsidR="00126DEF" w:rsidRDefault="00126DEF" w:rsidP="00126DEF">
      <w:pPr>
        <w:spacing w:before="240"/>
        <w:jc w:val="center"/>
        <w:rPr>
          <w:rFonts w:ascii="Arial" w:hAnsi="Arial"/>
          <w:b/>
          <w:sz w:val="28"/>
        </w:rPr>
      </w:pPr>
    </w:p>
    <w:p w14:paraId="49F040DC" w14:textId="77777777" w:rsidR="00126DEF" w:rsidRDefault="00126DEF" w:rsidP="00126DEF">
      <w:pPr>
        <w:spacing w:before="240"/>
        <w:jc w:val="center"/>
        <w:rPr>
          <w:rFonts w:ascii="Arial" w:hAnsi="Arial"/>
          <w:b/>
          <w:sz w:val="28"/>
        </w:rPr>
      </w:pPr>
    </w:p>
    <w:p w14:paraId="20F52372" w14:textId="77777777" w:rsidR="00126DEF" w:rsidRDefault="00126DEF" w:rsidP="00126DEF">
      <w:pPr>
        <w:spacing w:before="240"/>
        <w:jc w:val="center"/>
        <w:rPr>
          <w:rFonts w:ascii="Arial" w:hAnsi="Arial"/>
          <w:b/>
          <w:sz w:val="28"/>
        </w:rPr>
      </w:pPr>
    </w:p>
    <w:p w14:paraId="775D98FD" w14:textId="77777777" w:rsidR="00126DEF" w:rsidRDefault="00126DEF" w:rsidP="00126DEF">
      <w:pPr>
        <w:spacing w:before="240"/>
        <w:jc w:val="center"/>
        <w:rPr>
          <w:rFonts w:ascii="Arial" w:hAnsi="Arial"/>
          <w:b/>
          <w:sz w:val="28"/>
        </w:rPr>
      </w:pPr>
    </w:p>
    <w:p w14:paraId="5CC3142D" w14:textId="77777777" w:rsidR="00126DEF" w:rsidRDefault="00126DEF" w:rsidP="00126DEF">
      <w:pPr>
        <w:spacing w:before="240"/>
        <w:jc w:val="center"/>
        <w:rPr>
          <w:rFonts w:ascii="Arial" w:hAnsi="Arial"/>
          <w:b/>
          <w:sz w:val="28"/>
        </w:rPr>
      </w:pPr>
    </w:p>
    <w:p w14:paraId="42E9DC56" w14:textId="77777777" w:rsidR="00126DEF" w:rsidRDefault="00126DEF" w:rsidP="00126DEF">
      <w:pPr>
        <w:spacing w:before="240"/>
        <w:jc w:val="center"/>
        <w:rPr>
          <w:rFonts w:ascii="Arial" w:hAnsi="Arial"/>
          <w:b/>
          <w:sz w:val="28"/>
        </w:rPr>
      </w:pPr>
    </w:p>
    <w:p w14:paraId="20B6AEDA" w14:textId="77777777" w:rsidR="00126DEF" w:rsidRDefault="00126DEF" w:rsidP="00126DEF">
      <w:pPr>
        <w:spacing w:before="240"/>
        <w:jc w:val="center"/>
        <w:rPr>
          <w:rFonts w:ascii="Arial" w:hAnsi="Arial"/>
          <w:b/>
          <w:sz w:val="28"/>
        </w:rPr>
      </w:pPr>
    </w:p>
    <w:p w14:paraId="1B5EB258" w14:textId="77777777" w:rsidR="00126DEF" w:rsidRDefault="00126DEF" w:rsidP="00126DEF">
      <w:pPr>
        <w:spacing w:before="240"/>
        <w:jc w:val="center"/>
        <w:rPr>
          <w:rFonts w:ascii="Arial" w:hAnsi="Arial"/>
          <w:b/>
          <w:sz w:val="28"/>
        </w:rPr>
      </w:pPr>
    </w:p>
    <w:p w14:paraId="1AECA8F2" w14:textId="77777777" w:rsidR="00126DEF" w:rsidRDefault="00126DEF" w:rsidP="00126DEF">
      <w:pPr>
        <w:spacing w:before="240"/>
        <w:jc w:val="center"/>
        <w:rPr>
          <w:rFonts w:ascii="Arial" w:hAnsi="Arial"/>
          <w:b/>
          <w:sz w:val="28"/>
        </w:rPr>
      </w:pPr>
    </w:p>
    <w:p w14:paraId="041A10A1" w14:textId="59DC93BA" w:rsidR="00126DEF" w:rsidRDefault="00126DEF" w:rsidP="00126DEF">
      <w:pPr>
        <w:spacing w:before="240"/>
        <w:jc w:val="center"/>
        <w:rPr>
          <w:rFonts w:ascii="Arial" w:hAnsi="Arial"/>
          <w:b/>
          <w:sz w:val="28"/>
        </w:rPr>
      </w:pPr>
      <w:r>
        <w:rPr>
          <w:rFonts w:ascii="Arial" w:hAnsi="Arial"/>
          <w:b/>
          <w:sz w:val="28"/>
        </w:rPr>
        <w:t>CONTENTS AMENDMENT SHEET</w:t>
      </w:r>
    </w:p>
    <w:p w14:paraId="7E1C329D" w14:textId="77777777" w:rsidR="007C1416" w:rsidRDefault="007C1416" w:rsidP="00126DEF">
      <w:pPr>
        <w:spacing w:before="240"/>
        <w:jc w:val="center"/>
        <w:rPr>
          <w:rFonts w:ascii="Arial" w:hAnsi="Arial"/>
          <w:b/>
          <w:sz w:val="28"/>
        </w:rPr>
      </w:pPr>
    </w:p>
    <w:p w14:paraId="52AA093E" w14:textId="77777777" w:rsidR="00126DEF" w:rsidRDefault="00126DEF" w:rsidP="00126DEF">
      <w:pPr>
        <w:pStyle w:val="Header"/>
        <w:tabs>
          <w:tab w:val="clear" w:pos="4153"/>
          <w:tab w:val="clear" w:pos="8306"/>
        </w:tabs>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88"/>
        <w:gridCol w:w="3969"/>
        <w:gridCol w:w="963"/>
        <w:gridCol w:w="1305"/>
      </w:tblGrid>
      <w:tr w:rsidR="00126DEF" w:rsidRPr="00B27FB9" w14:paraId="03817ABA" w14:textId="77777777" w:rsidTr="00A70070">
        <w:tc>
          <w:tcPr>
            <w:tcW w:w="1080" w:type="dxa"/>
            <w:tcBorders>
              <w:top w:val="double" w:sz="4" w:space="0" w:color="auto"/>
              <w:bottom w:val="double" w:sz="4" w:space="0" w:color="auto"/>
            </w:tcBorders>
            <w:vAlign w:val="center"/>
          </w:tcPr>
          <w:p w14:paraId="60316743" w14:textId="626C0F0E" w:rsidR="00126DEF" w:rsidRPr="00B27FB9" w:rsidRDefault="007C1416" w:rsidP="00A70070">
            <w:pPr>
              <w:spacing w:before="120" w:after="120" w:line="276" w:lineRule="auto"/>
              <w:jc w:val="center"/>
              <w:rPr>
                <w:rFonts w:ascii="Arial" w:eastAsia="Calibri" w:hAnsi="Arial"/>
                <w:b/>
                <w:sz w:val="22"/>
                <w:szCs w:val="22"/>
              </w:rPr>
            </w:pPr>
            <w:r>
              <w:rPr>
                <w:rFonts w:ascii="Arial" w:eastAsia="Calibri" w:hAnsi="Arial"/>
                <w:b/>
                <w:sz w:val="22"/>
                <w:szCs w:val="22"/>
              </w:rPr>
              <w:t>Issue</w:t>
            </w:r>
            <w:r w:rsidR="00126DEF" w:rsidRPr="00B27FB9">
              <w:rPr>
                <w:rFonts w:ascii="Arial" w:eastAsia="Calibri" w:hAnsi="Arial"/>
                <w:b/>
                <w:sz w:val="22"/>
                <w:szCs w:val="22"/>
              </w:rPr>
              <w:t xml:space="preserve"> No.</w:t>
            </w:r>
          </w:p>
        </w:tc>
        <w:tc>
          <w:tcPr>
            <w:tcW w:w="1188" w:type="dxa"/>
            <w:tcBorders>
              <w:top w:val="double" w:sz="4" w:space="0" w:color="auto"/>
              <w:bottom w:val="double" w:sz="4" w:space="0" w:color="auto"/>
            </w:tcBorders>
            <w:vAlign w:val="center"/>
          </w:tcPr>
          <w:p w14:paraId="62536A14" w14:textId="77777777" w:rsidR="00126DEF" w:rsidRPr="00B27FB9" w:rsidRDefault="00126DEF" w:rsidP="00A70070">
            <w:pPr>
              <w:spacing w:before="120" w:after="120" w:line="276" w:lineRule="auto"/>
              <w:jc w:val="center"/>
              <w:rPr>
                <w:rFonts w:ascii="Arial" w:eastAsia="Calibri" w:hAnsi="Arial"/>
                <w:b/>
                <w:sz w:val="22"/>
                <w:szCs w:val="22"/>
              </w:rPr>
            </w:pPr>
            <w:r w:rsidRPr="00B27FB9">
              <w:rPr>
                <w:rFonts w:ascii="Arial" w:eastAsia="Calibri" w:hAnsi="Arial"/>
                <w:b/>
                <w:sz w:val="22"/>
                <w:szCs w:val="22"/>
              </w:rPr>
              <w:t>Revision No.</w:t>
            </w:r>
          </w:p>
        </w:tc>
        <w:tc>
          <w:tcPr>
            <w:tcW w:w="3969" w:type="dxa"/>
            <w:tcBorders>
              <w:top w:val="double" w:sz="4" w:space="0" w:color="auto"/>
              <w:bottom w:val="double" w:sz="4" w:space="0" w:color="auto"/>
            </w:tcBorders>
            <w:vAlign w:val="center"/>
          </w:tcPr>
          <w:p w14:paraId="35195AF5" w14:textId="77777777" w:rsidR="00126DEF" w:rsidRPr="00B27FB9" w:rsidRDefault="00126DEF" w:rsidP="00A70070">
            <w:pPr>
              <w:spacing w:before="120" w:after="120" w:line="276" w:lineRule="auto"/>
              <w:jc w:val="center"/>
              <w:rPr>
                <w:rFonts w:ascii="Arial" w:eastAsia="Calibri" w:hAnsi="Arial"/>
                <w:b/>
                <w:sz w:val="22"/>
                <w:szCs w:val="22"/>
              </w:rPr>
            </w:pPr>
            <w:r w:rsidRPr="00B27FB9">
              <w:rPr>
                <w:rFonts w:ascii="Arial" w:eastAsia="Calibri" w:hAnsi="Arial"/>
                <w:b/>
                <w:sz w:val="22"/>
                <w:szCs w:val="22"/>
              </w:rPr>
              <w:t>Amendments</w:t>
            </w:r>
          </w:p>
        </w:tc>
        <w:tc>
          <w:tcPr>
            <w:tcW w:w="963" w:type="dxa"/>
            <w:tcBorders>
              <w:top w:val="double" w:sz="4" w:space="0" w:color="auto"/>
              <w:bottom w:val="double" w:sz="4" w:space="0" w:color="auto"/>
            </w:tcBorders>
            <w:vAlign w:val="center"/>
          </w:tcPr>
          <w:p w14:paraId="28C32CBE" w14:textId="77777777" w:rsidR="00126DEF" w:rsidRPr="00B27FB9" w:rsidRDefault="00126DEF" w:rsidP="00A70070">
            <w:pPr>
              <w:spacing w:before="120" w:after="120" w:line="276" w:lineRule="auto"/>
              <w:jc w:val="center"/>
              <w:rPr>
                <w:rFonts w:ascii="Arial" w:eastAsia="Calibri" w:hAnsi="Arial"/>
                <w:b/>
                <w:sz w:val="22"/>
                <w:szCs w:val="22"/>
              </w:rPr>
            </w:pPr>
            <w:r w:rsidRPr="00B27FB9">
              <w:rPr>
                <w:rFonts w:ascii="Arial" w:eastAsia="Calibri" w:hAnsi="Arial"/>
                <w:b/>
                <w:sz w:val="22"/>
                <w:szCs w:val="22"/>
              </w:rPr>
              <w:t>Initials</w:t>
            </w:r>
          </w:p>
        </w:tc>
        <w:tc>
          <w:tcPr>
            <w:tcW w:w="1305" w:type="dxa"/>
            <w:tcBorders>
              <w:top w:val="double" w:sz="4" w:space="0" w:color="auto"/>
              <w:bottom w:val="double" w:sz="4" w:space="0" w:color="auto"/>
            </w:tcBorders>
            <w:vAlign w:val="center"/>
          </w:tcPr>
          <w:p w14:paraId="6298304A" w14:textId="77777777" w:rsidR="00126DEF" w:rsidRPr="00B27FB9" w:rsidRDefault="00126DEF" w:rsidP="00A70070">
            <w:pPr>
              <w:spacing w:before="120" w:after="120" w:line="276" w:lineRule="auto"/>
              <w:jc w:val="center"/>
              <w:rPr>
                <w:rFonts w:ascii="Arial" w:eastAsia="Calibri" w:hAnsi="Arial"/>
                <w:b/>
                <w:sz w:val="22"/>
                <w:szCs w:val="22"/>
              </w:rPr>
            </w:pPr>
            <w:r w:rsidRPr="00B27FB9">
              <w:rPr>
                <w:rFonts w:ascii="Arial" w:eastAsia="Calibri" w:hAnsi="Arial"/>
                <w:b/>
                <w:sz w:val="22"/>
                <w:szCs w:val="22"/>
              </w:rPr>
              <w:t>Date</w:t>
            </w:r>
          </w:p>
        </w:tc>
      </w:tr>
      <w:tr w:rsidR="00126DEF" w:rsidRPr="00B27FB9" w14:paraId="23493FE9" w14:textId="77777777" w:rsidTr="00A70070">
        <w:tc>
          <w:tcPr>
            <w:tcW w:w="1080" w:type="dxa"/>
            <w:tcBorders>
              <w:top w:val="double" w:sz="4" w:space="0" w:color="auto"/>
            </w:tcBorders>
          </w:tcPr>
          <w:p w14:paraId="194DDE01" w14:textId="44F22D7D" w:rsidR="00126DEF" w:rsidRPr="00B27FB9" w:rsidRDefault="00126DEF" w:rsidP="00A70070">
            <w:pPr>
              <w:spacing w:before="120" w:after="120" w:line="276" w:lineRule="auto"/>
              <w:jc w:val="center"/>
              <w:rPr>
                <w:rFonts w:ascii="Arial" w:eastAsia="Calibri" w:hAnsi="Arial"/>
                <w:sz w:val="22"/>
                <w:szCs w:val="22"/>
              </w:rPr>
            </w:pPr>
          </w:p>
        </w:tc>
        <w:tc>
          <w:tcPr>
            <w:tcW w:w="1188" w:type="dxa"/>
            <w:tcBorders>
              <w:top w:val="double" w:sz="4" w:space="0" w:color="auto"/>
            </w:tcBorders>
          </w:tcPr>
          <w:p w14:paraId="5B4A9B30" w14:textId="2F0098C9" w:rsidR="00126DEF" w:rsidRPr="00B27FB9" w:rsidRDefault="00126DEF" w:rsidP="00A70070">
            <w:pPr>
              <w:spacing w:before="120" w:after="120" w:line="276" w:lineRule="auto"/>
              <w:jc w:val="center"/>
              <w:rPr>
                <w:rFonts w:ascii="Arial" w:eastAsia="Calibri" w:hAnsi="Arial"/>
                <w:sz w:val="22"/>
                <w:szCs w:val="22"/>
              </w:rPr>
            </w:pPr>
          </w:p>
        </w:tc>
        <w:tc>
          <w:tcPr>
            <w:tcW w:w="3969" w:type="dxa"/>
            <w:tcBorders>
              <w:top w:val="double" w:sz="4" w:space="0" w:color="auto"/>
            </w:tcBorders>
          </w:tcPr>
          <w:p w14:paraId="58305D92" w14:textId="174AE359" w:rsidR="00126DEF" w:rsidRPr="00B27FB9" w:rsidRDefault="00126DEF" w:rsidP="00A70070">
            <w:pPr>
              <w:spacing w:before="120" w:after="120" w:line="276" w:lineRule="auto"/>
              <w:rPr>
                <w:rFonts w:ascii="Arial" w:eastAsia="Calibri" w:hAnsi="Arial"/>
                <w:sz w:val="22"/>
                <w:szCs w:val="22"/>
              </w:rPr>
            </w:pPr>
          </w:p>
        </w:tc>
        <w:tc>
          <w:tcPr>
            <w:tcW w:w="963" w:type="dxa"/>
            <w:tcBorders>
              <w:top w:val="double" w:sz="4" w:space="0" w:color="auto"/>
            </w:tcBorders>
          </w:tcPr>
          <w:p w14:paraId="5282A1C6" w14:textId="103D35F0" w:rsidR="00126DEF" w:rsidRPr="00B27FB9" w:rsidRDefault="00126DEF" w:rsidP="00A70070">
            <w:pPr>
              <w:spacing w:before="120" w:after="120" w:line="276" w:lineRule="auto"/>
              <w:jc w:val="center"/>
              <w:rPr>
                <w:rFonts w:ascii="Arial" w:eastAsia="Calibri" w:hAnsi="Arial"/>
                <w:sz w:val="22"/>
                <w:szCs w:val="22"/>
              </w:rPr>
            </w:pPr>
          </w:p>
        </w:tc>
        <w:tc>
          <w:tcPr>
            <w:tcW w:w="1305" w:type="dxa"/>
            <w:tcBorders>
              <w:top w:val="double" w:sz="4" w:space="0" w:color="auto"/>
            </w:tcBorders>
          </w:tcPr>
          <w:p w14:paraId="78850CCE" w14:textId="598CF91A" w:rsidR="00126DEF" w:rsidRPr="00B27FB9" w:rsidRDefault="00126DEF" w:rsidP="00A70070">
            <w:pPr>
              <w:spacing w:before="120" w:after="120" w:line="276" w:lineRule="auto"/>
              <w:jc w:val="center"/>
              <w:rPr>
                <w:rFonts w:ascii="Arial" w:eastAsia="Calibri" w:hAnsi="Arial"/>
                <w:sz w:val="22"/>
                <w:szCs w:val="22"/>
              </w:rPr>
            </w:pPr>
          </w:p>
        </w:tc>
      </w:tr>
      <w:tr w:rsidR="00126DEF" w:rsidRPr="00B27FB9" w14:paraId="0268B657" w14:textId="77777777" w:rsidTr="00A70070">
        <w:tc>
          <w:tcPr>
            <w:tcW w:w="1080" w:type="dxa"/>
          </w:tcPr>
          <w:p w14:paraId="4C2597E6" w14:textId="77777777" w:rsidR="00126DEF" w:rsidRPr="00E970A4" w:rsidRDefault="00126DEF" w:rsidP="00A70070">
            <w:pPr>
              <w:spacing w:before="120" w:after="120" w:line="276" w:lineRule="auto"/>
              <w:jc w:val="center"/>
              <w:rPr>
                <w:rFonts w:ascii="Arial" w:eastAsia="Calibri" w:hAnsi="Arial" w:cs="Arial"/>
                <w:sz w:val="22"/>
                <w:szCs w:val="22"/>
              </w:rPr>
            </w:pPr>
          </w:p>
        </w:tc>
        <w:tc>
          <w:tcPr>
            <w:tcW w:w="1188" w:type="dxa"/>
          </w:tcPr>
          <w:p w14:paraId="59412C9E" w14:textId="77777777" w:rsidR="00126DEF" w:rsidRPr="00E970A4" w:rsidRDefault="00126DEF" w:rsidP="00A70070">
            <w:pPr>
              <w:spacing w:before="120" w:after="120" w:line="276" w:lineRule="auto"/>
              <w:jc w:val="center"/>
              <w:rPr>
                <w:rFonts w:ascii="Arial" w:eastAsia="Calibri" w:hAnsi="Arial" w:cs="Arial"/>
                <w:sz w:val="22"/>
                <w:szCs w:val="22"/>
              </w:rPr>
            </w:pPr>
          </w:p>
        </w:tc>
        <w:tc>
          <w:tcPr>
            <w:tcW w:w="3969" w:type="dxa"/>
          </w:tcPr>
          <w:p w14:paraId="34598FFA" w14:textId="77777777" w:rsidR="00126DEF" w:rsidRPr="00E970A4" w:rsidRDefault="00126DEF" w:rsidP="00A70070">
            <w:pPr>
              <w:spacing w:before="120" w:after="120" w:line="276" w:lineRule="auto"/>
              <w:rPr>
                <w:rFonts w:ascii="Arial" w:eastAsia="Calibri" w:hAnsi="Arial" w:cs="Arial"/>
                <w:sz w:val="22"/>
                <w:szCs w:val="22"/>
              </w:rPr>
            </w:pPr>
          </w:p>
        </w:tc>
        <w:tc>
          <w:tcPr>
            <w:tcW w:w="963" w:type="dxa"/>
          </w:tcPr>
          <w:p w14:paraId="6AF536D8" w14:textId="77777777" w:rsidR="00126DEF" w:rsidRPr="00E970A4" w:rsidRDefault="00126DEF" w:rsidP="00A70070">
            <w:pPr>
              <w:spacing w:before="120" w:after="120" w:line="276" w:lineRule="auto"/>
              <w:jc w:val="center"/>
              <w:rPr>
                <w:rFonts w:ascii="Arial" w:eastAsia="Calibri" w:hAnsi="Arial" w:cs="Arial"/>
                <w:sz w:val="22"/>
                <w:szCs w:val="22"/>
              </w:rPr>
            </w:pPr>
          </w:p>
        </w:tc>
        <w:tc>
          <w:tcPr>
            <w:tcW w:w="1305" w:type="dxa"/>
          </w:tcPr>
          <w:p w14:paraId="5C45F22E" w14:textId="77777777" w:rsidR="00126DEF" w:rsidRPr="00E970A4" w:rsidRDefault="00126DEF" w:rsidP="00A70070">
            <w:pPr>
              <w:spacing w:before="120" w:after="120" w:line="276" w:lineRule="auto"/>
              <w:jc w:val="center"/>
              <w:rPr>
                <w:rFonts w:ascii="Arial" w:eastAsia="Calibri" w:hAnsi="Arial" w:cs="Arial"/>
                <w:sz w:val="22"/>
                <w:szCs w:val="22"/>
              </w:rPr>
            </w:pPr>
          </w:p>
        </w:tc>
      </w:tr>
      <w:tr w:rsidR="00126DEF" w:rsidRPr="00B27FB9" w14:paraId="4FE966F3" w14:textId="77777777" w:rsidTr="00A70070">
        <w:tc>
          <w:tcPr>
            <w:tcW w:w="1080" w:type="dxa"/>
          </w:tcPr>
          <w:p w14:paraId="0627E31A" w14:textId="77777777" w:rsidR="00126DEF" w:rsidRPr="00E970A4" w:rsidRDefault="00126DEF" w:rsidP="00A70070">
            <w:pPr>
              <w:spacing w:before="120" w:after="120" w:line="276" w:lineRule="auto"/>
              <w:jc w:val="center"/>
              <w:rPr>
                <w:rFonts w:ascii="Arial" w:eastAsia="Calibri" w:hAnsi="Arial" w:cs="Arial"/>
                <w:sz w:val="22"/>
                <w:szCs w:val="22"/>
              </w:rPr>
            </w:pPr>
          </w:p>
        </w:tc>
        <w:tc>
          <w:tcPr>
            <w:tcW w:w="1188" w:type="dxa"/>
          </w:tcPr>
          <w:p w14:paraId="43401877" w14:textId="77777777" w:rsidR="00126DEF" w:rsidRPr="00E970A4" w:rsidRDefault="00126DEF" w:rsidP="00A70070">
            <w:pPr>
              <w:spacing w:before="120" w:after="120" w:line="276" w:lineRule="auto"/>
              <w:jc w:val="center"/>
              <w:rPr>
                <w:rFonts w:ascii="Arial" w:eastAsia="Calibri" w:hAnsi="Arial" w:cs="Arial"/>
                <w:sz w:val="22"/>
                <w:szCs w:val="22"/>
              </w:rPr>
            </w:pPr>
          </w:p>
        </w:tc>
        <w:tc>
          <w:tcPr>
            <w:tcW w:w="3969" w:type="dxa"/>
          </w:tcPr>
          <w:p w14:paraId="0CF76AA9" w14:textId="77777777" w:rsidR="00126DEF" w:rsidRPr="00E970A4" w:rsidRDefault="00126DEF" w:rsidP="00A70070">
            <w:pPr>
              <w:spacing w:before="120" w:after="120" w:line="276" w:lineRule="auto"/>
              <w:rPr>
                <w:rFonts w:ascii="Arial" w:eastAsia="Calibri" w:hAnsi="Arial" w:cs="Arial"/>
                <w:sz w:val="22"/>
                <w:szCs w:val="22"/>
              </w:rPr>
            </w:pPr>
          </w:p>
        </w:tc>
        <w:tc>
          <w:tcPr>
            <w:tcW w:w="963" w:type="dxa"/>
          </w:tcPr>
          <w:p w14:paraId="0AC38CFF" w14:textId="77777777" w:rsidR="00126DEF" w:rsidRPr="00E970A4" w:rsidRDefault="00126DEF" w:rsidP="00A70070">
            <w:pPr>
              <w:spacing w:before="120" w:after="120" w:line="276" w:lineRule="auto"/>
              <w:jc w:val="center"/>
              <w:rPr>
                <w:rFonts w:ascii="Arial" w:eastAsia="Calibri" w:hAnsi="Arial" w:cs="Arial"/>
                <w:sz w:val="22"/>
                <w:szCs w:val="22"/>
              </w:rPr>
            </w:pPr>
          </w:p>
        </w:tc>
        <w:tc>
          <w:tcPr>
            <w:tcW w:w="1305" w:type="dxa"/>
          </w:tcPr>
          <w:p w14:paraId="0B04BD93" w14:textId="77777777" w:rsidR="00126DEF" w:rsidRPr="00E970A4" w:rsidRDefault="00126DEF" w:rsidP="00A70070">
            <w:pPr>
              <w:spacing w:before="120" w:after="120" w:line="276" w:lineRule="auto"/>
              <w:jc w:val="center"/>
              <w:rPr>
                <w:rFonts w:ascii="Arial" w:eastAsia="Calibri" w:hAnsi="Arial" w:cs="Arial"/>
                <w:sz w:val="22"/>
                <w:szCs w:val="22"/>
              </w:rPr>
            </w:pPr>
          </w:p>
        </w:tc>
      </w:tr>
      <w:tr w:rsidR="00126DEF" w:rsidRPr="00B27FB9" w14:paraId="6F42C970" w14:textId="77777777" w:rsidTr="00A70070">
        <w:tc>
          <w:tcPr>
            <w:tcW w:w="1080" w:type="dxa"/>
          </w:tcPr>
          <w:p w14:paraId="481F5B1C" w14:textId="77777777" w:rsidR="00126DEF" w:rsidRPr="00E970A4" w:rsidRDefault="00126DEF" w:rsidP="00A70070">
            <w:pPr>
              <w:spacing w:before="120" w:after="120" w:line="276" w:lineRule="auto"/>
              <w:jc w:val="center"/>
              <w:rPr>
                <w:rFonts w:ascii="Arial" w:eastAsia="Calibri" w:hAnsi="Arial" w:cs="Arial"/>
                <w:sz w:val="22"/>
                <w:szCs w:val="22"/>
              </w:rPr>
            </w:pPr>
          </w:p>
        </w:tc>
        <w:tc>
          <w:tcPr>
            <w:tcW w:w="1188" w:type="dxa"/>
          </w:tcPr>
          <w:p w14:paraId="75F70B0C" w14:textId="77777777" w:rsidR="00126DEF" w:rsidRPr="00E970A4" w:rsidRDefault="00126DEF" w:rsidP="00A70070">
            <w:pPr>
              <w:spacing w:before="120" w:after="120" w:line="276" w:lineRule="auto"/>
              <w:jc w:val="center"/>
              <w:rPr>
                <w:rFonts w:ascii="Arial" w:eastAsia="Calibri" w:hAnsi="Arial" w:cs="Arial"/>
                <w:sz w:val="22"/>
                <w:szCs w:val="22"/>
              </w:rPr>
            </w:pPr>
          </w:p>
        </w:tc>
        <w:tc>
          <w:tcPr>
            <w:tcW w:w="3969" w:type="dxa"/>
          </w:tcPr>
          <w:p w14:paraId="216FCF4F" w14:textId="77777777" w:rsidR="00126DEF" w:rsidRPr="00E970A4" w:rsidRDefault="00126DEF" w:rsidP="00A70070">
            <w:pPr>
              <w:spacing w:before="120" w:after="120" w:line="276" w:lineRule="auto"/>
              <w:rPr>
                <w:rFonts w:ascii="Arial" w:eastAsia="Calibri" w:hAnsi="Arial" w:cs="Arial"/>
                <w:sz w:val="22"/>
                <w:szCs w:val="22"/>
              </w:rPr>
            </w:pPr>
          </w:p>
        </w:tc>
        <w:tc>
          <w:tcPr>
            <w:tcW w:w="963" w:type="dxa"/>
          </w:tcPr>
          <w:p w14:paraId="5970DE97" w14:textId="77777777" w:rsidR="00126DEF" w:rsidRPr="00E970A4" w:rsidRDefault="00126DEF" w:rsidP="00A70070">
            <w:pPr>
              <w:spacing w:before="120" w:after="120" w:line="276" w:lineRule="auto"/>
              <w:jc w:val="center"/>
              <w:rPr>
                <w:rFonts w:ascii="Arial" w:eastAsia="Calibri" w:hAnsi="Arial" w:cs="Arial"/>
                <w:sz w:val="22"/>
                <w:szCs w:val="22"/>
              </w:rPr>
            </w:pPr>
          </w:p>
        </w:tc>
        <w:tc>
          <w:tcPr>
            <w:tcW w:w="1305" w:type="dxa"/>
          </w:tcPr>
          <w:p w14:paraId="5A183F57" w14:textId="77777777" w:rsidR="00126DEF" w:rsidRPr="00E970A4" w:rsidRDefault="00126DEF" w:rsidP="00A70070">
            <w:pPr>
              <w:spacing w:before="120" w:after="120" w:line="276" w:lineRule="auto"/>
              <w:jc w:val="center"/>
              <w:rPr>
                <w:rFonts w:ascii="Arial" w:eastAsia="Calibri" w:hAnsi="Arial" w:cs="Arial"/>
                <w:sz w:val="22"/>
                <w:szCs w:val="22"/>
              </w:rPr>
            </w:pPr>
          </w:p>
        </w:tc>
      </w:tr>
      <w:tr w:rsidR="00126DEF" w:rsidRPr="00B27FB9" w14:paraId="0B0D86CC" w14:textId="77777777" w:rsidTr="00A70070">
        <w:tc>
          <w:tcPr>
            <w:tcW w:w="1080" w:type="dxa"/>
          </w:tcPr>
          <w:p w14:paraId="7036CFE9" w14:textId="77777777" w:rsidR="00126DEF" w:rsidRPr="00E970A4" w:rsidRDefault="00126DEF" w:rsidP="00A70070">
            <w:pPr>
              <w:spacing w:before="120" w:after="120" w:line="276" w:lineRule="auto"/>
              <w:jc w:val="center"/>
              <w:rPr>
                <w:rFonts w:ascii="Arial" w:eastAsia="Calibri" w:hAnsi="Arial" w:cs="Arial"/>
                <w:sz w:val="22"/>
                <w:szCs w:val="22"/>
              </w:rPr>
            </w:pPr>
          </w:p>
        </w:tc>
        <w:tc>
          <w:tcPr>
            <w:tcW w:w="1188" w:type="dxa"/>
          </w:tcPr>
          <w:p w14:paraId="01D3122A" w14:textId="77777777" w:rsidR="00126DEF" w:rsidRPr="00E970A4" w:rsidRDefault="00126DEF" w:rsidP="00A70070">
            <w:pPr>
              <w:spacing w:before="120" w:after="120" w:line="276" w:lineRule="auto"/>
              <w:jc w:val="center"/>
              <w:rPr>
                <w:rFonts w:ascii="Arial" w:eastAsia="Calibri" w:hAnsi="Arial" w:cs="Arial"/>
                <w:sz w:val="22"/>
                <w:szCs w:val="22"/>
              </w:rPr>
            </w:pPr>
          </w:p>
        </w:tc>
        <w:tc>
          <w:tcPr>
            <w:tcW w:w="3969" w:type="dxa"/>
          </w:tcPr>
          <w:p w14:paraId="196C73C2" w14:textId="77777777" w:rsidR="00126DEF" w:rsidRPr="00E970A4" w:rsidRDefault="00126DEF" w:rsidP="00A70070">
            <w:pPr>
              <w:spacing w:before="120" w:after="120" w:line="276" w:lineRule="auto"/>
              <w:rPr>
                <w:rFonts w:ascii="Arial" w:eastAsia="Calibri" w:hAnsi="Arial" w:cs="Arial"/>
                <w:sz w:val="22"/>
                <w:szCs w:val="22"/>
              </w:rPr>
            </w:pPr>
          </w:p>
        </w:tc>
        <w:tc>
          <w:tcPr>
            <w:tcW w:w="963" w:type="dxa"/>
          </w:tcPr>
          <w:p w14:paraId="70A18A2E" w14:textId="77777777" w:rsidR="00126DEF" w:rsidRPr="00E970A4" w:rsidRDefault="00126DEF" w:rsidP="00A70070">
            <w:pPr>
              <w:spacing w:before="120" w:after="120" w:line="276" w:lineRule="auto"/>
              <w:jc w:val="center"/>
              <w:rPr>
                <w:rFonts w:ascii="Arial" w:eastAsia="Calibri" w:hAnsi="Arial" w:cs="Arial"/>
                <w:sz w:val="22"/>
                <w:szCs w:val="22"/>
              </w:rPr>
            </w:pPr>
          </w:p>
        </w:tc>
        <w:tc>
          <w:tcPr>
            <w:tcW w:w="1305" w:type="dxa"/>
          </w:tcPr>
          <w:p w14:paraId="003EFA1B" w14:textId="77777777" w:rsidR="00126DEF" w:rsidRPr="00E970A4" w:rsidRDefault="00126DEF" w:rsidP="00A70070">
            <w:pPr>
              <w:spacing w:before="120" w:after="120" w:line="276" w:lineRule="auto"/>
              <w:jc w:val="center"/>
              <w:rPr>
                <w:rFonts w:ascii="Arial" w:eastAsia="Calibri" w:hAnsi="Arial" w:cs="Arial"/>
                <w:sz w:val="22"/>
                <w:szCs w:val="22"/>
              </w:rPr>
            </w:pPr>
          </w:p>
        </w:tc>
      </w:tr>
      <w:tr w:rsidR="00126DEF" w:rsidRPr="00B27FB9" w14:paraId="05FC68BE" w14:textId="77777777" w:rsidTr="00A70070">
        <w:tc>
          <w:tcPr>
            <w:tcW w:w="1080" w:type="dxa"/>
          </w:tcPr>
          <w:p w14:paraId="20F9014D" w14:textId="77777777" w:rsidR="00126DEF" w:rsidRPr="00B27FB9" w:rsidRDefault="00126DEF" w:rsidP="00A70070">
            <w:pPr>
              <w:spacing w:before="120" w:after="120" w:line="276" w:lineRule="auto"/>
              <w:jc w:val="center"/>
              <w:rPr>
                <w:rFonts w:ascii="Arial" w:eastAsia="Calibri" w:hAnsi="Arial"/>
                <w:sz w:val="22"/>
                <w:szCs w:val="22"/>
              </w:rPr>
            </w:pPr>
          </w:p>
        </w:tc>
        <w:tc>
          <w:tcPr>
            <w:tcW w:w="1188" w:type="dxa"/>
          </w:tcPr>
          <w:p w14:paraId="0BB3A9E1" w14:textId="77777777" w:rsidR="00126DEF" w:rsidRPr="00B27FB9" w:rsidRDefault="00126DEF" w:rsidP="00A70070">
            <w:pPr>
              <w:spacing w:before="120" w:after="120" w:line="276" w:lineRule="auto"/>
              <w:jc w:val="center"/>
              <w:rPr>
                <w:rFonts w:ascii="Arial" w:eastAsia="Calibri" w:hAnsi="Arial"/>
                <w:sz w:val="22"/>
                <w:szCs w:val="22"/>
              </w:rPr>
            </w:pPr>
          </w:p>
        </w:tc>
        <w:tc>
          <w:tcPr>
            <w:tcW w:w="3969" w:type="dxa"/>
          </w:tcPr>
          <w:p w14:paraId="0688C8D6" w14:textId="77777777" w:rsidR="00126DEF" w:rsidRPr="00B27FB9" w:rsidRDefault="00126DEF" w:rsidP="00A70070">
            <w:pPr>
              <w:spacing w:before="120" w:after="120" w:line="276" w:lineRule="auto"/>
              <w:rPr>
                <w:rFonts w:ascii="Arial" w:eastAsia="Calibri" w:hAnsi="Arial"/>
                <w:sz w:val="22"/>
                <w:szCs w:val="22"/>
              </w:rPr>
            </w:pPr>
          </w:p>
        </w:tc>
        <w:tc>
          <w:tcPr>
            <w:tcW w:w="963" w:type="dxa"/>
          </w:tcPr>
          <w:p w14:paraId="488D7C64" w14:textId="77777777" w:rsidR="00126DEF" w:rsidRPr="00B27FB9" w:rsidRDefault="00126DEF" w:rsidP="00A70070">
            <w:pPr>
              <w:spacing w:before="120" w:after="120" w:line="276" w:lineRule="auto"/>
              <w:jc w:val="center"/>
              <w:rPr>
                <w:rFonts w:ascii="Arial" w:eastAsia="Calibri" w:hAnsi="Arial"/>
                <w:sz w:val="22"/>
                <w:szCs w:val="22"/>
              </w:rPr>
            </w:pPr>
          </w:p>
        </w:tc>
        <w:tc>
          <w:tcPr>
            <w:tcW w:w="1305" w:type="dxa"/>
          </w:tcPr>
          <w:p w14:paraId="76E9E4D3" w14:textId="77777777" w:rsidR="00126DEF" w:rsidRPr="00B27FB9" w:rsidRDefault="00126DEF" w:rsidP="00A70070">
            <w:pPr>
              <w:spacing w:before="120" w:after="120" w:line="276" w:lineRule="auto"/>
              <w:jc w:val="center"/>
              <w:rPr>
                <w:rFonts w:ascii="Arial" w:eastAsia="Calibri" w:hAnsi="Arial"/>
                <w:sz w:val="22"/>
                <w:szCs w:val="22"/>
              </w:rPr>
            </w:pPr>
          </w:p>
        </w:tc>
      </w:tr>
      <w:tr w:rsidR="00126DEF" w:rsidRPr="00B27FB9" w14:paraId="26A1DAC8" w14:textId="77777777" w:rsidTr="00A70070">
        <w:tc>
          <w:tcPr>
            <w:tcW w:w="1080" w:type="dxa"/>
          </w:tcPr>
          <w:p w14:paraId="3F4AFEB1" w14:textId="77777777" w:rsidR="00126DEF" w:rsidRPr="00B27FB9" w:rsidRDefault="00126DEF" w:rsidP="00A70070">
            <w:pPr>
              <w:spacing w:before="120" w:after="120" w:line="276" w:lineRule="auto"/>
              <w:jc w:val="center"/>
              <w:rPr>
                <w:rFonts w:ascii="Arial" w:eastAsia="Calibri" w:hAnsi="Arial"/>
                <w:sz w:val="22"/>
                <w:szCs w:val="22"/>
              </w:rPr>
            </w:pPr>
          </w:p>
        </w:tc>
        <w:tc>
          <w:tcPr>
            <w:tcW w:w="1188" w:type="dxa"/>
          </w:tcPr>
          <w:p w14:paraId="3B199296" w14:textId="77777777" w:rsidR="00126DEF" w:rsidRPr="00B27FB9" w:rsidRDefault="00126DEF" w:rsidP="00A70070">
            <w:pPr>
              <w:spacing w:before="120" w:after="120" w:line="276" w:lineRule="auto"/>
              <w:jc w:val="center"/>
              <w:rPr>
                <w:rFonts w:ascii="Arial" w:eastAsia="Calibri" w:hAnsi="Arial"/>
                <w:sz w:val="22"/>
                <w:szCs w:val="22"/>
              </w:rPr>
            </w:pPr>
          </w:p>
        </w:tc>
        <w:tc>
          <w:tcPr>
            <w:tcW w:w="3969" w:type="dxa"/>
          </w:tcPr>
          <w:p w14:paraId="5F194681" w14:textId="77777777" w:rsidR="00126DEF" w:rsidRPr="00B27FB9" w:rsidRDefault="00126DEF" w:rsidP="00A70070">
            <w:pPr>
              <w:spacing w:before="120" w:after="120" w:line="276" w:lineRule="auto"/>
              <w:rPr>
                <w:rFonts w:ascii="Arial" w:eastAsia="Calibri" w:hAnsi="Arial"/>
                <w:sz w:val="22"/>
                <w:szCs w:val="22"/>
              </w:rPr>
            </w:pPr>
          </w:p>
        </w:tc>
        <w:tc>
          <w:tcPr>
            <w:tcW w:w="963" w:type="dxa"/>
          </w:tcPr>
          <w:p w14:paraId="67B29DAD" w14:textId="77777777" w:rsidR="00126DEF" w:rsidRPr="00B27FB9" w:rsidRDefault="00126DEF" w:rsidP="00A70070">
            <w:pPr>
              <w:spacing w:before="120" w:after="120" w:line="276" w:lineRule="auto"/>
              <w:jc w:val="center"/>
              <w:rPr>
                <w:rFonts w:ascii="Arial" w:eastAsia="Calibri" w:hAnsi="Arial"/>
                <w:sz w:val="22"/>
                <w:szCs w:val="22"/>
              </w:rPr>
            </w:pPr>
          </w:p>
        </w:tc>
        <w:tc>
          <w:tcPr>
            <w:tcW w:w="1305" w:type="dxa"/>
          </w:tcPr>
          <w:p w14:paraId="4A57D562" w14:textId="77777777" w:rsidR="00126DEF" w:rsidRPr="00B27FB9" w:rsidRDefault="00126DEF" w:rsidP="00A70070">
            <w:pPr>
              <w:spacing w:before="120" w:after="120" w:line="276" w:lineRule="auto"/>
              <w:jc w:val="center"/>
              <w:rPr>
                <w:rFonts w:ascii="Arial" w:eastAsia="Calibri" w:hAnsi="Arial"/>
                <w:sz w:val="22"/>
                <w:szCs w:val="22"/>
              </w:rPr>
            </w:pPr>
          </w:p>
        </w:tc>
      </w:tr>
      <w:tr w:rsidR="00126DEF" w:rsidRPr="00B27FB9" w14:paraId="5CE89CBD" w14:textId="77777777" w:rsidTr="00A70070">
        <w:tc>
          <w:tcPr>
            <w:tcW w:w="1080" w:type="dxa"/>
          </w:tcPr>
          <w:p w14:paraId="2A52FDC1" w14:textId="77777777" w:rsidR="00126DEF" w:rsidRPr="00B27FB9" w:rsidRDefault="00126DEF" w:rsidP="00A70070">
            <w:pPr>
              <w:spacing w:before="120" w:after="120" w:line="276" w:lineRule="auto"/>
              <w:jc w:val="center"/>
              <w:rPr>
                <w:rFonts w:ascii="Arial" w:eastAsia="Calibri" w:hAnsi="Arial"/>
                <w:sz w:val="22"/>
                <w:szCs w:val="22"/>
              </w:rPr>
            </w:pPr>
          </w:p>
        </w:tc>
        <w:tc>
          <w:tcPr>
            <w:tcW w:w="1188" w:type="dxa"/>
          </w:tcPr>
          <w:p w14:paraId="4CDD9973" w14:textId="77777777" w:rsidR="00126DEF" w:rsidRPr="00B27FB9" w:rsidRDefault="00126DEF" w:rsidP="00A70070">
            <w:pPr>
              <w:spacing w:before="120" w:after="120" w:line="276" w:lineRule="auto"/>
              <w:jc w:val="center"/>
              <w:rPr>
                <w:rFonts w:ascii="Arial" w:eastAsia="Calibri" w:hAnsi="Arial"/>
                <w:sz w:val="22"/>
                <w:szCs w:val="22"/>
              </w:rPr>
            </w:pPr>
          </w:p>
        </w:tc>
        <w:tc>
          <w:tcPr>
            <w:tcW w:w="3969" w:type="dxa"/>
          </w:tcPr>
          <w:p w14:paraId="6C549D6D" w14:textId="77777777" w:rsidR="00126DEF" w:rsidRPr="00B27FB9" w:rsidRDefault="00126DEF" w:rsidP="00A70070">
            <w:pPr>
              <w:spacing w:before="120" w:after="120" w:line="276" w:lineRule="auto"/>
              <w:rPr>
                <w:rFonts w:ascii="Arial" w:eastAsia="Calibri" w:hAnsi="Arial"/>
                <w:sz w:val="22"/>
                <w:szCs w:val="22"/>
              </w:rPr>
            </w:pPr>
          </w:p>
        </w:tc>
        <w:tc>
          <w:tcPr>
            <w:tcW w:w="963" w:type="dxa"/>
          </w:tcPr>
          <w:p w14:paraId="052857D6" w14:textId="77777777" w:rsidR="00126DEF" w:rsidRPr="00B27FB9" w:rsidRDefault="00126DEF" w:rsidP="00A70070">
            <w:pPr>
              <w:spacing w:before="120" w:after="120" w:line="276" w:lineRule="auto"/>
              <w:jc w:val="center"/>
              <w:rPr>
                <w:rFonts w:ascii="Arial" w:eastAsia="Calibri" w:hAnsi="Arial"/>
                <w:sz w:val="22"/>
                <w:szCs w:val="22"/>
              </w:rPr>
            </w:pPr>
          </w:p>
        </w:tc>
        <w:tc>
          <w:tcPr>
            <w:tcW w:w="1305" w:type="dxa"/>
          </w:tcPr>
          <w:p w14:paraId="77BE5C52" w14:textId="77777777" w:rsidR="00126DEF" w:rsidRPr="00B27FB9" w:rsidRDefault="00126DEF" w:rsidP="00A70070">
            <w:pPr>
              <w:spacing w:before="120" w:after="120" w:line="276" w:lineRule="auto"/>
              <w:jc w:val="center"/>
              <w:rPr>
                <w:rFonts w:ascii="Arial" w:eastAsia="Calibri" w:hAnsi="Arial"/>
                <w:sz w:val="22"/>
                <w:szCs w:val="22"/>
              </w:rPr>
            </w:pPr>
          </w:p>
        </w:tc>
      </w:tr>
    </w:tbl>
    <w:p w14:paraId="62D1EEAD" w14:textId="77777777" w:rsidR="00126DEF" w:rsidRDefault="00126DEF" w:rsidP="00126DEF">
      <w:pPr>
        <w:spacing w:before="240" w:after="240"/>
        <w:jc w:val="center"/>
      </w:pPr>
    </w:p>
    <w:p w14:paraId="2ABE51E5" w14:textId="77777777" w:rsidR="00126DEF" w:rsidRDefault="00126DEF" w:rsidP="00126DEF">
      <w:pPr>
        <w:spacing w:before="240" w:after="240"/>
        <w:jc w:val="center"/>
        <w:rPr>
          <w:rFonts w:ascii="Arial" w:hAnsi="Arial"/>
          <w:b/>
          <w:sz w:val="28"/>
          <w:szCs w:val="32"/>
        </w:rPr>
      </w:pPr>
    </w:p>
    <w:p w14:paraId="62587902" w14:textId="77777777" w:rsidR="00126DEF" w:rsidRDefault="00126DEF" w:rsidP="00126DEF">
      <w:pPr>
        <w:spacing w:before="240" w:after="240"/>
        <w:jc w:val="center"/>
        <w:rPr>
          <w:rFonts w:ascii="Arial" w:hAnsi="Arial"/>
          <w:b/>
          <w:sz w:val="28"/>
          <w:szCs w:val="32"/>
        </w:rPr>
      </w:pPr>
    </w:p>
    <w:p w14:paraId="7727321E" w14:textId="77777777" w:rsidR="00126DEF" w:rsidRDefault="00126DEF" w:rsidP="00126DEF">
      <w:pPr>
        <w:spacing w:before="240" w:after="240"/>
        <w:jc w:val="center"/>
        <w:rPr>
          <w:rFonts w:ascii="Arial" w:hAnsi="Arial"/>
          <w:b/>
          <w:sz w:val="28"/>
          <w:szCs w:val="32"/>
        </w:rPr>
      </w:pPr>
    </w:p>
    <w:p w14:paraId="35BA946C" w14:textId="77777777" w:rsidR="00126DEF" w:rsidRDefault="00126DEF" w:rsidP="00126DEF">
      <w:pPr>
        <w:spacing w:before="240" w:after="240"/>
        <w:jc w:val="center"/>
        <w:rPr>
          <w:rFonts w:ascii="Arial" w:hAnsi="Arial"/>
          <w:b/>
          <w:sz w:val="28"/>
          <w:szCs w:val="32"/>
        </w:rPr>
      </w:pPr>
    </w:p>
    <w:p w14:paraId="51DCBFE3" w14:textId="77777777" w:rsidR="00126DEF" w:rsidRDefault="00126DEF" w:rsidP="00126DEF">
      <w:pPr>
        <w:spacing w:before="240" w:after="240"/>
        <w:jc w:val="center"/>
        <w:rPr>
          <w:rFonts w:ascii="Arial" w:hAnsi="Arial"/>
          <w:b/>
          <w:sz w:val="28"/>
          <w:szCs w:val="32"/>
        </w:rPr>
      </w:pPr>
    </w:p>
    <w:p w14:paraId="1CBA3A57" w14:textId="77777777" w:rsidR="00126DEF" w:rsidRDefault="00126DEF" w:rsidP="00126DEF">
      <w:pPr>
        <w:spacing w:before="240" w:after="240"/>
        <w:jc w:val="center"/>
        <w:rPr>
          <w:rFonts w:ascii="Arial" w:hAnsi="Arial"/>
          <w:b/>
          <w:sz w:val="28"/>
          <w:szCs w:val="32"/>
        </w:rPr>
      </w:pPr>
    </w:p>
    <w:p w14:paraId="2F5CCB09" w14:textId="77777777" w:rsidR="00126DEF" w:rsidRDefault="00126DEF" w:rsidP="00126DEF">
      <w:pPr>
        <w:spacing w:before="240" w:after="240"/>
        <w:jc w:val="center"/>
        <w:rPr>
          <w:rFonts w:ascii="Arial" w:hAnsi="Arial"/>
          <w:b/>
          <w:sz w:val="28"/>
          <w:szCs w:val="32"/>
        </w:rPr>
      </w:pPr>
    </w:p>
    <w:p w14:paraId="15E5F14A" w14:textId="77777777" w:rsidR="00126DEF" w:rsidRDefault="00126DEF" w:rsidP="00126DEF">
      <w:pPr>
        <w:spacing w:before="240" w:after="240"/>
        <w:jc w:val="center"/>
        <w:rPr>
          <w:rFonts w:ascii="Arial" w:hAnsi="Arial"/>
          <w:b/>
          <w:sz w:val="28"/>
          <w:szCs w:val="32"/>
        </w:rPr>
      </w:pPr>
    </w:p>
    <w:p w14:paraId="31664F44" w14:textId="77777777" w:rsidR="00126DEF" w:rsidRDefault="00126DEF" w:rsidP="00126DEF">
      <w:pPr>
        <w:spacing w:before="240" w:after="240"/>
        <w:jc w:val="center"/>
        <w:rPr>
          <w:rFonts w:ascii="Arial" w:hAnsi="Arial"/>
          <w:b/>
          <w:sz w:val="28"/>
          <w:szCs w:val="32"/>
        </w:rPr>
      </w:pPr>
    </w:p>
    <w:p w14:paraId="2E0EFA80" w14:textId="187ACEA7" w:rsidR="00126DEF" w:rsidRDefault="00126DEF" w:rsidP="0068377C">
      <w:pPr>
        <w:spacing w:before="240" w:after="240"/>
        <w:rPr>
          <w:rFonts w:ascii="Arial" w:hAnsi="Arial"/>
          <w:b/>
          <w:sz w:val="28"/>
          <w:szCs w:val="32"/>
        </w:rPr>
      </w:pPr>
    </w:p>
    <w:p w14:paraId="08EC68B9" w14:textId="77777777" w:rsidR="00806EE9" w:rsidRDefault="00806EE9" w:rsidP="00806EE9">
      <w:pPr>
        <w:spacing w:before="240" w:after="240"/>
        <w:rPr>
          <w:rFonts w:ascii="Arial" w:hAnsi="Arial"/>
          <w:b/>
          <w:sz w:val="28"/>
          <w:szCs w:val="32"/>
        </w:rPr>
      </w:pPr>
    </w:p>
    <w:tbl>
      <w:tblPr>
        <w:tblpPr w:leftFromText="180" w:rightFromText="180" w:vertAnchor="text" w:horzAnchor="margin" w:tblpY="360"/>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686"/>
        <w:gridCol w:w="5610"/>
      </w:tblGrid>
      <w:tr w:rsidR="00806EE9" w:rsidRPr="005A23E1" w14:paraId="0A524F60" w14:textId="77777777" w:rsidTr="2564C1D6">
        <w:trPr>
          <w:cantSplit/>
          <w:trHeight w:val="669"/>
        </w:trPr>
        <w:tc>
          <w:tcPr>
            <w:tcW w:w="1619" w:type="pct"/>
            <w:shd w:val="clear" w:color="auto" w:fill="323E4F" w:themeFill="text2" w:themeFillShade="BF"/>
          </w:tcPr>
          <w:p w14:paraId="707A3A26" w14:textId="77777777" w:rsidR="00806EE9" w:rsidRPr="00152107" w:rsidRDefault="00806EE9" w:rsidP="0044151B">
            <w:pPr>
              <w:autoSpaceDE w:val="0"/>
              <w:autoSpaceDN w:val="0"/>
              <w:spacing w:before="120" w:after="120"/>
              <w:jc w:val="center"/>
              <w:rPr>
                <w:rFonts w:ascii="Arial" w:hAnsi="Arial" w:cs="Arial"/>
                <w:b/>
                <w:color w:val="FFFFFF" w:themeColor="background1"/>
                <w:sz w:val="22"/>
                <w:szCs w:val="22"/>
              </w:rPr>
            </w:pPr>
            <w:r w:rsidRPr="00152107">
              <w:rPr>
                <w:rFonts w:ascii="Arial" w:hAnsi="Arial" w:cs="Arial"/>
                <w:b/>
                <w:color w:val="FFFFFF" w:themeColor="background1"/>
                <w:sz w:val="22"/>
                <w:szCs w:val="22"/>
              </w:rPr>
              <w:t>Defined Term</w:t>
            </w:r>
          </w:p>
        </w:tc>
        <w:tc>
          <w:tcPr>
            <w:tcW w:w="3381" w:type="pct"/>
            <w:shd w:val="clear" w:color="auto" w:fill="323E4F" w:themeFill="text2" w:themeFillShade="BF"/>
          </w:tcPr>
          <w:p w14:paraId="1C15C5CF" w14:textId="77777777" w:rsidR="00806EE9" w:rsidRPr="00152107" w:rsidRDefault="00806EE9" w:rsidP="0044151B">
            <w:pPr>
              <w:autoSpaceDE w:val="0"/>
              <w:autoSpaceDN w:val="0"/>
              <w:spacing w:before="120" w:after="120"/>
              <w:jc w:val="center"/>
              <w:rPr>
                <w:rFonts w:ascii="Arial" w:hAnsi="Arial" w:cs="Arial"/>
                <w:b/>
                <w:color w:val="FFFFFF" w:themeColor="background1"/>
                <w:sz w:val="22"/>
                <w:szCs w:val="22"/>
              </w:rPr>
            </w:pPr>
            <w:r w:rsidRPr="00152107">
              <w:rPr>
                <w:rFonts w:ascii="Arial" w:hAnsi="Arial" w:cs="Arial"/>
                <w:b/>
                <w:color w:val="FFFFFF" w:themeColor="background1"/>
                <w:sz w:val="22"/>
                <w:szCs w:val="22"/>
              </w:rPr>
              <w:t>Definition</w:t>
            </w:r>
          </w:p>
        </w:tc>
      </w:tr>
      <w:tr w:rsidR="5976D9B9" w14:paraId="03755A90" w14:textId="77777777" w:rsidTr="2564C1D6">
        <w:trPr>
          <w:cantSplit/>
          <w:trHeight w:val="402"/>
        </w:trPr>
        <w:tc>
          <w:tcPr>
            <w:tcW w:w="2686" w:type="dxa"/>
            <w:shd w:val="clear" w:color="auto" w:fill="auto"/>
          </w:tcPr>
          <w:p w14:paraId="17EAD682" w14:textId="58588B70" w:rsidR="5976D9B9" w:rsidRDefault="5976D9B9" w:rsidP="5976D9B9">
            <w:pPr>
              <w:spacing w:before="120" w:after="120" w:line="288" w:lineRule="auto"/>
              <w:rPr>
                <w:rFonts w:ascii="Arial" w:hAnsi="Arial" w:cs="Arial"/>
                <w:sz w:val="22"/>
                <w:szCs w:val="22"/>
              </w:rPr>
            </w:pPr>
            <w:r w:rsidRPr="5976D9B9">
              <w:rPr>
                <w:rFonts w:ascii="Arial" w:hAnsi="Arial" w:cs="Arial"/>
                <w:sz w:val="22"/>
                <w:szCs w:val="22"/>
                <w:lang w:val="en-US"/>
              </w:rPr>
              <w:t>Background IPR</w:t>
            </w:r>
          </w:p>
        </w:tc>
        <w:tc>
          <w:tcPr>
            <w:tcW w:w="5610" w:type="dxa"/>
            <w:shd w:val="clear" w:color="auto" w:fill="auto"/>
          </w:tcPr>
          <w:p w14:paraId="7F5DD421" w14:textId="23ABF65C" w:rsidR="5976D9B9" w:rsidRDefault="5976D9B9" w:rsidP="5976D9B9">
            <w:pPr>
              <w:spacing w:before="120" w:after="120" w:line="276" w:lineRule="auto"/>
              <w:ind w:left="32"/>
              <w:jc w:val="both"/>
              <w:rPr>
                <w:rFonts w:ascii="Arial" w:hAnsi="Arial" w:cs="Arial"/>
                <w:sz w:val="22"/>
                <w:szCs w:val="22"/>
              </w:rPr>
            </w:pPr>
            <w:r w:rsidRPr="5976D9B9">
              <w:rPr>
                <w:rFonts w:ascii="Arial" w:hAnsi="Arial" w:cs="Arial"/>
                <w:sz w:val="22"/>
                <w:szCs w:val="22"/>
                <w:lang w:val="en-US"/>
              </w:rPr>
              <w:t xml:space="preserve">is </w:t>
            </w:r>
            <w:r w:rsidRPr="5976D9B9">
              <w:rPr>
                <w:rFonts w:ascii="Arial" w:hAnsi="Arial" w:cs="Arial"/>
                <w:sz w:val="22"/>
                <w:szCs w:val="22"/>
              </w:rPr>
              <w:t xml:space="preserve">IPR owned by either the </w:t>
            </w:r>
            <w:r w:rsidRPr="5976D9B9">
              <w:rPr>
                <w:rFonts w:ascii="Arial" w:hAnsi="Arial" w:cs="Arial"/>
                <w:i/>
                <w:iCs/>
                <w:sz w:val="22"/>
                <w:szCs w:val="22"/>
              </w:rPr>
              <w:t xml:space="preserve">Consultant </w:t>
            </w:r>
            <w:r w:rsidRPr="5976D9B9">
              <w:rPr>
                <w:rFonts w:ascii="Arial" w:hAnsi="Arial" w:cs="Arial"/>
                <w:sz w:val="22"/>
                <w:szCs w:val="22"/>
              </w:rPr>
              <w:t xml:space="preserve">or a Third Party, as applicable, before the Contract Date or created by the </w:t>
            </w:r>
            <w:r w:rsidRPr="5976D9B9">
              <w:rPr>
                <w:rFonts w:ascii="Arial" w:hAnsi="Arial" w:cs="Arial"/>
                <w:i/>
                <w:iCs/>
                <w:sz w:val="22"/>
                <w:szCs w:val="22"/>
              </w:rPr>
              <w:t xml:space="preserve">Consultant </w:t>
            </w:r>
            <w:r w:rsidRPr="5976D9B9">
              <w:rPr>
                <w:rFonts w:ascii="Arial" w:hAnsi="Arial" w:cs="Arial"/>
                <w:sz w:val="22"/>
                <w:szCs w:val="22"/>
              </w:rPr>
              <w:t>or a Third Party</w:t>
            </w:r>
            <w:r w:rsidRPr="5976D9B9">
              <w:rPr>
                <w:rFonts w:ascii="Arial" w:hAnsi="Arial" w:cs="Arial"/>
                <w:i/>
                <w:iCs/>
                <w:sz w:val="22"/>
                <w:szCs w:val="22"/>
              </w:rPr>
              <w:t xml:space="preserve"> </w:t>
            </w:r>
            <w:r w:rsidRPr="5976D9B9">
              <w:rPr>
                <w:rFonts w:ascii="Arial" w:hAnsi="Arial" w:cs="Arial"/>
                <w:sz w:val="22"/>
                <w:szCs w:val="22"/>
              </w:rPr>
              <w:t xml:space="preserve">independently of the contract, which in each case is or will be used before or after </w:t>
            </w:r>
            <w:r w:rsidRPr="5976D9B9">
              <w:rPr>
                <w:rFonts w:ascii="Arial" w:hAnsi="Arial" w:cs="Arial"/>
                <w:i/>
                <w:iCs/>
                <w:sz w:val="22"/>
                <w:szCs w:val="22"/>
              </w:rPr>
              <w:t>defects date</w:t>
            </w:r>
            <w:r w:rsidRPr="5976D9B9">
              <w:rPr>
                <w:rFonts w:ascii="Arial" w:hAnsi="Arial" w:cs="Arial"/>
                <w:sz w:val="22"/>
                <w:szCs w:val="22"/>
              </w:rPr>
              <w:t xml:space="preserve"> for, Providing the Service (including its design, testing, implementation), its maintenance operation and improvement, but excluding IPRs owned by the </w:t>
            </w:r>
            <w:r w:rsidRPr="5976D9B9">
              <w:rPr>
                <w:rFonts w:ascii="Arial" w:hAnsi="Arial" w:cs="Arial"/>
                <w:i/>
                <w:iCs/>
                <w:sz w:val="22"/>
                <w:szCs w:val="22"/>
              </w:rPr>
              <w:t>Consultant</w:t>
            </w:r>
            <w:r w:rsidRPr="5976D9B9">
              <w:rPr>
                <w:rFonts w:ascii="Arial" w:hAnsi="Arial" w:cs="Arial"/>
                <w:sz w:val="22"/>
                <w:szCs w:val="22"/>
              </w:rPr>
              <w:t xml:space="preserve"> subsisting in the </w:t>
            </w:r>
            <w:r w:rsidRPr="5976D9B9">
              <w:rPr>
                <w:rFonts w:ascii="Arial" w:hAnsi="Arial" w:cs="Arial"/>
                <w:i/>
                <w:iCs/>
                <w:sz w:val="22"/>
                <w:szCs w:val="22"/>
              </w:rPr>
              <w:t>Consultant</w:t>
            </w:r>
            <w:r w:rsidRPr="5976D9B9">
              <w:rPr>
                <w:rFonts w:ascii="Arial" w:hAnsi="Arial" w:cs="Arial"/>
                <w:sz w:val="22"/>
                <w:szCs w:val="22"/>
              </w:rPr>
              <w:t xml:space="preserve"> Software or by any Third Party in Third Party Software.</w:t>
            </w:r>
          </w:p>
        </w:tc>
      </w:tr>
      <w:tr w:rsidR="000172AC" w:rsidRPr="005A23E1" w14:paraId="7120766A" w14:textId="77777777" w:rsidTr="2564C1D6">
        <w:trPr>
          <w:cantSplit/>
          <w:trHeight w:val="402"/>
        </w:trPr>
        <w:tc>
          <w:tcPr>
            <w:tcW w:w="1619" w:type="pct"/>
            <w:shd w:val="clear" w:color="auto" w:fill="auto"/>
          </w:tcPr>
          <w:p w14:paraId="50AF8F57" w14:textId="702F20BA" w:rsidR="000172AC" w:rsidRPr="005A23E1" w:rsidRDefault="000172AC" w:rsidP="00CA6631">
            <w:pPr>
              <w:overflowPunct w:val="0"/>
              <w:autoSpaceDE w:val="0"/>
              <w:autoSpaceDN w:val="0"/>
              <w:adjustRightInd w:val="0"/>
              <w:spacing w:before="120" w:after="120" w:line="288" w:lineRule="auto"/>
              <w:textAlignment w:val="baseline"/>
              <w:rPr>
                <w:rFonts w:ascii="Arial" w:hAnsi="Arial" w:cs="Arial"/>
                <w:sz w:val="22"/>
                <w:szCs w:val="22"/>
              </w:rPr>
            </w:pPr>
            <w:r w:rsidRPr="00CA6631">
              <w:rPr>
                <w:rFonts w:ascii="Arial" w:hAnsi="Arial" w:cs="Arial"/>
                <w:sz w:val="22"/>
                <w:szCs w:val="22"/>
              </w:rPr>
              <w:t>Category Purchase Agreement</w:t>
            </w:r>
          </w:p>
        </w:tc>
        <w:tc>
          <w:tcPr>
            <w:tcW w:w="3381" w:type="pct"/>
            <w:shd w:val="clear" w:color="auto" w:fill="auto"/>
          </w:tcPr>
          <w:p w14:paraId="7A1ACC67" w14:textId="734DB986" w:rsidR="000172AC" w:rsidRDefault="35CE6B69" w:rsidP="2564C1D6">
            <w:pPr>
              <w:spacing w:before="120" w:after="120" w:line="276" w:lineRule="auto"/>
              <w:ind w:left="32"/>
              <w:jc w:val="both"/>
              <w:rPr>
                <w:sz w:val="22"/>
                <w:szCs w:val="22"/>
              </w:rPr>
            </w:pPr>
            <w:r w:rsidRPr="2564C1D6">
              <w:rPr>
                <w:rFonts w:ascii="Arial" w:eastAsia="Arial" w:hAnsi="Arial" w:cs="Arial"/>
                <w:sz w:val="22"/>
                <w:szCs w:val="22"/>
              </w:rPr>
              <w:t xml:space="preserve">is a contract (including framework agreements and dynamic purchase system) which is established or may be established by the </w:t>
            </w:r>
            <w:r w:rsidRPr="2564C1D6">
              <w:rPr>
                <w:rFonts w:ascii="Arial" w:eastAsia="Arial" w:hAnsi="Arial" w:cs="Arial"/>
                <w:i/>
                <w:iCs/>
                <w:sz w:val="22"/>
                <w:szCs w:val="22"/>
              </w:rPr>
              <w:t xml:space="preserve">Client </w:t>
            </w:r>
            <w:r w:rsidRPr="2564C1D6">
              <w:rPr>
                <w:rFonts w:ascii="Arial" w:eastAsia="Arial" w:hAnsi="Arial" w:cs="Arial"/>
                <w:sz w:val="22"/>
                <w:szCs w:val="22"/>
              </w:rPr>
              <w:t xml:space="preserve">for common requirements across its asset management and wider expenditure plan under which the </w:t>
            </w:r>
            <w:r w:rsidRPr="2564C1D6">
              <w:rPr>
                <w:rFonts w:ascii="Arial" w:eastAsia="Arial" w:hAnsi="Arial" w:cs="Arial"/>
                <w:i/>
                <w:iCs/>
                <w:sz w:val="22"/>
                <w:szCs w:val="22"/>
              </w:rPr>
              <w:t xml:space="preserve">Consultant </w:t>
            </w:r>
            <w:r w:rsidRPr="2564C1D6">
              <w:rPr>
                <w:rFonts w:ascii="Arial" w:eastAsia="Arial" w:hAnsi="Arial" w:cs="Arial"/>
                <w:sz w:val="22"/>
                <w:szCs w:val="22"/>
              </w:rPr>
              <w:t>and others may enter into contracts with Category Suppliers.</w:t>
            </w:r>
          </w:p>
        </w:tc>
      </w:tr>
      <w:tr w:rsidR="2564C1D6" w14:paraId="7D62F447" w14:textId="77777777" w:rsidTr="2564C1D6">
        <w:trPr>
          <w:cantSplit/>
          <w:trHeight w:val="402"/>
        </w:trPr>
        <w:tc>
          <w:tcPr>
            <w:tcW w:w="2686" w:type="dxa"/>
            <w:shd w:val="clear" w:color="auto" w:fill="auto"/>
          </w:tcPr>
          <w:p w14:paraId="1DC21462" w14:textId="0005B186" w:rsidR="1D158ACA" w:rsidRDefault="1D158ACA" w:rsidP="2564C1D6">
            <w:pPr>
              <w:spacing w:before="120" w:after="120" w:line="276" w:lineRule="auto"/>
              <w:ind w:left="32"/>
              <w:jc w:val="both"/>
              <w:rPr>
                <w:rFonts w:ascii="Arial" w:eastAsia="Arial" w:hAnsi="Arial" w:cs="Arial"/>
                <w:sz w:val="22"/>
                <w:szCs w:val="22"/>
              </w:rPr>
            </w:pPr>
            <w:r w:rsidRPr="2564C1D6">
              <w:rPr>
                <w:rFonts w:ascii="Arial" w:eastAsia="Arial" w:hAnsi="Arial" w:cs="Arial"/>
                <w:sz w:val="22"/>
                <w:szCs w:val="22"/>
              </w:rPr>
              <w:t>Category Supplier</w:t>
            </w:r>
          </w:p>
        </w:tc>
        <w:tc>
          <w:tcPr>
            <w:tcW w:w="5610" w:type="dxa"/>
            <w:shd w:val="clear" w:color="auto" w:fill="auto"/>
          </w:tcPr>
          <w:p w14:paraId="7E36D90E" w14:textId="06CD1B64" w:rsidR="1D158ACA" w:rsidRDefault="1D158ACA" w:rsidP="2564C1D6">
            <w:pPr>
              <w:spacing w:before="120" w:after="120" w:line="276" w:lineRule="auto"/>
              <w:ind w:left="32"/>
              <w:jc w:val="both"/>
              <w:rPr>
                <w:rFonts w:ascii="Arial" w:eastAsia="Arial" w:hAnsi="Arial" w:cs="Arial"/>
                <w:sz w:val="22"/>
                <w:szCs w:val="22"/>
              </w:rPr>
            </w:pPr>
            <w:r w:rsidRPr="2564C1D6">
              <w:rPr>
                <w:rFonts w:ascii="Arial" w:eastAsia="Arial" w:hAnsi="Arial" w:cs="Arial"/>
                <w:sz w:val="22"/>
                <w:szCs w:val="22"/>
              </w:rPr>
              <w:t>is a supplier who is appointed via a Category Purchase Agreement.</w:t>
            </w:r>
          </w:p>
        </w:tc>
      </w:tr>
      <w:tr w:rsidR="00AC630B" w:rsidRPr="005A23E1" w14:paraId="649A4A52" w14:textId="77777777" w:rsidTr="2564C1D6">
        <w:trPr>
          <w:cantSplit/>
          <w:trHeight w:val="402"/>
        </w:trPr>
        <w:tc>
          <w:tcPr>
            <w:tcW w:w="1619" w:type="pct"/>
            <w:shd w:val="clear" w:color="auto" w:fill="auto"/>
          </w:tcPr>
          <w:p w14:paraId="2C3C3073" w14:textId="4DE507E9" w:rsidR="00AC630B" w:rsidRDefault="00AC630B" w:rsidP="00CA6631">
            <w:pPr>
              <w:overflowPunct w:val="0"/>
              <w:autoSpaceDE w:val="0"/>
              <w:autoSpaceDN w:val="0"/>
              <w:adjustRightInd w:val="0"/>
              <w:spacing w:before="120" w:after="120" w:line="288" w:lineRule="auto"/>
              <w:textAlignment w:val="baseline"/>
              <w:rPr>
                <w:rFonts w:ascii="Arial" w:hAnsi="Arial" w:cs="Arial"/>
                <w:sz w:val="22"/>
                <w:szCs w:val="22"/>
              </w:rPr>
            </w:pPr>
            <w:r w:rsidRPr="00CA6631">
              <w:rPr>
                <w:rFonts w:ascii="Arial" w:hAnsi="Arial" w:cs="Arial"/>
                <w:sz w:val="22"/>
                <w:szCs w:val="22"/>
              </w:rPr>
              <w:t>Cadent</w:t>
            </w:r>
          </w:p>
        </w:tc>
        <w:tc>
          <w:tcPr>
            <w:tcW w:w="3381" w:type="pct"/>
            <w:shd w:val="clear" w:color="auto" w:fill="auto"/>
          </w:tcPr>
          <w:p w14:paraId="1C1B7669" w14:textId="5889AFFC" w:rsidR="00AC630B" w:rsidRDefault="00AC630B" w:rsidP="0044151B">
            <w:pPr>
              <w:spacing w:before="120" w:after="120" w:line="276" w:lineRule="auto"/>
              <w:ind w:left="32"/>
              <w:jc w:val="both"/>
              <w:rPr>
                <w:rFonts w:ascii="Arial" w:hAnsi="Arial" w:cs="Arial"/>
                <w:sz w:val="22"/>
                <w:szCs w:val="22"/>
              </w:rPr>
            </w:pPr>
            <w:r w:rsidRPr="00CA6631">
              <w:rPr>
                <w:rFonts w:ascii="Arial" w:hAnsi="Arial" w:cs="Arial"/>
                <w:sz w:val="22"/>
                <w:szCs w:val="22"/>
              </w:rPr>
              <w:t>Cadent Gas Ltd.</w:t>
            </w:r>
          </w:p>
        </w:tc>
      </w:tr>
      <w:tr w:rsidR="637B839A" w14:paraId="068E38F1" w14:textId="77777777" w:rsidTr="2564C1D6">
        <w:trPr>
          <w:cantSplit/>
          <w:trHeight w:val="402"/>
        </w:trPr>
        <w:tc>
          <w:tcPr>
            <w:tcW w:w="2686" w:type="dxa"/>
            <w:shd w:val="clear" w:color="auto" w:fill="auto"/>
          </w:tcPr>
          <w:p w14:paraId="3E430E37" w14:textId="21B06DC5" w:rsidR="76104899" w:rsidRDefault="07E07A88" w:rsidP="6B0A28EA">
            <w:pPr>
              <w:spacing w:before="120" w:after="120" w:line="276" w:lineRule="auto"/>
              <w:ind w:left="32"/>
              <w:jc w:val="both"/>
              <w:rPr>
                <w:rFonts w:ascii="Arial" w:hAnsi="Arial" w:cs="Arial"/>
                <w:sz w:val="22"/>
                <w:szCs w:val="22"/>
              </w:rPr>
            </w:pPr>
            <w:r w:rsidRPr="6B0A28EA">
              <w:rPr>
                <w:rFonts w:ascii="Arial" w:hAnsi="Arial" w:cs="Arial"/>
                <w:sz w:val="22"/>
                <w:szCs w:val="22"/>
              </w:rPr>
              <w:t>Common Data Environment (CDE)</w:t>
            </w:r>
          </w:p>
        </w:tc>
        <w:tc>
          <w:tcPr>
            <w:tcW w:w="5610" w:type="dxa"/>
            <w:shd w:val="clear" w:color="auto" w:fill="auto"/>
          </w:tcPr>
          <w:p w14:paraId="21F9BE6E" w14:textId="39DA0986" w:rsidR="4F362C4A" w:rsidRDefault="0409ECD8" w:rsidP="6B0A28EA">
            <w:pPr>
              <w:spacing w:before="120" w:after="120" w:line="276" w:lineRule="auto"/>
              <w:ind w:left="32"/>
              <w:jc w:val="both"/>
              <w:rPr>
                <w:rFonts w:ascii="Arial" w:hAnsi="Arial" w:cs="Arial"/>
                <w:sz w:val="22"/>
                <w:szCs w:val="22"/>
              </w:rPr>
            </w:pPr>
            <w:r w:rsidRPr="6B0A28EA">
              <w:rPr>
                <w:rFonts w:ascii="Arial" w:hAnsi="Arial" w:cs="Arial"/>
                <w:sz w:val="22"/>
                <w:szCs w:val="22"/>
              </w:rPr>
              <w:t xml:space="preserve">is the central repository for the housing of project information, including design and construction </w:t>
            </w:r>
            <w:proofErr w:type="gramStart"/>
            <w:r w:rsidRPr="6B0A28EA">
              <w:rPr>
                <w:rFonts w:ascii="Arial" w:hAnsi="Arial" w:cs="Arial"/>
                <w:sz w:val="22"/>
                <w:szCs w:val="22"/>
              </w:rPr>
              <w:t>content.</w:t>
            </w:r>
            <w:proofErr w:type="gramEnd"/>
          </w:p>
        </w:tc>
      </w:tr>
      <w:tr w:rsidR="6B0A28EA" w14:paraId="1F93112D" w14:textId="77777777" w:rsidTr="2564C1D6">
        <w:trPr>
          <w:cantSplit/>
          <w:trHeight w:val="402"/>
        </w:trPr>
        <w:tc>
          <w:tcPr>
            <w:tcW w:w="2686" w:type="dxa"/>
            <w:shd w:val="clear" w:color="auto" w:fill="auto"/>
          </w:tcPr>
          <w:p w14:paraId="47CEE97E" w14:textId="2D4736B5" w:rsidR="3BA9E8B9" w:rsidRDefault="3BA9E8B9" w:rsidP="6B0A28EA">
            <w:pPr>
              <w:spacing w:before="120" w:after="120" w:line="276" w:lineRule="auto"/>
              <w:ind w:left="32"/>
              <w:jc w:val="both"/>
              <w:rPr>
                <w:rFonts w:ascii="Arial" w:hAnsi="Arial" w:cs="Arial"/>
                <w:sz w:val="22"/>
                <w:szCs w:val="22"/>
              </w:rPr>
            </w:pPr>
            <w:r w:rsidRPr="6B0A28EA">
              <w:rPr>
                <w:rFonts w:ascii="Arial" w:hAnsi="Arial" w:cs="Arial"/>
                <w:sz w:val="22"/>
                <w:szCs w:val="22"/>
              </w:rPr>
              <w:t>Comptroller and Auditor General</w:t>
            </w:r>
          </w:p>
        </w:tc>
        <w:tc>
          <w:tcPr>
            <w:tcW w:w="5610" w:type="dxa"/>
            <w:shd w:val="clear" w:color="auto" w:fill="auto"/>
          </w:tcPr>
          <w:p w14:paraId="48687B4C" w14:textId="1AFFDD70" w:rsidR="3BA9E8B9" w:rsidRDefault="3BA9E8B9" w:rsidP="6B0A28EA">
            <w:pPr>
              <w:spacing w:before="120" w:after="120" w:line="276" w:lineRule="auto"/>
              <w:ind w:left="32"/>
              <w:jc w:val="both"/>
              <w:rPr>
                <w:rFonts w:ascii="Arial" w:hAnsi="Arial" w:cs="Arial"/>
                <w:sz w:val="22"/>
                <w:szCs w:val="22"/>
              </w:rPr>
            </w:pPr>
            <w:r w:rsidRPr="6B0A28EA">
              <w:rPr>
                <w:rFonts w:ascii="Arial" w:hAnsi="Arial" w:cs="Arial"/>
                <w:sz w:val="22"/>
                <w:szCs w:val="22"/>
              </w:rPr>
              <w:t xml:space="preserve">in the United Kingdom is the government official </w:t>
            </w:r>
            <w:r w:rsidRPr="6B0A28EA">
              <w:rPr>
                <w:rFonts w:ascii="Arial" w:hAnsi="Arial" w:cs="Arial"/>
                <w:sz w:val="22"/>
                <w:szCs w:val="22"/>
                <w:lang w:val="en"/>
              </w:rPr>
              <w:t>responsible for supervising the quality of public accounting and financial reporting.</w:t>
            </w:r>
          </w:p>
        </w:tc>
      </w:tr>
      <w:tr w:rsidR="00806EE9" w:rsidRPr="005A23E1" w14:paraId="4B2A3D74" w14:textId="77777777" w:rsidTr="2564C1D6">
        <w:trPr>
          <w:cantSplit/>
          <w:trHeight w:val="402"/>
        </w:trPr>
        <w:tc>
          <w:tcPr>
            <w:tcW w:w="1619" w:type="pct"/>
            <w:shd w:val="clear" w:color="auto" w:fill="auto"/>
          </w:tcPr>
          <w:p w14:paraId="28FA8374" w14:textId="77777777" w:rsidR="00806EE9" w:rsidRPr="00F731C5" w:rsidRDefault="00806EE9" w:rsidP="0044151B">
            <w:pPr>
              <w:overflowPunct w:val="0"/>
              <w:autoSpaceDE w:val="0"/>
              <w:autoSpaceDN w:val="0"/>
              <w:adjustRightInd w:val="0"/>
              <w:spacing w:before="120" w:after="120" w:line="288" w:lineRule="auto"/>
              <w:textAlignment w:val="baseline"/>
              <w:rPr>
                <w:rFonts w:ascii="Arial" w:hAnsi="Arial" w:cs="Arial"/>
                <w:bCs/>
                <w:color w:val="FF0000"/>
                <w:sz w:val="22"/>
                <w:szCs w:val="22"/>
              </w:rPr>
            </w:pPr>
            <w:r w:rsidRPr="005A23E1">
              <w:rPr>
                <w:rFonts w:ascii="Arial" w:hAnsi="Arial" w:cs="Arial"/>
                <w:bCs/>
                <w:sz w:val="22"/>
                <w:szCs w:val="22"/>
              </w:rPr>
              <w:t>Confidential Information</w:t>
            </w:r>
          </w:p>
        </w:tc>
        <w:tc>
          <w:tcPr>
            <w:tcW w:w="3381" w:type="pct"/>
            <w:shd w:val="clear" w:color="auto" w:fill="auto"/>
          </w:tcPr>
          <w:p w14:paraId="2D91BDC7" w14:textId="18DF28FD" w:rsidR="00806EE9" w:rsidRPr="00F731C5" w:rsidRDefault="00806EE9" w:rsidP="00CA6631">
            <w:pPr>
              <w:spacing w:before="120" w:after="120" w:line="276" w:lineRule="auto"/>
              <w:ind w:left="32"/>
              <w:rPr>
                <w:rFonts w:ascii="Arial" w:hAnsi="Arial" w:cs="Arial"/>
                <w:color w:val="FF0000"/>
                <w:sz w:val="22"/>
                <w:szCs w:val="22"/>
              </w:rPr>
            </w:pPr>
            <w:r w:rsidRPr="00CA6631">
              <w:rPr>
                <w:rFonts w:ascii="Arial" w:hAnsi="Arial" w:cs="Arial"/>
                <w:sz w:val="22"/>
                <w:szCs w:val="22"/>
              </w:rPr>
              <w:t xml:space="preserve">any data or information which has been classified by </w:t>
            </w:r>
            <w:r w:rsidR="00EE3134">
              <w:rPr>
                <w:rFonts w:ascii="Arial" w:hAnsi="Arial" w:cs="Arial"/>
                <w:sz w:val="22"/>
                <w:szCs w:val="22"/>
              </w:rPr>
              <w:t xml:space="preserve">National Highways </w:t>
            </w:r>
            <w:r w:rsidRPr="00CA6631">
              <w:rPr>
                <w:rFonts w:ascii="Arial" w:hAnsi="Arial" w:cs="Arial"/>
                <w:sz w:val="22"/>
                <w:szCs w:val="22"/>
              </w:rPr>
              <w:t xml:space="preserve">as being confidential. However, </w:t>
            </w:r>
            <w:r w:rsidR="00EE3134">
              <w:rPr>
                <w:rFonts w:ascii="Arial" w:hAnsi="Arial" w:cs="Arial"/>
                <w:sz w:val="22"/>
                <w:szCs w:val="22"/>
              </w:rPr>
              <w:t xml:space="preserve">National Highways </w:t>
            </w:r>
            <w:r w:rsidRPr="00CA6631">
              <w:rPr>
                <w:rFonts w:ascii="Arial" w:hAnsi="Arial" w:cs="Arial"/>
                <w:sz w:val="22"/>
                <w:szCs w:val="22"/>
              </w:rPr>
              <w:t xml:space="preserve">uses the HMG Government Security Classification Scheme (GSC).  </w:t>
            </w:r>
          </w:p>
        </w:tc>
      </w:tr>
      <w:tr w:rsidR="00806EE9" w:rsidRPr="005A23E1" w14:paraId="52C685E1" w14:textId="77777777" w:rsidTr="2564C1D6">
        <w:trPr>
          <w:cantSplit/>
          <w:trHeight w:val="402"/>
        </w:trPr>
        <w:tc>
          <w:tcPr>
            <w:tcW w:w="1619" w:type="pct"/>
          </w:tcPr>
          <w:p w14:paraId="2E8473E4" w14:textId="77777777" w:rsidR="00806EE9" w:rsidRPr="00774C47" w:rsidRDefault="00806EE9" w:rsidP="0044151B">
            <w:pPr>
              <w:overflowPunct w:val="0"/>
              <w:autoSpaceDE w:val="0"/>
              <w:autoSpaceDN w:val="0"/>
              <w:adjustRightInd w:val="0"/>
              <w:spacing w:before="120" w:after="120" w:line="288" w:lineRule="auto"/>
              <w:textAlignment w:val="baseline"/>
              <w:rPr>
                <w:rFonts w:ascii="Arial" w:hAnsi="Arial" w:cs="Arial"/>
                <w:sz w:val="22"/>
                <w:szCs w:val="22"/>
                <w:lang w:val="en-US"/>
              </w:rPr>
            </w:pPr>
            <w:r w:rsidRPr="00774C47">
              <w:rPr>
                <w:rFonts w:ascii="Arial" w:hAnsi="Arial" w:cs="Arial"/>
                <w:bCs/>
                <w:sz w:val="22"/>
                <w:szCs w:val="22"/>
              </w:rPr>
              <w:t>Confidential Information</w:t>
            </w:r>
          </w:p>
        </w:tc>
        <w:tc>
          <w:tcPr>
            <w:tcW w:w="3381" w:type="pct"/>
          </w:tcPr>
          <w:p w14:paraId="2A5EC91F" w14:textId="77777777" w:rsidR="00806EE9" w:rsidRPr="00774C47" w:rsidRDefault="00806EE9" w:rsidP="00CA6631">
            <w:pPr>
              <w:spacing w:before="120" w:after="120" w:line="276" w:lineRule="auto"/>
              <w:ind w:left="32"/>
              <w:jc w:val="both"/>
              <w:rPr>
                <w:rFonts w:ascii="Arial" w:hAnsi="Arial" w:cs="Arial"/>
                <w:sz w:val="22"/>
                <w:szCs w:val="22"/>
              </w:rPr>
            </w:pPr>
            <w:r w:rsidRPr="00CA6631">
              <w:rPr>
                <w:rFonts w:ascii="Arial" w:hAnsi="Arial" w:cs="Arial"/>
                <w:sz w:val="22"/>
                <w:szCs w:val="22"/>
              </w:rPr>
              <w:t xml:space="preserve">is </w:t>
            </w:r>
          </w:p>
          <w:p w14:paraId="11567531" w14:textId="7B9831D3" w:rsidR="00806EE9" w:rsidRPr="00774C47" w:rsidRDefault="00806EE9" w:rsidP="0044151B">
            <w:pPr>
              <w:numPr>
                <w:ilvl w:val="0"/>
                <w:numId w:val="11"/>
              </w:numPr>
              <w:spacing w:before="120" w:after="120" w:line="276" w:lineRule="auto"/>
              <w:ind w:left="297" w:hanging="283"/>
              <w:jc w:val="both"/>
              <w:rPr>
                <w:rFonts w:ascii="Arial" w:hAnsi="Arial" w:cs="Arial"/>
                <w:sz w:val="22"/>
                <w:szCs w:val="22"/>
              </w:rPr>
            </w:pPr>
            <w:r w:rsidRPr="00CA6631">
              <w:rPr>
                <w:rFonts w:ascii="Arial" w:hAnsi="Arial" w:cs="Arial"/>
                <w:sz w:val="22"/>
                <w:szCs w:val="22"/>
              </w:rPr>
              <w:t xml:space="preserve">information, including all Personal Data, which (however it is conveyed) is provided by the </w:t>
            </w:r>
            <w:r w:rsidR="005D355F" w:rsidRPr="00CA6631">
              <w:rPr>
                <w:rFonts w:ascii="Arial" w:hAnsi="Arial" w:cs="Arial"/>
                <w:sz w:val="22"/>
                <w:szCs w:val="22"/>
              </w:rPr>
              <w:lastRenderedPageBreak/>
              <w:t>D</w:t>
            </w:r>
            <w:r w:rsidRPr="00CA6631">
              <w:rPr>
                <w:rFonts w:ascii="Arial" w:hAnsi="Arial" w:cs="Arial"/>
                <w:sz w:val="22"/>
                <w:szCs w:val="22"/>
              </w:rPr>
              <w:t>isclosing Party in connection with the contract that relates to</w:t>
            </w:r>
          </w:p>
          <w:p w14:paraId="3CDAA4DB" w14:textId="77777777" w:rsidR="00806EE9" w:rsidRPr="00774C47" w:rsidRDefault="00806EE9" w:rsidP="0044151B">
            <w:pPr>
              <w:numPr>
                <w:ilvl w:val="0"/>
                <w:numId w:val="11"/>
              </w:numPr>
              <w:spacing w:before="120" w:after="120" w:line="276" w:lineRule="auto"/>
              <w:ind w:left="882"/>
              <w:jc w:val="both"/>
              <w:rPr>
                <w:rFonts w:ascii="Arial" w:hAnsi="Arial" w:cs="Arial"/>
                <w:sz w:val="22"/>
                <w:szCs w:val="22"/>
              </w:rPr>
            </w:pPr>
            <w:r w:rsidRPr="00774C47">
              <w:rPr>
                <w:rFonts w:ascii="Arial" w:hAnsi="Arial" w:cs="Arial"/>
                <w:sz w:val="22"/>
                <w:szCs w:val="22"/>
              </w:rPr>
              <w:t>the Disclosing Party Group or</w:t>
            </w:r>
          </w:p>
          <w:p w14:paraId="2AF3270C" w14:textId="77777777" w:rsidR="00806EE9" w:rsidRPr="00774C47" w:rsidRDefault="00806EE9" w:rsidP="0044151B">
            <w:pPr>
              <w:numPr>
                <w:ilvl w:val="0"/>
                <w:numId w:val="11"/>
              </w:numPr>
              <w:spacing w:before="120" w:after="120" w:line="276" w:lineRule="auto"/>
              <w:ind w:left="882"/>
              <w:jc w:val="both"/>
              <w:rPr>
                <w:rFonts w:ascii="Arial" w:hAnsi="Arial" w:cs="Arial"/>
                <w:sz w:val="22"/>
                <w:szCs w:val="22"/>
              </w:rPr>
            </w:pPr>
            <w:r w:rsidRPr="00CA6631">
              <w:rPr>
                <w:rFonts w:ascii="Arial" w:hAnsi="Arial" w:cs="Arial"/>
                <w:sz w:val="22"/>
                <w:szCs w:val="22"/>
              </w:rPr>
              <w:t>the operations, business, affairs, developments, Intellectual Property Rights, trade secrets, know-how and personnel of the Disclosing Party Group,</w:t>
            </w:r>
          </w:p>
          <w:p w14:paraId="4D2DC7C2" w14:textId="0CB35419" w:rsidR="00806EE9" w:rsidRPr="00774C47" w:rsidRDefault="00806EE9" w:rsidP="0044151B">
            <w:pPr>
              <w:numPr>
                <w:ilvl w:val="0"/>
                <w:numId w:val="11"/>
              </w:numPr>
              <w:spacing w:before="120" w:after="120" w:line="276" w:lineRule="auto"/>
              <w:ind w:left="297" w:hanging="283"/>
              <w:jc w:val="both"/>
              <w:rPr>
                <w:rFonts w:ascii="Arial" w:hAnsi="Arial" w:cs="Arial"/>
                <w:sz w:val="22"/>
                <w:szCs w:val="22"/>
              </w:rPr>
            </w:pPr>
            <w:r w:rsidRPr="00CA6631">
              <w:rPr>
                <w:rFonts w:ascii="Arial" w:hAnsi="Arial" w:cs="Arial"/>
                <w:sz w:val="22"/>
                <w:szCs w:val="22"/>
              </w:rPr>
              <w:t xml:space="preserve">other information provided by the </w:t>
            </w:r>
            <w:r w:rsidR="00CE7308" w:rsidRPr="00CA6631">
              <w:rPr>
                <w:rFonts w:ascii="Arial" w:hAnsi="Arial" w:cs="Arial"/>
                <w:sz w:val="22"/>
                <w:szCs w:val="22"/>
              </w:rPr>
              <w:t>D</w:t>
            </w:r>
            <w:r w:rsidRPr="00CA6631">
              <w:rPr>
                <w:rFonts w:ascii="Arial" w:hAnsi="Arial" w:cs="Arial"/>
                <w:sz w:val="22"/>
                <w:szCs w:val="22"/>
              </w:rPr>
              <w:t xml:space="preserve">isclosing Party in accordance </w:t>
            </w:r>
            <w:r w:rsidR="00DA2123" w:rsidRPr="00CA6631">
              <w:rPr>
                <w:rFonts w:ascii="Arial" w:hAnsi="Arial" w:cs="Arial"/>
                <w:sz w:val="22"/>
                <w:szCs w:val="22"/>
              </w:rPr>
              <w:t xml:space="preserve">with </w:t>
            </w:r>
            <w:r w:rsidRPr="00CA6631">
              <w:rPr>
                <w:rFonts w:ascii="Arial" w:hAnsi="Arial" w:cs="Arial"/>
                <w:sz w:val="22"/>
                <w:szCs w:val="22"/>
              </w:rPr>
              <w:t>the contract that is clearly designated as being confidential or equivalent or that ought reasonably to be considered to be confidential (whether or not it is so marked) which comes (or has come) to the Recipient’s attention or into the Recipient’s possession in connection with the contract,</w:t>
            </w:r>
          </w:p>
          <w:p w14:paraId="7055337E" w14:textId="417EBD89" w:rsidR="00806EE9" w:rsidRPr="00774C47" w:rsidRDefault="00806EE9" w:rsidP="0044151B">
            <w:pPr>
              <w:numPr>
                <w:ilvl w:val="0"/>
                <w:numId w:val="11"/>
              </w:numPr>
              <w:spacing w:before="120" w:after="120" w:line="276" w:lineRule="auto"/>
              <w:ind w:left="297" w:hanging="283"/>
              <w:jc w:val="both"/>
              <w:rPr>
                <w:rFonts w:ascii="Arial" w:hAnsi="Arial" w:cs="Arial"/>
                <w:sz w:val="22"/>
                <w:szCs w:val="22"/>
              </w:rPr>
            </w:pPr>
            <w:r w:rsidRPr="00CA6631">
              <w:rPr>
                <w:rFonts w:ascii="Arial" w:hAnsi="Arial" w:cs="Arial"/>
                <w:sz w:val="22"/>
                <w:szCs w:val="22"/>
              </w:rPr>
              <w:t xml:space="preserve">discussions, negotiations, and correspondence between the </w:t>
            </w:r>
            <w:r w:rsidR="00273933" w:rsidRPr="00CA6631">
              <w:rPr>
                <w:rFonts w:ascii="Arial" w:hAnsi="Arial" w:cs="Arial"/>
                <w:sz w:val="22"/>
                <w:szCs w:val="22"/>
              </w:rPr>
              <w:t>D</w:t>
            </w:r>
            <w:r w:rsidRPr="00CA6631">
              <w:rPr>
                <w:rFonts w:ascii="Arial" w:hAnsi="Arial" w:cs="Arial"/>
                <w:sz w:val="22"/>
                <w:szCs w:val="22"/>
              </w:rPr>
              <w:t>isclosing Party or any of its directors, officers, employees, consultants or professional advisers and the Recipient or any of its directors, officers, employees, consultants and professional advisers in connection with the contract and all matters arising therefrom; and</w:t>
            </w:r>
          </w:p>
          <w:p w14:paraId="0FA556B2" w14:textId="77777777" w:rsidR="00806EE9" w:rsidRPr="00774C47" w:rsidRDefault="00806EE9" w:rsidP="0044151B">
            <w:pPr>
              <w:numPr>
                <w:ilvl w:val="0"/>
                <w:numId w:val="11"/>
              </w:numPr>
              <w:spacing w:before="120" w:after="120" w:line="276" w:lineRule="auto"/>
              <w:ind w:left="297" w:hanging="283"/>
              <w:jc w:val="both"/>
              <w:rPr>
                <w:rFonts w:ascii="Arial" w:hAnsi="Arial" w:cs="Arial"/>
                <w:sz w:val="22"/>
                <w:szCs w:val="22"/>
              </w:rPr>
            </w:pPr>
            <w:r w:rsidRPr="00774C47">
              <w:rPr>
                <w:rFonts w:ascii="Arial" w:hAnsi="Arial" w:cs="Arial"/>
                <w:sz w:val="22"/>
                <w:szCs w:val="22"/>
              </w:rPr>
              <w:t>information derived from any of the above,</w:t>
            </w:r>
          </w:p>
          <w:p w14:paraId="54FBB01F" w14:textId="77777777" w:rsidR="00806EE9" w:rsidRPr="00774C47" w:rsidRDefault="00806EE9" w:rsidP="0044151B">
            <w:pPr>
              <w:spacing w:before="120" w:after="120" w:line="276" w:lineRule="auto"/>
              <w:ind w:left="32"/>
              <w:jc w:val="both"/>
              <w:rPr>
                <w:rFonts w:ascii="Arial" w:hAnsi="Arial" w:cs="Arial"/>
                <w:sz w:val="22"/>
                <w:szCs w:val="22"/>
              </w:rPr>
            </w:pPr>
            <w:r w:rsidRPr="00774C47">
              <w:rPr>
                <w:rFonts w:ascii="Arial" w:hAnsi="Arial" w:cs="Arial"/>
                <w:sz w:val="22"/>
                <w:szCs w:val="22"/>
              </w:rPr>
              <w:t>but not including any information which</w:t>
            </w:r>
          </w:p>
          <w:p w14:paraId="56A07DB6" w14:textId="54E8DBF4" w:rsidR="00806EE9" w:rsidRPr="00774C47" w:rsidRDefault="00806EE9" w:rsidP="0044151B">
            <w:pPr>
              <w:numPr>
                <w:ilvl w:val="0"/>
                <w:numId w:val="11"/>
              </w:numPr>
              <w:spacing w:before="120" w:after="120" w:line="276" w:lineRule="auto"/>
              <w:ind w:left="297" w:hanging="283"/>
              <w:jc w:val="both"/>
              <w:rPr>
                <w:rFonts w:ascii="Arial" w:hAnsi="Arial" w:cs="Arial"/>
                <w:sz w:val="22"/>
                <w:szCs w:val="22"/>
              </w:rPr>
            </w:pPr>
            <w:r w:rsidRPr="00CA6631">
              <w:rPr>
                <w:rFonts w:ascii="Arial" w:hAnsi="Arial" w:cs="Arial"/>
                <w:sz w:val="22"/>
                <w:szCs w:val="22"/>
              </w:rPr>
              <w:t xml:space="preserve">was in the possession of the Recipient without obligation of confidentiality prior to its disclosure by the </w:t>
            </w:r>
            <w:r w:rsidR="00273933" w:rsidRPr="00CA6631">
              <w:rPr>
                <w:rFonts w:ascii="Arial" w:hAnsi="Arial" w:cs="Arial"/>
                <w:sz w:val="22"/>
                <w:szCs w:val="22"/>
              </w:rPr>
              <w:t>D</w:t>
            </w:r>
            <w:r w:rsidRPr="00CA6631">
              <w:rPr>
                <w:rFonts w:ascii="Arial" w:hAnsi="Arial" w:cs="Arial"/>
                <w:sz w:val="22"/>
                <w:szCs w:val="22"/>
              </w:rPr>
              <w:t>isclosing Party,</w:t>
            </w:r>
          </w:p>
          <w:p w14:paraId="660390E6" w14:textId="00747091" w:rsidR="00806EE9" w:rsidRPr="00774C47" w:rsidRDefault="00806EE9" w:rsidP="0044151B">
            <w:pPr>
              <w:numPr>
                <w:ilvl w:val="0"/>
                <w:numId w:val="11"/>
              </w:numPr>
              <w:spacing w:before="120" w:after="120" w:line="276" w:lineRule="auto"/>
              <w:ind w:left="297" w:hanging="283"/>
              <w:jc w:val="both"/>
              <w:rPr>
                <w:rFonts w:ascii="Arial" w:hAnsi="Arial" w:cs="Arial"/>
                <w:sz w:val="22"/>
                <w:szCs w:val="22"/>
              </w:rPr>
            </w:pPr>
            <w:r w:rsidRPr="00CA6631">
              <w:rPr>
                <w:rFonts w:ascii="Arial" w:hAnsi="Arial" w:cs="Arial"/>
                <w:sz w:val="22"/>
                <w:szCs w:val="22"/>
              </w:rPr>
              <w:t xml:space="preserve">the Recipient obtained on a non-confidential basis from a </w:t>
            </w:r>
            <w:r w:rsidR="004732F6" w:rsidRPr="00CA6631">
              <w:rPr>
                <w:rFonts w:ascii="Arial" w:hAnsi="Arial" w:cs="Arial"/>
                <w:sz w:val="22"/>
                <w:szCs w:val="22"/>
              </w:rPr>
              <w:t>T</w:t>
            </w:r>
            <w:r w:rsidRPr="00CA6631">
              <w:rPr>
                <w:rFonts w:ascii="Arial" w:hAnsi="Arial" w:cs="Arial"/>
                <w:sz w:val="22"/>
                <w:szCs w:val="22"/>
              </w:rPr>
              <w:t xml:space="preserve">hird </w:t>
            </w:r>
            <w:r w:rsidR="004732F6" w:rsidRPr="00CA6631">
              <w:rPr>
                <w:rFonts w:ascii="Arial" w:hAnsi="Arial" w:cs="Arial"/>
                <w:sz w:val="22"/>
                <w:szCs w:val="22"/>
              </w:rPr>
              <w:t>P</w:t>
            </w:r>
            <w:r w:rsidRPr="00CA6631">
              <w:rPr>
                <w:rFonts w:ascii="Arial" w:hAnsi="Arial" w:cs="Arial"/>
                <w:sz w:val="22"/>
                <w:szCs w:val="22"/>
              </w:rPr>
              <w:t xml:space="preserve">arty who is not, to the Recipient’s knowledge or belief, bound by a confidentiality agreement with the </w:t>
            </w:r>
            <w:r w:rsidR="00273933" w:rsidRPr="00CA6631">
              <w:rPr>
                <w:rFonts w:ascii="Arial" w:hAnsi="Arial" w:cs="Arial"/>
                <w:sz w:val="22"/>
                <w:szCs w:val="22"/>
              </w:rPr>
              <w:t>D</w:t>
            </w:r>
            <w:r w:rsidRPr="00CA6631">
              <w:rPr>
                <w:rFonts w:ascii="Arial" w:hAnsi="Arial" w:cs="Arial"/>
                <w:sz w:val="22"/>
                <w:szCs w:val="22"/>
              </w:rPr>
              <w:t>isclosing Party or otherwise prohibited from disclosing the information to the Recipient,</w:t>
            </w:r>
          </w:p>
          <w:p w14:paraId="31DAA2F8" w14:textId="77777777" w:rsidR="00806EE9" w:rsidRPr="00774C47" w:rsidRDefault="00806EE9" w:rsidP="0044151B">
            <w:pPr>
              <w:numPr>
                <w:ilvl w:val="0"/>
                <w:numId w:val="11"/>
              </w:numPr>
              <w:spacing w:before="120" w:after="120" w:line="276" w:lineRule="auto"/>
              <w:ind w:left="297" w:hanging="283"/>
              <w:jc w:val="both"/>
              <w:rPr>
                <w:rFonts w:ascii="Arial" w:hAnsi="Arial" w:cs="Arial"/>
                <w:sz w:val="22"/>
                <w:szCs w:val="22"/>
              </w:rPr>
            </w:pPr>
            <w:r w:rsidRPr="00774C47">
              <w:rPr>
                <w:rFonts w:ascii="Arial" w:hAnsi="Arial" w:cs="Arial"/>
                <w:sz w:val="22"/>
                <w:szCs w:val="22"/>
              </w:rPr>
              <w:t>was already generally available and in the public domain at the time of disclosure otherwise than by a breach of the contract or breach of a duty of confidentiality or</w:t>
            </w:r>
          </w:p>
          <w:p w14:paraId="2BAACEA6" w14:textId="77777777" w:rsidR="00806EE9" w:rsidRPr="00774C47" w:rsidRDefault="00806EE9" w:rsidP="0044151B">
            <w:pPr>
              <w:numPr>
                <w:ilvl w:val="0"/>
                <w:numId w:val="11"/>
              </w:numPr>
              <w:spacing w:before="120" w:after="120" w:line="276" w:lineRule="auto"/>
              <w:ind w:left="297" w:hanging="283"/>
              <w:jc w:val="both"/>
              <w:rPr>
                <w:rFonts w:ascii="Arial" w:hAnsi="Arial" w:cs="Arial"/>
                <w:sz w:val="22"/>
                <w:szCs w:val="22"/>
              </w:rPr>
            </w:pPr>
            <w:r w:rsidRPr="00774C47">
              <w:rPr>
                <w:rFonts w:ascii="Arial" w:hAnsi="Arial" w:cs="Arial"/>
                <w:sz w:val="22"/>
                <w:szCs w:val="22"/>
              </w:rPr>
              <w:t>was independently developed without access to the Confidential Information.</w:t>
            </w:r>
          </w:p>
        </w:tc>
      </w:tr>
      <w:tr w:rsidR="00DA2123" w:rsidRPr="005A23E1" w14:paraId="177356B3" w14:textId="77777777" w:rsidTr="2564C1D6">
        <w:trPr>
          <w:cantSplit/>
          <w:trHeight w:val="402"/>
        </w:trPr>
        <w:tc>
          <w:tcPr>
            <w:tcW w:w="1619" w:type="pct"/>
          </w:tcPr>
          <w:p w14:paraId="1B7B9E5B" w14:textId="77777777" w:rsidR="00DA2123" w:rsidRPr="00F731C5" w:rsidRDefault="00DA2123" w:rsidP="00DA2123">
            <w:pPr>
              <w:overflowPunct w:val="0"/>
              <w:autoSpaceDE w:val="0"/>
              <w:autoSpaceDN w:val="0"/>
              <w:adjustRightInd w:val="0"/>
              <w:spacing w:before="120" w:after="120" w:line="288" w:lineRule="auto"/>
              <w:textAlignment w:val="baseline"/>
              <w:rPr>
                <w:rFonts w:ascii="Arial" w:hAnsi="Arial" w:cs="Arial"/>
                <w:color w:val="FF0000"/>
                <w:sz w:val="22"/>
                <w:szCs w:val="22"/>
                <w:lang w:val="en-US"/>
              </w:rPr>
            </w:pPr>
            <w:r w:rsidRPr="005A23E1">
              <w:rPr>
                <w:rFonts w:ascii="Arial" w:hAnsi="Arial" w:cs="Arial"/>
                <w:sz w:val="22"/>
                <w:szCs w:val="22"/>
              </w:rPr>
              <w:lastRenderedPageBreak/>
              <w:t>Contract</w:t>
            </w:r>
            <w:r>
              <w:rPr>
                <w:rFonts w:ascii="Arial" w:hAnsi="Arial" w:cs="Arial"/>
                <w:sz w:val="22"/>
                <w:szCs w:val="22"/>
              </w:rPr>
              <w:t>s</w:t>
            </w:r>
            <w:r w:rsidRPr="005A23E1">
              <w:rPr>
                <w:rFonts w:ascii="Arial" w:hAnsi="Arial" w:cs="Arial"/>
                <w:sz w:val="22"/>
                <w:szCs w:val="22"/>
              </w:rPr>
              <w:t xml:space="preserve"> Finder </w:t>
            </w:r>
          </w:p>
        </w:tc>
        <w:tc>
          <w:tcPr>
            <w:tcW w:w="3381" w:type="pct"/>
          </w:tcPr>
          <w:p w14:paraId="7076C513" w14:textId="2260838B" w:rsidR="00DA2123" w:rsidRPr="00F731C5" w:rsidRDefault="00DA2123" w:rsidP="00DA2123">
            <w:pPr>
              <w:spacing w:before="120" w:after="120" w:line="264" w:lineRule="auto"/>
              <w:jc w:val="both"/>
              <w:rPr>
                <w:rFonts w:ascii="Arial" w:hAnsi="Arial" w:cs="Arial"/>
                <w:color w:val="FF0000"/>
                <w:sz w:val="22"/>
                <w:szCs w:val="22"/>
                <w:lang w:val="en-US"/>
              </w:rPr>
            </w:pPr>
            <w:r w:rsidRPr="00CA6631">
              <w:rPr>
                <w:rFonts w:ascii="Arial" w:hAnsi="Arial" w:cs="Arial"/>
                <w:sz w:val="22"/>
                <w:szCs w:val="22"/>
              </w:rPr>
              <w:t xml:space="preserve">is the government website for information about contracts worth over </w:t>
            </w:r>
            <w:r w:rsidR="00425A0F" w:rsidRPr="00CA6631">
              <w:rPr>
                <w:rFonts w:ascii="Arial" w:hAnsi="Arial" w:cs="Arial"/>
                <w:sz w:val="22"/>
                <w:szCs w:val="22"/>
              </w:rPr>
              <w:t>ten thousand pounds (</w:t>
            </w:r>
            <w:r w:rsidRPr="00CA6631">
              <w:rPr>
                <w:rFonts w:ascii="Arial" w:hAnsi="Arial" w:cs="Arial"/>
                <w:sz w:val="22"/>
                <w:szCs w:val="22"/>
              </w:rPr>
              <w:t>£10,000</w:t>
            </w:r>
            <w:r w:rsidR="00425A0F" w:rsidRPr="00CA6631">
              <w:rPr>
                <w:rFonts w:ascii="Arial" w:hAnsi="Arial" w:cs="Arial"/>
                <w:sz w:val="22"/>
                <w:szCs w:val="22"/>
              </w:rPr>
              <w:t>)</w:t>
            </w:r>
            <w:r w:rsidRPr="00CA6631">
              <w:rPr>
                <w:rFonts w:ascii="Arial" w:hAnsi="Arial" w:cs="Arial"/>
                <w:sz w:val="22"/>
                <w:szCs w:val="22"/>
              </w:rPr>
              <w:t xml:space="preserve"> with the government and its </w:t>
            </w:r>
            <w:proofErr w:type="gramStart"/>
            <w:r w:rsidRPr="00CA6631">
              <w:rPr>
                <w:rFonts w:ascii="Arial" w:hAnsi="Arial" w:cs="Arial"/>
                <w:sz w:val="22"/>
                <w:szCs w:val="22"/>
              </w:rPr>
              <w:t>agencies.</w:t>
            </w:r>
            <w:proofErr w:type="gramEnd"/>
          </w:p>
        </w:tc>
      </w:tr>
      <w:tr w:rsidR="00DA2123" w:rsidRPr="005A23E1" w14:paraId="478EB53A" w14:textId="77777777" w:rsidTr="2564C1D6">
        <w:trPr>
          <w:cantSplit/>
          <w:trHeight w:val="402"/>
        </w:trPr>
        <w:tc>
          <w:tcPr>
            <w:tcW w:w="1619" w:type="pct"/>
          </w:tcPr>
          <w:p w14:paraId="69450E3C" w14:textId="77777777" w:rsidR="00DA2123" w:rsidRPr="00774C47" w:rsidRDefault="00DA2123" w:rsidP="00DA2123">
            <w:pPr>
              <w:overflowPunct w:val="0"/>
              <w:autoSpaceDE w:val="0"/>
              <w:autoSpaceDN w:val="0"/>
              <w:adjustRightInd w:val="0"/>
              <w:spacing w:before="120" w:after="120" w:line="288" w:lineRule="auto"/>
              <w:textAlignment w:val="baseline"/>
              <w:rPr>
                <w:rFonts w:ascii="Arial" w:hAnsi="Arial" w:cs="Arial"/>
                <w:sz w:val="22"/>
                <w:szCs w:val="22"/>
                <w:lang w:val="en-US"/>
              </w:rPr>
            </w:pPr>
            <w:r w:rsidRPr="00774C47">
              <w:rPr>
                <w:rFonts w:ascii="Arial" w:hAnsi="Arial" w:cs="Arial"/>
                <w:sz w:val="22"/>
                <w:szCs w:val="22"/>
              </w:rPr>
              <w:t>Control</w:t>
            </w:r>
          </w:p>
        </w:tc>
        <w:tc>
          <w:tcPr>
            <w:tcW w:w="3381" w:type="pct"/>
          </w:tcPr>
          <w:p w14:paraId="194001B8" w14:textId="77777777" w:rsidR="00DA2123" w:rsidRPr="00774C47" w:rsidRDefault="00DA2123" w:rsidP="00DA2123">
            <w:pPr>
              <w:spacing w:before="120" w:after="120" w:line="264" w:lineRule="auto"/>
              <w:jc w:val="both"/>
              <w:rPr>
                <w:rFonts w:ascii="Arial" w:hAnsi="Arial" w:cs="Arial"/>
                <w:sz w:val="22"/>
                <w:szCs w:val="22"/>
                <w:lang w:val="en-US"/>
              </w:rPr>
            </w:pPr>
            <w:r w:rsidRPr="00CA6631">
              <w:rPr>
                <w:rFonts w:ascii="Arial" w:hAnsi="Arial" w:cs="Arial"/>
                <w:sz w:val="22"/>
                <w:szCs w:val="22"/>
              </w:rPr>
              <w:t>is the possession by person, directly or indirectly, of the power to direct or cause the direction of the management and policies of the other person (whether through the ownership of voting shares, by contract or otherwise) and Controls and Controlled are to be interpreted accordingly.</w:t>
            </w:r>
          </w:p>
        </w:tc>
      </w:tr>
      <w:tr w:rsidR="00DA2123" w:rsidRPr="005A23E1" w14:paraId="70E10F07" w14:textId="77777777" w:rsidTr="2564C1D6">
        <w:trPr>
          <w:cantSplit/>
          <w:trHeight w:val="402"/>
        </w:trPr>
        <w:tc>
          <w:tcPr>
            <w:tcW w:w="1619" w:type="pct"/>
          </w:tcPr>
          <w:p w14:paraId="0DF6A957" w14:textId="77777777" w:rsidR="00DA2123" w:rsidRPr="005A23E1" w:rsidRDefault="00DA2123" w:rsidP="00DA2123">
            <w:pPr>
              <w:overflowPunct w:val="0"/>
              <w:autoSpaceDE w:val="0"/>
              <w:autoSpaceDN w:val="0"/>
              <w:adjustRightInd w:val="0"/>
              <w:spacing w:before="120" w:after="120" w:line="288" w:lineRule="auto"/>
              <w:textAlignment w:val="baseline"/>
              <w:rPr>
                <w:rFonts w:ascii="Arial" w:hAnsi="Arial" w:cs="Arial"/>
                <w:sz w:val="22"/>
                <w:szCs w:val="22"/>
              </w:rPr>
            </w:pPr>
            <w:r w:rsidRPr="005A23E1">
              <w:rPr>
                <w:rFonts w:ascii="Arial" w:hAnsi="Arial" w:cs="Arial"/>
                <w:sz w:val="22"/>
                <w:szCs w:val="22"/>
              </w:rPr>
              <w:t>Data</w:t>
            </w:r>
          </w:p>
        </w:tc>
        <w:tc>
          <w:tcPr>
            <w:tcW w:w="3381" w:type="pct"/>
          </w:tcPr>
          <w:p w14:paraId="4ACB35F0" w14:textId="77777777" w:rsidR="00DA2123" w:rsidRPr="005A23E1" w:rsidRDefault="00DA2123" w:rsidP="00DA2123">
            <w:pPr>
              <w:overflowPunct w:val="0"/>
              <w:autoSpaceDE w:val="0"/>
              <w:autoSpaceDN w:val="0"/>
              <w:adjustRightInd w:val="0"/>
              <w:spacing w:before="120" w:after="120" w:line="288" w:lineRule="auto"/>
              <w:jc w:val="both"/>
              <w:textAlignment w:val="baseline"/>
              <w:rPr>
                <w:rFonts w:ascii="Arial" w:hAnsi="Arial" w:cs="Arial"/>
                <w:sz w:val="22"/>
                <w:szCs w:val="22"/>
              </w:rPr>
            </w:pPr>
            <w:r w:rsidRPr="00CA6631">
              <w:rPr>
                <w:rFonts w:ascii="Arial" w:hAnsi="Arial" w:cs="Arial"/>
                <w:sz w:val="22"/>
                <w:szCs w:val="22"/>
              </w:rPr>
              <w:t xml:space="preserve">is all Personal Data collected, generated or otherwise processed by the </w:t>
            </w:r>
            <w:r w:rsidRPr="00CA6631">
              <w:rPr>
                <w:rFonts w:ascii="Arial" w:hAnsi="Arial" w:cs="Arial"/>
                <w:i/>
                <w:iCs/>
                <w:sz w:val="22"/>
                <w:szCs w:val="22"/>
              </w:rPr>
              <w:t>Consultant</w:t>
            </w:r>
            <w:r w:rsidRPr="00CA6631">
              <w:rPr>
                <w:rFonts w:ascii="Arial" w:hAnsi="Arial" w:cs="Arial"/>
                <w:sz w:val="22"/>
                <w:szCs w:val="22"/>
              </w:rPr>
              <w:t xml:space="preserve"> in the course of Providing the </w:t>
            </w:r>
            <w:proofErr w:type="gramStart"/>
            <w:r w:rsidRPr="00CA6631">
              <w:rPr>
                <w:rFonts w:ascii="Arial" w:hAnsi="Arial" w:cs="Arial"/>
                <w:sz w:val="22"/>
                <w:szCs w:val="22"/>
              </w:rPr>
              <w:t>Service.</w:t>
            </w:r>
            <w:proofErr w:type="gramEnd"/>
          </w:p>
        </w:tc>
      </w:tr>
      <w:tr w:rsidR="00DA2123" w:rsidRPr="005A23E1" w14:paraId="652414F2" w14:textId="77777777" w:rsidTr="2564C1D6">
        <w:trPr>
          <w:cantSplit/>
          <w:trHeight w:val="402"/>
        </w:trPr>
        <w:tc>
          <w:tcPr>
            <w:tcW w:w="1619" w:type="pct"/>
          </w:tcPr>
          <w:p w14:paraId="3E5A02A3" w14:textId="2633484A" w:rsidR="00DA2123" w:rsidRPr="005A23E1" w:rsidRDefault="00DA2123" w:rsidP="00DA2123">
            <w:pPr>
              <w:overflowPunct w:val="0"/>
              <w:autoSpaceDE w:val="0"/>
              <w:autoSpaceDN w:val="0"/>
              <w:adjustRightInd w:val="0"/>
              <w:spacing w:before="120" w:after="120" w:line="288" w:lineRule="auto"/>
              <w:textAlignment w:val="baseline"/>
              <w:rPr>
                <w:rFonts w:ascii="Arial" w:hAnsi="Arial" w:cs="Arial"/>
                <w:sz w:val="22"/>
                <w:szCs w:val="22"/>
              </w:rPr>
            </w:pPr>
            <w:r w:rsidRPr="00CA6631">
              <w:rPr>
                <w:rFonts w:ascii="Arial" w:hAnsi="Arial" w:cs="Arial"/>
                <w:sz w:val="22"/>
                <w:szCs w:val="22"/>
              </w:rPr>
              <w:t>Data Controller</w:t>
            </w:r>
          </w:p>
        </w:tc>
        <w:tc>
          <w:tcPr>
            <w:tcW w:w="3381" w:type="pct"/>
          </w:tcPr>
          <w:p w14:paraId="1E23F96A" w14:textId="24451150" w:rsidR="00DA2123" w:rsidRPr="005A23E1" w:rsidRDefault="190AA58A" w:rsidP="6B0A28EA">
            <w:pPr>
              <w:overflowPunct w:val="0"/>
              <w:autoSpaceDE w:val="0"/>
              <w:autoSpaceDN w:val="0"/>
              <w:adjustRightInd w:val="0"/>
              <w:spacing w:before="120" w:after="120" w:line="288" w:lineRule="auto"/>
              <w:jc w:val="both"/>
              <w:textAlignment w:val="baseline"/>
              <w:rPr>
                <w:sz w:val="22"/>
                <w:szCs w:val="22"/>
              </w:rPr>
            </w:pPr>
            <w:r w:rsidRPr="6B0A28EA">
              <w:rPr>
                <w:rFonts w:ascii="Arial" w:eastAsia="Arial" w:hAnsi="Arial" w:cs="Arial"/>
                <w:sz w:val="22"/>
                <w:szCs w:val="22"/>
              </w:rPr>
              <w:t xml:space="preserve">is a legal person that determines the purposes and means of the processing of Personal </w:t>
            </w:r>
            <w:proofErr w:type="gramStart"/>
            <w:r w:rsidRPr="6B0A28EA">
              <w:rPr>
                <w:rFonts w:ascii="Arial" w:eastAsia="Arial" w:hAnsi="Arial" w:cs="Arial"/>
                <w:sz w:val="22"/>
                <w:szCs w:val="22"/>
              </w:rPr>
              <w:t>Data.</w:t>
            </w:r>
            <w:proofErr w:type="gramEnd"/>
          </w:p>
        </w:tc>
      </w:tr>
      <w:tr w:rsidR="00DA2123" w:rsidRPr="005A23E1" w14:paraId="0C86455F" w14:textId="77777777" w:rsidTr="2564C1D6">
        <w:trPr>
          <w:cantSplit/>
          <w:trHeight w:val="402"/>
        </w:trPr>
        <w:tc>
          <w:tcPr>
            <w:tcW w:w="1619" w:type="pct"/>
          </w:tcPr>
          <w:p w14:paraId="050A6D64" w14:textId="77777777" w:rsidR="00DA2123" w:rsidRPr="005A23E1" w:rsidRDefault="00DA2123" w:rsidP="00DA2123">
            <w:pPr>
              <w:overflowPunct w:val="0"/>
              <w:autoSpaceDE w:val="0"/>
              <w:autoSpaceDN w:val="0"/>
              <w:adjustRightInd w:val="0"/>
              <w:spacing w:before="120" w:after="120" w:line="288" w:lineRule="auto"/>
              <w:textAlignment w:val="baseline"/>
              <w:rPr>
                <w:rFonts w:ascii="Arial" w:hAnsi="Arial" w:cs="Arial"/>
                <w:sz w:val="22"/>
                <w:szCs w:val="22"/>
              </w:rPr>
            </w:pPr>
            <w:r w:rsidRPr="005A23E1">
              <w:rPr>
                <w:rFonts w:ascii="Arial" w:hAnsi="Arial" w:cs="Arial"/>
                <w:sz w:val="22"/>
                <w:szCs w:val="22"/>
              </w:rPr>
              <w:t>Data Loss Event</w:t>
            </w:r>
          </w:p>
        </w:tc>
        <w:tc>
          <w:tcPr>
            <w:tcW w:w="3381" w:type="pct"/>
          </w:tcPr>
          <w:p w14:paraId="7C1353E4" w14:textId="77777777" w:rsidR="00DA2123" w:rsidRPr="005A23E1" w:rsidRDefault="00DA2123" w:rsidP="00DA2123">
            <w:pPr>
              <w:overflowPunct w:val="0"/>
              <w:autoSpaceDE w:val="0"/>
              <w:autoSpaceDN w:val="0"/>
              <w:adjustRightInd w:val="0"/>
              <w:spacing w:before="120" w:after="120" w:line="288" w:lineRule="auto"/>
              <w:jc w:val="both"/>
              <w:textAlignment w:val="baseline"/>
              <w:rPr>
                <w:rFonts w:ascii="Arial" w:hAnsi="Arial" w:cs="Arial"/>
                <w:sz w:val="22"/>
                <w:szCs w:val="22"/>
              </w:rPr>
            </w:pPr>
            <w:r w:rsidRPr="005A23E1">
              <w:rPr>
                <w:rFonts w:ascii="Arial" w:hAnsi="Arial" w:cs="Arial"/>
                <w:sz w:val="22"/>
                <w:szCs w:val="22"/>
              </w:rPr>
              <w:t>is any event that results, or may result, in unauthorised access to Personal Data held by the Processor for the purposes of this contract, and/or actual or potential and/or destruction of Personal Data in breach of this Agreement, including any Personal Data breach.</w:t>
            </w:r>
          </w:p>
        </w:tc>
      </w:tr>
      <w:tr w:rsidR="00DA2123" w:rsidRPr="005A23E1" w14:paraId="30A6F745" w14:textId="77777777" w:rsidTr="2564C1D6">
        <w:trPr>
          <w:cantSplit/>
          <w:trHeight w:val="402"/>
        </w:trPr>
        <w:tc>
          <w:tcPr>
            <w:tcW w:w="1619" w:type="pct"/>
          </w:tcPr>
          <w:p w14:paraId="16200496" w14:textId="77777777" w:rsidR="00DA2123" w:rsidRPr="005A23E1" w:rsidRDefault="00DA2123" w:rsidP="00DA2123">
            <w:pPr>
              <w:overflowPunct w:val="0"/>
              <w:autoSpaceDE w:val="0"/>
              <w:autoSpaceDN w:val="0"/>
              <w:adjustRightInd w:val="0"/>
              <w:spacing w:before="120" w:after="120" w:line="288" w:lineRule="auto"/>
              <w:textAlignment w:val="baseline"/>
              <w:rPr>
                <w:rFonts w:ascii="Arial" w:hAnsi="Arial" w:cs="Arial"/>
                <w:sz w:val="22"/>
                <w:szCs w:val="22"/>
              </w:rPr>
            </w:pPr>
            <w:r w:rsidRPr="005A23E1">
              <w:rPr>
                <w:rFonts w:ascii="Arial" w:hAnsi="Arial" w:cs="Arial"/>
                <w:sz w:val="22"/>
                <w:szCs w:val="22"/>
              </w:rPr>
              <w:t>Data Protection Impact Assessment</w:t>
            </w:r>
          </w:p>
        </w:tc>
        <w:tc>
          <w:tcPr>
            <w:tcW w:w="3381" w:type="pct"/>
          </w:tcPr>
          <w:p w14:paraId="655CB55F" w14:textId="77777777" w:rsidR="00DA2123" w:rsidRPr="005A23E1" w:rsidRDefault="00DA2123" w:rsidP="00DA2123">
            <w:pPr>
              <w:overflowPunct w:val="0"/>
              <w:autoSpaceDE w:val="0"/>
              <w:autoSpaceDN w:val="0"/>
              <w:adjustRightInd w:val="0"/>
              <w:spacing w:before="120" w:after="120" w:line="288" w:lineRule="auto"/>
              <w:jc w:val="both"/>
              <w:textAlignment w:val="baseline"/>
              <w:rPr>
                <w:rFonts w:ascii="Arial" w:hAnsi="Arial" w:cs="Arial"/>
                <w:sz w:val="22"/>
                <w:szCs w:val="22"/>
              </w:rPr>
            </w:pPr>
            <w:r w:rsidRPr="005A23E1">
              <w:rPr>
                <w:rFonts w:ascii="Arial" w:hAnsi="Arial" w:cs="Arial"/>
                <w:sz w:val="22"/>
                <w:szCs w:val="22"/>
              </w:rPr>
              <w:t xml:space="preserve">is an assessment by the Controller of the impact of the envisaged processing on the protection of Personal </w:t>
            </w:r>
            <w:proofErr w:type="gramStart"/>
            <w:r w:rsidRPr="005A23E1">
              <w:rPr>
                <w:rFonts w:ascii="Arial" w:hAnsi="Arial" w:cs="Arial"/>
                <w:sz w:val="22"/>
                <w:szCs w:val="22"/>
              </w:rPr>
              <w:t>Data.</w:t>
            </w:r>
            <w:proofErr w:type="gramEnd"/>
          </w:p>
        </w:tc>
      </w:tr>
      <w:tr w:rsidR="00DA2123" w:rsidRPr="005A23E1" w14:paraId="55D936BC" w14:textId="77777777" w:rsidTr="2564C1D6">
        <w:trPr>
          <w:cantSplit/>
          <w:trHeight w:val="402"/>
        </w:trPr>
        <w:tc>
          <w:tcPr>
            <w:tcW w:w="1619" w:type="pct"/>
          </w:tcPr>
          <w:p w14:paraId="1068F247" w14:textId="77777777" w:rsidR="00DA2123" w:rsidRPr="005A23E1" w:rsidRDefault="00DA2123" w:rsidP="00DA2123">
            <w:pPr>
              <w:overflowPunct w:val="0"/>
              <w:autoSpaceDE w:val="0"/>
              <w:autoSpaceDN w:val="0"/>
              <w:adjustRightInd w:val="0"/>
              <w:spacing w:before="120" w:after="120" w:line="288" w:lineRule="auto"/>
              <w:textAlignment w:val="baseline"/>
              <w:rPr>
                <w:rFonts w:ascii="Arial" w:hAnsi="Arial" w:cs="Arial"/>
                <w:sz w:val="22"/>
                <w:szCs w:val="22"/>
              </w:rPr>
            </w:pPr>
            <w:r w:rsidRPr="005A23E1">
              <w:rPr>
                <w:rFonts w:ascii="Arial" w:hAnsi="Arial" w:cs="Arial"/>
                <w:iCs/>
                <w:color w:val="000000"/>
                <w:w w:val="0"/>
                <w:sz w:val="22"/>
                <w:szCs w:val="22"/>
              </w:rPr>
              <w:t>Data Subject</w:t>
            </w:r>
          </w:p>
        </w:tc>
        <w:tc>
          <w:tcPr>
            <w:tcW w:w="3381" w:type="pct"/>
          </w:tcPr>
          <w:p w14:paraId="252349F6" w14:textId="77777777" w:rsidR="00DA2123" w:rsidRPr="005A23E1" w:rsidRDefault="00DA2123" w:rsidP="00DA2123">
            <w:pPr>
              <w:overflowPunct w:val="0"/>
              <w:autoSpaceDE w:val="0"/>
              <w:autoSpaceDN w:val="0"/>
              <w:adjustRightInd w:val="0"/>
              <w:spacing w:before="120" w:after="120" w:line="288" w:lineRule="auto"/>
              <w:textAlignment w:val="baseline"/>
              <w:rPr>
                <w:rFonts w:ascii="Arial" w:hAnsi="Arial" w:cs="Arial"/>
                <w:sz w:val="22"/>
                <w:szCs w:val="22"/>
              </w:rPr>
            </w:pPr>
            <w:r w:rsidRPr="005A23E1">
              <w:rPr>
                <w:rFonts w:ascii="Arial" w:hAnsi="Arial" w:cs="Arial"/>
                <w:iCs/>
                <w:color w:val="000000"/>
                <w:w w:val="0"/>
                <w:sz w:val="22"/>
                <w:szCs w:val="22"/>
              </w:rPr>
              <w:t>is an individual who is the subject of Personal Data.</w:t>
            </w:r>
          </w:p>
        </w:tc>
      </w:tr>
      <w:tr w:rsidR="00DA2123" w:rsidRPr="005A23E1" w14:paraId="6560F1D5" w14:textId="77777777" w:rsidTr="2564C1D6">
        <w:trPr>
          <w:cantSplit/>
          <w:trHeight w:val="402"/>
        </w:trPr>
        <w:tc>
          <w:tcPr>
            <w:tcW w:w="1619" w:type="pct"/>
          </w:tcPr>
          <w:p w14:paraId="0915B85F" w14:textId="2EB57670" w:rsidR="00DA2123" w:rsidRPr="005A23E1" w:rsidRDefault="00DA2123" w:rsidP="00DA2123">
            <w:pPr>
              <w:overflowPunct w:val="0"/>
              <w:autoSpaceDE w:val="0"/>
              <w:autoSpaceDN w:val="0"/>
              <w:adjustRightInd w:val="0"/>
              <w:spacing w:before="120" w:after="120" w:line="288" w:lineRule="auto"/>
              <w:textAlignment w:val="baseline"/>
              <w:rPr>
                <w:rFonts w:ascii="Arial" w:hAnsi="Arial" w:cs="Arial"/>
                <w:color w:val="FF0000"/>
                <w:sz w:val="22"/>
                <w:szCs w:val="22"/>
              </w:rPr>
            </w:pPr>
            <w:r w:rsidRPr="00CA6631">
              <w:rPr>
                <w:rFonts w:ascii="Arial" w:hAnsi="Arial" w:cs="Arial"/>
                <w:sz w:val="22"/>
                <w:szCs w:val="22"/>
              </w:rPr>
              <w:t xml:space="preserve">Data Subject </w:t>
            </w:r>
            <w:r w:rsidR="54FA02A5" w:rsidRPr="00CA6631">
              <w:rPr>
                <w:rFonts w:ascii="Arial" w:hAnsi="Arial" w:cs="Arial"/>
                <w:sz w:val="22"/>
                <w:szCs w:val="22"/>
              </w:rPr>
              <w:t xml:space="preserve">Access </w:t>
            </w:r>
            <w:r w:rsidRPr="00CA6631">
              <w:rPr>
                <w:rFonts w:ascii="Arial" w:hAnsi="Arial" w:cs="Arial"/>
                <w:sz w:val="22"/>
                <w:szCs w:val="22"/>
              </w:rPr>
              <w:t>Request</w:t>
            </w:r>
          </w:p>
        </w:tc>
        <w:tc>
          <w:tcPr>
            <w:tcW w:w="3381" w:type="pct"/>
          </w:tcPr>
          <w:p w14:paraId="214EC179" w14:textId="77777777" w:rsidR="00DA2123" w:rsidRPr="005A23E1" w:rsidRDefault="00DA2123" w:rsidP="00DA2123">
            <w:pPr>
              <w:overflowPunct w:val="0"/>
              <w:autoSpaceDE w:val="0"/>
              <w:autoSpaceDN w:val="0"/>
              <w:adjustRightInd w:val="0"/>
              <w:spacing w:before="120" w:after="120" w:line="288" w:lineRule="auto"/>
              <w:jc w:val="both"/>
              <w:textAlignment w:val="baseline"/>
              <w:rPr>
                <w:rFonts w:ascii="Arial" w:hAnsi="Arial" w:cs="Arial"/>
                <w:color w:val="FF0000"/>
                <w:sz w:val="22"/>
                <w:szCs w:val="22"/>
              </w:rPr>
            </w:pPr>
            <w:r w:rsidRPr="005A23E1">
              <w:rPr>
                <w:rFonts w:ascii="Arial" w:hAnsi="Arial" w:cs="Arial"/>
                <w:iCs/>
                <w:sz w:val="22"/>
                <w:szCs w:val="22"/>
              </w:rPr>
              <w:t xml:space="preserve">is a request made by, or on behalf of, a Data Subject in accordance with rights granted pursuant to the Data Protection Legislation to access their Personal </w:t>
            </w:r>
            <w:proofErr w:type="gramStart"/>
            <w:r w:rsidRPr="005A23E1">
              <w:rPr>
                <w:rFonts w:ascii="Arial" w:hAnsi="Arial" w:cs="Arial"/>
                <w:iCs/>
                <w:sz w:val="22"/>
                <w:szCs w:val="22"/>
              </w:rPr>
              <w:t>Data.</w:t>
            </w:r>
            <w:proofErr w:type="gramEnd"/>
          </w:p>
        </w:tc>
      </w:tr>
      <w:tr w:rsidR="00A6622E" w:rsidRPr="005A23E1" w14:paraId="1E8467FB" w14:textId="77777777" w:rsidTr="2564C1D6">
        <w:trPr>
          <w:cantSplit/>
          <w:trHeight w:val="410"/>
        </w:trPr>
        <w:tc>
          <w:tcPr>
            <w:tcW w:w="1619" w:type="pct"/>
          </w:tcPr>
          <w:p w14:paraId="72940D7D" w14:textId="10512584" w:rsidR="00A6622E" w:rsidRPr="005A23E1" w:rsidRDefault="00A6622E" w:rsidP="00DA2123">
            <w:pPr>
              <w:overflowPunct w:val="0"/>
              <w:autoSpaceDE w:val="0"/>
              <w:autoSpaceDN w:val="0"/>
              <w:adjustRightInd w:val="0"/>
              <w:spacing w:before="120" w:after="120" w:line="276" w:lineRule="auto"/>
              <w:textAlignment w:val="baseline"/>
              <w:rPr>
                <w:rFonts w:ascii="Arial" w:hAnsi="Arial" w:cs="Arial"/>
                <w:color w:val="0D0D0D" w:themeColor="text1" w:themeTint="F2"/>
                <w:sz w:val="22"/>
                <w:szCs w:val="22"/>
              </w:rPr>
            </w:pPr>
            <w:r w:rsidRPr="00CA6631">
              <w:rPr>
                <w:rFonts w:ascii="Arial" w:hAnsi="Arial" w:cs="Arial"/>
                <w:color w:val="0D0D0D" w:themeColor="text1" w:themeTint="F2"/>
                <w:sz w:val="22"/>
                <w:szCs w:val="22"/>
              </w:rPr>
              <w:t>Disclosing Party Group</w:t>
            </w:r>
          </w:p>
        </w:tc>
        <w:tc>
          <w:tcPr>
            <w:tcW w:w="3381" w:type="pct"/>
          </w:tcPr>
          <w:p w14:paraId="2307C217" w14:textId="77777777" w:rsidR="000E4B38" w:rsidRDefault="000E4B38" w:rsidP="000E4B38">
            <w:pPr>
              <w:spacing w:before="120" w:after="120"/>
              <w:ind w:left="32"/>
              <w:jc w:val="both"/>
              <w:rPr>
                <w:rFonts w:ascii="Arial" w:hAnsi="Arial" w:cs="Arial"/>
                <w:color w:val="000000" w:themeColor="text1"/>
                <w:sz w:val="22"/>
                <w:szCs w:val="22"/>
              </w:rPr>
            </w:pPr>
            <w:r w:rsidRPr="00CA6631">
              <w:rPr>
                <w:rFonts w:ascii="Arial" w:hAnsi="Arial" w:cs="Arial"/>
                <w:color w:val="000000" w:themeColor="text1"/>
                <w:sz w:val="22"/>
                <w:szCs w:val="22"/>
              </w:rPr>
              <w:t>is</w:t>
            </w:r>
            <w:r w:rsidRPr="00CA6631">
              <w:rPr>
                <w:rFonts w:ascii="Arial" w:hAnsi="Arial" w:cs="Arial"/>
                <w:b/>
                <w:bCs/>
                <w:color w:val="000000" w:themeColor="text1"/>
                <w:sz w:val="22"/>
                <w:szCs w:val="22"/>
              </w:rPr>
              <w:t xml:space="preserve"> </w:t>
            </w:r>
          </w:p>
          <w:p w14:paraId="7BADAAEB" w14:textId="77777777" w:rsidR="000E4B38" w:rsidRDefault="000E4B38" w:rsidP="000E4B38">
            <w:pPr>
              <w:numPr>
                <w:ilvl w:val="0"/>
                <w:numId w:val="18"/>
              </w:numPr>
              <w:spacing w:before="120" w:after="120"/>
              <w:ind w:left="456"/>
              <w:jc w:val="both"/>
              <w:rPr>
                <w:rFonts w:ascii="Arial" w:hAnsi="Arial" w:cs="Arial"/>
                <w:color w:val="000000" w:themeColor="text1"/>
                <w:sz w:val="22"/>
                <w:szCs w:val="22"/>
              </w:rPr>
            </w:pPr>
            <w:r w:rsidRPr="00CA6631">
              <w:rPr>
                <w:rFonts w:ascii="Arial" w:hAnsi="Arial" w:cs="Arial"/>
                <w:color w:val="000000" w:themeColor="text1"/>
                <w:sz w:val="22"/>
                <w:szCs w:val="22"/>
              </w:rPr>
              <w:t xml:space="preserve">where the disclosing Party is the </w:t>
            </w:r>
            <w:r w:rsidRPr="00CA6631">
              <w:rPr>
                <w:rFonts w:ascii="Arial" w:hAnsi="Arial" w:cs="Arial"/>
                <w:i/>
                <w:iCs/>
                <w:color w:val="000000" w:themeColor="text1"/>
                <w:sz w:val="22"/>
                <w:szCs w:val="22"/>
              </w:rPr>
              <w:t>Consultant</w:t>
            </w:r>
            <w:r w:rsidRPr="00CA6631">
              <w:rPr>
                <w:rFonts w:ascii="Arial" w:hAnsi="Arial" w:cs="Arial"/>
                <w:color w:val="000000" w:themeColor="text1"/>
                <w:sz w:val="22"/>
                <w:szCs w:val="22"/>
              </w:rPr>
              <w:t xml:space="preserve">, the </w:t>
            </w:r>
            <w:proofErr w:type="gramStart"/>
            <w:r w:rsidRPr="00CA6631">
              <w:rPr>
                <w:rFonts w:ascii="Arial" w:hAnsi="Arial" w:cs="Arial"/>
                <w:i/>
                <w:iCs/>
                <w:color w:val="000000" w:themeColor="text1"/>
                <w:sz w:val="22"/>
                <w:szCs w:val="22"/>
              </w:rPr>
              <w:t>Consultant</w:t>
            </w:r>
            <w:proofErr w:type="gramEnd"/>
            <w:r w:rsidRPr="00CA6631">
              <w:rPr>
                <w:rFonts w:ascii="Arial" w:hAnsi="Arial" w:cs="Arial"/>
                <w:color w:val="000000" w:themeColor="text1"/>
                <w:sz w:val="22"/>
                <w:szCs w:val="22"/>
              </w:rPr>
              <w:t xml:space="preserve"> and any Affiliates of the </w:t>
            </w:r>
            <w:r w:rsidRPr="00CA6631">
              <w:rPr>
                <w:rFonts w:ascii="Arial" w:hAnsi="Arial" w:cs="Arial"/>
                <w:i/>
                <w:iCs/>
                <w:color w:val="000000" w:themeColor="text1"/>
                <w:sz w:val="22"/>
                <w:szCs w:val="22"/>
              </w:rPr>
              <w:t>Consultant</w:t>
            </w:r>
            <w:r w:rsidRPr="00CA6631">
              <w:rPr>
                <w:rFonts w:ascii="Arial" w:hAnsi="Arial" w:cs="Arial"/>
                <w:color w:val="000000" w:themeColor="text1"/>
                <w:sz w:val="22"/>
                <w:szCs w:val="22"/>
              </w:rPr>
              <w:t xml:space="preserve"> and</w:t>
            </w:r>
          </w:p>
          <w:p w14:paraId="34D65B96" w14:textId="5082ECE9" w:rsidR="00A6622E" w:rsidRPr="005A23E1" w:rsidRDefault="000E4B38" w:rsidP="000E4B38">
            <w:pPr>
              <w:overflowPunct w:val="0"/>
              <w:autoSpaceDE w:val="0"/>
              <w:autoSpaceDN w:val="0"/>
              <w:adjustRightInd w:val="0"/>
              <w:spacing w:before="120" w:after="120" w:line="276" w:lineRule="auto"/>
              <w:textAlignment w:val="baseline"/>
              <w:rPr>
                <w:rFonts w:ascii="Arial" w:hAnsi="Arial" w:cs="Arial"/>
                <w:sz w:val="22"/>
                <w:szCs w:val="22"/>
              </w:rPr>
            </w:pPr>
            <w:r w:rsidRPr="00CA6631">
              <w:rPr>
                <w:rFonts w:ascii="Arial" w:hAnsi="Arial" w:cs="Arial"/>
                <w:color w:val="000000" w:themeColor="text1"/>
                <w:sz w:val="22"/>
                <w:szCs w:val="22"/>
              </w:rPr>
              <w:t xml:space="preserve">where the disclosing Party is the </w:t>
            </w:r>
            <w:r w:rsidRPr="00CA6631">
              <w:rPr>
                <w:rFonts w:ascii="Arial" w:hAnsi="Arial" w:cs="Arial"/>
                <w:i/>
                <w:iCs/>
                <w:color w:val="000000" w:themeColor="text1"/>
                <w:sz w:val="22"/>
                <w:szCs w:val="22"/>
              </w:rPr>
              <w:t>Client</w:t>
            </w:r>
            <w:r w:rsidRPr="00CA6631">
              <w:rPr>
                <w:rFonts w:ascii="Arial" w:hAnsi="Arial" w:cs="Arial"/>
                <w:color w:val="000000" w:themeColor="text1"/>
                <w:sz w:val="22"/>
                <w:szCs w:val="22"/>
              </w:rPr>
              <w:t xml:space="preserve">, the </w:t>
            </w:r>
            <w:proofErr w:type="gramStart"/>
            <w:r w:rsidRPr="00CA6631">
              <w:rPr>
                <w:rFonts w:ascii="Arial" w:hAnsi="Arial" w:cs="Arial"/>
                <w:i/>
                <w:iCs/>
                <w:color w:val="000000" w:themeColor="text1"/>
                <w:sz w:val="22"/>
                <w:szCs w:val="22"/>
              </w:rPr>
              <w:t>Client</w:t>
            </w:r>
            <w:proofErr w:type="gramEnd"/>
            <w:r w:rsidRPr="00CA6631">
              <w:rPr>
                <w:rFonts w:ascii="Arial" w:hAnsi="Arial" w:cs="Arial"/>
                <w:color w:val="000000" w:themeColor="text1"/>
                <w:sz w:val="22"/>
                <w:szCs w:val="22"/>
              </w:rPr>
              <w:t xml:space="preserve"> and any Central Government Body with which the </w:t>
            </w:r>
            <w:r w:rsidRPr="00CA6631">
              <w:rPr>
                <w:rFonts w:ascii="Arial" w:hAnsi="Arial" w:cs="Arial"/>
                <w:i/>
                <w:iCs/>
                <w:color w:val="000000" w:themeColor="text1"/>
                <w:sz w:val="22"/>
                <w:szCs w:val="22"/>
              </w:rPr>
              <w:t>Client</w:t>
            </w:r>
            <w:r w:rsidRPr="00CA6631">
              <w:rPr>
                <w:rFonts w:ascii="Arial" w:hAnsi="Arial" w:cs="Arial"/>
                <w:color w:val="000000" w:themeColor="text1"/>
                <w:sz w:val="22"/>
                <w:szCs w:val="22"/>
              </w:rPr>
              <w:t xml:space="preserve"> or the </w:t>
            </w:r>
            <w:r w:rsidRPr="00CA6631">
              <w:rPr>
                <w:rFonts w:ascii="Arial" w:hAnsi="Arial" w:cs="Arial"/>
                <w:i/>
                <w:iCs/>
                <w:color w:val="000000" w:themeColor="text1"/>
                <w:sz w:val="22"/>
                <w:szCs w:val="22"/>
              </w:rPr>
              <w:t>Consultant</w:t>
            </w:r>
            <w:r w:rsidRPr="00CA6631">
              <w:rPr>
                <w:rFonts w:ascii="Arial" w:hAnsi="Arial" w:cs="Arial"/>
                <w:color w:val="000000" w:themeColor="text1"/>
                <w:sz w:val="22"/>
                <w:szCs w:val="22"/>
              </w:rPr>
              <w:t xml:space="preserve"> interacts in connection with the contract.</w:t>
            </w:r>
          </w:p>
        </w:tc>
      </w:tr>
      <w:tr w:rsidR="00DA2123" w:rsidRPr="005A23E1" w14:paraId="3DE3E98A" w14:textId="77777777" w:rsidTr="2564C1D6">
        <w:trPr>
          <w:cantSplit/>
          <w:trHeight w:val="410"/>
        </w:trPr>
        <w:tc>
          <w:tcPr>
            <w:tcW w:w="1619" w:type="pct"/>
          </w:tcPr>
          <w:p w14:paraId="60BB0CC4" w14:textId="2565C858" w:rsidR="00DA2123" w:rsidRPr="005A23E1" w:rsidRDefault="00DA2123" w:rsidP="00DA2123">
            <w:pPr>
              <w:overflowPunct w:val="0"/>
              <w:autoSpaceDE w:val="0"/>
              <w:autoSpaceDN w:val="0"/>
              <w:adjustRightInd w:val="0"/>
              <w:spacing w:before="120" w:after="120" w:line="276" w:lineRule="auto"/>
              <w:textAlignment w:val="baseline"/>
              <w:rPr>
                <w:rFonts w:ascii="Arial" w:hAnsi="Arial" w:cs="Arial"/>
                <w:sz w:val="22"/>
                <w:szCs w:val="22"/>
              </w:rPr>
            </w:pPr>
            <w:r w:rsidRPr="00CA6631">
              <w:rPr>
                <w:rFonts w:ascii="Arial" w:hAnsi="Arial" w:cs="Arial"/>
                <w:color w:val="0D0D0D" w:themeColor="text1" w:themeTint="F2"/>
                <w:sz w:val="22"/>
                <w:szCs w:val="22"/>
              </w:rPr>
              <w:t>Disclosure Request</w:t>
            </w:r>
          </w:p>
        </w:tc>
        <w:tc>
          <w:tcPr>
            <w:tcW w:w="3381" w:type="pct"/>
          </w:tcPr>
          <w:p w14:paraId="02E59DD0" w14:textId="77777777" w:rsidR="00DA2123" w:rsidRPr="005A23E1" w:rsidRDefault="00DA2123" w:rsidP="00CA6631">
            <w:pPr>
              <w:overflowPunct w:val="0"/>
              <w:autoSpaceDE w:val="0"/>
              <w:autoSpaceDN w:val="0"/>
              <w:adjustRightInd w:val="0"/>
              <w:spacing w:before="120" w:after="120" w:line="276" w:lineRule="auto"/>
              <w:jc w:val="both"/>
              <w:textAlignment w:val="baseline"/>
              <w:rPr>
                <w:rFonts w:ascii="Arial" w:hAnsi="Arial" w:cs="Arial"/>
                <w:sz w:val="22"/>
                <w:szCs w:val="22"/>
              </w:rPr>
            </w:pPr>
            <w:r w:rsidRPr="00CA6631">
              <w:rPr>
                <w:rFonts w:ascii="Arial" w:hAnsi="Arial" w:cs="Arial"/>
                <w:sz w:val="22"/>
                <w:szCs w:val="22"/>
              </w:rPr>
              <w:t xml:space="preserve">is a request for information relating to the contract a received by the </w:t>
            </w:r>
            <w:r w:rsidRPr="00CA6631">
              <w:rPr>
                <w:rFonts w:ascii="Arial" w:hAnsi="Arial" w:cs="Arial"/>
                <w:i/>
                <w:iCs/>
                <w:sz w:val="22"/>
                <w:szCs w:val="22"/>
              </w:rPr>
              <w:t xml:space="preserve">Client </w:t>
            </w:r>
            <w:r w:rsidRPr="00CA6631">
              <w:rPr>
                <w:rFonts w:ascii="Arial" w:hAnsi="Arial" w:cs="Arial"/>
                <w:sz w:val="22"/>
                <w:szCs w:val="22"/>
              </w:rPr>
              <w:t>pursuant to the Freedom of Information Act 2000 and Environmental Information Regulations 2004</w:t>
            </w:r>
            <w:r w:rsidRPr="00CA6631">
              <w:rPr>
                <w:rFonts w:ascii="Arial" w:hAnsi="Arial" w:cs="Arial"/>
                <w:color w:val="00B050"/>
                <w:sz w:val="22"/>
                <w:szCs w:val="22"/>
              </w:rPr>
              <w:t xml:space="preserve"> </w:t>
            </w:r>
            <w:r w:rsidRPr="00CA6631">
              <w:rPr>
                <w:rFonts w:ascii="Arial" w:hAnsi="Arial" w:cs="Arial"/>
                <w:sz w:val="22"/>
                <w:szCs w:val="22"/>
              </w:rPr>
              <w:t xml:space="preserve">or </w:t>
            </w:r>
            <w:proofErr w:type="gramStart"/>
            <w:r w:rsidRPr="00CA6631">
              <w:rPr>
                <w:rFonts w:ascii="Arial" w:hAnsi="Arial" w:cs="Arial"/>
                <w:sz w:val="22"/>
                <w:szCs w:val="22"/>
              </w:rPr>
              <w:t>otherwise.</w:t>
            </w:r>
            <w:proofErr w:type="gramEnd"/>
          </w:p>
        </w:tc>
      </w:tr>
      <w:tr w:rsidR="00DA2123" w:rsidRPr="005A23E1" w14:paraId="6D3246EF" w14:textId="77777777" w:rsidTr="2564C1D6">
        <w:trPr>
          <w:cantSplit/>
          <w:trHeight w:val="410"/>
        </w:trPr>
        <w:tc>
          <w:tcPr>
            <w:tcW w:w="1619" w:type="pct"/>
          </w:tcPr>
          <w:p w14:paraId="35495B4C" w14:textId="77777777" w:rsidR="00DA2123" w:rsidRPr="005A23E1" w:rsidRDefault="00DA2123" w:rsidP="00DA2123">
            <w:pPr>
              <w:overflowPunct w:val="0"/>
              <w:autoSpaceDE w:val="0"/>
              <w:autoSpaceDN w:val="0"/>
              <w:adjustRightInd w:val="0"/>
              <w:spacing w:before="120" w:after="120" w:line="276" w:lineRule="auto"/>
              <w:textAlignment w:val="baseline"/>
              <w:rPr>
                <w:rFonts w:ascii="Arial" w:hAnsi="Arial" w:cs="Arial"/>
                <w:sz w:val="22"/>
                <w:szCs w:val="22"/>
              </w:rPr>
            </w:pPr>
            <w:r w:rsidRPr="005A23E1">
              <w:rPr>
                <w:rFonts w:ascii="Arial" w:hAnsi="Arial" w:cs="Arial"/>
                <w:iCs/>
                <w:color w:val="000000"/>
                <w:w w:val="0"/>
                <w:sz w:val="22"/>
                <w:szCs w:val="22"/>
              </w:rPr>
              <w:lastRenderedPageBreak/>
              <w:t>EEA</w:t>
            </w:r>
          </w:p>
        </w:tc>
        <w:tc>
          <w:tcPr>
            <w:tcW w:w="3381" w:type="pct"/>
          </w:tcPr>
          <w:p w14:paraId="5A403B5D" w14:textId="77777777" w:rsidR="00DA2123" w:rsidRPr="005A23E1" w:rsidRDefault="00DA2123" w:rsidP="00DA2123">
            <w:pPr>
              <w:overflowPunct w:val="0"/>
              <w:autoSpaceDE w:val="0"/>
              <w:autoSpaceDN w:val="0"/>
              <w:adjustRightInd w:val="0"/>
              <w:spacing w:before="120" w:after="120" w:line="276" w:lineRule="auto"/>
              <w:textAlignment w:val="baseline"/>
              <w:rPr>
                <w:rFonts w:ascii="Arial" w:hAnsi="Arial" w:cs="Arial"/>
                <w:sz w:val="22"/>
                <w:szCs w:val="22"/>
              </w:rPr>
            </w:pPr>
            <w:r w:rsidRPr="005A23E1">
              <w:rPr>
                <w:rFonts w:ascii="Arial" w:hAnsi="Arial" w:cs="Arial"/>
                <w:iCs/>
                <w:color w:val="000000"/>
                <w:w w:val="0"/>
                <w:sz w:val="22"/>
                <w:szCs w:val="22"/>
              </w:rPr>
              <w:t xml:space="preserve">is the European Economic </w:t>
            </w:r>
            <w:proofErr w:type="gramStart"/>
            <w:r w:rsidRPr="005A23E1">
              <w:rPr>
                <w:rFonts w:ascii="Arial" w:hAnsi="Arial" w:cs="Arial"/>
                <w:iCs/>
                <w:color w:val="000000"/>
                <w:w w:val="0"/>
                <w:sz w:val="22"/>
                <w:szCs w:val="22"/>
              </w:rPr>
              <w:t>Area.</w:t>
            </w:r>
            <w:proofErr w:type="gramEnd"/>
          </w:p>
        </w:tc>
      </w:tr>
      <w:tr w:rsidR="14AED302" w14:paraId="7ABB047F" w14:textId="77777777" w:rsidTr="00B91AA2">
        <w:trPr>
          <w:cantSplit/>
          <w:trHeight w:val="410"/>
        </w:trPr>
        <w:tc>
          <w:tcPr>
            <w:tcW w:w="1619" w:type="pct"/>
            <w:tcBorders>
              <w:top w:val="single" w:sz="6" w:space="0" w:color="auto"/>
              <w:left w:val="single" w:sz="6" w:space="0" w:color="auto"/>
              <w:bottom w:val="single" w:sz="6" w:space="0" w:color="auto"/>
              <w:right w:val="single" w:sz="6" w:space="0" w:color="auto"/>
            </w:tcBorders>
          </w:tcPr>
          <w:p w14:paraId="23BF0545" w14:textId="16247457" w:rsidR="7A96EE16" w:rsidRDefault="7A96EE16" w:rsidP="00CA6631">
            <w:pPr>
              <w:spacing w:before="120" w:after="120" w:line="276" w:lineRule="auto"/>
              <w:jc w:val="both"/>
              <w:rPr>
                <w:rFonts w:ascii="Arial" w:hAnsi="Arial" w:cs="Arial"/>
                <w:sz w:val="22"/>
                <w:szCs w:val="22"/>
              </w:rPr>
            </w:pPr>
            <w:r w:rsidRPr="00CA6631">
              <w:rPr>
                <w:rFonts w:ascii="Arial" w:hAnsi="Arial" w:cs="Arial"/>
                <w:sz w:val="22"/>
                <w:szCs w:val="22"/>
              </w:rPr>
              <w:t>FDR-R Letter</w:t>
            </w:r>
          </w:p>
        </w:tc>
        <w:tc>
          <w:tcPr>
            <w:tcW w:w="3381" w:type="pct"/>
            <w:tcBorders>
              <w:top w:val="single" w:sz="6" w:space="0" w:color="auto"/>
              <w:left w:val="single" w:sz="6" w:space="0" w:color="auto"/>
              <w:bottom w:val="single" w:sz="6" w:space="0" w:color="auto"/>
              <w:right w:val="single" w:sz="6" w:space="0" w:color="auto"/>
            </w:tcBorders>
          </w:tcPr>
          <w:p w14:paraId="1CA4FC8E" w14:textId="1DB5C894" w:rsidR="7A96EE16" w:rsidRDefault="7A96EE16" w:rsidP="00CA6631">
            <w:pPr>
              <w:spacing w:before="120" w:after="120" w:line="276" w:lineRule="auto"/>
              <w:jc w:val="both"/>
              <w:rPr>
                <w:rFonts w:ascii="Arial" w:hAnsi="Arial" w:cs="Arial"/>
                <w:sz w:val="22"/>
                <w:szCs w:val="22"/>
              </w:rPr>
            </w:pPr>
            <w:r w:rsidRPr="00CA6631">
              <w:rPr>
                <w:rFonts w:ascii="Arial" w:hAnsi="Arial" w:cs="Arial"/>
                <w:sz w:val="22"/>
                <w:szCs w:val="22"/>
              </w:rPr>
              <w:t xml:space="preserve">Is the letter issued by Cadent following submission at Final Design Review-Refresh stage, following their acceptance of the </w:t>
            </w:r>
            <w:proofErr w:type="gramStart"/>
            <w:r w:rsidRPr="00CA6631">
              <w:rPr>
                <w:rFonts w:ascii="Arial" w:hAnsi="Arial" w:cs="Arial"/>
                <w:sz w:val="22"/>
                <w:szCs w:val="22"/>
              </w:rPr>
              <w:t>design.</w:t>
            </w:r>
            <w:proofErr w:type="gramEnd"/>
          </w:p>
        </w:tc>
      </w:tr>
      <w:tr w:rsidR="637B839A" w14:paraId="09206B3C" w14:textId="77777777" w:rsidTr="00B91AA2">
        <w:trPr>
          <w:cantSplit/>
          <w:trHeight w:val="410"/>
        </w:trPr>
        <w:tc>
          <w:tcPr>
            <w:tcW w:w="2686" w:type="dxa"/>
            <w:tcBorders>
              <w:top w:val="single" w:sz="6" w:space="0" w:color="auto"/>
              <w:left w:val="single" w:sz="6" w:space="0" w:color="auto"/>
              <w:bottom w:val="single" w:sz="6" w:space="0" w:color="auto"/>
              <w:right w:val="single" w:sz="6" w:space="0" w:color="auto"/>
            </w:tcBorders>
          </w:tcPr>
          <w:p w14:paraId="0ABA6210" w14:textId="0865AB42" w:rsidR="793C773E" w:rsidRDefault="793C773E" w:rsidP="00CA6631">
            <w:pPr>
              <w:spacing w:before="120" w:after="120" w:line="276" w:lineRule="auto"/>
              <w:rPr>
                <w:rFonts w:ascii="Arial" w:hAnsi="Arial" w:cs="Arial"/>
                <w:sz w:val="22"/>
                <w:szCs w:val="22"/>
              </w:rPr>
            </w:pPr>
            <w:r w:rsidRPr="00CA6631">
              <w:rPr>
                <w:rFonts w:ascii="Arial" w:hAnsi="Arial" w:cs="Arial"/>
                <w:sz w:val="22"/>
                <w:szCs w:val="22"/>
              </w:rPr>
              <w:t>Federated Model</w:t>
            </w:r>
          </w:p>
        </w:tc>
        <w:tc>
          <w:tcPr>
            <w:tcW w:w="5610" w:type="dxa"/>
            <w:tcBorders>
              <w:top w:val="single" w:sz="6" w:space="0" w:color="auto"/>
              <w:left w:val="single" w:sz="6" w:space="0" w:color="auto"/>
              <w:bottom w:val="single" w:sz="6" w:space="0" w:color="auto"/>
              <w:right w:val="single" w:sz="6" w:space="0" w:color="auto"/>
            </w:tcBorders>
          </w:tcPr>
          <w:p w14:paraId="36F92708" w14:textId="3174E84C" w:rsidR="79DE1706" w:rsidRDefault="79DE1706" w:rsidP="00CA6631">
            <w:pPr>
              <w:spacing w:before="120" w:after="120" w:line="276" w:lineRule="auto"/>
              <w:jc w:val="both"/>
              <w:rPr>
                <w:rFonts w:ascii="Arial" w:hAnsi="Arial" w:cs="Arial"/>
                <w:sz w:val="22"/>
                <w:szCs w:val="22"/>
              </w:rPr>
            </w:pPr>
            <w:r w:rsidRPr="00CA6631">
              <w:rPr>
                <w:rFonts w:ascii="Arial" w:hAnsi="Arial" w:cs="Arial"/>
                <w:sz w:val="22"/>
                <w:szCs w:val="22"/>
              </w:rPr>
              <w:t>is a sub-set of the Project Information Model (PIM)</w:t>
            </w:r>
          </w:p>
        </w:tc>
      </w:tr>
      <w:tr w:rsidR="00A70C28" w:rsidRPr="005A23E1" w14:paraId="49948AF0" w14:textId="77777777" w:rsidTr="2564C1D6">
        <w:trPr>
          <w:cantSplit/>
          <w:trHeight w:val="410"/>
        </w:trPr>
        <w:tc>
          <w:tcPr>
            <w:tcW w:w="1619" w:type="pct"/>
          </w:tcPr>
          <w:p w14:paraId="7AF9688C" w14:textId="32E25699" w:rsidR="00A70C28" w:rsidRPr="005A23E1" w:rsidRDefault="00A70C28" w:rsidP="00DA2123">
            <w:pPr>
              <w:overflowPunct w:val="0"/>
              <w:autoSpaceDE w:val="0"/>
              <w:autoSpaceDN w:val="0"/>
              <w:adjustRightInd w:val="0"/>
              <w:spacing w:before="120" w:after="120" w:line="276" w:lineRule="auto"/>
              <w:textAlignment w:val="baseline"/>
              <w:rPr>
                <w:rFonts w:ascii="Arial" w:hAnsi="Arial" w:cs="Arial"/>
                <w:sz w:val="22"/>
                <w:szCs w:val="22"/>
              </w:rPr>
            </w:pPr>
            <w:r w:rsidRPr="00A70C28">
              <w:rPr>
                <w:rFonts w:ascii="Arial" w:hAnsi="Arial" w:cs="Arial"/>
                <w:sz w:val="22"/>
                <w:szCs w:val="22"/>
              </w:rPr>
              <w:t>Gas Industry Registration Scheme</w:t>
            </w:r>
          </w:p>
        </w:tc>
        <w:tc>
          <w:tcPr>
            <w:tcW w:w="3381" w:type="pct"/>
          </w:tcPr>
          <w:p w14:paraId="4D2CC529" w14:textId="5D006725" w:rsidR="00A70C28" w:rsidRDefault="00A70C28" w:rsidP="00DA2123">
            <w:pPr>
              <w:overflowPunct w:val="0"/>
              <w:autoSpaceDE w:val="0"/>
              <w:autoSpaceDN w:val="0"/>
              <w:adjustRightInd w:val="0"/>
              <w:spacing w:before="120" w:after="120" w:line="276" w:lineRule="auto"/>
              <w:jc w:val="both"/>
              <w:textAlignment w:val="baseline"/>
              <w:rPr>
                <w:rFonts w:ascii="Arial" w:hAnsi="Arial" w:cs="Arial"/>
                <w:sz w:val="22"/>
                <w:szCs w:val="22"/>
              </w:rPr>
            </w:pPr>
            <w:r w:rsidRPr="00A70C28">
              <w:rPr>
                <w:rFonts w:ascii="Arial" w:hAnsi="Arial" w:cs="Arial"/>
                <w:sz w:val="22"/>
                <w:szCs w:val="22"/>
              </w:rPr>
              <w:t xml:space="preserve">is the accreditation scheme operated by Lloyd’s </w:t>
            </w:r>
            <w:proofErr w:type="gramStart"/>
            <w:r w:rsidRPr="00A70C28">
              <w:rPr>
                <w:rFonts w:ascii="Arial" w:hAnsi="Arial" w:cs="Arial"/>
                <w:sz w:val="22"/>
                <w:szCs w:val="22"/>
              </w:rPr>
              <w:t>Register.</w:t>
            </w:r>
            <w:proofErr w:type="gramEnd"/>
          </w:p>
        </w:tc>
      </w:tr>
      <w:tr w:rsidR="00DA2123" w:rsidRPr="005A23E1" w14:paraId="5276A06B" w14:textId="77777777" w:rsidTr="2564C1D6">
        <w:trPr>
          <w:cantSplit/>
          <w:trHeight w:val="410"/>
        </w:trPr>
        <w:tc>
          <w:tcPr>
            <w:tcW w:w="1619" w:type="pct"/>
          </w:tcPr>
          <w:p w14:paraId="07A079D4" w14:textId="77777777" w:rsidR="00DA2123" w:rsidRPr="005A23E1" w:rsidRDefault="00DA2123" w:rsidP="00DA2123">
            <w:pPr>
              <w:overflowPunct w:val="0"/>
              <w:autoSpaceDE w:val="0"/>
              <w:autoSpaceDN w:val="0"/>
              <w:adjustRightInd w:val="0"/>
              <w:spacing w:before="120" w:after="120" w:line="276" w:lineRule="auto"/>
              <w:textAlignment w:val="baseline"/>
              <w:rPr>
                <w:rFonts w:ascii="Arial" w:hAnsi="Arial" w:cs="Arial"/>
                <w:sz w:val="22"/>
                <w:szCs w:val="22"/>
              </w:rPr>
            </w:pPr>
            <w:r w:rsidRPr="005A23E1">
              <w:rPr>
                <w:rFonts w:ascii="Arial" w:hAnsi="Arial" w:cs="Arial"/>
                <w:sz w:val="22"/>
                <w:szCs w:val="22"/>
              </w:rPr>
              <w:t>Health and Safety File</w:t>
            </w:r>
          </w:p>
        </w:tc>
        <w:tc>
          <w:tcPr>
            <w:tcW w:w="3381" w:type="pct"/>
          </w:tcPr>
          <w:p w14:paraId="326E7476" w14:textId="77777777" w:rsidR="00DA2123" w:rsidRPr="005A23E1" w:rsidRDefault="00DA2123" w:rsidP="00DA2123">
            <w:pPr>
              <w:overflowPunct w:val="0"/>
              <w:autoSpaceDE w:val="0"/>
              <w:autoSpaceDN w:val="0"/>
              <w:adjustRightInd w:val="0"/>
              <w:spacing w:before="120" w:after="120" w:line="276" w:lineRule="auto"/>
              <w:jc w:val="both"/>
              <w:textAlignment w:val="baseline"/>
              <w:rPr>
                <w:rFonts w:ascii="Arial" w:hAnsi="Arial" w:cs="Arial"/>
                <w:sz w:val="22"/>
                <w:szCs w:val="22"/>
              </w:rPr>
            </w:pPr>
            <w:r>
              <w:rPr>
                <w:rFonts w:ascii="Arial" w:hAnsi="Arial" w:cs="Arial"/>
                <w:sz w:val="22"/>
                <w:szCs w:val="22"/>
              </w:rPr>
              <w:t>a</w:t>
            </w:r>
            <w:r w:rsidRPr="005A23E1">
              <w:rPr>
                <w:rFonts w:ascii="Arial" w:hAnsi="Arial" w:cs="Arial"/>
                <w:sz w:val="22"/>
                <w:szCs w:val="22"/>
              </w:rPr>
              <w:t>s per the meaning given to it in the Construction (Design and Management) Regulations 2015.</w:t>
            </w:r>
          </w:p>
        </w:tc>
      </w:tr>
      <w:tr w:rsidR="637B839A" w14:paraId="1FBB647E" w14:textId="77777777" w:rsidTr="2564C1D6">
        <w:trPr>
          <w:cantSplit/>
          <w:trHeight w:val="410"/>
        </w:trPr>
        <w:tc>
          <w:tcPr>
            <w:tcW w:w="2686" w:type="dxa"/>
          </w:tcPr>
          <w:p w14:paraId="0819C7D6" w14:textId="178C0A90" w:rsidR="4A0CBB58" w:rsidRDefault="4A0CBB58" w:rsidP="00CA6631">
            <w:pPr>
              <w:spacing w:before="120" w:after="120" w:line="276" w:lineRule="auto"/>
              <w:rPr>
                <w:rFonts w:ascii="Arial" w:hAnsi="Arial" w:cs="Arial"/>
                <w:color w:val="000000" w:themeColor="text1"/>
                <w:sz w:val="22"/>
                <w:szCs w:val="22"/>
              </w:rPr>
            </w:pPr>
            <w:r w:rsidRPr="00CA6631">
              <w:rPr>
                <w:rFonts w:ascii="Arial" w:hAnsi="Arial" w:cs="Arial"/>
                <w:color w:val="000000" w:themeColor="text1"/>
                <w:sz w:val="22"/>
                <w:szCs w:val="22"/>
              </w:rPr>
              <w:t>Information Execution Plan (IEP)</w:t>
            </w:r>
          </w:p>
        </w:tc>
        <w:tc>
          <w:tcPr>
            <w:tcW w:w="5610" w:type="dxa"/>
          </w:tcPr>
          <w:p w14:paraId="43473957" w14:textId="32B4E5EC" w:rsidR="7EE2E9F4" w:rsidRDefault="7EE2E9F4" w:rsidP="00CA6631">
            <w:pPr>
              <w:spacing w:before="120" w:after="120" w:line="276" w:lineRule="auto"/>
              <w:jc w:val="both"/>
              <w:rPr>
                <w:rFonts w:ascii="Arial" w:hAnsi="Arial" w:cs="Arial"/>
                <w:sz w:val="22"/>
                <w:szCs w:val="22"/>
              </w:rPr>
            </w:pPr>
            <w:r w:rsidRPr="00CA6631">
              <w:rPr>
                <w:rFonts w:ascii="Arial" w:hAnsi="Arial" w:cs="Arial"/>
                <w:sz w:val="22"/>
                <w:szCs w:val="22"/>
              </w:rPr>
              <w:t>explains how the information management aspects of the contract including the Exchange Information Requirements</w:t>
            </w:r>
            <w:r w:rsidR="167ADBB9" w:rsidRPr="00CA6631">
              <w:rPr>
                <w:rFonts w:ascii="Arial" w:hAnsi="Arial" w:cs="Arial"/>
                <w:sz w:val="22"/>
                <w:szCs w:val="22"/>
              </w:rPr>
              <w:t xml:space="preserve"> (EIR, see </w:t>
            </w:r>
            <w:r w:rsidR="167ADBB9" w:rsidRPr="00CA6631">
              <w:rPr>
                <w:rFonts w:ascii="Arial" w:hAnsi="Arial" w:cs="Arial"/>
                <w:b/>
                <w:bCs/>
                <w:sz w:val="22"/>
                <w:szCs w:val="22"/>
              </w:rPr>
              <w:t>Annex 02</w:t>
            </w:r>
            <w:r w:rsidR="167ADBB9" w:rsidRPr="00CA6631">
              <w:rPr>
                <w:rFonts w:ascii="Arial" w:hAnsi="Arial" w:cs="Arial"/>
                <w:sz w:val="22"/>
                <w:szCs w:val="22"/>
              </w:rPr>
              <w:t>)</w:t>
            </w:r>
            <w:r w:rsidRPr="00CA6631">
              <w:rPr>
                <w:rFonts w:ascii="Arial" w:hAnsi="Arial" w:cs="Arial"/>
                <w:sz w:val="22"/>
                <w:szCs w:val="22"/>
              </w:rPr>
              <w:t>, Business Exchange I</w:t>
            </w:r>
            <w:r w:rsidR="32ADC1A3" w:rsidRPr="00CA6631">
              <w:rPr>
                <w:rFonts w:ascii="Arial" w:hAnsi="Arial" w:cs="Arial"/>
                <w:sz w:val="22"/>
                <w:szCs w:val="22"/>
              </w:rPr>
              <w:t xml:space="preserve">nformation </w:t>
            </w:r>
            <w:r w:rsidRPr="00CA6631">
              <w:rPr>
                <w:rFonts w:ascii="Arial" w:hAnsi="Arial" w:cs="Arial"/>
                <w:sz w:val="22"/>
                <w:szCs w:val="22"/>
              </w:rPr>
              <w:t>R</w:t>
            </w:r>
            <w:r w:rsidR="4B7ABC5A" w:rsidRPr="00CA6631">
              <w:rPr>
                <w:rFonts w:ascii="Arial" w:hAnsi="Arial" w:cs="Arial"/>
                <w:sz w:val="22"/>
                <w:szCs w:val="22"/>
              </w:rPr>
              <w:t>equirements</w:t>
            </w:r>
            <w:r w:rsidR="76E431DD" w:rsidRPr="00CA6631">
              <w:rPr>
                <w:rFonts w:ascii="Arial" w:hAnsi="Arial" w:cs="Arial"/>
                <w:sz w:val="22"/>
                <w:szCs w:val="22"/>
              </w:rPr>
              <w:t xml:space="preserve"> (B-EIR, see </w:t>
            </w:r>
            <w:r w:rsidR="76E431DD" w:rsidRPr="00CA6631">
              <w:rPr>
                <w:rFonts w:ascii="Arial" w:hAnsi="Arial" w:cs="Arial"/>
                <w:b/>
                <w:bCs/>
                <w:sz w:val="22"/>
                <w:szCs w:val="22"/>
              </w:rPr>
              <w:t>Annex 02</w:t>
            </w:r>
            <w:r w:rsidR="76E431DD" w:rsidRPr="00CA6631">
              <w:rPr>
                <w:rFonts w:ascii="Arial" w:hAnsi="Arial" w:cs="Arial"/>
                <w:sz w:val="22"/>
                <w:szCs w:val="22"/>
              </w:rPr>
              <w:t>)</w:t>
            </w:r>
            <w:r w:rsidRPr="00CA6631">
              <w:rPr>
                <w:rFonts w:ascii="Arial" w:hAnsi="Arial" w:cs="Arial"/>
                <w:sz w:val="22"/>
                <w:szCs w:val="22"/>
              </w:rPr>
              <w:t xml:space="preserve"> and Information Management System</w:t>
            </w:r>
            <w:r w:rsidR="3DFDC82E" w:rsidRPr="00CA6631">
              <w:rPr>
                <w:rFonts w:ascii="Arial" w:hAnsi="Arial" w:cs="Arial"/>
                <w:sz w:val="22"/>
                <w:szCs w:val="22"/>
              </w:rPr>
              <w:t xml:space="preserve"> (see </w:t>
            </w:r>
            <w:r w:rsidR="3DFDC82E" w:rsidRPr="00CA6631">
              <w:rPr>
                <w:rFonts w:ascii="Arial" w:hAnsi="Arial" w:cs="Arial"/>
                <w:b/>
                <w:bCs/>
                <w:sz w:val="22"/>
                <w:szCs w:val="22"/>
              </w:rPr>
              <w:t>Annex 02</w:t>
            </w:r>
            <w:r w:rsidR="3DFDC82E" w:rsidRPr="00CA6631">
              <w:rPr>
                <w:rFonts w:ascii="Arial" w:hAnsi="Arial" w:cs="Arial"/>
                <w:sz w:val="22"/>
                <w:szCs w:val="22"/>
              </w:rPr>
              <w:t>)</w:t>
            </w:r>
            <w:r w:rsidRPr="00CA6631">
              <w:rPr>
                <w:rFonts w:ascii="Arial" w:hAnsi="Arial" w:cs="Arial"/>
                <w:sz w:val="22"/>
                <w:szCs w:val="22"/>
              </w:rPr>
              <w:t xml:space="preserve"> are carried out and information exchanged between the </w:t>
            </w:r>
            <w:r w:rsidRPr="00CA6631">
              <w:rPr>
                <w:rFonts w:ascii="Arial" w:hAnsi="Arial" w:cs="Arial"/>
                <w:i/>
                <w:iCs/>
                <w:sz w:val="22"/>
                <w:szCs w:val="22"/>
              </w:rPr>
              <w:t>Client</w:t>
            </w:r>
            <w:r w:rsidRPr="00CA6631">
              <w:rPr>
                <w:rFonts w:ascii="Arial" w:hAnsi="Arial" w:cs="Arial"/>
                <w:sz w:val="22"/>
                <w:szCs w:val="22"/>
              </w:rPr>
              <w:t xml:space="preserve">, the </w:t>
            </w:r>
            <w:r w:rsidRPr="00CA6631">
              <w:rPr>
                <w:rFonts w:ascii="Arial" w:hAnsi="Arial" w:cs="Arial"/>
                <w:i/>
                <w:iCs/>
                <w:sz w:val="22"/>
                <w:szCs w:val="22"/>
              </w:rPr>
              <w:t xml:space="preserve">Consultant </w:t>
            </w:r>
            <w:r w:rsidRPr="00CA6631">
              <w:rPr>
                <w:rFonts w:ascii="Arial" w:hAnsi="Arial" w:cs="Arial"/>
                <w:sz w:val="22"/>
                <w:szCs w:val="22"/>
              </w:rPr>
              <w:t>and others supporting the LTC programme.</w:t>
            </w:r>
          </w:p>
        </w:tc>
      </w:tr>
      <w:tr w:rsidR="00DA2123" w:rsidRPr="005A23E1" w14:paraId="064D7A1B" w14:textId="77777777" w:rsidTr="2564C1D6">
        <w:trPr>
          <w:cantSplit/>
          <w:trHeight w:val="410"/>
        </w:trPr>
        <w:tc>
          <w:tcPr>
            <w:tcW w:w="1619" w:type="pct"/>
          </w:tcPr>
          <w:p w14:paraId="767689DB" w14:textId="77777777" w:rsidR="00DA2123" w:rsidRPr="005A23E1" w:rsidRDefault="00DA2123" w:rsidP="00DA2123">
            <w:pPr>
              <w:overflowPunct w:val="0"/>
              <w:autoSpaceDE w:val="0"/>
              <w:autoSpaceDN w:val="0"/>
              <w:adjustRightInd w:val="0"/>
              <w:spacing w:before="120" w:after="120" w:line="276" w:lineRule="auto"/>
              <w:textAlignment w:val="baseline"/>
              <w:rPr>
                <w:rFonts w:ascii="Arial" w:hAnsi="Arial" w:cs="Arial"/>
                <w:sz w:val="22"/>
                <w:szCs w:val="22"/>
              </w:rPr>
            </w:pPr>
            <w:r w:rsidRPr="005A23E1">
              <w:rPr>
                <w:rFonts w:ascii="Arial" w:hAnsi="Arial" w:cs="Arial"/>
                <w:iCs/>
                <w:color w:val="000000"/>
                <w:w w:val="0"/>
                <w:sz w:val="22"/>
                <w:szCs w:val="22"/>
              </w:rPr>
              <w:t>Joint Controllers</w:t>
            </w:r>
          </w:p>
        </w:tc>
        <w:tc>
          <w:tcPr>
            <w:tcW w:w="3381" w:type="pct"/>
          </w:tcPr>
          <w:p w14:paraId="3C939F27" w14:textId="77777777" w:rsidR="00DA2123" w:rsidRPr="005A23E1" w:rsidRDefault="00DA2123" w:rsidP="00DA2123">
            <w:pPr>
              <w:overflowPunct w:val="0"/>
              <w:autoSpaceDE w:val="0"/>
              <w:autoSpaceDN w:val="0"/>
              <w:adjustRightInd w:val="0"/>
              <w:spacing w:before="120" w:after="120" w:line="276" w:lineRule="auto"/>
              <w:textAlignment w:val="baseline"/>
              <w:rPr>
                <w:rFonts w:ascii="Arial" w:hAnsi="Arial" w:cs="Arial"/>
                <w:sz w:val="22"/>
                <w:szCs w:val="22"/>
              </w:rPr>
            </w:pPr>
            <w:r>
              <w:rPr>
                <w:rFonts w:ascii="Arial" w:hAnsi="Arial" w:cs="Arial"/>
                <w:iCs/>
                <w:color w:val="000000"/>
                <w:w w:val="0"/>
                <w:sz w:val="22"/>
                <w:szCs w:val="22"/>
              </w:rPr>
              <w:t>m</w:t>
            </w:r>
            <w:r w:rsidRPr="005A23E1">
              <w:rPr>
                <w:rFonts w:ascii="Arial" w:hAnsi="Arial" w:cs="Arial"/>
                <w:iCs/>
                <w:color w:val="000000"/>
                <w:w w:val="0"/>
                <w:sz w:val="22"/>
                <w:szCs w:val="22"/>
              </w:rPr>
              <w:t>eans where two or more Controllers jointly determine the purposes and means of processing.</w:t>
            </w:r>
          </w:p>
        </w:tc>
      </w:tr>
      <w:tr w:rsidR="00DA2123" w14:paraId="19CDD91B" w14:textId="77777777" w:rsidTr="2564C1D6">
        <w:trPr>
          <w:cantSplit/>
          <w:trHeight w:val="410"/>
        </w:trPr>
        <w:tc>
          <w:tcPr>
            <w:tcW w:w="1619" w:type="pct"/>
          </w:tcPr>
          <w:p w14:paraId="233AD7A2" w14:textId="11E2BC18" w:rsidR="00DA2123" w:rsidRDefault="00DA2123" w:rsidP="00CA6631">
            <w:pPr>
              <w:spacing w:before="120" w:after="120" w:line="276" w:lineRule="auto"/>
              <w:jc w:val="both"/>
              <w:rPr>
                <w:rFonts w:ascii="Arial" w:hAnsi="Arial" w:cs="Arial"/>
                <w:color w:val="000000" w:themeColor="text1"/>
                <w:sz w:val="22"/>
                <w:szCs w:val="22"/>
              </w:rPr>
            </w:pPr>
            <w:r w:rsidRPr="00CA6631">
              <w:rPr>
                <w:rFonts w:ascii="Arial" w:hAnsi="Arial" w:cs="Arial"/>
                <w:color w:val="000000" w:themeColor="text1"/>
                <w:sz w:val="22"/>
                <w:szCs w:val="22"/>
              </w:rPr>
              <w:t>Lower Thames Crossing</w:t>
            </w:r>
            <w:r w:rsidR="000E4B38" w:rsidRPr="00CA6631">
              <w:rPr>
                <w:rFonts w:ascii="Arial" w:hAnsi="Arial" w:cs="Arial"/>
                <w:color w:val="000000" w:themeColor="text1"/>
                <w:sz w:val="22"/>
                <w:szCs w:val="22"/>
              </w:rPr>
              <w:t xml:space="preserve"> (LTC)</w:t>
            </w:r>
          </w:p>
        </w:tc>
        <w:tc>
          <w:tcPr>
            <w:tcW w:w="3381" w:type="pct"/>
          </w:tcPr>
          <w:p w14:paraId="3C84FDC1" w14:textId="44BA08DA" w:rsidR="00DA2123" w:rsidRDefault="00135274" w:rsidP="00CA6631">
            <w:pPr>
              <w:spacing w:before="120" w:after="120" w:line="276" w:lineRule="auto"/>
              <w:jc w:val="both"/>
              <w:rPr>
                <w:rFonts w:ascii="Arial" w:hAnsi="Arial" w:cs="Arial"/>
                <w:color w:val="000000" w:themeColor="text1"/>
                <w:sz w:val="22"/>
                <w:szCs w:val="22"/>
              </w:rPr>
            </w:pPr>
            <w:r w:rsidRPr="00CA6631">
              <w:rPr>
                <w:rFonts w:ascii="Arial" w:eastAsia="Arial" w:hAnsi="Arial" w:cs="Arial"/>
                <w:sz w:val="22"/>
                <w:szCs w:val="22"/>
              </w:rPr>
              <w:t xml:space="preserve">is the </w:t>
            </w:r>
            <w:r w:rsidR="00DA2123" w:rsidRPr="00CA6631">
              <w:rPr>
                <w:rFonts w:ascii="Arial" w:eastAsia="Arial" w:hAnsi="Arial" w:cs="Arial"/>
                <w:sz w:val="22"/>
                <w:szCs w:val="22"/>
              </w:rPr>
              <w:t xml:space="preserve">proposed new road connecting Kent, </w:t>
            </w:r>
            <w:proofErr w:type="gramStart"/>
            <w:r w:rsidR="00DA2123" w:rsidRPr="00CA6631">
              <w:rPr>
                <w:rFonts w:ascii="Arial" w:eastAsia="Arial" w:hAnsi="Arial" w:cs="Arial"/>
                <w:sz w:val="22"/>
                <w:szCs w:val="22"/>
              </w:rPr>
              <w:t>Thurrock</w:t>
            </w:r>
            <w:proofErr w:type="gramEnd"/>
            <w:r w:rsidR="00DA2123" w:rsidRPr="00CA6631">
              <w:rPr>
                <w:rFonts w:ascii="Arial" w:eastAsia="Arial" w:hAnsi="Arial" w:cs="Arial"/>
                <w:sz w:val="22"/>
                <w:szCs w:val="22"/>
              </w:rPr>
              <w:t xml:space="preserve"> and Essex through a tunnel beneath the River Thames. On the south side of the River Thames, the new road will link the tunnels to the A2 and M2 in Kent. On the north side, it will link to the A13 and junction 29 of the M25 in the London Borough of Havering.</w:t>
            </w:r>
          </w:p>
        </w:tc>
      </w:tr>
      <w:tr w:rsidR="00DA2123" w14:paraId="66714210" w14:textId="77777777" w:rsidTr="2564C1D6">
        <w:trPr>
          <w:cantSplit/>
          <w:trHeight w:val="410"/>
        </w:trPr>
        <w:tc>
          <w:tcPr>
            <w:tcW w:w="1619" w:type="pct"/>
          </w:tcPr>
          <w:p w14:paraId="466296ED" w14:textId="3E55DF1C" w:rsidR="00DA2123" w:rsidRDefault="00DA2123" w:rsidP="00CA6631">
            <w:pPr>
              <w:spacing w:before="120" w:after="120" w:line="276" w:lineRule="auto"/>
              <w:jc w:val="both"/>
              <w:rPr>
                <w:rFonts w:ascii="Arial" w:hAnsi="Arial" w:cs="Arial"/>
                <w:color w:val="000000" w:themeColor="text1"/>
                <w:sz w:val="22"/>
                <w:szCs w:val="22"/>
              </w:rPr>
            </w:pPr>
            <w:r w:rsidRPr="00CA6631">
              <w:rPr>
                <w:rFonts w:ascii="Arial" w:hAnsi="Arial" w:cs="Arial"/>
                <w:color w:val="000000" w:themeColor="text1"/>
                <w:sz w:val="22"/>
                <w:szCs w:val="22"/>
              </w:rPr>
              <w:t>LTC Design Release 3.0C</w:t>
            </w:r>
          </w:p>
        </w:tc>
        <w:tc>
          <w:tcPr>
            <w:tcW w:w="3381" w:type="pct"/>
          </w:tcPr>
          <w:p w14:paraId="173AA8C4" w14:textId="13F10A61" w:rsidR="00DA2123" w:rsidRDefault="00DA2123" w:rsidP="00CA6631">
            <w:pPr>
              <w:spacing w:before="120" w:after="120" w:line="276" w:lineRule="auto"/>
              <w:jc w:val="both"/>
              <w:rPr>
                <w:rFonts w:ascii="Arial" w:hAnsi="Arial" w:cs="Arial"/>
                <w:color w:val="000000" w:themeColor="text1"/>
                <w:sz w:val="22"/>
                <w:szCs w:val="22"/>
              </w:rPr>
            </w:pPr>
            <w:r w:rsidRPr="00CA6631">
              <w:rPr>
                <w:rFonts w:ascii="Arial" w:hAnsi="Arial" w:cs="Arial"/>
                <w:color w:val="000000" w:themeColor="text1"/>
                <w:sz w:val="22"/>
                <w:szCs w:val="22"/>
              </w:rPr>
              <w:t xml:space="preserve">the model drawings of the Lower Thames Crossing scheme a copy of which have been provided to the </w:t>
            </w:r>
            <w:r w:rsidRPr="00CA6631">
              <w:rPr>
                <w:rFonts w:ascii="Arial" w:hAnsi="Arial" w:cs="Arial"/>
                <w:i/>
                <w:iCs/>
                <w:color w:val="000000" w:themeColor="text1"/>
                <w:sz w:val="22"/>
                <w:szCs w:val="22"/>
              </w:rPr>
              <w:t>Consultan</w:t>
            </w:r>
            <w:r w:rsidRPr="00CA6631">
              <w:rPr>
                <w:rFonts w:ascii="Arial" w:hAnsi="Arial" w:cs="Arial"/>
                <w:color w:val="000000" w:themeColor="text1"/>
                <w:sz w:val="22"/>
                <w:szCs w:val="22"/>
              </w:rPr>
              <w:t>t and are referenced in Annex 02.</w:t>
            </w:r>
          </w:p>
          <w:p w14:paraId="3BD82CFA" w14:textId="79ADBF11" w:rsidR="00DA2123" w:rsidRDefault="00DA2123" w:rsidP="00CA6631">
            <w:pPr>
              <w:spacing w:before="120" w:after="120" w:line="276" w:lineRule="auto"/>
              <w:jc w:val="both"/>
              <w:rPr>
                <w:rFonts w:ascii="Arial" w:hAnsi="Arial" w:cs="Arial"/>
                <w:color w:val="000000" w:themeColor="text1"/>
                <w:sz w:val="22"/>
                <w:szCs w:val="22"/>
              </w:rPr>
            </w:pPr>
          </w:p>
        </w:tc>
      </w:tr>
      <w:tr w:rsidR="00DA2123" w14:paraId="3A0AFDF3" w14:textId="77777777" w:rsidTr="2564C1D6">
        <w:trPr>
          <w:cantSplit/>
          <w:trHeight w:val="410"/>
        </w:trPr>
        <w:tc>
          <w:tcPr>
            <w:tcW w:w="1619" w:type="pct"/>
          </w:tcPr>
          <w:p w14:paraId="4AC36214" w14:textId="5EA59EB4" w:rsidR="00DA2123" w:rsidRDefault="00DA2123" w:rsidP="00CA6631">
            <w:pPr>
              <w:spacing w:before="120" w:after="120" w:line="276" w:lineRule="auto"/>
              <w:jc w:val="both"/>
              <w:rPr>
                <w:rFonts w:ascii="Arial" w:hAnsi="Arial" w:cs="Arial"/>
                <w:color w:val="000000" w:themeColor="text1"/>
                <w:sz w:val="22"/>
                <w:szCs w:val="22"/>
              </w:rPr>
            </w:pPr>
            <w:r w:rsidRPr="00CA6631">
              <w:rPr>
                <w:rFonts w:ascii="Arial" w:hAnsi="Arial" w:cs="Arial"/>
                <w:color w:val="000000" w:themeColor="text1"/>
                <w:sz w:val="22"/>
                <w:szCs w:val="22"/>
              </w:rPr>
              <w:t>LTC Design Releases</w:t>
            </w:r>
          </w:p>
        </w:tc>
        <w:tc>
          <w:tcPr>
            <w:tcW w:w="3381" w:type="pct"/>
          </w:tcPr>
          <w:p w14:paraId="28FB4A2E" w14:textId="314982BA" w:rsidR="00DA2123" w:rsidRDefault="00DA2123" w:rsidP="00CA6631">
            <w:pPr>
              <w:spacing w:before="120" w:after="120" w:line="276" w:lineRule="auto"/>
              <w:jc w:val="both"/>
              <w:rPr>
                <w:rFonts w:ascii="Arial" w:hAnsi="Arial" w:cs="Arial"/>
                <w:color w:val="000000" w:themeColor="text1"/>
                <w:sz w:val="22"/>
                <w:szCs w:val="22"/>
              </w:rPr>
            </w:pPr>
            <w:r w:rsidRPr="00CA6631">
              <w:rPr>
                <w:rFonts w:ascii="Arial" w:hAnsi="Arial" w:cs="Arial"/>
                <w:color w:val="000000" w:themeColor="text1"/>
                <w:sz w:val="22"/>
                <w:szCs w:val="22"/>
              </w:rPr>
              <w:t>means any model drawings of the Lower Thames Crossing scheme that revise, update, amend or supersede LTC Design Release 3.0C.</w:t>
            </w:r>
          </w:p>
          <w:p w14:paraId="5FF92FD2" w14:textId="516902D0" w:rsidR="00DA2123" w:rsidRDefault="00DA2123" w:rsidP="00CA6631">
            <w:pPr>
              <w:spacing w:before="120" w:after="120" w:line="276" w:lineRule="auto"/>
              <w:jc w:val="both"/>
              <w:rPr>
                <w:rFonts w:ascii="Arial" w:hAnsi="Arial" w:cs="Arial"/>
                <w:color w:val="000000" w:themeColor="text1"/>
                <w:sz w:val="22"/>
                <w:szCs w:val="22"/>
              </w:rPr>
            </w:pPr>
          </w:p>
        </w:tc>
      </w:tr>
      <w:tr w:rsidR="637B839A" w14:paraId="3481F5E2" w14:textId="77777777" w:rsidTr="2564C1D6">
        <w:trPr>
          <w:cantSplit/>
          <w:trHeight w:val="410"/>
        </w:trPr>
        <w:tc>
          <w:tcPr>
            <w:tcW w:w="2686" w:type="dxa"/>
          </w:tcPr>
          <w:p w14:paraId="0348C0BB" w14:textId="327AEC3E" w:rsidR="37E15C70" w:rsidRDefault="37E15C70" w:rsidP="00CA6631">
            <w:pPr>
              <w:spacing w:before="120" w:after="120" w:line="276" w:lineRule="auto"/>
              <w:rPr>
                <w:sz w:val="22"/>
                <w:szCs w:val="22"/>
              </w:rPr>
            </w:pPr>
            <w:r w:rsidRPr="00CA6631">
              <w:rPr>
                <w:rFonts w:ascii="Arial" w:hAnsi="Arial" w:cs="Arial"/>
                <w:sz w:val="22"/>
                <w:szCs w:val="22"/>
              </w:rPr>
              <w:t>Master Information Delivery Plan (MIDP)</w:t>
            </w:r>
          </w:p>
        </w:tc>
        <w:tc>
          <w:tcPr>
            <w:tcW w:w="5610" w:type="dxa"/>
          </w:tcPr>
          <w:p w14:paraId="669CB820" w14:textId="57F0D16B" w:rsidR="1D9A656D" w:rsidRDefault="1D9A656D" w:rsidP="00CA6631">
            <w:pPr>
              <w:spacing w:before="120" w:after="120" w:line="276" w:lineRule="auto"/>
              <w:jc w:val="both"/>
              <w:rPr>
                <w:rFonts w:ascii="Arial" w:hAnsi="Arial" w:cs="Arial"/>
                <w:sz w:val="22"/>
                <w:szCs w:val="22"/>
              </w:rPr>
            </w:pPr>
            <w:r w:rsidRPr="00CA6631">
              <w:rPr>
                <w:rFonts w:ascii="Arial" w:hAnsi="Arial" w:cs="Arial"/>
                <w:sz w:val="22"/>
                <w:szCs w:val="22"/>
              </w:rPr>
              <w:t xml:space="preserve">is the compilation of all the Task Information Delivery Plan (TIDPs) within a delivery </w:t>
            </w:r>
            <w:proofErr w:type="gramStart"/>
            <w:r w:rsidRPr="00CA6631">
              <w:rPr>
                <w:rFonts w:ascii="Arial" w:hAnsi="Arial" w:cs="Arial"/>
                <w:sz w:val="22"/>
                <w:szCs w:val="22"/>
              </w:rPr>
              <w:t>team.</w:t>
            </w:r>
            <w:proofErr w:type="gramEnd"/>
          </w:p>
        </w:tc>
      </w:tr>
      <w:tr w:rsidR="00DA2123" w:rsidRPr="005A23E1" w14:paraId="618A2BA1" w14:textId="77777777" w:rsidTr="2564C1D6">
        <w:trPr>
          <w:cantSplit/>
          <w:trHeight w:val="410"/>
        </w:trPr>
        <w:tc>
          <w:tcPr>
            <w:tcW w:w="1619" w:type="pct"/>
          </w:tcPr>
          <w:p w14:paraId="079242DA" w14:textId="77777777" w:rsidR="00DA2123" w:rsidRPr="005A23E1" w:rsidRDefault="00DA2123" w:rsidP="00DA2123">
            <w:pPr>
              <w:overflowPunct w:val="0"/>
              <w:autoSpaceDE w:val="0"/>
              <w:autoSpaceDN w:val="0"/>
              <w:adjustRightInd w:val="0"/>
              <w:spacing w:before="120" w:after="120" w:line="276" w:lineRule="auto"/>
              <w:textAlignment w:val="baseline"/>
              <w:rPr>
                <w:rFonts w:ascii="Arial" w:hAnsi="Arial" w:cs="Arial"/>
                <w:bCs/>
                <w:sz w:val="22"/>
                <w:szCs w:val="22"/>
              </w:rPr>
            </w:pPr>
            <w:r w:rsidRPr="005A23E1">
              <w:rPr>
                <w:rFonts w:ascii="Arial" w:hAnsi="Arial" w:cs="Arial"/>
                <w:sz w:val="22"/>
                <w:szCs w:val="22"/>
              </w:rPr>
              <w:lastRenderedPageBreak/>
              <w:t>Nonconformity</w:t>
            </w:r>
          </w:p>
        </w:tc>
        <w:tc>
          <w:tcPr>
            <w:tcW w:w="3381" w:type="pct"/>
          </w:tcPr>
          <w:p w14:paraId="111B5B4C" w14:textId="30656019" w:rsidR="00DA2123" w:rsidRPr="005A23E1" w:rsidRDefault="00DA2123" w:rsidP="00DA2123">
            <w:pPr>
              <w:autoSpaceDE w:val="0"/>
              <w:autoSpaceDN w:val="0"/>
              <w:adjustRightInd w:val="0"/>
              <w:spacing w:before="120" w:after="120" w:line="276" w:lineRule="auto"/>
              <w:jc w:val="both"/>
              <w:rPr>
                <w:rFonts w:ascii="Arial" w:hAnsi="Arial" w:cs="Arial"/>
                <w:sz w:val="22"/>
                <w:szCs w:val="22"/>
              </w:rPr>
            </w:pPr>
            <w:r w:rsidRPr="00CA6631">
              <w:rPr>
                <w:rFonts w:ascii="Arial" w:hAnsi="Arial" w:cs="Arial"/>
                <w:sz w:val="22"/>
                <w:szCs w:val="22"/>
              </w:rPr>
              <w:t>has the meaning give in B</w:t>
            </w:r>
            <w:r w:rsidR="2F1032B4" w:rsidRPr="00CA6631">
              <w:rPr>
                <w:rFonts w:ascii="Arial" w:hAnsi="Arial" w:cs="Arial"/>
                <w:sz w:val="22"/>
                <w:szCs w:val="22"/>
              </w:rPr>
              <w:t>S</w:t>
            </w:r>
            <w:r w:rsidRPr="00CA6631">
              <w:rPr>
                <w:rFonts w:ascii="Arial" w:hAnsi="Arial" w:cs="Arial"/>
                <w:sz w:val="22"/>
                <w:szCs w:val="22"/>
              </w:rPr>
              <w:t xml:space="preserve"> EN ISO 9000:</w:t>
            </w:r>
            <w:proofErr w:type="gramStart"/>
            <w:r w:rsidRPr="00CA6631">
              <w:rPr>
                <w:rFonts w:ascii="Arial" w:hAnsi="Arial" w:cs="Arial"/>
                <w:sz w:val="22"/>
                <w:szCs w:val="22"/>
              </w:rPr>
              <w:t>2015.</w:t>
            </w:r>
            <w:proofErr w:type="gramEnd"/>
          </w:p>
        </w:tc>
      </w:tr>
      <w:tr w:rsidR="00DA2123" w:rsidRPr="005A23E1" w14:paraId="0BD2590A" w14:textId="77777777" w:rsidTr="2564C1D6">
        <w:trPr>
          <w:cantSplit/>
          <w:trHeight w:val="402"/>
        </w:trPr>
        <w:tc>
          <w:tcPr>
            <w:tcW w:w="1619" w:type="pct"/>
          </w:tcPr>
          <w:p w14:paraId="0CB8A219" w14:textId="4C7A426C" w:rsidR="00DA2123" w:rsidRPr="005A23E1" w:rsidRDefault="00DA2123" w:rsidP="00DA2123">
            <w:pPr>
              <w:overflowPunct w:val="0"/>
              <w:autoSpaceDE w:val="0"/>
              <w:autoSpaceDN w:val="0"/>
              <w:adjustRightInd w:val="0"/>
              <w:spacing w:before="120" w:after="120" w:line="276" w:lineRule="auto"/>
              <w:textAlignment w:val="baseline"/>
              <w:rPr>
                <w:rFonts w:ascii="Arial" w:hAnsi="Arial" w:cs="Arial"/>
                <w:sz w:val="22"/>
                <w:szCs w:val="22"/>
              </w:rPr>
            </w:pPr>
            <w:r w:rsidRPr="00CA6631">
              <w:rPr>
                <w:rFonts w:ascii="Arial" w:hAnsi="Arial" w:cs="Arial"/>
                <w:sz w:val="22"/>
                <w:szCs w:val="22"/>
              </w:rPr>
              <w:t xml:space="preserve">Official Secrets Act </w:t>
            </w:r>
          </w:p>
        </w:tc>
        <w:tc>
          <w:tcPr>
            <w:tcW w:w="3381" w:type="pct"/>
          </w:tcPr>
          <w:p w14:paraId="222F4E0F" w14:textId="77777777" w:rsidR="00DA2123" w:rsidRPr="005A23E1" w:rsidRDefault="00DA2123" w:rsidP="00CA6631">
            <w:pPr>
              <w:overflowPunct w:val="0"/>
              <w:autoSpaceDE w:val="0"/>
              <w:autoSpaceDN w:val="0"/>
              <w:adjustRightInd w:val="0"/>
              <w:spacing w:before="120" w:after="120" w:line="276" w:lineRule="auto"/>
              <w:jc w:val="both"/>
              <w:textAlignment w:val="baseline"/>
              <w:rPr>
                <w:rFonts w:ascii="Arial" w:hAnsi="Arial" w:cs="Arial"/>
                <w:sz w:val="22"/>
                <w:szCs w:val="22"/>
              </w:rPr>
            </w:pPr>
            <w:r w:rsidRPr="00CA6631">
              <w:rPr>
                <w:rFonts w:ascii="Arial" w:hAnsi="Arial" w:cs="Arial"/>
                <w:sz w:val="22"/>
                <w:szCs w:val="22"/>
              </w:rPr>
              <w:t xml:space="preserve">is the Official Secrets Act 1989 and any predecessor </w:t>
            </w:r>
            <w:proofErr w:type="gramStart"/>
            <w:r w:rsidRPr="00CA6631">
              <w:rPr>
                <w:rFonts w:ascii="Arial" w:hAnsi="Arial" w:cs="Arial"/>
                <w:sz w:val="22"/>
                <w:szCs w:val="22"/>
              </w:rPr>
              <w:t>statutes.</w:t>
            </w:r>
            <w:proofErr w:type="gramEnd"/>
          </w:p>
        </w:tc>
      </w:tr>
      <w:tr w:rsidR="00774164" w:rsidRPr="005A23E1" w14:paraId="3602FA81" w14:textId="77777777" w:rsidTr="2564C1D6">
        <w:trPr>
          <w:cantSplit/>
          <w:trHeight w:val="402"/>
        </w:trPr>
        <w:tc>
          <w:tcPr>
            <w:tcW w:w="1619" w:type="pct"/>
          </w:tcPr>
          <w:p w14:paraId="0114C937" w14:textId="17219269" w:rsidR="00774164" w:rsidRPr="005A23E1" w:rsidRDefault="00774164" w:rsidP="00DA2123">
            <w:pPr>
              <w:overflowPunct w:val="0"/>
              <w:autoSpaceDE w:val="0"/>
              <w:autoSpaceDN w:val="0"/>
              <w:adjustRightInd w:val="0"/>
              <w:spacing w:before="120" w:after="120" w:line="276" w:lineRule="auto"/>
              <w:textAlignment w:val="baseline"/>
              <w:rPr>
                <w:rFonts w:ascii="Arial" w:hAnsi="Arial" w:cs="Arial"/>
                <w:sz w:val="22"/>
                <w:szCs w:val="22"/>
              </w:rPr>
            </w:pPr>
            <w:r w:rsidRPr="00CA6631">
              <w:rPr>
                <w:rFonts w:ascii="Arial" w:hAnsi="Arial" w:cs="Arial"/>
                <w:sz w:val="22"/>
                <w:szCs w:val="22"/>
              </w:rPr>
              <w:t>Performance Level</w:t>
            </w:r>
          </w:p>
        </w:tc>
        <w:tc>
          <w:tcPr>
            <w:tcW w:w="3381" w:type="pct"/>
          </w:tcPr>
          <w:p w14:paraId="1577F51C" w14:textId="5BA8251D" w:rsidR="00774164" w:rsidRPr="005A23E1" w:rsidRDefault="35248156" w:rsidP="00CA6631">
            <w:pPr>
              <w:overflowPunct w:val="0"/>
              <w:autoSpaceDE w:val="0"/>
              <w:autoSpaceDN w:val="0"/>
              <w:adjustRightInd w:val="0"/>
              <w:spacing w:before="120" w:after="120" w:line="276" w:lineRule="auto"/>
              <w:jc w:val="both"/>
              <w:textAlignment w:val="baseline"/>
              <w:rPr>
                <w:sz w:val="22"/>
                <w:szCs w:val="22"/>
              </w:rPr>
            </w:pPr>
            <w:r w:rsidRPr="00CA6631">
              <w:rPr>
                <w:rFonts w:ascii="Arial" w:eastAsia="Arial" w:hAnsi="Arial" w:cs="Arial"/>
                <w:color w:val="000000" w:themeColor="text1"/>
                <w:sz w:val="22"/>
                <w:szCs w:val="22"/>
              </w:rPr>
              <w:t xml:space="preserve">is the performance level of the Collaborative Performance Framework (CPF, see </w:t>
            </w:r>
            <w:r w:rsidRPr="00CA6631">
              <w:rPr>
                <w:rFonts w:ascii="Arial" w:eastAsia="Arial" w:hAnsi="Arial" w:cs="Arial"/>
                <w:b/>
                <w:bCs/>
                <w:color w:val="000000" w:themeColor="text1"/>
                <w:sz w:val="22"/>
                <w:szCs w:val="22"/>
              </w:rPr>
              <w:t>Annex 02</w:t>
            </w:r>
            <w:r w:rsidRPr="00CA6631">
              <w:rPr>
                <w:rFonts w:ascii="Arial" w:eastAsia="Arial" w:hAnsi="Arial" w:cs="Arial"/>
                <w:color w:val="000000" w:themeColor="text1"/>
                <w:sz w:val="22"/>
                <w:szCs w:val="22"/>
              </w:rPr>
              <w:t xml:space="preserve">) stated in the </w:t>
            </w:r>
            <w:proofErr w:type="gramStart"/>
            <w:r w:rsidRPr="00CA6631">
              <w:rPr>
                <w:rFonts w:ascii="Arial" w:eastAsia="Arial" w:hAnsi="Arial" w:cs="Arial"/>
                <w:color w:val="000000" w:themeColor="text1"/>
                <w:sz w:val="22"/>
                <w:szCs w:val="22"/>
              </w:rPr>
              <w:t>Scope.</w:t>
            </w:r>
            <w:proofErr w:type="gramEnd"/>
          </w:p>
        </w:tc>
      </w:tr>
      <w:tr w:rsidR="00DA0CF7" w:rsidRPr="005A23E1" w14:paraId="78F2A292" w14:textId="77777777" w:rsidTr="2564C1D6">
        <w:trPr>
          <w:cantSplit/>
          <w:trHeight w:val="402"/>
        </w:trPr>
        <w:tc>
          <w:tcPr>
            <w:tcW w:w="1619" w:type="pct"/>
          </w:tcPr>
          <w:p w14:paraId="35CA57E4" w14:textId="0B47858E" w:rsidR="00DA0CF7" w:rsidRPr="005A23E1" w:rsidRDefault="00DA0CF7" w:rsidP="00CA6631">
            <w:pPr>
              <w:overflowPunct w:val="0"/>
              <w:autoSpaceDE w:val="0"/>
              <w:autoSpaceDN w:val="0"/>
              <w:adjustRightInd w:val="0"/>
              <w:spacing w:before="120" w:after="120" w:line="276" w:lineRule="auto"/>
              <w:textAlignment w:val="baseline"/>
              <w:rPr>
                <w:rFonts w:ascii="Arial" w:hAnsi="Arial" w:cs="Arial"/>
                <w:sz w:val="22"/>
                <w:szCs w:val="22"/>
              </w:rPr>
            </w:pPr>
            <w:r w:rsidRPr="00CA6631">
              <w:rPr>
                <w:rFonts w:ascii="Arial" w:hAnsi="Arial" w:cs="Arial"/>
                <w:sz w:val="22"/>
                <w:szCs w:val="22"/>
              </w:rPr>
              <w:t>PPN</w:t>
            </w:r>
          </w:p>
        </w:tc>
        <w:tc>
          <w:tcPr>
            <w:tcW w:w="3381" w:type="pct"/>
          </w:tcPr>
          <w:p w14:paraId="2E9A8525" w14:textId="18639167" w:rsidR="00DA0CF7" w:rsidRDefault="00DA0CF7" w:rsidP="00CA6631">
            <w:pPr>
              <w:overflowPunct w:val="0"/>
              <w:autoSpaceDE w:val="0"/>
              <w:autoSpaceDN w:val="0"/>
              <w:adjustRightInd w:val="0"/>
              <w:spacing w:before="120" w:after="120" w:line="276" w:lineRule="auto"/>
              <w:jc w:val="both"/>
              <w:textAlignment w:val="baseline"/>
              <w:rPr>
                <w:rFonts w:ascii="Arial" w:hAnsi="Arial" w:cs="Arial"/>
                <w:sz w:val="22"/>
                <w:szCs w:val="22"/>
              </w:rPr>
            </w:pPr>
            <w:r w:rsidRPr="00CA6631">
              <w:rPr>
                <w:rFonts w:ascii="Arial" w:hAnsi="Arial" w:cs="Arial"/>
                <w:sz w:val="22"/>
                <w:szCs w:val="22"/>
              </w:rPr>
              <w:t>refers to a Public Procurement Note</w:t>
            </w:r>
          </w:p>
        </w:tc>
      </w:tr>
      <w:tr w:rsidR="637B839A" w14:paraId="2F24A030" w14:textId="77777777" w:rsidTr="2564C1D6">
        <w:trPr>
          <w:cantSplit/>
          <w:trHeight w:val="402"/>
        </w:trPr>
        <w:tc>
          <w:tcPr>
            <w:tcW w:w="2686" w:type="dxa"/>
          </w:tcPr>
          <w:p w14:paraId="21189BB2" w14:textId="50F8CBE2" w:rsidR="68124C3C" w:rsidRDefault="68124C3C" w:rsidP="00CA6631">
            <w:pPr>
              <w:spacing w:before="120" w:after="120" w:line="276" w:lineRule="auto"/>
              <w:rPr>
                <w:rFonts w:ascii="Arial" w:hAnsi="Arial" w:cs="Arial"/>
                <w:sz w:val="22"/>
                <w:szCs w:val="22"/>
              </w:rPr>
            </w:pPr>
            <w:r w:rsidRPr="00CA6631">
              <w:rPr>
                <w:rFonts w:ascii="Arial" w:hAnsi="Arial" w:cs="Arial"/>
                <w:sz w:val="22"/>
                <w:szCs w:val="22"/>
              </w:rPr>
              <w:t>Project Information Model (PIM)</w:t>
            </w:r>
          </w:p>
        </w:tc>
        <w:tc>
          <w:tcPr>
            <w:tcW w:w="5610" w:type="dxa"/>
          </w:tcPr>
          <w:p w14:paraId="6E71FDF4" w14:textId="65CCDAF1" w:rsidR="6FE3B9B1" w:rsidRDefault="6FE3B9B1" w:rsidP="00CA6631">
            <w:pPr>
              <w:spacing w:before="120" w:after="120" w:line="276" w:lineRule="auto"/>
              <w:jc w:val="both"/>
              <w:rPr>
                <w:rFonts w:ascii="Arial" w:hAnsi="Arial" w:cs="Arial"/>
                <w:sz w:val="22"/>
                <w:szCs w:val="22"/>
              </w:rPr>
            </w:pPr>
            <w:r w:rsidRPr="00CA6631">
              <w:rPr>
                <w:rFonts w:ascii="Arial" w:hAnsi="Arial" w:cs="Arial"/>
                <w:sz w:val="22"/>
                <w:szCs w:val="22"/>
              </w:rPr>
              <w:t>represents all the information hosted within the CDE. It includes data, documentation, geometrical models, and non-geometrical assets.</w:t>
            </w:r>
          </w:p>
        </w:tc>
      </w:tr>
      <w:tr w:rsidR="00DA2123" w:rsidRPr="005A23E1" w14:paraId="7F220186" w14:textId="77777777" w:rsidTr="2564C1D6">
        <w:trPr>
          <w:cantSplit/>
          <w:trHeight w:val="402"/>
        </w:trPr>
        <w:tc>
          <w:tcPr>
            <w:tcW w:w="1619" w:type="pct"/>
          </w:tcPr>
          <w:p w14:paraId="422A2A90" w14:textId="77777777" w:rsidR="00DA2123" w:rsidRPr="005A23E1" w:rsidRDefault="00DA2123" w:rsidP="00DA2123">
            <w:pPr>
              <w:overflowPunct w:val="0"/>
              <w:autoSpaceDE w:val="0"/>
              <w:autoSpaceDN w:val="0"/>
              <w:adjustRightInd w:val="0"/>
              <w:spacing w:before="120" w:after="120" w:line="276" w:lineRule="auto"/>
              <w:textAlignment w:val="baseline"/>
              <w:rPr>
                <w:rFonts w:ascii="Arial" w:hAnsi="Arial" w:cs="Arial"/>
                <w:sz w:val="22"/>
                <w:szCs w:val="22"/>
              </w:rPr>
            </w:pPr>
            <w:r w:rsidRPr="005A23E1">
              <w:rPr>
                <w:rFonts w:ascii="Arial" w:hAnsi="Arial" w:cs="Arial"/>
                <w:iCs/>
                <w:sz w:val="22"/>
                <w:szCs w:val="22"/>
              </w:rPr>
              <w:t>Protective Measures</w:t>
            </w:r>
          </w:p>
        </w:tc>
        <w:tc>
          <w:tcPr>
            <w:tcW w:w="3381" w:type="pct"/>
          </w:tcPr>
          <w:p w14:paraId="66AFBE3C" w14:textId="77777777" w:rsidR="00DA2123" w:rsidRPr="005A23E1" w:rsidRDefault="00DA2123" w:rsidP="00DA2123">
            <w:pPr>
              <w:overflowPunct w:val="0"/>
              <w:autoSpaceDE w:val="0"/>
              <w:autoSpaceDN w:val="0"/>
              <w:adjustRightInd w:val="0"/>
              <w:spacing w:before="120" w:after="120" w:line="276" w:lineRule="auto"/>
              <w:jc w:val="both"/>
              <w:textAlignment w:val="baseline"/>
              <w:rPr>
                <w:rFonts w:ascii="Arial" w:hAnsi="Arial" w:cs="Arial"/>
                <w:color w:val="0D0D0D" w:themeColor="text1" w:themeTint="F2"/>
                <w:sz w:val="22"/>
                <w:szCs w:val="22"/>
              </w:rPr>
            </w:pPr>
            <w:r>
              <w:rPr>
                <w:rFonts w:ascii="Arial" w:hAnsi="Arial" w:cs="Arial"/>
                <w:iCs/>
                <w:sz w:val="22"/>
                <w:szCs w:val="22"/>
              </w:rPr>
              <w:t>a</w:t>
            </w:r>
            <w:r w:rsidRPr="005A23E1">
              <w:rPr>
                <w:rFonts w:ascii="Arial" w:hAnsi="Arial" w:cs="Arial"/>
                <w:iCs/>
                <w:sz w:val="22"/>
                <w:szCs w:val="22"/>
              </w:rPr>
              <w:t>re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including those outlined in PPN 02/18.</w:t>
            </w:r>
          </w:p>
        </w:tc>
      </w:tr>
      <w:tr w:rsidR="00DA2123" w:rsidRPr="005A23E1" w14:paraId="4423D8C8" w14:textId="77777777" w:rsidTr="2564C1D6">
        <w:trPr>
          <w:cantSplit/>
          <w:trHeight w:val="402"/>
        </w:trPr>
        <w:tc>
          <w:tcPr>
            <w:tcW w:w="1619" w:type="pct"/>
          </w:tcPr>
          <w:p w14:paraId="56A169F0" w14:textId="0B1B5397" w:rsidR="00DA2123" w:rsidRPr="005A23E1" w:rsidRDefault="00DA2123" w:rsidP="00DA2123">
            <w:pPr>
              <w:overflowPunct w:val="0"/>
              <w:autoSpaceDE w:val="0"/>
              <w:autoSpaceDN w:val="0"/>
              <w:adjustRightInd w:val="0"/>
              <w:spacing w:before="120" w:after="120" w:line="276" w:lineRule="auto"/>
              <w:textAlignment w:val="baseline"/>
              <w:rPr>
                <w:rFonts w:ascii="Arial" w:hAnsi="Arial" w:cs="Arial"/>
                <w:sz w:val="22"/>
                <w:szCs w:val="22"/>
              </w:rPr>
            </w:pPr>
            <w:r w:rsidRPr="00CA6631">
              <w:rPr>
                <w:rFonts w:ascii="Arial" w:hAnsi="Arial" w:cs="Arial"/>
                <w:sz w:val="22"/>
                <w:szCs w:val="22"/>
              </w:rPr>
              <w:t>Public Interest Test</w:t>
            </w:r>
          </w:p>
        </w:tc>
        <w:tc>
          <w:tcPr>
            <w:tcW w:w="3381" w:type="pct"/>
          </w:tcPr>
          <w:p w14:paraId="096A0A8F" w14:textId="33D5E5E0" w:rsidR="00DA2123" w:rsidRPr="005A23E1" w:rsidRDefault="00DA2123" w:rsidP="00CA6631">
            <w:pPr>
              <w:overflowPunct w:val="0"/>
              <w:autoSpaceDE w:val="0"/>
              <w:autoSpaceDN w:val="0"/>
              <w:adjustRightInd w:val="0"/>
              <w:spacing w:before="120" w:after="120" w:line="276" w:lineRule="auto"/>
              <w:jc w:val="both"/>
              <w:textAlignment w:val="baseline"/>
              <w:rPr>
                <w:rFonts w:ascii="Arial" w:hAnsi="Arial" w:cs="Arial"/>
                <w:sz w:val="22"/>
                <w:szCs w:val="22"/>
              </w:rPr>
            </w:pPr>
            <w:r w:rsidRPr="00CA6631">
              <w:rPr>
                <w:rFonts w:ascii="Arial" w:hAnsi="Arial" w:cs="Arial"/>
                <w:color w:val="0D0D0D" w:themeColor="text1" w:themeTint="F2"/>
                <w:sz w:val="22"/>
                <w:szCs w:val="22"/>
              </w:rPr>
              <w:t>requires a public authority, or oversight body to weigh the harm that disclosure would cause to the protected interest against the public interest saved by disclosure of the information.</w:t>
            </w:r>
          </w:p>
        </w:tc>
      </w:tr>
      <w:tr w:rsidR="637B839A" w14:paraId="3E8E577F" w14:textId="77777777" w:rsidTr="2564C1D6">
        <w:trPr>
          <w:cantSplit/>
          <w:trHeight w:val="402"/>
        </w:trPr>
        <w:tc>
          <w:tcPr>
            <w:tcW w:w="2686" w:type="dxa"/>
          </w:tcPr>
          <w:p w14:paraId="37F766C2" w14:textId="36A4497C" w:rsidR="005D355F" w:rsidRDefault="5433CEDA" w:rsidP="637B839A">
            <w:pPr>
              <w:spacing w:before="120" w:after="120" w:line="276" w:lineRule="auto"/>
              <w:rPr>
                <w:rFonts w:ascii="Arial" w:hAnsi="Arial" w:cs="Arial"/>
                <w:sz w:val="22"/>
                <w:szCs w:val="22"/>
              </w:rPr>
            </w:pPr>
            <w:r w:rsidRPr="00CA6631">
              <w:rPr>
                <w:rFonts w:ascii="Arial" w:hAnsi="Arial" w:cs="Arial"/>
                <w:sz w:val="22"/>
                <w:szCs w:val="22"/>
              </w:rPr>
              <w:t>Recipient</w:t>
            </w:r>
          </w:p>
        </w:tc>
        <w:tc>
          <w:tcPr>
            <w:tcW w:w="5610" w:type="dxa"/>
          </w:tcPr>
          <w:p w14:paraId="5C327EFA" w14:textId="2AA4366C" w:rsidR="5433CEDA" w:rsidRDefault="5433CEDA" w:rsidP="00CA6631">
            <w:pPr>
              <w:spacing w:before="120" w:after="120" w:line="276" w:lineRule="auto"/>
              <w:jc w:val="both"/>
              <w:rPr>
                <w:rFonts w:ascii="Arial" w:hAnsi="Arial" w:cs="Arial"/>
                <w:color w:val="000000" w:themeColor="text1"/>
                <w:sz w:val="22"/>
                <w:szCs w:val="22"/>
              </w:rPr>
            </w:pPr>
            <w:r w:rsidRPr="00CA6631">
              <w:rPr>
                <w:rFonts w:ascii="Arial" w:hAnsi="Arial" w:cs="Arial"/>
                <w:sz w:val="22"/>
                <w:szCs w:val="22"/>
              </w:rPr>
              <w:t>is the Party which receives or obtains directly or indirectly Confidential Information.</w:t>
            </w:r>
          </w:p>
        </w:tc>
      </w:tr>
      <w:tr w:rsidR="637B839A" w14:paraId="60777525" w14:textId="77777777" w:rsidTr="2564C1D6">
        <w:trPr>
          <w:cantSplit/>
          <w:trHeight w:val="410"/>
        </w:trPr>
        <w:tc>
          <w:tcPr>
            <w:tcW w:w="2686" w:type="dxa"/>
          </w:tcPr>
          <w:p w14:paraId="2A0C7DDA" w14:textId="26535C8B" w:rsidR="31F2AF79" w:rsidRDefault="31F2AF79" w:rsidP="00CA6631">
            <w:pPr>
              <w:pStyle w:val="ListNumber2"/>
              <w:numPr>
                <w:ilvl w:val="7"/>
                <w:numId w:val="0"/>
              </w:numPr>
              <w:spacing w:after="120" w:line="276" w:lineRule="auto"/>
              <w:rPr>
                <w:rFonts w:cs="Arial"/>
              </w:rPr>
            </w:pPr>
            <w:r w:rsidRPr="00CA6631">
              <w:rPr>
                <w:rFonts w:cs="Arial"/>
              </w:rPr>
              <w:t>Security Incident</w:t>
            </w:r>
          </w:p>
        </w:tc>
        <w:tc>
          <w:tcPr>
            <w:tcW w:w="5610" w:type="dxa"/>
          </w:tcPr>
          <w:p w14:paraId="595B5B89" w14:textId="2202A285" w:rsidR="31F2AF79" w:rsidRDefault="31F2AF79" w:rsidP="00CA6631">
            <w:pPr>
              <w:pStyle w:val="ListNumber2"/>
              <w:numPr>
                <w:ilvl w:val="7"/>
                <w:numId w:val="0"/>
              </w:numPr>
              <w:spacing w:after="120" w:line="276" w:lineRule="auto"/>
              <w:rPr>
                <w:rFonts w:cs="Arial"/>
              </w:rPr>
            </w:pPr>
            <w:r w:rsidRPr="00CA6631">
              <w:rPr>
                <w:rFonts w:cs="Arial"/>
              </w:rPr>
              <w:t xml:space="preserve">is a breach of security leading to the accidental or unlawful destruction, loss, alteration, unauthorised disclosure of, or access to, </w:t>
            </w:r>
            <w:proofErr w:type="gramStart"/>
            <w:r w:rsidRPr="00CA6631">
              <w:rPr>
                <w:rFonts w:cs="Arial"/>
              </w:rPr>
              <w:t>Data.</w:t>
            </w:r>
            <w:proofErr w:type="gramEnd"/>
          </w:p>
        </w:tc>
      </w:tr>
      <w:tr w:rsidR="00DA2123" w:rsidRPr="005A23E1" w14:paraId="4C2AB6D9" w14:textId="77777777" w:rsidTr="2564C1D6">
        <w:trPr>
          <w:cantSplit/>
          <w:trHeight w:val="410"/>
        </w:trPr>
        <w:tc>
          <w:tcPr>
            <w:tcW w:w="1619" w:type="pct"/>
          </w:tcPr>
          <w:p w14:paraId="4B97A0D5" w14:textId="77777777" w:rsidR="00DA2123" w:rsidRPr="00AB422A" w:rsidRDefault="00DA2123" w:rsidP="00DA2123">
            <w:pPr>
              <w:overflowPunct w:val="0"/>
              <w:autoSpaceDE w:val="0"/>
              <w:autoSpaceDN w:val="0"/>
              <w:adjustRightInd w:val="0"/>
              <w:spacing w:before="120" w:after="120" w:line="276" w:lineRule="auto"/>
              <w:textAlignment w:val="baseline"/>
              <w:rPr>
                <w:rFonts w:ascii="Arial" w:hAnsi="Arial" w:cs="Arial"/>
                <w:color w:val="FF0000"/>
                <w:sz w:val="22"/>
                <w:szCs w:val="22"/>
              </w:rPr>
            </w:pPr>
            <w:bookmarkStart w:id="0" w:name="_Hlk74210688"/>
            <w:r w:rsidRPr="005A23E1">
              <w:rPr>
                <w:rFonts w:ascii="Arial" w:hAnsi="Arial" w:cs="Arial"/>
                <w:color w:val="0D0D0D" w:themeColor="text1" w:themeTint="F2"/>
                <w:sz w:val="22"/>
                <w:szCs w:val="22"/>
              </w:rPr>
              <w:t xml:space="preserve">SME </w:t>
            </w:r>
          </w:p>
        </w:tc>
        <w:tc>
          <w:tcPr>
            <w:tcW w:w="3381" w:type="pct"/>
          </w:tcPr>
          <w:p w14:paraId="1301EE96" w14:textId="77777777" w:rsidR="00DA2123" w:rsidRPr="00AB422A" w:rsidRDefault="00DA2123" w:rsidP="00DA2123">
            <w:pPr>
              <w:pStyle w:val="ListNumber2"/>
              <w:numPr>
                <w:ilvl w:val="0"/>
                <w:numId w:val="0"/>
              </w:numPr>
              <w:spacing w:after="120" w:line="276" w:lineRule="auto"/>
              <w:rPr>
                <w:rFonts w:cs="Arial"/>
                <w:color w:val="FF0000"/>
                <w:szCs w:val="22"/>
              </w:rPr>
            </w:pPr>
            <w:r w:rsidRPr="005A23E1">
              <w:rPr>
                <w:rFonts w:cs="Arial"/>
                <w:szCs w:val="22"/>
              </w:rPr>
              <w:t>means an enterprise within the category of Small, Medium or Micro Enterprises defined by the European Commission Recommendation of 6 May 2003 concerning the definition of Small, Medium or Micro Enterprises. A SME is a Subcontractor or a subcontractor to a Subcontractor and is autonomous and is a European Union enterprise not owned or controlled by a non-European Union parent company.</w:t>
            </w:r>
          </w:p>
        </w:tc>
      </w:tr>
      <w:bookmarkEnd w:id="0"/>
      <w:tr w:rsidR="00135274" w:rsidRPr="005A23E1" w14:paraId="420B880D" w14:textId="77777777" w:rsidTr="2564C1D6">
        <w:trPr>
          <w:cantSplit/>
          <w:trHeight w:val="410"/>
        </w:trPr>
        <w:tc>
          <w:tcPr>
            <w:tcW w:w="1619" w:type="pct"/>
          </w:tcPr>
          <w:p w14:paraId="5DA6BF4F" w14:textId="09CF9CCC" w:rsidR="00135274" w:rsidRPr="005A23E1" w:rsidRDefault="00135274" w:rsidP="00DA2123">
            <w:pPr>
              <w:overflowPunct w:val="0"/>
              <w:autoSpaceDE w:val="0"/>
              <w:autoSpaceDN w:val="0"/>
              <w:adjustRightInd w:val="0"/>
              <w:spacing w:before="120" w:after="120" w:line="276" w:lineRule="auto"/>
              <w:textAlignment w:val="baseline"/>
              <w:rPr>
                <w:rFonts w:ascii="Arial" w:hAnsi="Arial" w:cs="Arial"/>
                <w:sz w:val="22"/>
                <w:szCs w:val="22"/>
              </w:rPr>
            </w:pPr>
            <w:r w:rsidRPr="00CA6631">
              <w:rPr>
                <w:rFonts w:ascii="Arial" w:hAnsi="Arial" w:cs="Arial"/>
                <w:sz w:val="22"/>
                <w:szCs w:val="22"/>
              </w:rPr>
              <w:lastRenderedPageBreak/>
              <w:t>Stage</w:t>
            </w:r>
          </w:p>
        </w:tc>
        <w:tc>
          <w:tcPr>
            <w:tcW w:w="3381" w:type="pct"/>
          </w:tcPr>
          <w:p w14:paraId="61061975" w14:textId="2A775CFB" w:rsidR="00135274" w:rsidRPr="005A23E1" w:rsidRDefault="00135274" w:rsidP="00CA6631">
            <w:pPr>
              <w:pStyle w:val="ListNumber2"/>
              <w:numPr>
                <w:ilvl w:val="7"/>
                <w:numId w:val="0"/>
              </w:numPr>
              <w:spacing w:after="120" w:line="276" w:lineRule="auto"/>
              <w:rPr>
                <w:rFonts w:cs="Arial"/>
              </w:rPr>
            </w:pPr>
            <w:r w:rsidRPr="00CA6631">
              <w:rPr>
                <w:rFonts w:cs="Arial"/>
              </w:rPr>
              <w:t>means the design stages which the Consultant is required to carry out to Provide the Service, which are referenced within the Scope as Stages A, B, C, D and E.</w:t>
            </w:r>
          </w:p>
        </w:tc>
      </w:tr>
      <w:tr w:rsidR="00DA2123" w:rsidRPr="005A23E1" w14:paraId="3264DB1E" w14:textId="77777777" w:rsidTr="2564C1D6">
        <w:trPr>
          <w:cantSplit/>
          <w:trHeight w:val="410"/>
        </w:trPr>
        <w:tc>
          <w:tcPr>
            <w:tcW w:w="1619" w:type="pct"/>
          </w:tcPr>
          <w:p w14:paraId="2F142434" w14:textId="77777777" w:rsidR="00DA2123" w:rsidRPr="005A23E1" w:rsidRDefault="00DA2123" w:rsidP="00DA2123">
            <w:pPr>
              <w:overflowPunct w:val="0"/>
              <w:autoSpaceDE w:val="0"/>
              <w:autoSpaceDN w:val="0"/>
              <w:adjustRightInd w:val="0"/>
              <w:spacing w:before="120" w:after="120" w:line="276" w:lineRule="auto"/>
              <w:textAlignment w:val="baseline"/>
              <w:rPr>
                <w:rFonts w:ascii="Arial" w:hAnsi="Arial" w:cs="Arial"/>
                <w:iCs/>
                <w:color w:val="000000"/>
                <w:w w:val="0"/>
                <w:sz w:val="22"/>
                <w:szCs w:val="22"/>
              </w:rPr>
            </w:pPr>
            <w:r w:rsidRPr="005A23E1">
              <w:rPr>
                <w:rFonts w:ascii="Arial" w:hAnsi="Arial" w:cs="Arial"/>
                <w:sz w:val="22"/>
                <w:szCs w:val="22"/>
              </w:rPr>
              <w:t xml:space="preserve">Staff </w:t>
            </w:r>
          </w:p>
        </w:tc>
        <w:tc>
          <w:tcPr>
            <w:tcW w:w="3381" w:type="pct"/>
          </w:tcPr>
          <w:p w14:paraId="32BDB210" w14:textId="77777777" w:rsidR="00DA2123" w:rsidRPr="005A23E1" w:rsidRDefault="00DA2123" w:rsidP="00DA2123">
            <w:pPr>
              <w:pStyle w:val="ListNumber2"/>
              <w:numPr>
                <w:ilvl w:val="0"/>
                <w:numId w:val="0"/>
              </w:numPr>
              <w:spacing w:after="120" w:line="276" w:lineRule="auto"/>
              <w:rPr>
                <w:rFonts w:cs="Arial"/>
                <w:iCs/>
                <w:color w:val="000000"/>
                <w:w w:val="0"/>
                <w:szCs w:val="22"/>
              </w:rPr>
            </w:pPr>
            <w:r w:rsidRPr="005A23E1">
              <w:rPr>
                <w:rFonts w:cs="Arial"/>
                <w:szCs w:val="22"/>
              </w:rPr>
              <w:t xml:space="preserve">are employees employed by the </w:t>
            </w:r>
            <w:r w:rsidRPr="005A23E1">
              <w:rPr>
                <w:rFonts w:cs="Arial"/>
                <w:i/>
                <w:szCs w:val="22"/>
              </w:rPr>
              <w:t>Consultant</w:t>
            </w:r>
            <w:r w:rsidRPr="005A23E1">
              <w:rPr>
                <w:rFonts w:cs="Arial"/>
                <w:szCs w:val="22"/>
              </w:rPr>
              <w:t xml:space="preserve"> or an Associated Company or any Subcontractor to Provide the Service at any time.</w:t>
            </w:r>
          </w:p>
        </w:tc>
      </w:tr>
      <w:tr w:rsidR="00DA2123" w14:paraId="23357BB2" w14:textId="77777777" w:rsidTr="2564C1D6">
        <w:trPr>
          <w:cantSplit/>
          <w:trHeight w:val="410"/>
        </w:trPr>
        <w:tc>
          <w:tcPr>
            <w:tcW w:w="1619" w:type="pct"/>
          </w:tcPr>
          <w:p w14:paraId="71C287A9" w14:textId="6F7FD6AE" w:rsidR="00DA2123" w:rsidRDefault="00DA2123" w:rsidP="00CA6631">
            <w:pPr>
              <w:spacing w:before="120" w:after="120" w:line="276" w:lineRule="auto"/>
              <w:jc w:val="both"/>
              <w:rPr>
                <w:rFonts w:ascii="Arial" w:eastAsia="Arial" w:hAnsi="Arial" w:cs="Arial"/>
                <w:sz w:val="22"/>
                <w:szCs w:val="22"/>
              </w:rPr>
            </w:pPr>
            <w:r w:rsidRPr="00CA6631">
              <w:rPr>
                <w:rFonts w:ascii="Arial" w:eastAsia="Arial" w:hAnsi="Arial" w:cs="Arial"/>
                <w:sz w:val="22"/>
                <w:szCs w:val="22"/>
              </w:rPr>
              <w:t>Statutory Requirements and Industry Standards</w:t>
            </w:r>
          </w:p>
        </w:tc>
        <w:tc>
          <w:tcPr>
            <w:tcW w:w="3381" w:type="pct"/>
          </w:tcPr>
          <w:p w14:paraId="1BFEF2D6" w14:textId="54D66E1E" w:rsidR="00DA2123" w:rsidRDefault="00DA2123" w:rsidP="00CA6631">
            <w:pPr>
              <w:spacing w:before="120" w:after="120" w:line="276" w:lineRule="auto"/>
              <w:jc w:val="both"/>
              <w:rPr>
                <w:rFonts w:ascii="Arial" w:eastAsia="Arial" w:hAnsi="Arial" w:cs="Arial"/>
                <w:sz w:val="22"/>
                <w:szCs w:val="22"/>
              </w:rPr>
            </w:pPr>
            <w:r w:rsidRPr="00CA6631">
              <w:rPr>
                <w:rFonts w:ascii="Arial" w:eastAsia="Arial" w:hAnsi="Arial" w:cs="Arial"/>
                <w:sz w:val="22"/>
                <w:szCs w:val="22"/>
              </w:rPr>
              <w:t xml:space="preserve">all statutory requirements, legislation, </w:t>
            </w:r>
            <w:proofErr w:type="gramStart"/>
            <w:r w:rsidRPr="00CA6631">
              <w:rPr>
                <w:rFonts w:ascii="Arial" w:eastAsia="Arial" w:hAnsi="Arial" w:cs="Arial"/>
                <w:sz w:val="22"/>
                <w:szCs w:val="22"/>
              </w:rPr>
              <w:t>rules</w:t>
            </w:r>
            <w:proofErr w:type="gramEnd"/>
            <w:r w:rsidRPr="00CA6631">
              <w:rPr>
                <w:rFonts w:ascii="Arial" w:eastAsia="Arial" w:hAnsi="Arial" w:cs="Arial"/>
                <w:sz w:val="22"/>
                <w:szCs w:val="22"/>
              </w:rPr>
              <w:t xml:space="preserve"> and regulations applicable to the Service including but not limited to:</w:t>
            </w:r>
          </w:p>
          <w:p w14:paraId="21447B8B" w14:textId="5594FFDD" w:rsidR="00DA2123" w:rsidRPr="00774C47" w:rsidRDefault="00DA2123" w:rsidP="00CA6631">
            <w:pPr>
              <w:spacing w:before="120" w:after="120" w:line="276" w:lineRule="auto"/>
              <w:jc w:val="both"/>
              <w:rPr>
                <w:rFonts w:ascii="Arial" w:eastAsia="Arial" w:hAnsi="Arial" w:cs="Arial"/>
                <w:sz w:val="22"/>
                <w:szCs w:val="22"/>
              </w:rPr>
            </w:pPr>
            <w:r w:rsidRPr="00CA6631">
              <w:rPr>
                <w:rFonts w:ascii="Arial" w:eastAsia="Arial" w:hAnsi="Arial" w:cs="Arial"/>
                <w:sz w:val="22"/>
                <w:szCs w:val="22"/>
              </w:rPr>
              <w:t xml:space="preserve">New Roads and Street Works Act 1991; SA 10/05 New Roads and Street works Act 1991 – Diversionary </w:t>
            </w:r>
            <w:proofErr w:type="gramStart"/>
            <w:r w:rsidRPr="00CA6631">
              <w:rPr>
                <w:rFonts w:ascii="Arial" w:eastAsia="Arial" w:hAnsi="Arial" w:cs="Arial"/>
                <w:sz w:val="22"/>
                <w:szCs w:val="22"/>
              </w:rPr>
              <w:t>Works;</w:t>
            </w:r>
            <w:proofErr w:type="gramEnd"/>
          </w:p>
          <w:p w14:paraId="1275AB53" w14:textId="68AD093A" w:rsidR="00DA2123" w:rsidRPr="00774C47" w:rsidRDefault="00DA2123" w:rsidP="00CA6631">
            <w:pPr>
              <w:spacing w:before="120" w:after="120" w:line="276" w:lineRule="auto"/>
              <w:jc w:val="both"/>
              <w:rPr>
                <w:rFonts w:ascii="Arial" w:eastAsia="Arial" w:hAnsi="Arial" w:cs="Arial"/>
                <w:sz w:val="22"/>
                <w:szCs w:val="22"/>
              </w:rPr>
            </w:pPr>
            <w:r w:rsidRPr="00CA6631">
              <w:rPr>
                <w:rFonts w:ascii="Arial" w:eastAsia="Arial" w:hAnsi="Arial" w:cs="Arial"/>
                <w:sz w:val="22"/>
                <w:szCs w:val="22"/>
              </w:rPr>
              <w:t xml:space="preserve">NJUG Volume 1 Guidelines on the Positioning and Colour Coding of Underground Utilities’ </w:t>
            </w:r>
            <w:proofErr w:type="gramStart"/>
            <w:r w:rsidRPr="00CA6631">
              <w:rPr>
                <w:rFonts w:ascii="Arial" w:eastAsia="Arial" w:hAnsi="Arial" w:cs="Arial"/>
                <w:sz w:val="22"/>
                <w:szCs w:val="22"/>
              </w:rPr>
              <w:t>Apparatus;</w:t>
            </w:r>
            <w:proofErr w:type="gramEnd"/>
            <w:r w:rsidRPr="00CA6631">
              <w:rPr>
                <w:rFonts w:ascii="Arial" w:eastAsia="Arial" w:hAnsi="Arial" w:cs="Arial"/>
                <w:sz w:val="22"/>
                <w:szCs w:val="22"/>
              </w:rPr>
              <w:t xml:space="preserve"> </w:t>
            </w:r>
          </w:p>
          <w:p w14:paraId="7678356B" w14:textId="26FE5D0B" w:rsidR="00DA2123" w:rsidRPr="00774C47" w:rsidRDefault="00DA2123" w:rsidP="00CA6631">
            <w:pPr>
              <w:spacing w:before="120" w:after="120" w:line="276" w:lineRule="auto"/>
              <w:jc w:val="both"/>
              <w:rPr>
                <w:rFonts w:ascii="Arial" w:eastAsia="Arial" w:hAnsi="Arial" w:cs="Arial"/>
                <w:sz w:val="22"/>
                <w:szCs w:val="22"/>
              </w:rPr>
            </w:pPr>
            <w:r w:rsidRPr="00CA6631">
              <w:rPr>
                <w:rFonts w:ascii="Arial" w:eastAsia="Arial" w:hAnsi="Arial" w:cs="Arial"/>
                <w:sz w:val="22"/>
                <w:szCs w:val="22"/>
              </w:rPr>
              <w:t>NJUG Volume 2 Guidelines on the Positioning of Underground Utilities Apparatus for New Development Sites; NJUG Volume 4 Guidelines for the Planning, Installation and Maintenance of Utility Apparatus in Proximity to Trees; NJUG Volume 5 On-Site Environmental Good Practice Guidelines; NJUG Volume 6 Guidelines on Co-ordination, Co-operation and Communication</w:t>
            </w:r>
          </w:p>
          <w:p w14:paraId="24D23F0E" w14:textId="14148995" w:rsidR="00DA2123" w:rsidRPr="00774C47" w:rsidRDefault="00DA2123" w:rsidP="00CA6631">
            <w:pPr>
              <w:spacing w:before="120" w:after="120" w:line="276" w:lineRule="auto"/>
              <w:jc w:val="both"/>
              <w:rPr>
                <w:rFonts w:ascii="Arial" w:eastAsia="Arial" w:hAnsi="Arial" w:cs="Arial"/>
                <w:sz w:val="22"/>
                <w:szCs w:val="22"/>
              </w:rPr>
            </w:pPr>
            <w:r w:rsidRPr="00CA6631">
              <w:rPr>
                <w:rFonts w:ascii="Arial" w:eastAsia="Arial" w:hAnsi="Arial" w:cs="Arial"/>
                <w:sz w:val="22"/>
                <w:szCs w:val="22"/>
              </w:rPr>
              <w:t xml:space="preserve">Specification for the Reinstatement of Openings in Highways; Communications Act 2003; Electronic Communications Code; Telecommunication Act </w:t>
            </w:r>
            <w:proofErr w:type="gramStart"/>
            <w:r w:rsidRPr="00CA6631">
              <w:rPr>
                <w:rFonts w:ascii="Arial" w:eastAsia="Arial" w:hAnsi="Arial" w:cs="Arial"/>
                <w:sz w:val="22"/>
                <w:szCs w:val="22"/>
              </w:rPr>
              <w:t>1984;</w:t>
            </w:r>
            <w:proofErr w:type="gramEnd"/>
            <w:r w:rsidRPr="00CA6631">
              <w:rPr>
                <w:rFonts w:ascii="Arial" w:eastAsia="Arial" w:hAnsi="Arial" w:cs="Arial"/>
                <w:sz w:val="22"/>
                <w:szCs w:val="22"/>
              </w:rPr>
              <w:t xml:space="preserve">  </w:t>
            </w:r>
          </w:p>
          <w:p w14:paraId="17E4339D" w14:textId="6E46611A" w:rsidR="00DA2123" w:rsidRPr="00774C47" w:rsidRDefault="00DA2123" w:rsidP="00CA6631">
            <w:pPr>
              <w:spacing w:before="120" w:after="120" w:line="276" w:lineRule="auto"/>
              <w:jc w:val="both"/>
              <w:rPr>
                <w:rFonts w:ascii="Arial" w:eastAsia="Arial" w:hAnsi="Arial" w:cs="Arial"/>
                <w:sz w:val="22"/>
                <w:szCs w:val="22"/>
              </w:rPr>
            </w:pPr>
            <w:r w:rsidRPr="00CA6631">
              <w:rPr>
                <w:rFonts w:ascii="Arial" w:eastAsia="Arial" w:hAnsi="Arial" w:cs="Arial"/>
                <w:sz w:val="22"/>
                <w:szCs w:val="22"/>
              </w:rPr>
              <w:t xml:space="preserve">Construction (Design and Management) Regulations 2015 (CDM 2015); The Management of Health and Safety at Work Regulations 1999; Health and Safety at Work etc Act 1974; Control of Asbestos Regulations 2012; Control of Substances Hazardous to Health Regulations </w:t>
            </w:r>
            <w:proofErr w:type="gramStart"/>
            <w:r w:rsidRPr="00CA6631">
              <w:rPr>
                <w:rFonts w:ascii="Arial" w:eastAsia="Arial" w:hAnsi="Arial" w:cs="Arial"/>
                <w:sz w:val="22"/>
                <w:szCs w:val="22"/>
              </w:rPr>
              <w:t>2002;</w:t>
            </w:r>
            <w:proofErr w:type="gramEnd"/>
            <w:r w:rsidRPr="00CA6631">
              <w:rPr>
                <w:rFonts w:ascii="Arial" w:eastAsia="Arial" w:hAnsi="Arial" w:cs="Arial"/>
                <w:sz w:val="22"/>
                <w:szCs w:val="22"/>
              </w:rPr>
              <w:t xml:space="preserve"> </w:t>
            </w:r>
          </w:p>
          <w:p w14:paraId="5092BCA8" w14:textId="0F3A23A9" w:rsidR="00DA2123" w:rsidRPr="00774C47" w:rsidRDefault="00DA2123" w:rsidP="00CA6631">
            <w:pPr>
              <w:spacing w:before="120" w:after="120" w:line="276" w:lineRule="auto"/>
              <w:jc w:val="both"/>
              <w:rPr>
                <w:rFonts w:ascii="Arial" w:eastAsia="Arial" w:hAnsi="Arial" w:cs="Arial"/>
                <w:sz w:val="22"/>
                <w:szCs w:val="22"/>
              </w:rPr>
            </w:pPr>
            <w:r w:rsidRPr="00CA6631">
              <w:rPr>
                <w:rFonts w:ascii="Arial" w:eastAsia="Arial" w:hAnsi="Arial" w:cs="Arial"/>
                <w:sz w:val="22"/>
                <w:szCs w:val="22"/>
              </w:rPr>
              <w:t xml:space="preserve">Lifting Operations and Lifting Equipment Regulations </w:t>
            </w:r>
            <w:proofErr w:type="gramStart"/>
            <w:r w:rsidRPr="00CA6631">
              <w:rPr>
                <w:rFonts w:ascii="Arial" w:eastAsia="Arial" w:hAnsi="Arial" w:cs="Arial"/>
                <w:sz w:val="22"/>
                <w:szCs w:val="22"/>
              </w:rPr>
              <w:t>1998;</w:t>
            </w:r>
            <w:proofErr w:type="gramEnd"/>
            <w:r w:rsidRPr="00CA6631">
              <w:rPr>
                <w:rFonts w:ascii="Arial" w:eastAsia="Arial" w:hAnsi="Arial" w:cs="Arial"/>
                <w:sz w:val="22"/>
                <w:szCs w:val="22"/>
              </w:rPr>
              <w:t xml:space="preserve"> </w:t>
            </w:r>
          </w:p>
          <w:p w14:paraId="4C925EC5" w14:textId="3B173D5C" w:rsidR="00DA2123" w:rsidRPr="00774C47" w:rsidRDefault="00DA2123" w:rsidP="00CA6631">
            <w:pPr>
              <w:spacing w:before="120" w:after="120" w:line="276" w:lineRule="auto"/>
              <w:jc w:val="both"/>
              <w:rPr>
                <w:rFonts w:ascii="Arial" w:eastAsia="Arial" w:hAnsi="Arial" w:cs="Arial"/>
                <w:sz w:val="22"/>
                <w:szCs w:val="22"/>
              </w:rPr>
            </w:pPr>
            <w:r w:rsidRPr="00CA6631">
              <w:rPr>
                <w:rFonts w:ascii="Arial" w:eastAsia="Arial" w:hAnsi="Arial" w:cs="Arial"/>
                <w:sz w:val="22"/>
                <w:szCs w:val="22"/>
              </w:rPr>
              <w:t xml:space="preserve">Manual Handling Operations Regulations 1992; Traffic Management Act 2004; Highways Act 1980; Work at Height Regulations 2005; The Confined Spaces Regulations </w:t>
            </w:r>
            <w:proofErr w:type="gramStart"/>
            <w:r w:rsidRPr="00CA6631">
              <w:rPr>
                <w:rFonts w:ascii="Arial" w:eastAsia="Arial" w:hAnsi="Arial" w:cs="Arial"/>
                <w:sz w:val="22"/>
                <w:szCs w:val="22"/>
              </w:rPr>
              <w:t>1997;</w:t>
            </w:r>
            <w:proofErr w:type="gramEnd"/>
            <w:r w:rsidRPr="00CA6631">
              <w:rPr>
                <w:rFonts w:ascii="Arial" w:eastAsia="Arial" w:hAnsi="Arial" w:cs="Arial"/>
                <w:sz w:val="22"/>
                <w:szCs w:val="22"/>
              </w:rPr>
              <w:t xml:space="preserve"> </w:t>
            </w:r>
          </w:p>
          <w:p w14:paraId="7627434D" w14:textId="0319483F" w:rsidR="00DA2123" w:rsidRPr="00774C47" w:rsidRDefault="00DA2123" w:rsidP="00CA6631">
            <w:pPr>
              <w:spacing w:before="120" w:after="120" w:line="276" w:lineRule="auto"/>
              <w:jc w:val="both"/>
              <w:rPr>
                <w:rFonts w:ascii="Arial" w:eastAsia="Arial" w:hAnsi="Arial" w:cs="Arial"/>
                <w:sz w:val="22"/>
                <w:szCs w:val="22"/>
              </w:rPr>
            </w:pPr>
            <w:r w:rsidRPr="00CA6631">
              <w:rPr>
                <w:rFonts w:ascii="Arial" w:eastAsia="Arial" w:hAnsi="Arial" w:cs="Arial"/>
                <w:sz w:val="22"/>
                <w:szCs w:val="22"/>
              </w:rPr>
              <w:t xml:space="preserve">PAS128 Specification for underground utility detection, </w:t>
            </w:r>
            <w:proofErr w:type="gramStart"/>
            <w:r w:rsidRPr="00CA6631">
              <w:rPr>
                <w:rFonts w:ascii="Arial" w:eastAsia="Arial" w:hAnsi="Arial" w:cs="Arial"/>
                <w:sz w:val="22"/>
                <w:szCs w:val="22"/>
              </w:rPr>
              <w:t>verification</w:t>
            </w:r>
            <w:proofErr w:type="gramEnd"/>
            <w:r w:rsidRPr="00CA6631">
              <w:rPr>
                <w:rFonts w:ascii="Arial" w:eastAsia="Arial" w:hAnsi="Arial" w:cs="Arial"/>
                <w:sz w:val="22"/>
                <w:szCs w:val="22"/>
              </w:rPr>
              <w:t xml:space="preserve"> and location; PAS 256 Buried assets. Capturing, recording, maintaining and sharing of location information and data; Code of practice HSG47 </w:t>
            </w:r>
            <w:r w:rsidRPr="00CA6631">
              <w:rPr>
                <w:rFonts w:ascii="Arial" w:eastAsia="Arial" w:hAnsi="Arial" w:cs="Arial"/>
                <w:sz w:val="22"/>
                <w:szCs w:val="22"/>
              </w:rPr>
              <w:lastRenderedPageBreak/>
              <w:t>Avoiding danger from underground services; GS6 Avoiding danger from overhead power lines; Technical Guidance Note 287 Third-party guidance for working near National Grid Electricity Transmission equipment; Specification for the safe working in the vicinity of National Grid high pressure gas pipelines and associated installations – requirements for third parties; Construction Products Regulation; Construction Products Directive, and as may be amended, updated or restated from time to time.</w:t>
            </w:r>
          </w:p>
        </w:tc>
      </w:tr>
      <w:tr w:rsidR="00DA2123" w:rsidRPr="005A23E1" w14:paraId="7D0E8EB0" w14:textId="77777777" w:rsidTr="2564C1D6">
        <w:trPr>
          <w:cantSplit/>
          <w:trHeight w:val="410"/>
        </w:trPr>
        <w:tc>
          <w:tcPr>
            <w:tcW w:w="1619" w:type="pct"/>
          </w:tcPr>
          <w:p w14:paraId="57897681" w14:textId="77777777" w:rsidR="00DA2123" w:rsidRPr="005A23E1" w:rsidRDefault="00DA2123" w:rsidP="00DA2123">
            <w:pPr>
              <w:overflowPunct w:val="0"/>
              <w:autoSpaceDE w:val="0"/>
              <w:autoSpaceDN w:val="0"/>
              <w:adjustRightInd w:val="0"/>
              <w:spacing w:before="120" w:after="120" w:line="276" w:lineRule="auto"/>
              <w:textAlignment w:val="baseline"/>
              <w:rPr>
                <w:rFonts w:ascii="Arial" w:hAnsi="Arial" w:cs="Arial"/>
                <w:sz w:val="22"/>
                <w:szCs w:val="22"/>
              </w:rPr>
            </w:pPr>
            <w:r w:rsidRPr="005A23E1">
              <w:rPr>
                <w:rFonts w:ascii="Arial" w:hAnsi="Arial" w:cs="Arial"/>
                <w:iCs/>
                <w:sz w:val="22"/>
                <w:szCs w:val="22"/>
              </w:rPr>
              <w:lastRenderedPageBreak/>
              <w:t>Sub-Processor</w:t>
            </w:r>
          </w:p>
        </w:tc>
        <w:tc>
          <w:tcPr>
            <w:tcW w:w="3381" w:type="pct"/>
          </w:tcPr>
          <w:p w14:paraId="4F940848" w14:textId="3EA97CA5" w:rsidR="00DA2123" w:rsidRPr="005A23E1" w:rsidRDefault="00DA2123" w:rsidP="00CA6631">
            <w:pPr>
              <w:pStyle w:val="ListNumber2"/>
              <w:numPr>
                <w:ilvl w:val="7"/>
                <w:numId w:val="0"/>
              </w:numPr>
              <w:spacing w:after="120" w:line="276" w:lineRule="auto"/>
              <w:rPr>
                <w:rFonts w:cs="Arial"/>
                <w:color w:val="0D0D0D" w:themeColor="text1" w:themeTint="F2"/>
              </w:rPr>
            </w:pPr>
            <w:r w:rsidRPr="00CA6631">
              <w:rPr>
                <w:rFonts w:cs="Arial"/>
              </w:rPr>
              <w:t xml:space="preserve">is a </w:t>
            </w:r>
            <w:r w:rsidR="000E1655" w:rsidRPr="00CA6631">
              <w:rPr>
                <w:rFonts w:cs="Arial"/>
              </w:rPr>
              <w:t>T</w:t>
            </w:r>
            <w:r w:rsidRPr="00CA6631">
              <w:rPr>
                <w:rFonts w:cs="Arial"/>
              </w:rPr>
              <w:t xml:space="preserve">hird </w:t>
            </w:r>
            <w:r w:rsidR="000E1655" w:rsidRPr="00CA6631">
              <w:rPr>
                <w:rFonts w:cs="Arial"/>
              </w:rPr>
              <w:t>P</w:t>
            </w:r>
            <w:r w:rsidRPr="00CA6631">
              <w:rPr>
                <w:rFonts w:cs="Arial"/>
              </w:rPr>
              <w:t xml:space="preserve">arty (including Associated Company) engaged by the </w:t>
            </w:r>
            <w:r w:rsidRPr="00CA6631">
              <w:rPr>
                <w:rFonts w:cs="Arial"/>
                <w:i/>
                <w:iCs/>
              </w:rPr>
              <w:t>Consultant</w:t>
            </w:r>
            <w:r w:rsidRPr="00CA6631">
              <w:rPr>
                <w:rFonts w:cs="Arial"/>
              </w:rPr>
              <w:t xml:space="preserve"> to process Data.</w:t>
            </w:r>
          </w:p>
        </w:tc>
      </w:tr>
      <w:tr w:rsidR="00DA2123" w:rsidRPr="005A23E1" w14:paraId="72C3369E" w14:textId="77777777" w:rsidTr="2564C1D6">
        <w:trPr>
          <w:cantSplit/>
          <w:trHeight w:val="410"/>
        </w:trPr>
        <w:tc>
          <w:tcPr>
            <w:tcW w:w="1619" w:type="pct"/>
          </w:tcPr>
          <w:p w14:paraId="328502A7" w14:textId="77777777" w:rsidR="00DA2123" w:rsidRPr="00547E7C" w:rsidRDefault="00DA2123" w:rsidP="00DA2123">
            <w:pPr>
              <w:overflowPunct w:val="0"/>
              <w:autoSpaceDE w:val="0"/>
              <w:autoSpaceDN w:val="0"/>
              <w:adjustRightInd w:val="0"/>
              <w:spacing w:before="120" w:after="120" w:line="276" w:lineRule="auto"/>
              <w:textAlignment w:val="baseline"/>
              <w:rPr>
                <w:rFonts w:ascii="Arial" w:hAnsi="Arial" w:cs="Arial"/>
                <w:sz w:val="22"/>
                <w:szCs w:val="22"/>
              </w:rPr>
            </w:pPr>
            <w:r w:rsidRPr="00547E7C">
              <w:rPr>
                <w:rFonts w:ascii="Arial" w:hAnsi="Arial" w:cs="Arial"/>
                <w:iCs/>
                <w:sz w:val="22"/>
                <w:szCs w:val="22"/>
              </w:rPr>
              <w:t>Supervisory Authority</w:t>
            </w:r>
          </w:p>
        </w:tc>
        <w:tc>
          <w:tcPr>
            <w:tcW w:w="3381" w:type="pct"/>
          </w:tcPr>
          <w:p w14:paraId="33C39F4E" w14:textId="77777777" w:rsidR="00DA2123" w:rsidRPr="00547E7C" w:rsidRDefault="00DA2123" w:rsidP="00DA2123">
            <w:pPr>
              <w:pStyle w:val="ListNumber2"/>
              <w:numPr>
                <w:ilvl w:val="0"/>
                <w:numId w:val="0"/>
              </w:numPr>
              <w:spacing w:after="120" w:line="276" w:lineRule="auto"/>
              <w:rPr>
                <w:rFonts w:cs="Arial"/>
                <w:color w:val="0D0D0D" w:themeColor="text1" w:themeTint="F2"/>
                <w:szCs w:val="22"/>
              </w:rPr>
            </w:pPr>
            <w:r w:rsidRPr="00547E7C">
              <w:rPr>
                <w:rFonts w:cs="Arial"/>
                <w:iCs/>
                <w:szCs w:val="22"/>
              </w:rPr>
              <w:t xml:space="preserve">is any regulatory, supervisory, </w:t>
            </w:r>
            <w:proofErr w:type="gramStart"/>
            <w:r w:rsidRPr="00547E7C">
              <w:rPr>
                <w:rFonts w:cs="Arial"/>
                <w:iCs/>
                <w:szCs w:val="22"/>
              </w:rPr>
              <w:t>governmental</w:t>
            </w:r>
            <w:proofErr w:type="gramEnd"/>
            <w:r w:rsidRPr="00547E7C">
              <w:rPr>
                <w:rFonts w:cs="Arial"/>
                <w:iCs/>
                <w:szCs w:val="22"/>
              </w:rPr>
              <w:t xml:space="preserve"> or other competent authority with jurisdiction or oversight over the Data Protection Legislation.</w:t>
            </w:r>
          </w:p>
        </w:tc>
      </w:tr>
      <w:tr w:rsidR="637B839A" w14:paraId="2705DD0E" w14:textId="77777777" w:rsidTr="2564C1D6">
        <w:trPr>
          <w:cantSplit/>
          <w:trHeight w:val="410"/>
        </w:trPr>
        <w:tc>
          <w:tcPr>
            <w:tcW w:w="2686" w:type="dxa"/>
          </w:tcPr>
          <w:p w14:paraId="48D883D6" w14:textId="229D084C" w:rsidR="1F0C453A" w:rsidRDefault="1F0C453A" w:rsidP="00CA6631">
            <w:pPr>
              <w:pStyle w:val="ListNumber2"/>
              <w:numPr>
                <w:ilvl w:val="7"/>
                <w:numId w:val="0"/>
              </w:numPr>
              <w:spacing w:after="120" w:line="276" w:lineRule="auto"/>
              <w:jc w:val="left"/>
              <w:rPr>
                <w:rFonts w:cs="Arial"/>
              </w:rPr>
            </w:pPr>
            <w:r w:rsidRPr="00CA6631">
              <w:rPr>
                <w:rFonts w:cs="Arial"/>
              </w:rPr>
              <w:t>Task Information Delivery Plan (TIDP)</w:t>
            </w:r>
          </w:p>
        </w:tc>
        <w:tc>
          <w:tcPr>
            <w:tcW w:w="5610" w:type="dxa"/>
          </w:tcPr>
          <w:p w14:paraId="249B241B" w14:textId="6343AF49" w:rsidR="1F0C453A" w:rsidRDefault="1F0C453A" w:rsidP="00CA6631">
            <w:pPr>
              <w:pStyle w:val="ListNumber2"/>
              <w:numPr>
                <w:ilvl w:val="7"/>
                <w:numId w:val="0"/>
              </w:numPr>
              <w:spacing w:after="120" w:line="276" w:lineRule="auto"/>
              <w:rPr>
                <w:rFonts w:cs="Arial"/>
              </w:rPr>
            </w:pPr>
            <w:r w:rsidRPr="00CA6631">
              <w:rPr>
                <w:rFonts w:cs="Arial"/>
              </w:rPr>
              <w:t>describes the discipline suite of deliverable content on the Project for a specific phase,</w:t>
            </w:r>
          </w:p>
        </w:tc>
      </w:tr>
    </w:tbl>
    <w:p w14:paraId="1126DF24" w14:textId="2DDF7A1D" w:rsidR="2778E6E0" w:rsidRDefault="2778E6E0"/>
    <w:p w14:paraId="0B9EC1A1" w14:textId="55BD8D0B" w:rsidR="00CA6631" w:rsidRDefault="00CA6631"/>
    <w:p w14:paraId="56BC0FA2" w14:textId="77777777" w:rsidR="00806EE9" w:rsidRPr="001B58C6" w:rsidRDefault="00806EE9" w:rsidP="00806EE9">
      <w:pPr>
        <w:jc w:val="both"/>
        <w:rPr>
          <w:rFonts w:ascii="Arial" w:eastAsiaTheme="minorHAnsi" w:hAnsi="Arial" w:cs="Arial"/>
          <w:i/>
          <w:color w:val="FF0000"/>
        </w:rPr>
      </w:pPr>
    </w:p>
    <w:sectPr w:rsidR="00806EE9" w:rsidRPr="001B58C6">
      <w:headerReference w:type="default" r:id="rId11"/>
      <w:footerReference w:type="default" r:id="rId12"/>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99650" w14:textId="77777777" w:rsidR="005D0B3B" w:rsidRDefault="005D0B3B" w:rsidP="00417CCE">
      <w:r>
        <w:separator/>
      </w:r>
    </w:p>
  </w:endnote>
  <w:endnote w:type="continuationSeparator" w:id="0">
    <w:p w14:paraId="33A3A8EE" w14:textId="77777777" w:rsidR="005D0B3B" w:rsidRDefault="005D0B3B" w:rsidP="0041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15400" w14:textId="77777777" w:rsidR="00A70070" w:rsidRDefault="00A70070">
    <w:pPr>
      <w:pStyle w:val="Footer"/>
    </w:pPr>
    <w:r>
      <w:rPr>
        <w:noProof/>
        <w:sz w:val="20"/>
        <w:lang w:eastAsia="en-GB"/>
      </w:rPr>
      <mc:AlternateContent>
        <mc:Choice Requires="wps">
          <w:drawing>
            <wp:anchor distT="0" distB="0" distL="114300" distR="114300" simplePos="0" relativeHeight="251660288" behindDoc="0" locked="0" layoutInCell="0" allowOverlap="1" wp14:anchorId="14D744E6" wp14:editId="217AE1A8">
              <wp:simplePos x="0" y="0"/>
              <wp:positionH relativeFrom="column">
                <wp:posOffset>0</wp:posOffset>
              </wp:positionH>
              <wp:positionV relativeFrom="paragraph">
                <wp:posOffset>137160</wp:posOffset>
              </wp:positionV>
              <wp:extent cx="52578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w:pict w14:anchorId="02D34CAA">
            <v:line id="Line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0.8pt" to="414pt,10.8pt" w14:anchorId="33A5FC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5ss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"/>
          </w:pict>
        </mc:Fallback>
      </mc:AlternateContent>
    </w:r>
  </w:p>
  <w:p w14:paraId="502AAB59" w14:textId="28BA14FE" w:rsidR="00A70070" w:rsidRPr="007C1416" w:rsidRDefault="00A70070" w:rsidP="007C1416">
    <w:pPr>
      <w:pStyle w:val="Footer"/>
      <w:rPr>
        <w:rFonts w:ascii="Arial" w:hAnsi="Arial"/>
        <w:sz w:val="22"/>
        <w:szCs w:val="22"/>
      </w:rPr>
    </w:pPr>
    <w:r w:rsidRPr="007C1416">
      <w:rPr>
        <w:rFonts w:ascii="Arial" w:hAnsi="Arial"/>
        <w:sz w:val="22"/>
        <w:szCs w:val="22"/>
      </w:rPr>
      <w:t xml:space="preserve">NEC4 Issue </w:t>
    </w:r>
    <w:r w:rsidR="007C1416">
      <w:rPr>
        <w:rFonts w:ascii="Arial" w:hAnsi="Arial"/>
        <w:sz w:val="22"/>
        <w:szCs w:val="22"/>
      </w:rPr>
      <w:t>0</w:t>
    </w:r>
    <w:r w:rsidRPr="007C1416">
      <w:rPr>
        <w:rFonts w:ascii="Arial" w:hAnsi="Arial"/>
        <w:sz w:val="22"/>
        <w:szCs w:val="22"/>
      </w:rPr>
      <w:t xml:space="preserve">1, </w:t>
    </w:r>
    <w:r w:rsidR="007C1416">
      <w:rPr>
        <w:rFonts w:ascii="Arial" w:hAnsi="Arial"/>
        <w:sz w:val="22"/>
        <w:szCs w:val="22"/>
      </w:rPr>
      <w:t xml:space="preserve">Revision </w:t>
    </w:r>
    <w:r w:rsidR="002E3E2E">
      <w:rPr>
        <w:rFonts w:ascii="Arial" w:hAnsi="Arial"/>
        <w:sz w:val="22"/>
        <w:szCs w:val="22"/>
      </w:rPr>
      <w:t>1.0</w:t>
    </w:r>
    <w:r w:rsidR="007C1416">
      <w:rPr>
        <w:rFonts w:ascii="Arial" w:hAnsi="Arial"/>
        <w:sz w:val="22"/>
        <w:szCs w:val="22"/>
      </w:rPr>
      <w:tab/>
    </w:r>
    <w:r w:rsidR="007C1416" w:rsidRPr="00D66573">
      <w:rPr>
        <w:rStyle w:val="PageNumber"/>
        <w:rFonts w:ascii="Arial" w:hAnsi="Arial" w:cs="Arial"/>
        <w:sz w:val="22"/>
        <w:szCs w:val="22"/>
      </w:rPr>
      <w:t xml:space="preserve">Page </w:t>
    </w:r>
    <w:r w:rsidR="007C1416" w:rsidRPr="00D66573">
      <w:rPr>
        <w:rStyle w:val="PageNumber"/>
        <w:rFonts w:ascii="Arial" w:hAnsi="Arial" w:cs="Arial"/>
        <w:sz w:val="22"/>
        <w:szCs w:val="22"/>
      </w:rPr>
      <w:fldChar w:fldCharType="begin"/>
    </w:r>
    <w:r w:rsidR="007C1416" w:rsidRPr="00D66573">
      <w:rPr>
        <w:rStyle w:val="PageNumber"/>
        <w:rFonts w:ascii="Arial" w:hAnsi="Arial" w:cs="Arial"/>
        <w:sz w:val="22"/>
        <w:szCs w:val="22"/>
      </w:rPr>
      <w:instrText xml:space="preserve"> PAGE   \* MERGEFORMAT </w:instrText>
    </w:r>
    <w:r w:rsidR="007C1416" w:rsidRPr="00D66573">
      <w:rPr>
        <w:rStyle w:val="PageNumber"/>
        <w:rFonts w:ascii="Arial" w:hAnsi="Arial" w:cs="Arial"/>
        <w:sz w:val="22"/>
        <w:szCs w:val="22"/>
      </w:rPr>
      <w:fldChar w:fldCharType="separate"/>
    </w:r>
    <w:r w:rsidR="00B91AA2">
      <w:rPr>
        <w:rStyle w:val="PageNumber"/>
        <w:rFonts w:ascii="Arial" w:hAnsi="Arial" w:cs="Arial"/>
        <w:noProof/>
        <w:sz w:val="22"/>
        <w:szCs w:val="22"/>
      </w:rPr>
      <w:t>9</w:t>
    </w:r>
    <w:r w:rsidR="007C1416" w:rsidRPr="00D66573">
      <w:rPr>
        <w:rStyle w:val="PageNumber"/>
        <w:rFonts w:ascii="Arial" w:hAnsi="Arial" w:cs="Arial"/>
        <w:sz w:val="22"/>
        <w:szCs w:val="22"/>
      </w:rPr>
      <w:fldChar w:fldCharType="end"/>
    </w:r>
    <w:r w:rsidR="007C1416" w:rsidRPr="00D66573">
      <w:rPr>
        <w:rStyle w:val="PageNumber"/>
        <w:rFonts w:ascii="Arial" w:hAnsi="Arial" w:cs="Arial"/>
        <w:sz w:val="22"/>
        <w:szCs w:val="22"/>
      </w:rPr>
      <w:t xml:space="preserve"> of </w:t>
    </w:r>
    <w:r w:rsidR="007C1416" w:rsidRPr="00D66573">
      <w:rPr>
        <w:rStyle w:val="PageNumber"/>
        <w:rFonts w:ascii="Arial" w:hAnsi="Arial" w:cs="Arial"/>
        <w:sz w:val="22"/>
        <w:szCs w:val="22"/>
      </w:rPr>
      <w:fldChar w:fldCharType="begin"/>
    </w:r>
    <w:r w:rsidR="007C1416" w:rsidRPr="00D66573">
      <w:rPr>
        <w:rStyle w:val="PageNumber"/>
        <w:rFonts w:ascii="Arial" w:hAnsi="Arial" w:cs="Arial"/>
        <w:sz w:val="22"/>
        <w:szCs w:val="22"/>
      </w:rPr>
      <w:instrText xml:space="preserve"> NUMPAGES   \* MERGEFORMAT </w:instrText>
    </w:r>
    <w:r w:rsidR="007C1416" w:rsidRPr="00D66573">
      <w:rPr>
        <w:rStyle w:val="PageNumber"/>
        <w:rFonts w:ascii="Arial" w:hAnsi="Arial" w:cs="Arial"/>
        <w:sz w:val="22"/>
        <w:szCs w:val="22"/>
      </w:rPr>
      <w:fldChar w:fldCharType="separate"/>
    </w:r>
    <w:r w:rsidR="00B91AA2">
      <w:rPr>
        <w:rStyle w:val="PageNumber"/>
        <w:rFonts w:ascii="Arial" w:hAnsi="Arial" w:cs="Arial"/>
        <w:noProof/>
        <w:sz w:val="22"/>
        <w:szCs w:val="22"/>
      </w:rPr>
      <w:t>9</w:t>
    </w:r>
    <w:r w:rsidR="007C1416" w:rsidRPr="00D66573">
      <w:rPr>
        <w:rStyle w:val="PageNumber"/>
        <w:rFonts w:ascii="Arial" w:hAnsi="Arial" w:cs="Arial"/>
        <w:sz w:val="22"/>
        <w:szCs w:val="22"/>
      </w:rPr>
      <w:fldChar w:fldCharType="end"/>
    </w:r>
    <w:r w:rsidR="007C1416">
      <w:rPr>
        <w:rStyle w:val="PageNumber"/>
        <w:rFonts w:ascii="Arial" w:hAnsi="Arial" w:cs="Arial"/>
        <w:sz w:val="22"/>
        <w:szCs w:val="22"/>
      </w:rPr>
      <w:tab/>
    </w:r>
    <w:r w:rsidR="00152107">
      <w:rPr>
        <w:rStyle w:val="PageNumber"/>
        <w:rFonts w:ascii="Arial" w:hAnsi="Arial" w:cs="Arial"/>
        <w:sz w:val="22"/>
        <w:szCs w:val="22"/>
      </w:rPr>
      <w:t>June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C5F95" w14:textId="77777777" w:rsidR="005D0B3B" w:rsidRDefault="005D0B3B" w:rsidP="00417CCE">
      <w:r>
        <w:separator/>
      </w:r>
    </w:p>
  </w:footnote>
  <w:footnote w:type="continuationSeparator" w:id="0">
    <w:p w14:paraId="6C2D4D73" w14:textId="77777777" w:rsidR="005D0B3B" w:rsidRDefault="005D0B3B" w:rsidP="00417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FD871" w14:textId="07A9F5A9" w:rsidR="00A70070" w:rsidRPr="007C1416" w:rsidRDefault="00EE3134">
    <w:pPr>
      <w:pStyle w:val="Header"/>
      <w:rPr>
        <w:rFonts w:ascii="Arial" w:hAnsi="Arial"/>
        <w:sz w:val="22"/>
      </w:rPr>
    </w:pPr>
    <w:r>
      <w:rPr>
        <w:rFonts w:ascii="Arial" w:hAnsi="Arial"/>
        <w:sz w:val="22"/>
      </w:rPr>
      <w:t xml:space="preserve">National </w:t>
    </w:r>
    <w:r w:rsidR="00A70070" w:rsidRPr="007C1416">
      <w:rPr>
        <w:rFonts w:ascii="Arial" w:hAnsi="Arial"/>
        <w:sz w:val="22"/>
      </w:rPr>
      <w:t xml:space="preserve">Highways                                                                                           </w:t>
    </w:r>
    <w:r w:rsidR="007C1416" w:rsidRPr="007C1416">
      <w:rPr>
        <w:rFonts w:ascii="Arial" w:hAnsi="Arial"/>
        <w:sz w:val="22"/>
      </w:rPr>
      <w:tab/>
    </w:r>
    <w:r w:rsidR="00A70070" w:rsidRPr="007C1416">
      <w:rPr>
        <w:rFonts w:ascii="Arial" w:hAnsi="Arial"/>
        <w:sz w:val="22"/>
      </w:rPr>
      <w:t>Scope</w:t>
    </w:r>
  </w:p>
  <w:p w14:paraId="1E74A628" w14:textId="4B339E8D" w:rsidR="007C369E" w:rsidRDefault="007C1416">
    <w:pPr>
      <w:pStyle w:val="Header"/>
      <w:rPr>
        <w:rFonts w:ascii="Arial" w:hAnsi="Arial"/>
        <w:sz w:val="22"/>
      </w:rPr>
    </w:pPr>
    <w:r w:rsidRPr="007C1416">
      <w:rPr>
        <w:rFonts w:ascii="Arial" w:hAnsi="Arial"/>
        <w:sz w:val="22"/>
      </w:rPr>
      <w:t>Professional Service</w:t>
    </w:r>
    <w:r w:rsidR="00005689">
      <w:rPr>
        <w:rFonts w:ascii="Arial" w:hAnsi="Arial"/>
        <w:sz w:val="22"/>
      </w:rPr>
      <w:t xml:space="preserve"> Short</w:t>
    </w:r>
    <w:r w:rsidRPr="007C1416">
      <w:rPr>
        <w:rFonts w:ascii="Arial" w:hAnsi="Arial"/>
        <w:sz w:val="22"/>
      </w:rPr>
      <w:t xml:space="preserve"> Contract</w:t>
    </w:r>
    <w:r w:rsidR="007C369E">
      <w:rPr>
        <w:rFonts w:ascii="Arial" w:hAnsi="Arial"/>
        <w:sz w:val="22"/>
      </w:rPr>
      <w:t xml:space="preserve"> for the</w:t>
    </w:r>
    <w:r w:rsidR="007C369E" w:rsidRPr="007C369E">
      <w:rPr>
        <w:rFonts w:ascii="Arial" w:hAnsi="Arial"/>
        <w:sz w:val="22"/>
      </w:rPr>
      <w:t xml:space="preserve"> </w:t>
    </w:r>
    <w:r w:rsidR="007C369E">
      <w:rPr>
        <w:rFonts w:ascii="Arial" w:hAnsi="Arial"/>
        <w:sz w:val="22"/>
      </w:rPr>
      <w:tab/>
      <w:t>Annex 01</w:t>
    </w:r>
  </w:p>
  <w:p w14:paraId="297F5FE9" w14:textId="5031B287" w:rsidR="00A70070" w:rsidRDefault="007C369E">
    <w:pPr>
      <w:pStyle w:val="Header"/>
      <w:rPr>
        <w:rFonts w:ascii="Arial" w:hAnsi="Arial"/>
        <w:sz w:val="22"/>
      </w:rPr>
    </w:pPr>
    <w:r>
      <w:rPr>
        <w:rFonts w:ascii="Arial" w:hAnsi="Arial"/>
        <w:sz w:val="22"/>
      </w:rPr>
      <w:t>detailed design of contestable assets</w:t>
    </w:r>
    <w:r w:rsidR="007C1416" w:rsidRPr="007C1416">
      <w:rPr>
        <w:rFonts w:ascii="Arial" w:hAnsi="Arial"/>
        <w:sz w:val="22"/>
      </w:rPr>
      <w:tab/>
    </w:r>
    <w:r w:rsidR="007C1416">
      <w:rPr>
        <w:rFonts w:ascii="Arial" w:hAnsi="Arial"/>
        <w:sz w:val="22"/>
      </w:rPr>
      <w:tab/>
    </w:r>
    <w:r w:rsidR="00A70070">
      <w:rPr>
        <w:rFonts w:ascii="Arial" w:hAnsi="Arial"/>
        <w:sz w:val="22"/>
      </w:rPr>
      <w:t xml:space="preserve"> </w:t>
    </w:r>
  </w:p>
  <w:p w14:paraId="168F46F6" w14:textId="77777777" w:rsidR="00A70070" w:rsidRDefault="00A70070">
    <w:pPr>
      <w:pStyle w:val="Header"/>
      <w:spacing w:before="60"/>
      <w:jc w:val="right"/>
      <w:rPr>
        <w:rFonts w:ascii="Arial" w:hAnsi="Arial"/>
      </w:rPr>
    </w:pPr>
    <w:r>
      <w:rPr>
        <w:b/>
        <w:i/>
        <w:noProof/>
        <w:sz w:val="20"/>
        <w:lang w:eastAsia="en-GB"/>
      </w:rPr>
      <mc:AlternateContent>
        <mc:Choice Requires="wps">
          <w:drawing>
            <wp:anchor distT="0" distB="0" distL="114300" distR="114300" simplePos="0" relativeHeight="251648512" behindDoc="0" locked="0" layoutInCell="0" allowOverlap="1" wp14:anchorId="7752941D" wp14:editId="360910D3">
              <wp:simplePos x="0" y="0"/>
              <wp:positionH relativeFrom="column">
                <wp:posOffset>0</wp:posOffset>
              </wp:positionH>
              <wp:positionV relativeFrom="paragraph">
                <wp:posOffset>36195</wp:posOffset>
              </wp:positionV>
              <wp:extent cx="52578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w:pict w14:anchorId="33D6598F">
            <v:line id="Line 1"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2.85pt" to="414pt,2.85pt" w14:anchorId="49300D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PA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A0C2A"/>
    <w:multiLevelType w:val="hybridMultilevel"/>
    <w:tmpl w:val="9C560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616FA"/>
    <w:multiLevelType w:val="hybridMultilevel"/>
    <w:tmpl w:val="E4BC821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 w15:restartNumberingAfterBreak="0">
    <w:nsid w:val="18A52206"/>
    <w:multiLevelType w:val="hybridMultilevel"/>
    <w:tmpl w:val="7552562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3" w15:restartNumberingAfterBreak="0">
    <w:nsid w:val="1B780414"/>
    <w:multiLevelType w:val="hybridMultilevel"/>
    <w:tmpl w:val="21947F5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 w15:restartNumberingAfterBreak="0">
    <w:nsid w:val="26A126AD"/>
    <w:multiLevelType w:val="hybridMultilevel"/>
    <w:tmpl w:val="B3F66816"/>
    <w:lvl w:ilvl="0" w:tplc="6E0C655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0A57F7"/>
    <w:multiLevelType w:val="hybridMultilevel"/>
    <w:tmpl w:val="ABD457FA"/>
    <w:lvl w:ilvl="0" w:tplc="FFFFFFFF">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726E2E"/>
    <w:multiLevelType w:val="multilevel"/>
    <w:tmpl w:val="D1960DE2"/>
    <w:lvl w:ilvl="0">
      <w:start w:val="1"/>
      <w:numFmt w:val="decimal"/>
      <w:pStyle w:val="Heading1"/>
      <w:lvlText w:val="%1"/>
      <w:lvlJc w:val="left"/>
      <w:pPr>
        <w:tabs>
          <w:tab w:val="num" w:pos="851"/>
        </w:tabs>
        <w:ind w:left="851" w:hanging="851"/>
      </w:pPr>
      <w:rPr>
        <w:rFonts w:ascii="Arial" w:hAnsi="Arial" w:hint="default"/>
        <w:b/>
        <w:i w:val="0"/>
        <w:caps/>
        <w:sz w:val="22"/>
      </w:rPr>
    </w:lvl>
    <w:lvl w:ilvl="1">
      <w:start w:val="1"/>
      <w:numFmt w:val="decimal"/>
      <w:pStyle w:val="Heading2"/>
      <w:lvlText w:val="%1.%2"/>
      <w:lvlJc w:val="left"/>
      <w:pPr>
        <w:tabs>
          <w:tab w:val="num" w:pos="851"/>
        </w:tabs>
        <w:ind w:left="851" w:hanging="851"/>
      </w:pPr>
      <w:rPr>
        <w:rFonts w:ascii="Arial" w:hAnsi="Arial" w:hint="default"/>
        <w:b/>
        <w:i w:val="0"/>
        <w:sz w:val="22"/>
      </w:rPr>
    </w:lvl>
    <w:lvl w:ilvl="2">
      <w:start w:val="1"/>
      <w:numFmt w:val="decimal"/>
      <w:pStyle w:val="Heading3"/>
      <w:lvlText w:val="%1.%2.%3"/>
      <w:lvlJc w:val="left"/>
      <w:pPr>
        <w:tabs>
          <w:tab w:val="num" w:pos="851"/>
        </w:tabs>
        <w:ind w:left="851" w:hanging="851"/>
      </w:pPr>
      <w:rPr>
        <w:rFonts w:ascii="Arial" w:hAnsi="Arial" w:hint="default"/>
        <w:b w:val="0"/>
        <w:i w:val="0"/>
        <w:sz w:val="22"/>
        <w:u w:val="none"/>
      </w:rPr>
    </w:lvl>
    <w:lvl w:ilvl="3">
      <w:start w:val="1"/>
      <w:numFmt w:val="decimal"/>
      <w:lvlRestart w:val="0"/>
      <w:pStyle w:val="BodyText"/>
      <w:lvlText w:val="%1.%2.%4"/>
      <w:lvlJc w:val="left"/>
      <w:pPr>
        <w:tabs>
          <w:tab w:val="num" w:pos="851"/>
        </w:tabs>
        <w:ind w:left="851" w:hanging="851"/>
      </w:pPr>
      <w:rPr>
        <w:rFonts w:ascii="Arial" w:hAnsi="Arial" w:hint="default"/>
        <w:b w:val="0"/>
        <w:i w:val="0"/>
        <w:sz w:val="22"/>
      </w:rPr>
    </w:lvl>
    <w:lvl w:ilvl="4">
      <w:start w:val="1"/>
      <w:numFmt w:val="decimal"/>
      <w:pStyle w:val="ListNumber"/>
      <w:lvlText w:val="(%5)"/>
      <w:lvlJc w:val="left"/>
      <w:pPr>
        <w:tabs>
          <w:tab w:val="num" w:pos="1559"/>
        </w:tabs>
        <w:ind w:left="1559" w:hanging="708"/>
      </w:pPr>
      <w:rPr>
        <w:rFonts w:ascii="Arial" w:hAnsi="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pStyle w:val="ListBullet2"/>
      <w:lvlText w:val=""/>
      <w:lvlJc w:val="left"/>
      <w:pPr>
        <w:tabs>
          <w:tab w:val="num" w:pos="2126"/>
        </w:tabs>
        <w:ind w:left="2126" w:hanging="567"/>
      </w:pPr>
      <w:rPr>
        <w:rFonts w:ascii="Symbol" w:hAnsi="Symbol" w:hint="default"/>
        <w:b w:val="0"/>
        <w:i w:val="0"/>
        <w:sz w:val="22"/>
      </w:rPr>
    </w:lvl>
    <w:lvl w:ilvl="7">
      <w:start w:val="1"/>
      <w:numFmt w:val="lowerLetter"/>
      <w:pStyle w:val="ListNumber2"/>
      <w:lvlText w:val="(%8)"/>
      <w:lvlJc w:val="left"/>
      <w:pPr>
        <w:tabs>
          <w:tab w:val="num" w:pos="2126"/>
        </w:tabs>
        <w:ind w:left="2126" w:hanging="567"/>
      </w:pPr>
      <w:rPr>
        <w:b w:val="0"/>
        <w:i w:val="0"/>
        <w:sz w:val="22"/>
      </w:rPr>
    </w:lvl>
    <w:lvl w:ilvl="8">
      <w:start w:val="1"/>
      <w:numFmt w:val="bullet"/>
      <w:pStyle w:val="Heading9"/>
      <w:lvlText w:val=""/>
      <w:lvlJc w:val="left"/>
      <w:pPr>
        <w:tabs>
          <w:tab w:val="num" w:pos="2552"/>
        </w:tabs>
        <w:ind w:left="2552" w:hanging="426"/>
      </w:pPr>
      <w:rPr>
        <w:rFonts w:ascii="Symbol" w:hAnsi="Symbol" w:hint="default"/>
        <w:sz w:val="22"/>
      </w:rPr>
    </w:lvl>
  </w:abstractNum>
  <w:abstractNum w:abstractNumId="7" w15:restartNumberingAfterBreak="0">
    <w:nsid w:val="2D334665"/>
    <w:multiLevelType w:val="hybridMultilevel"/>
    <w:tmpl w:val="86DE6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EA1C03"/>
    <w:multiLevelType w:val="hybridMultilevel"/>
    <w:tmpl w:val="9E00DD5E"/>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9" w15:restartNumberingAfterBreak="0">
    <w:nsid w:val="38C3595C"/>
    <w:multiLevelType w:val="hybridMultilevel"/>
    <w:tmpl w:val="D292CAB6"/>
    <w:lvl w:ilvl="0" w:tplc="38C40FEC">
      <w:numFmt w:val="none"/>
      <w:lvlText w:val=""/>
      <w:lvlJc w:val="left"/>
      <w:pPr>
        <w:tabs>
          <w:tab w:val="num" w:pos="360"/>
        </w:tabs>
      </w:pPr>
    </w:lvl>
    <w:lvl w:ilvl="1" w:tplc="2750AAA4">
      <w:start w:val="1"/>
      <w:numFmt w:val="lowerLetter"/>
      <w:lvlText w:val="%2."/>
      <w:lvlJc w:val="left"/>
      <w:pPr>
        <w:ind w:left="1440" w:hanging="360"/>
      </w:pPr>
    </w:lvl>
    <w:lvl w:ilvl="2" w:tplc="02F61362">
      <w:start w:val="1"/>
      <w:numFmt w:val="lowerRoman"/>
      <w:lvlText w:val="%3."/>
      <w:lvlJc w:val="right"/>
      <w:pPr>
        <w:ind w:left="2160" w:hanging="180"/>
      </w:pPr>
    </w:lvl>
    <w:lvl w:ilvl="3" w:tplc="132CE2C4">
      <w:start w:val="1"/>
      <w:numFmt w:val="decimal"/>
      <w:lvlText w:val="%4."/>
      <w:lvlJc w:val="left"/>
      <w:pPr>
        <w:ind w:left="2880" w:hanging="360"/>
      </w:pPr>
    </w:lvl>
    <w:lvl w:ilvl="4" w:tplc="114E1948">
      <w:start w:val="1"/>
      <w:numFmt w:val="lowerLetter"/>
      <w:lvlText w:val="%5."/>
      <w:lvlJc w:val="left"/>
      <w:pPr>
        <w:ind w:left="3600" w:hanging="360"/>
      </w:pPr>
    </w:lvl>
    <w:lvl w:ilvl="5" w:tplc="3E34CBD2">
      <w:start w:val="1"/>
      <w:numFmt w:val="lowerRoman"/>
      <w:lvlText w:val="%6."/>
      <w:lvlJc w:val="right"/>
      <w:pPr>
        <w:ind w:left="4320" w:hanging="180"/>
      </w:pPr>
    </w:lvl>
    <w:lvl w:ilvl="6" w:tplc="B9F43E9E">
      <w:start w:val="1"/>
      <w:numFmt w:val="decimal"/>
      <w:lvlText w:val="%7."/>
      <w:lvlJc w:val="left"/>
      <w:pPr>
        <w:ind w:left="5040" w:hanging="360"/>
      </w:pPr>
    </w:lvl>
    <w:lvl w:ilvl="7" w:tplc="B4A0ECAA">
      <w:start w:val="1"/>
      <w:numFmt w:val="lowerLetter"/>
      <w:lvlText w:val="%8."/>
      <w:lvlJc w:val="left"/>
      <w:pPr>
        <w:ind w:left="5760" w:hanging="360"/>
      </w:pPr>
    </w:lvl>
    <w:lvl w:ilvl="8" w:tplc="F80A4F90">
      <w:start w:val="1"/>
      <w:numFmt w:val="lowerRoman"/>
      <w:lvlText w:val="%9."/>
      <w:lvlJc w:val="right"/>
      <w:pPr>
        <w:ind w:left="6480" w:hanging="180"/>
      </w:pPr>
    </w:lvl>
  </w:abstractNum>
  <w:abstractNum w:abstractNumId="10" w15:restartNumberingAfterBreak="0">
    <w:nsid w:val="487A2BB9"/>
    <w:multiLevelType w:val="hybridMultilevel"/>
    <w:tmpl w:val="91B2D220"/>
    <w:lvl w:ilvl="0" w:tplc="5E88DC6E">
      <w:start w:val="1"/>
      <w:numFmt w:val="decimal"/>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B05F72"/>
    <w:multiLevelType w:val="hybridMultilevel"/>
    <w:tmpl w:val="2348FA56"/>
    <w:lvl w:ilvl="0" w:tplc="038A18CC">
      <w:start w:val="1"/>
      <w:numFmt w:val="decimal"/>
      <w:lvlText w:val="%1"/>
      <w:lvlJc w:val="left"/>
      <w:pPr>
        <w:tabs>
          <w:tab w:val="num" w:pos="502"/>
        </w:tabs>
        <w:ind w:left="502"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20C40C8"/>
    <w:multiLevelType w:val="hybridMultilevel"/>
    <w:tmpl w:val="093CC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385005"/>
    <w:multiLevelType w:val="hybridMultilevel"/>
    <w:tmpl w:val="E5AEC4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FF31DA8"/>
    <w:multiLevelType w:val="hybridMultilevel"/>
    <w:tmpl w:val="F64A3B4A"/>
    <w:lvl w:ilvl="0" w:tplc="FD1CE418">
      <w:numFmt w:val="none"/>
      <w:lvlText w:val=""/>
      <w:lvlJc w:val="left"/>
      <w:pPr>
        <w:tabs>
          <w:tab w:val="num" w:pos="360"/>
        </w:tabs>
      </w:pPr>
    </w:lvl>
    <w:lvl w:ilvl="1" w:tplc="E8DCEB9C">
      <w:start w:val="1"/>
      <w:numFmt w:val="lowerLetter"/>
      <w:lvlText w:val="%2."/>
      <w:lvlJc w:val="left"/>
      <w:pPr>
        <w:ind w:left="1440" w:hanging="360"/>
      </w:pPr>
    </w:lvl>
    <w:lvl w:ilvl="2" w:tplc="62B4FFBC">
      <w:start w:val="1"/>
      <w:numFmt w:val="lowerRoman"/>
      <w:lvlText w:val="%3."/>
      <w:lvlJc w:val="right"/>
      <w:pPr>
        <w:ind w:left="2160" w:hanging="180"/>
      </w:pPr>
    </w:lvl>
    <w:lvl w:ilvl="3" w:tplc="92903C1E">
      <w:start w:val="1"/>
      <w:numFmt w:val="decimal"/>
      <w:lvlText w:val="%4."/>
      <w:lvlJc w:val="left"/>
      <w:pPr>
        <w:ind w:left="2880" w:hanging="360"/>
      </w:pPr>
    </w:lvl>
    <w:lvl w:ilvl="4" w:tplc="9F64474E">
      <w:start w:val="1"/>
      <w:numFmt w:val="lowerLetter"/>
      <w:lvlText w:val="%5."/>
      <w:lvlJc w:val="left"/>
      <w:pPr>
        <w:ind w:left="3600" w:hanging="360"/>
      </w:pPr>
    </w:lvl>
    <w:lvl w:ilvl="5" w:tplc="133086C4">
      <w:start w:val="1"/>
      <w:numFmt w:val="lowerRoman"/>
      <w:lvlText w:val="%6."/>
      <w:lvlJc w:val="right"/>
      <w:pPr>
        <w:ind w:left="4320" w:hanging="180"/>
      </w:pPr>
    </w:lvl>
    <w:lvl w:ilvl="6" w:tplc="955A35E6">
      <w:start w:val="1"/>
      <w:numFmt w:val="decimal"/>
      <w:lvlText w:val="%7."/>
      <w:lvlJc w:val="left"/>
      <w:pPr>
        <w:ind w:left="5040" w:hanging="360"/>
      </w:pPr>
    </w:lvl>
    <w:lvl w:ilvl="7" w:tplc="45343F76">
      <w:start w:val="1"/>
      <w:numFmt w:val="lowerLetter"/>
      <w:lvlText w:val="%8."/>
      <w:lvlJc w:val="left"/>
      <w:pPr>
        <w:ind w:left="5760" w:hanging="360"/>
      </w:pPr>
    </w:lvl>
    <w:lvl w:ilvl="8" w:tplc="0C28CCF0">
      <w:start w:val="1"/>
      <w:numFmt w:val="lowerRoman"/>
      <w:lvlText w:val="%9."/>
      <w:lvlJc w:val="right"/>
      <w:pPr>
        <w:ind w:left="6480" w:hanging="180"/>
      </w:pPr>
    </w:lvl>
  </w:abstractNum>
  <w:abstractNum w:abstractNumId="15" w15:restartNumberingAfterBreak="0">
    <w:nsid w:val="7CF808B0"/>
    <w:multiLevelType w:val="hybridMultilevel"/>
    <w:tmpl w:val="FCE6CF4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6" w15:restartNumberingAfterBreak="0">
    <w:nsid w:val="7FD449DD"/>
    <w:multiLevelType w:val="hybridMultilevel"/>
    <w:tmpl w:val="B3B49B0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num w:numId="1">
    <w:abstractNumId w:val="9"/>
  </w:num>
  <w:num w:numId="2">
    <w:abstractNumId w:val="14"/>
  </w:num>
  <w:num w:numId="3">
    <w:abstractNumId w:val="6"/>
  </w:num>
  <w:num w:numId="4">
    <w:abstractNumId w:val="11"/>
  </w:num>
  <w:num w:numId="5">
    <w:abstractNumId w:val="10"/>
  </w:num>
  <w:num w:numId="6">
    <w:abstractNumId w:val="5"/>
  </w:num>
  <w:num w:numId="7">
    <w:abstractNumId w:val="0"/>
  </w:num>
  <w:num w:numId="8">
    <w:abstractNumId w:val="12"/>
  </w:num>
  <w:num w:numId="9">
    <w:abstractNumId w:val="4"/>
  </w:num>
  <w:num w:numId="10">
    <w:abstractNumId w:val="8"/>
  </w:num>
  <w:num w:numId="11">
    <w:abstractNumId w:val="3"/>
  </w:num>
  <w:num w:numId="12">
    <w:abstractNumId w:val="1"/>
  </w:num>
  <w:num w:numId="13">
    <w:abstractNumId w:val="15"/>
  </w:num>
  <w:num w:numId="14">
    <w:abstractNumId w:val="2"/>
  </w:num>
  <w:num w:numId="15">
    <w:abstractNumId w:val="7"/>
  </w:num>
  <w:num w:numId="16">
    <w:abstractNumId w:val="16"/>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EF"/>
    <w:rsid w:val="00005689"/>
    <w:rsid w:val="000172AC"/>
    <w:rsid w:val="00073F16"/>
    <w:rsid w:val="0007533B"/>
    <w:rsid w:val="00075B99"/>
    <w:rsid w:val="00083640"/>
    <w:rsid w:val="00092415"/>
    <w:rsid w:val="000A3AA6"/>
    <w:rsid w:val="000B1EBD"/>
    <w:rsid w:val="000D2574"/>
    <w:rsid w:val="000D7087"/>
    <w:rsid w:val="000E1655"/>
    <w:rsid w:val="000E4B38"/>
    <w:rsid w:val="000E62D8"/>
    <w:rsid w:val="000E710E"/>
    <w:rsid w:val="00103C02"/>
    <w:rsid w:val="00111535"/>
    <w:rsid w:val="00126DEF"/>
    <w:rsid w:val="00135274"/>
    <w:rsid w:val="00152107"/>
    <w:rsid w:val="00184157"/>
    <w:rsid w:val="001A2025"/>
    <w:rsid w:val="001A529D"/>
    <w:rsid w:val="001B58C6"/>
    <w:rsid w:val="001D3FE3"/>
    <w:rsid w:val="001E3937"/>
    <w:rsid w:val="00264275"/>
    <w:rsid w:val="00273933"/>
    <w:rsid w:val="002C43EF"/>
    <w:rsid w:val="002D344E"/>
    <w:rsid w:val="002E235D"/>
    <w:rsid w:val="002E3E2E"/>
    <w:rsid w:val="002F4944"/>
    <w:rsid w:val="0030175C"/>
    <w:rsid w:val="00345F17"/>
    <w:rsid w:val="003636FB"/>
    <w:rsid w:val="0039389A"/>
    <w:rsid w:val="003E468F"/>
    <w:rsid w:val="004015C2"/>
    <w:rsid w:val="00413B47"/>
    <w:rsid w:val="00417CCE"/>
    <w:rsid w:val="00425A0F"/>
    <w:rsid w:val="004507B2"/>
    <w:rsid w:val="00471E96"/>
    <w:rsid w:val="004732F6"/>
    <w:rsid w:val="0049092D"/>
    <w:rsid w:val="004F68D7"/>
    <w:rsid w:val="005420C8"/>
    <w:rsid w:val="00551600"/>
    <w:rsid w:val="005704D6"/>
    <w:rsid w:val="005C00F3"/>
    <w:rsid w:val="005C41DC"/>
    <w:rsid w:val="005D0B3B"/>
    <w:rsid w:val="005D355F"/>
    <w:rsid w:val="0068377C"/>
    <w:rsid w:val="00692948"/>
    <w:rsid w:val="006B3ECA"/>
    <w:rsid w:val="006B7F1C"/>
    <w:rsid w:val="006C16B6"/>
    <w:rsid w:val="006D54EA"/>
    <w:rsid w:val="006E21C5"/>
    <w:rsid w:val="006F2AD7"/>
    <w:rsid w:val="006F3A61"/>
    <w:rsid w:val="00710F58"/>
    <w:rsid w:val="0073553E"/>
    <w:rsid w:val="00740D57"/>
    <w:rsid w:val="00774164"/>
    <w:rsid w:val="00774C47"/>
    <w:rsid w:val="00782BD6"/>
    <w:rsid w:val="007B0C4F"/>
    <w:rsid w:val="007B7EB1"/>
    <w:rsid w:val="007C1416"/>
    <w:rsid w:val="007C369E"/>
    <w:rsid w:val="007C7C06"/>
    <w:rsid w:val="007D0A89"/>
    <w:rsid w:val="007D1C03"/>
    <w:rsid w:val="007F2540"/>
    <w:rsid w:val="0080480F"/>
    <w:rsid w:val="00806EE9"/>
    <w:rsid w:val="00830EC3"/>
    <w:rsid w:val="008D2006"/>
    <w:rsid w:val="008E1094"/>
    <w:rsid w:val="008E433D"/>
    <w:rsid w:val="00905D90"/>
    <w:rsid w:val="00975B29"/>
    <w:rsid w:val="009A5A55"/>
    <w:rsid w:val="00A0469A"/>
    <w:rsid w:val="00A234AC"/>
    <w:rsid w:val="00A60FE0"/>
    <w:rsid w:val="00A64B19"/>
    <w:rsid w:val="00A65BB6"/>
    <w:rsid w:val="00A6622E"/>
    <w:rsid w:val="00A70070"/>
    <w:rsid w:val="00A70C28"/>
    <w:rsid w:val="00AA3A42"/>
    <w:rsid w:val="00AA69D2"/>
    <w:rsid w:val="00AC630B"/>
    <w:rsid w:val="00AD03F8"/>
    <w:rsid w:val="00AF60DD"/>
    <w:rsid w:val="00B21A64"/>
    <w:rsid w:val="00B4580A"/>
    <w:rsid w:val="00B91AA2"/>
    <w:rsid w:val="00B947A6"/>
    <w:rsid w:val="00BA6704"/>
    <w:rsid w:val="00BB2B59"/>
    <w:rsid w:val="00BB7EA4"/>
    <w:rsid w:val="00BF1331"/>
    <w:rsid w:val="00C01A43"/>
    <w:rsid w:val="00C35A16"/>
    <w:rsid w:val="00C44C9B"/>
    <w:rsid w:val="00C57A1E"/>
    <w:rsid w:val="00CA6631"/>
    <w:rsid w:val="00CC4CE9"/>
    <w:rsid w:val="00CE5C8A"/>
    <w:rsid w:val="00CE7308"/>
    <w:rsid w:val="00CF08B6"/>
    <w:rsid w:val="00CF384C"/>
    <w:rsid w:val="00D20F92"/>
    <w:rsid w:val="00D5778B"/>
    <w:rsid w:val="00DA0CF7"/>
    <w:rsid w:val="00DA2123"/>
    <w:rsid w:val="00DE3367"/>
    <w:rsid w:val="00DF7EFC"/>
    <w:rsid w:val="00E368C8"/>
    <w:rsid w:val="00EA4EBF"/>
    <w:rsid w:val="00EE3134"/>
    <w:rsid w:val="00F04AA4"/>
    <w:rsid w:val="00F111BD"/>
    <w:rsid w:val="00F24201"/>
    <w:rsid w:val="00F47FB8"/>
    <w:rsid w:val="00F87B02"/>
    <w:rsid w:val="00F90F88"/>
    <w:rsid w:val="00FE22F3"/>
    <w:rsid w:val="01DDFFF2"/>
    <w:rsid w:val="01E8235F"/>
    <w:rsid w:val="01EF8D1A"/>
    <w:rsid w:val="0227D736"/>
    <w:rsid w:val="02B5545B"/>
    <w:rsid w:val="0342AB63"/>
    <w:rsid w:val="034F4263"/>
    <w:rsid w:val="0409ECD8"/>
    <w:rsid w:val="055EB9CD"/>
    <w:rsid w:val="07194DEC"/>
    <w:rsid w:val="07E07A88"/>
    <w:rsid w:val="085EA816"/>
    <w:rsid w:val="0878221D"/>
    <w:rsid w:val="08DA228E"/>
    <w:rsid w:val="0925E509"/>
    <w:rsid w:val="09CDF277"/>
    <w:rsid w:val="0B69C2D8"/>
    <w:rsid w:val="0B8E3C57"/>
    <w:rsid w:val="0BD253B2"/>
    <w:rsid w:val="0BF7E2B8"/>
    <w:rsid w:val="0C5D85CB"/>
    <w:rsid w:val="0EC5DD19"/>
    <w:rsid w:val="0EEE232D"/>
    <w:rsid w:val="0FDD5B59"/>
    <w:rsid w:val="1088227F"/>
    <w:rsid w:val="118255A9"/>
    <w:rsid w:val="118E8C0F"/>
    <w:rsid w:val="14AED302"/>
    <w:rsid w:val="16339AB4"/>
    <w:rsid w:val="163D9783"/>
    <w:rsid w:val="164A1538"/>
    <w:rsid w:val="167ADBB9"/>
    <w:rsid w:val="171EC102"/>
    <w:rsid w:val="1842379C"/>
    <w:rsid w:val="186038FC"/>
    <w:rsid w:val="190AA58A"/>
    <w:rsid w:val="193F4A70"/>
    <w:rsid w:val="1A1E52A4"/>
    <w:rsid w:val="1AD56F9A"/>
    <w:rsid w:val="1B8CF9E0"/>
    <w:rsid w:val="1C5A8138"/>
    <w:rsid w:val="1D158ACA"/>
    <w:rsid w:val="1D9A656D"/>
    <w:rsid w:val="1ED83FCC"/>
    <w:rsid w:val="1F0C453A"/>
    <w:rsid w:val="1F35319E"/>
    <w:rsid w:val="1F46A0B1"/>
    <w:rsid w:val="1F4DB74C"/>
    <w:rsid w:val="1FCDBB4C"/>
    <w:rsid w:val="206BAB1E"/>
    <w:rsid w:val="21440C48"/>
    <w:rsid w:val="21EF29A5"/>
    <w:rsid w:val="22F43815"/>
    <w:rsid w:val="23A23D53"/>
    <w:rsid w:val="23DDF629"/>
    <w:rsid w:val="24BAA40E"/>
    <w:rsid w:val="2564C1D6"/>
    <w:rsid w:val="2601637E"/>
    <w:rsid w:val="2778E6E0"/>
    <w:rsid w:val="2985C3D3"/>
    <w:rsid w:val="2A3B2DAA"/>
    <w:rsid w:val="2A84FDA7"/>
    <w:rsid w:val="2B01FF2C"/>
    <w:rsid w:val="2B619408"/>
    <w:rsid w:val="2C5B3E1D"/>
    <w:rsid w:val="2CBD6495"/>
    <w:rsid w:val="2D744C28"/>
    <w:rsid w:val="2DE52000"/>
    <w:rsid w:val="2E17C685"/>
    <w:rsid w:val="2F1032B4"/>
    <w:rsid w:val="2F4199B5"/>
    <w:rsid w:val="30937CFE"/>
    <w:rsid w:val="318E4A08"/>
    <w:rsid w:val="31D49DB7"/>
    <w:rsid w:val="31F2AF79"/>
    <w:rsid w:val="3298C8C1"/>
    <w:rsid w:val="32ADC1A3"/>
    <w:rsid w:val="3420690C"/>
    <w:rsid w:val="350F9174"/>
    <w:rsid w:val="35248156"/>
    <w:rsid w:val="359DFD5E"/>
    <w:rsid w:val="35CE6B69"/>
    <w:rsid w:val="362EAD93"/>
    <w:rsid w:val="37E15C70"/>
    <w:rsid w:val="37F5FF77"/>
    <w:rsid w:val="38FAF94A"/>
    <w:rsid w:val="394D581E"/>
    <w:rsid w:val="3AD19989"/>
    <w:rsid w:val="3BA9E8B9"/>
    <w:rsid w:val="3DFDC82E"/>
    <w:rsid w:val="3E6153DB"/>
    <w:rsid w:val="3E8EB5A5"/>
    <w:rsid w:val="3F3EC332"/>
    <w:rsid w:val="3FD1A836"/>
    <w:rsid w:val="41BB0A94"/>
    <w:rsid w:val="438587D4"/>
    <w:rsid w:val="442C93A1"/>
    <w:rsid w:val="4560D69E"/>
    <w:rsid w:val="47188E48"/>
    <w:rsid w:val="484F1333"/>
    <w:rsid w:val="48C9997C"/>
    <w:rsid w:val="4910AEB4"/>
    <w:rsid w:val="49533432"/>
    <w:rsid w:val="49D8106A"/>
    <w:rsid w:val="4A0CBB58"/>
    <w:rsid w:val="4A90ED7A"/>
    <w:rsid w:val="4B040FB5"/>
    <w:rsid w:val="4B7ABC5A"/>
    <w:rsid w:val="4C45C5CB"/>
    <w:rsid w:val="4F1A059E"/>
    <w:rsid w:val="4F362C4A"/>
    <w:rsid w:val="516C2160"/>
    <w:rsid w:val="5239BD78"/>
    <w:rsid w:val="5394E783"/>
    <w:rsid w:val="542B5F92"/>
    <w:rsid w:val="5433CEDA"/>
    <w:rsid w:val="54C48159"/>
    <w:rsid w:val="54FA02A5"/>
    <w:rsid w:val="551E53A2"/>
    <w:rsid w:val="55C76A4C"/>
    <w:rsid w:val="586471CC"/>
    <w:rsid w:val="5976D9B9"/>
    <w:rsid w:val="5A21792D"/>
    <w:rsid w:val="5C76DD97"/>
    <w:rsid w:val="5C985B17"/>
    <w:rsid w:val="5E8CBF0B"/>
    <w:rsid w:val="5ED28113"/>
    <w:rsid w:val="5F5C087F"/>
    <w:rsid w:val="5F728440"/>
    <w:rsid w:val="618A4972"/>
    <w:rsid w:val="637B839A"/>
    <w:rsid w:val="64102B22"/>
    <w:rsid w:val="646C2280"/>
    <w:rsid w:val="678EEF14"/>
    <w:rsid w:val="67A1C3DD"/>
    <w:rsid w:val="68093B80"/>
    <w:rsid w:val="68124C3C"/>
    <w:rsid w:val="696E5889"/>
    <w:rsid w:val="696F1DBA"/>
    <w:rsid w:val="6B0A28EA"/>
    <w:rsid w:val="6BC1045A"/>
    <w:rsid w:val="6C1DC3C1"/>
    <w:rsid w:val="6D0EFFFA"/>
    <w:rsid w:val="6FE3B9B1"/>
    <w:rsid w:val="71B915DE"/>
    <w:rsid w:val="71BDF79E"/>
    <w:rsid w:val="73651921"/>
    <w:rsid w:val="7490E383"/>
    <w:rsid w:val="76104899"/>
    <w:rsid w:val="76D4FDEF"/>
    <w:rsid w:val="76E431DD"/>
    <w:rsid w:val="77E61B5D"/>
    <w:rsid w:val="785D1822"/>
    <w:rsid w:val="793C773E"/>
    <w:rsid w:val="79DE1706"/>
    <w:rsid w:val="7A96EE16"/>
    <w:rsid w:val="7B702B06"/>
    <w:rsid w:val="7CC46A6E"/>
    <w:rsid w:val="7EC51A4C"/>
    <w:rsid w:val="7EE2E9F4"/>
    <w:rsid w:val="7EF3B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8F0C53"/>
  <w15:docId w15:val="{C63A7513-C7BE-4308-904B-2EEA3377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DEF"/>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126DEF"/>
    <w:pPr>
      <w:keepNext/>
      <w:numPr>
        <w:numId w:val="3"/>
      </w:numPr>
      <w:spacing w:before="240" w:line="264" w:lineRule="auto"/>
      <w:jc w:val="both"/>
      <w:outlineLvl w:val="0"/>
    </w:pPr>
    <w:rPr>
      <w:rFonts w:ascii="Arial" w:hAnsi="Arial" w:cs="Arial"/>
      <w:b/>
      <w:bCs/>
      <w:caps/>
      <w:kern w:val="32"/>
      <w:sz w:val="22"/>
      <w:szCs w:val="32"/>
    </w:rPr>
  </w:style>
  <w:style w:type="paragraph" w:styleId="Heading2">
    <w:name w:val="heading 2"/>
    <w:basedOn w:val="Normal"/>
    <w:next w:val="Normal"/>
    <w:link w:val="Heading2Char"/>
    <w:qFormat/>
    <w:rsid w:val="00126DEF"/>
    <w:pPr>
      <w:keepNext/>
      <w:numPr>
        <w:ilvl w:val="1"/>
        <w:numId w:val="3"/>
      </w:numPr>
      <w:tabs>
        <w:tab w:val="clear" w:pos="851"/>
      </w:tabs>
      <w:spacing w:before="240" w:line="264" w:lineRule="auto"/>
      <w:ind w:left="1800" w:hanging="360"/>
      <w:jc w:val="both"/>
      <w:outlineLvl w:val="1"/>
    </w:pPr>
    <w:rPr>
      <w:rFonts w:ascii="Arial" w:hAnsi="Arial" w:cs="Arial"/>
      <w:b/>
      <w:bCs/>
      <w:iCs/>
      <w:sz w:val="22"/>
      <w:szCs w:val="28"/>
    </w:rPr>
  </w:style>
  <w:style w:type="paragraph" w:styleId="Heading3">
    <w:name w:val="heading 3"/>
    <w:basedOn w:val="Normal"/>
    <w:next w:val="Normal"/>
    <w:link w:val="Heading3Char"/>
    <w:qFormat/>
    <w:rsid w:val="00126DEF"/>
    <w:pPr>
      <w:keepNext/>
      <w:numPr>
        <w:ilvl w:val="2"/>
        <w:numId w:val="3"/>
      </w:numPr>
      <w:spacing w:before="240" w:line="264" w:lineRule="auto"/>
      <w:jc w:val="both"/>
      <w:outlineLvl w:val="2"/>
    </w:pPr>
    <w:rPr>
      <w:rFonts w:ascii="Arial" w:hAnsi="Arial" w:cs="Arial"/>
      <w:bCs/>
      <w:sz w:val="22"/>
      <w:szCs w:val="26"/>
      <w:u w:val="single"/>
    </w:rPr>
  </w:style>
  <w:style w:type="paragraph" w:styleId="Heading9">
    <w:name w:val="heading 9"/>
    <w:basedOn w:val="Normal"/>
    <w:next w:val="Normal"/>
    <w:link w:val="Heading9Char"/>
    <w:qFormat/>
    <w:rsid w:val="00126DEF"/>
    <w:pPr>
      <w:numPr>
        <w:ilvl w:val="8"/>
        <w:numId w:val="3"/>
      </w:numPr>
      <w:spacing w:before="12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6DEF"/>
    <w:rPr>
      <w:rFonts w:eastAsia="Times New Roman"/>
      <w:b/>
      <w:bCs/>
      <w:caps/>
      <w:kern w:val="32"/>
      <w:sz w:val="22"/>
      <w:szCs w:val="32"/>
    </w:rPr>
  </w:style>
  <w:style w:type="character" w:customStyle="1" w:styleId="Heading2Char">
    <w:name w:val="Heading 2 Char"/>
    <w:basedOn w:val="DefaultParagraphFont"/>
    <w:link w:val="Heading2"/>
    <w:rsid w:val="00126DEF"/>
    <w:rPr>
      <w:rFonts w:eastAsia="Times New Roman"/>
      <w:b/>
      <w:bCs/>
      <w:iCs/>
      <w:sz w:val="22"/>
      <w:szCs w:val="28"/>
    </w:rPr>
  </w:style>
  <w:style w:type="character" w:customStyle="1" w:styleId="Heading3Char">
    <w:name w:val="Heading 3 Char"/>
    <w:basedOn w:val="DefaultParagraphFont"/>
    <w:link w:val="Heading3"/>
    <w:rsid w:val="00126DEF"/>
    <w:rPr>
      <w:rFonts w:eastAsia="Times New Roman"/>
      <w:bCs/>
      <w:sz w:val="22"/>
      <w:szCs w:val="26"/>
      <w:u w:val="single"/>
    </w:rPr>
  </w:style>
  <w:style w:type="character" w:customStyle="1" w:styleId="Heading9Char">
    <w:name w:val="Heading 9 Char"/>
    <w:basedOn w:val="DefaultParagraphFont"/>
    <w:link w:val="Heading9"/>
    <w:rsid w:val="00126DEF"/>
    <w:rPr>
      <w:rFonts w:eastAsia="Times New Roman"/>
      <w:sz w:val="22"/>
      <w:szCs w:val="22"/>
    </w:rPr>
  </w:style>
  <w:style w:type="paragraph" w:styleId="Header">
    <w:name w:val="header"/>
    <w:basedOn w:val="Normal"/>
    <w:link w:val="HeaderChar"/>
    <w:rsid w:val="00126DEF"/>
    <w:pPr>
      <w:tabs>
        <w:tab w:val="center" w:pos="4153"/>
        <w:tab w:val="right" w:pos="8306"/>
      </w:tabs>
    </w:pPr>
  </w:style>
  <w:style w:type="character" w:customStyle="1" w:styleId="HeaderChar">
    <w:name w:val="Header Char"/>
    <w:basedOn w:val="DefaultParagraphFont"/>
    <w:link w:val="Header"/>
    <w:rsid w:val="00126DEF"/>
    <w:rPr>
      <w:rFonts w:ascii="Times New Roman" w:eastAsia="Times New Roman" w:hAnsi="Times New Roman" w:cs="Times New Roman"/>
    </w:rPr>
  </w:style>
  <w:style w:type="paragraph" w:styleId="Footer">
    <w:name w:val="footer"/>
    <w:basedOn w:val="Normal"/>
    <w:link w:val="FooterChar"/>
    <w:rsid w:val="00126DEF"/>
    <w:pPr>
      <w:tabs>
        <w:tab w:val="center" w:pos="4153"/>
        <w:tab w:val="right" w:pos="8306"/>
      </w:tabs>
    </w:pPr>
  </w:style>
  <w:style w:type="character" w:customStyle="1" w:styleId="FooterChar">
    <w:name w:val="Footer Char"/>
    <w:basedOn w:val="DefaultParagraphFont"/>
    <w:link w:val="Footer"/>
    <w:rsid w:val="00126DEF"/>
    <w:rPr>
      <w:rFonts w:ascii="Times New Roman" w:eastAsia="Times New Roman" w:hAnsi="Times New Roman" w:cs="Times New Roman"/>
    </w:rPr>
  </w:style>
  <w:style w:type="paragraph" w:styleId="TOC1">
    <w:name w:val="toc 1"/>
    <w:basedOn w:val="Heading1"/>
    <w:next w:val="Normal"/>
    <w:autoRedefine/>
    <w:uiPriority w:val="39"/>
    <w:rsid w:val="00126DEF"/>
    <w:pPr>
      <w:keepNext w:val="0"/>
      <w:numPr>
        <w:numId w:val="0"/>
      </w:numPr>
      <w:spacing w:before="360" w:line="240" w:lineRule="auto"/>
      <w:jc w:val="left"/>
      <w:outlineLvl w:val="9"/>
    </w:pPr>
    <w:rPr>
      <w:kern w:val="0"/>
      <w:sz w:val="24"/>
    </w:rPr>
  </w:style>
  <w:style w:type="paragraph" w:styleId="TOC2">
    <w:name w:val="toc 2"/>
    <w:basedOn w:val="Heading2"/>
    <w:next w:val="Normal"/>
    <w:autoRedefine/>
    <w:uiPriority w:val="39"/>
    <w:rsid w:val="00126DEF"/>
    <w:pPr>
      <w:keepNext w:val="0"/>
      <w:numPr>
        <w:ilvl w:val="0"/>
        <w:numId w:val="0"/>
      </w:numPr>
      <w:spacing w:line="240" w:lineRule="auto"/>
      <w:jc w:val="left"/>
      <w:outlineLvl w:val="9"/>
    </w:pPr>
    <w:rPr>
      <w:rFonts w:ascii="Times New Roman" w:hAnsi="Times New Roman"/>
      <w:sz w:val="20"/>
    </w:rPr>
  </w:style>
  <w:style w:type="paragraph" w:styleId="BodyText">
    <w:name w:val="Body Text"/>
    <w:basedOn w:val="Normal"/>
    <w:link w:val="BodyTextChar"/>
    <w:rsid w:val="00126DEF"/>
    <w:pPr>
      <w:numPr>
        <w:ilvl w:val="3"/>
        <w:numId w:val="3"/>
      </w:numPr>
      <w:spacing w:before="240" w:line="264" w:lineRule="auto"/>
      <w:jc w:val="both"/>
    </w:pPr>
    <w:rPr>
      <w:rFonts w:ascii="Arial" w:hAnsi="Arial"/>
      <w:sz w:val="22"/>
    </w:rPr>
  </w:style>
  <w:style w:type="character" w:customStyle="1" w:styleId="BodyTextChar">
    <w:name w:val="Body Text Char"/>
    <w:basedOn w:val="DefaultParagraphFont"/>
    <w:link w:val="BodyText"/>
    <w:rsid w:val="00126DEF"/>
    <w:rPr>
      <w:rFonts w:eastAsia="Times New Roman" w:cs="Times New Roman"/>
      <w:sz w:val="22"/>
    </w:rPr>
  </w:style>
  <w:style w:type="paragraph" w:styleId="ListNumber">
    <w:name w:val="List Number"/>
    <w:basedOn w:val="Normal"/>
    <w:rsid w:val="00126DEF"/>
    <w:pPr>
      <w:numPr>
        <w:ilvl w:val="4"/>
        <w:numId w:val="3"/>
      </w:numPr>
      <w:spacing w:before="180" w:line="264" w:lineRule="auto"/>
      <w:jc w:val="both"/>
    </w:pPr>
    <w:rPr>
      <w:rFonts w:ascii="Arial" w:hAnsi="Arial"/>
      <w:sz w:val="22"/>
    </w:rPr>
  </w:style>
  <w:style w:type="paragraph" w:styleId="ListBullet2">
    <w:name w:val="List Bullet 2"/>
    <w:basedOn w:val="Normal"/>
    <w:autoRedefine/>
    <w:rsid w:val="00126DEF"/>
    <w:pPr>
      <w:numPr>
        <w:ilvl w:val="6"/>
        <w:numId w:val="3"/>
      </w:numPr>
      <w:spacing w:before="120" w:line="264" w:lineRule="auto"/>
      <w:jc w:val="both"/>
    </w:pPr>
    <w:rPr>
      <w:rFonts w:ascii="Arial" w:hAnsi="Arial"/>
      <w:sz w:val="22"/>
      <w:lang w:val="en-US"/>
    </w:rPr>
  </w:style>
  <w:style w:type="paragraph" w:styleId="ListNumber2">
    <w:name w:val="List Number 2"/>
    <w:basedOn w:val="Normal"/>
    <w:rsid w:val="00126DEF"/>
    <w:pPr>
      <w:numPr>
        <w:ilvl w:val="7"/>
        <w:numId w:val="3"/>
      </w:numPr>
      <w:spacing w:before="120" w:line="264" w:lineRule="auto"/>
      <w:jc w:val="both"/>
    </w:pPr>
    <w:rPr>
      <w:rFonts w:ascii="Arial" w:hAnsi="Arial"/>
      <w:sz w:val="22"/>
    </w:rPr>
  </w:style>
  <w:style w:type="paragraph" w:styleId="BalloonText">
    <w:name w:val="Balloon Text"/>
    <w:basedOn w:val="Normal"/>
    <w:link w:val="BalloonTextChar"/>
    <w:uiPriority w:val="99"/>
    <w:semiHidden/>
    <w:unhideWhenUsed/>
    <w:rsid w:val="00126DEF"/>
    <w:rPr>
      <w:rFonts w:ascii="Tahoma" w:hAnsi="Tahoma" w:cs="Tahoma"/>
      <w:sz w:val="16"/>
      <w:szCs w:val="16"/>
    </w:rPr>
  </w:style>
  <w:style w:type="character" w:customStyle="1" w:styleId="BalloonTextChar">
    <w:name w:val="Balloon Text Char"/>
    <w:basedOn w:val="DefaultParagraphFont"/>
    <w:link w:val="BalloonText"/>
    <w:uiPriority w:val="99"/>
    <w:semiHidden/>
    <w:rsid w:val="00126DEF"/>
    <w:rPr>
      <w:rFonts w:ascii="Tahoma" w:eastAsia="Times New Roman" w:hAnsi="Tahoma" w:cs="Tahoma"/>
      <w:sz w:val="16"/>
      <w:szCs w:val="16"/>
    </w:rPr>
  </w:style>
  <w:style w:type="character" w:styleId="Hyperlink">
    <w:name w:val="Hyperlink"/>
    <w:basedOn w:val="DefaultParagraphFont"/>
    <w:uiPriority w:val="99"/>
    <w:unhideWhenUsed/>
    <w:rsid w:val="00692948"/>
    <w:rPr>
      <w:color w:val="0000FF"/>
      <w:u w:val="single"/>
    </w:rPr>
  </w:style>
  <w:style w:type="character" w:styleId="CommentReference">
    <w:name w:val="annotation reference"/>
    <w:basedOn w:val="DefaultParagraphFont"/>
    <w:uiPriority w:val="99"/>
    <w:unhideWhenUsed/>
    <w:rsid w:val="00073F16"/>
    <w:rPr>
      <w:sz w:val="16"/>
      <w:szCs w:val="16"/>
    </w:rPr>
  </w:style>
  <w:style w:type="paragraph" w:styleId="CommentText">
    <w:name w:val="annotation text"/>
    <w:basedOn w:val="Normal"/>
    <w:link w:val="CommentTextChar"/>
    <w:uiPriority w:val="99"/>
    <w:unhideWhenUsed/>
    <w:rsid w:val="00073F16"/>
    <w:rPr>
      <w:sz w:val="20"/>
      <w:szCs w:val="20"/>
      <w:lang w:eastAsia="en-GB"/>
    </w:rPr>
  </w:style>
  <w:style w:type="character" w:customStyle="1" w:styleId="CommentTextChar">
    <w:name w:val="Comment Text Char"/>
    <w:basedOn w:val="DefaultParagraphFont"/>
    <w:link w:val="CommentText"/>
    <w:uiPriority w:val="99"/>
    <w:rsid w:val="00073F16"/>
    <w:rPr>
      <w:rFonts w:ascii="Times New Roman" w:eastAsia="Times New Roman" w:hAnsi="Times New Roman" w:cs="Times New Roman"/>
      <w:sz w:val="20"/>
      <w:szCs w:val="20"/>
      <w:lang w:eastAsia="en-GB"/>
    </w:rPr>
  </w:style>
  <w:style w:type="paragraph" w:styleId="ListParagraph">
    <w:name w:val="List Paragraph"/>
    <w:aliases w:val="bulleted paragraph,List Paragraph1"/>
    <w:basedOn w:val="Normal"/>
    <w:link w:val="ListParagraphChar"/>
    <w:uiPriority w:val="34"/>
    <w:qFormat/>
    <w:rsid w:val="00073F16"/>
    <w:pPr>
      <w:ind w:left="720"/>
      <w:contextualSpacing/>
    </w:pPr>
    <w:rPr>
      <w:lang w:eastAsia="en-GB"/>
    </w:rPr>
  </w:style>
  <w:style w:type="character" w:customStyle="1" w:styleId="ListParagraphChar">
    <w:name w:val="List Paragraph Char"/>
    <w:aliases w:val="bulleted paragraph Char,List Paragraph1 Char"/>
    <w:link w:val="ListParagraph"/>
    <w:uiPriority w:val="34"/>
    <w:locked/>
    <w:rsid w:val="00073F16"/>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2F4944"/>
    <w:rPr>
      <w:b/>
      <w:bCs/>
      <w:lang w:eastAsia="en-US"/>
    </w:rPr>
  </w:style>
  <w:style w:type="character" w:customStyle="1" w:styleId="CommentSubjectChar">
    <w:name w:val="Comment Subject Char"/>
    <w:basedOn w:val="CommentTextChar"/>
    <w:link w:val="CommentSubject"/>
    <w:uiPriority w:val="99"/>
    <w:semiHidden/>
    <w:rsid w:val="002F4944"/>
    <w:rPr>
      <w:rFonts w:ascii="Times New Roman" w:eastAsia="Times New Roman" w:hAnsi="Times New Roman" w:cs="Times New Roman"/>
      <w:b/>
      <w:bCs/>
      <w:sz w:val="20"/>
      <w:szCs w:val="20"/>
      <w:lang w:eastAsia="en-GB"/>
    </w:rPr>
  </w:style>
  <w:style w:type="character" w:styleId="PageNumber">
    <w:name w:val="page number"/>
    <w:basedOn w:val="DefaultParagraphFont"/>
    <w:rsid w:val="007C1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88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24176502ED034CACF3CB539652B820" ma:contentTypeVersion="6" ma:contentTypeDescription="Create a new document." ma:contentTypeScope="" ma:versionID="cf193822f760a883f2438f2d4c5d5d24">
  <xsd:schema xmlns:xsd="http://www.w3.org/2001/XMLSchema" xmlns:xs="http://www.w3.org/2001/XMLSchema" xmlns:p="http://schemas.microsoft.com/office/2006/metadata/properties" xmlns:ns2="2cfbf2e9-7301-4340-9aff-cbd9ba941bf0" targetNamespace="http://schemas.microsoft.com/office/2006/metadata/properties" ma:root="true" ma:fieldsID="e0d1664722a026d53f122279a247851d" ns2:_="">
    <xsd:import namespace="2cfbf2e9-7301-4340-9aff-cbd9ba941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bf2e9-7301-4340-9aff-cbd9ba94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C5E8E-DB55-4821-B46D-67E5FB502C7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cfbf2e9-7301-4340-9aff-cbd9ba941bf0"/>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B6B49EE-B905-4872-918F-6DCE39D53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bf2e9-7301-4340-9aff-cbd9ba94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526B56-CC40-43E8-88B5-CFB8DFF408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1747</Words>
  <Characters>9962</Characters>
  <Application>Microsoft Office Word</Application>
  <DocSecurity>0</DocSecurity>
  <Lines>83</Lines>
  <Paragraphs>23</Paragraphs>
  <ScaleCrop>false</ScaleCrop>
  <Company>Highways Agency</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Batool, Saira</dc:creator>
  <cp:keywords/>
  <dc:description/>
  <cp:lastModifiedBy>Openshaw, Jessica</cp:lastModifiedBy>
  <cp:revision>55</cp:revision>
  <dcterms:created xsi:type="dcterms:W3CDTF">2020-09-11T13:39:00Z</dcterms:created>
  <dcterms:modified xsi:type="dcterms:W3CDTF">2021-09-20T10:24:00Z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0x010100E324176502ED034CACF3CB539652B820</vt:lpwstr>
  </property>
</Properties>
</file>