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AA7" w:rsidRPr="00DD41E3" w:rsidRDefault="00813130">
      <w:pPr>
        <w:rPr>
          <w:rFonts w:cstheme="minorHAnsi"/>
          <w:b/>
        </w:rPr>
      </w:pPr>
      <w:r w:rsidRPr="00DD41E3">
        <w:rPr>
          <w:rFonts w:cstheme="minorHAnsi"/>
          <w:b/>
        </w:rPr>
        <w:t>DATA ANALYSIS SERVICES UPDATE QUESTIONS AND ANSWERS</w:t>
      </w:r>
    </w:p>
    <w:p w:rsidR="00813130" w:rsidRPr="00DD41E3" w:rsidRDefault="00813130">
      <w:pPr>
        <w:rPr>
          <w:rFonts w:cstheme="minorHAnsi"/>
        </w:rPr>
      </w:pPr>
    </w:p>
    <w:p w:rsidR="00B50579" w:rsidRPr="00DD41E3" w:rsidRDefault="00B50579" w:rsidP="00B50579">
      <w:pPr>
        <w:pStyle w:val="ListParagraph"/>
        <w:numPr>
          <w:ilvl w:val="0"/>
          <w:numId w:val="1"/>
        </w:numPr>
        <w:ind w:right="119"/>
        <w:contextualSpacing/>
        <w:jc w:val="both"/>
        <w:rPr>
          <w:rFonts w:asciiTheme="minorHAnsi" w:hAnsiTheme="minorHAnsi" w:cstheme="minorHAnsi"/>
        </w:rPr>
      </w:pPr>
      <w:r w:rsidRPr="00DD41E3">
        <w:rPr>
          <w:rFonts w:asciiTheme="minorHAnsi" w:hAnsiTheme="minorHAnsi" w:cstheme="minorHAnsi"/>
        </w:rPr>
        <w:t>Page 7 states</w:t>
      </w:r>
      <w:r w:rsidRPr="00DD41E3">
        <w:rPr>
          <w:rFonts w:asciiTheme="minorHAnsi" w:hAnsiTheme="minorHAnsi" w:cstheme="minorHAnsi"/>
          <w:i/>
          <w:iCs/>
        </w:rPr>
        <w:t>: “Suppliers must demonstrate their previous experience and understanding of the projects which will enable them to deliver the requirements of this Framework appointment effectively.”</w:t>
      </w:r>
      <w:r w:rsidRPr="00DD41E3">
        <w:rPr>
          <w:rFonts w:asciiTheme="minorHAnsi" w:hAnsiTheme="minorHAnsi" w:cstheme="minorHAnsi"/>
        </w:rPr>
        <w:t xml:space="preserve"> Can you confirm that it’s not a pass/fail requirement that tenderers have prior direct experience of the specific projects referenced in appendix D2 and D3?</w:t>
      </w:r>
    </w:p>
    <w:p w:rsidR="00B50579" w:rsidRPr="00DD41E3" w:rsidRDefault="00B50579" w:rsidP="00B50579">
      <w:pPr>
        <w:ind w:right="119"/>
        <w:contextualSpacing/>
        <w:jc w:val="both"/>
        <w:rPr>
          <w:rFonts w:cstheme="minorHAnsi"/>
        </w:rPr>
      </w:pPr>
    </w:p>
    <w:p w:rsidR="00B50579" w:rsidRPr="00DD41E3" w:rsidRDefault="00B50579" w:rsidP="00B50579">
      <w:pPr>
        <w:ind w:left="1440" w:right="119" w:hanging="1440"/>
        <w:contextualSpacing/>
        <w:jc w:val="both"/>
        <w:rPr>
          <w:rFonts w:cstheme="minorHAnsi"/>
        </w:rPr>
      </w:pPr>
      <w:r w:rsidRPr="00DD41E3">
        <w:rPr>
          <w:rFonts w:cstheme="minorHAnsi"/>
        </w:rPr>
        <w:t>Answer</w:t>
      </w:r>
      <w:r w:rsidRPr="00DD41E3">
        <w:rPr>
          <w:rFonts w:cstheme="minorHAnsi"/>
        </w:rPr>
        <w:tab/>
        <w:t>Having experience with Data Analysis is a pass fail question. Not having experience of these specific projects is not a pass fail criteria.</w:t>
      </w:r>
    </w:p>
    <w:p w:rsidR="00B50579" w:rsidRPr="00DD41E3" w:rsidRDefault="00B50579" w:rsidP="00B50579">
      <w:pPr>
        <w:pStyle w:val="ListParagraph"/>
        <w:ind w:right="119"/>
        <w:contextualSpacing/>
        <w:jc w:val="both"/>
        <w:rPr>
          <w:rFonts w:asciiTheme="minorHAnsi" w:hAnsiTheme="minorHAnsi" w:cstheme="minorHAnsi"/>
        </w:rPr>
      </w:pPr>
    </w:p>
    <w:p w:rsidR="00B50579" w:rsidRPr="00DD41E3" w:rsidRDefault="00B50579" w:rsidP="00B50579">
      <w:pPr>
        <w:pStyle w:val="ListParagraph"/>
        <w:numPr>
          <w:ilvl w:val="0"/>
          <w:numId w:val="1"/>
        </w:numPr>
        <w:ind w:right="119"/>
        <w:contextualSpacing/>
        <w:jc w:val="both"/>
        <w:rPr>
          <w:rFonts w:asciiTheme="minorHAnsi" w:hAnsiTheme="minorHAnsi" w:cstheme="minorHAnsi"/>
        </w:rPr>
      </w:pPr>
      <w:r w:rsidRPr="00DD41E3">
        <w:rPr>
          <w:rFonts w:asciiTheme="minorHAnsi" w:hAnsiTheme="minorHAnsi" w:cstheme="minorHAnsi"/>
        </w:rPr>
        <w:t>At the bottom of page 2 there is reference to a report produced in 2013 by previous consultants that is included as an Appendix. Please can you point us to this as it doesn’t appear to be contained in the RFQ document;</w:t>
      </w:r>
    </w:p>
    <w:p w:rsidR="00DD41E3" w:rsidRDefault="00DD41E3" w:rsidP="00B50579">
      <w:pPr>
        <w:ind w:right="119"/>
        <w:contextualSpacing/>
        <w:jc w:val="both"/>
        <w:rPr>
          <w:rFonts w:cstheme="minorHAnsi"/>
        </w:rPr>
      </w:pPr>
    </w:p>
    <w:p w:rsidR="00B50579" w:rsidRPr="00DD41E3" w:rsidRDefault="00B50579" w:rsidP="00B50579">
      <w:pPr>
        <w:ind w:right="119"/>
        <w:contextualSpacing/>
        <w:jc w:val="both"/>
        <w:rPr>
          <w:rFonts w:cstheme="minorHAnsi"/>
        </w:rPr>
      </w:pPr>
      <w:r w:rsidRPr="00DD41E3">
        <w:rPr>
          <w:rFonts w:cstheme="minorHAnsi"/>
        </w:rPr>
        <w:t>Answer</w:t>
      </w:r>
      <w:r w:rsidRPr="00DD41E3">
        <w:rPr>
          <w:rFonts w:cstheme="minorHAnsi"/>
        </w:rPr>
        <w:tab/>
      </w:r>
      <w:r w:rsidRPr="00DD41E3">
        <w:rPr>
          <w:rFonts w:cstheme="minorHAnsi"/>
        </w:rPr>
        <w:tab/>
        <w:t>Please ignore this reference.</w:t>
      </w:r>
    </w:p>
    <w:p w:rsidR="00B50579" w:rsidRPr="00DD41E3" w:rsidRDefault="00B50579" w:rsidP="00B50579">
      <w:pPr>
        <w:pStyle w:val="ListParagraph"/>
        <w:rPr>
          <w:rFonts w:asciiTheme="minorHAnsi" w:hAnsiTheme="minorHAnsi" w:cstheme="minorHAnsi"/>
        </w:rPr>
      </w:pPr>
    </w:p>
    <w:p w:rsidR="00B50579" w:rsidRPr="00DD41E3" w:rsidRDefault="00B50579" w:rsidP="00B50579">
      <w:pPr>
        <w:pStyle w:val="ListParagraph"/>
        <w:numPr>
          <w:ilvl w:val="0"/>
          <w:numId w:val="1"/>
        </w:numPr>
        <w:ind w:right="119"/>
        <w:contextualSpacing/>
        <w:jc w:val="both"/>
        <w:rPr>
          <w:rFonts w:asciiTheme="minorHAnsi" w:hAnsiTheme="minorHAnsi" w:cstheme="minorHAnsi"/>
        </w:rPr>
      </w:pPr>
      <w:r w:rsidRPr="00DD41E3">
        <w:rPr>
          <w:rFonts w:asciiTheme="minorHAnsi" w:hAnsiTheme="minorHAnsi" w:cstheme="minorHAnsi"/>
        </w:rPr>
        <w:t>The embedded Excel costs worksheet on p19 for tenderers to complete references project D4. Is this an error and should this be ignored?</w:t>
      </w:r>
    </w:p>
    <w:p w:rsidR="00DD41E3" w:rsidRDefault="00DD41E3" w:rsidP="00B50579">
      <w:pPr>
        <w:ind w:left="1440" w:right="119" w:hanging="1440"/>
        <w:contextualSpacing/>
        <w:jc w:val="both"/>
        <w:rPr>
          <w:rFonts w:cstheme="minorHAnsi"/>
        </w:rPr>
      </w:pPr>
    </w:p>
    <w:p w:rsidR="00B50579" w:rsidRPr="00DD41E3" w:rsidRDefault="00B50579" w:rsidP="00B50579">
      <w:pPr>
        <w:ind w:left="1440" w:right="119" w:hanging="1440"/>
        <w:contextualSpacing/>
        <w:jc w:val="both"/>
        <w:rPr>
          <w:rFonts w:cstheme="minorHAnsi"/>
        </w:rPr>
      </w:pPr>
      <w:r w:rsidRPr="00DD41E3">
        <w:rPr>
          <w:rFonts w:cstheme="minorHAnsi"/>
        </w:rPr>
        <w:t>Answer</w:t>
      </w:r>
      <w:r w:rsidRPr="00DD41E3">
        <w:rPr>
          <w:rFonts w:cstheme="minorHAnsi"/>
        </w:rPr>
        <w:tab/>
        <w:t>Yes project D4 was taken out of the Tender at the last minute but unfortunately not taken out of the Excel spread sheet.</w:t>
      </w:r>
    </w:p>
    <w:p w:rsidR="00B50579" w:rsidRPr="00DD41E3" w:rsidRDefault="00B50579" w:rsidP="00B50579">
      <w:pPr>
        <w:pStyle w:val="ListParagraph"/>
        <w:rPr>
          <w:rFonts w:asciiTheme="minorHAnsi" w:hAnsiTheme="minorHAnsi" w:cstheme="minorHAnsi"/>
        </w:rPr>
      </w:pPr>
    </w:p>
    <w:p w:rsidR="00B50579" w:rsidRPr="00DD41E3" w:rsidRDefault="00B50579" w:rsidP="00B50579">
      <w:pPr>
        <w:pStyle w:val="ListParagraph"/>
        <w:numPr>
          <w:ilvl w:val="0"/>
          <w:numId w:val="1"/>
        </w:numPr>
        <w:ind w:right="119"/>
        <w:contextualSpacing/>
        <w:jc w:val="both"/>
        <w:rPr>
          <w:rFonts w:asciiTheme="minorHAnsi" w:hAnsiTheme="minorHAnsi" w:cstheme="minorHAnsi"/>
        </w:rPr>
      </w:pPr>
      <w:r w:rsidRPr="00DD41E3">
        <w:rPr>
          <w:rFonts w:asciiTheme="minorHAnsi" w:hAnsiTheme="minorHAnsi" w:cstheme="minorHAnsi"/>
        </w:rPr>
        <w:t>The embedded Excel sheet requires tenderers to complete only the yellow cells, but we’re not clear how these have been allocated, e.g. the yellow cells for tasks in D3 are more restrictive than D2. Is this deliberate, e.g. based on the nature and complexity of the tasks?   </w:t>
      </w:r>
    </w:p>
    <w:p w:rsidR="00DD41E3" w:rsidRDefault="00DD41E3" w:rsidP="00B50579">
      <w:pPr>
        <w:ind w:right="119"/>
        <w:contextualSpacing/>
        <w:jc w:val="both"/>
        <w:rPr>
          <w:rFonts w:cstheme="minorHAnsi"/>
        </w:rPr>
      </w:pPr>
    </w:p>
    <w:p w:rsidR="00B50579" w:rsidRPr="00DD41E3" w:rsidRDefault="00B50579" w:rsidP="00DD41E3">
      <w:pPr>
        <w:ind w:left="1440" w:right="119" w:hanging="1440"/>
        <w:contextualSpacing/>
        <w:jc w:val="both"/>
        <w:rPr>
          <w:rFonts w:cstheme="minorHAnsi"/>
        </w:rPr>
      </w:pPr>
      <w:r w:rsidRPr="00DD41E3">
        <w:rPr>
          <w:rFonts w:cstheme="minorHAnsi"/>
        </w:rPr>
        <w:t>Answer</w:t>
      </w:r>
      <w:r w:rsidRPr="00DD41E3">
        <w:rPr>
          <w:rFonts w:cstheme="minorHAnsi"/>
        </w:rPr>
        <w:tab/>
        <w:t xml:space="preserve">A revised Spread sheet will be updated and made available on the Contract Finder website </w:t>
      </w:r>
      <w:r w:rsidR="00F62177">
        <w:rPr>
          <w:rFonts w:cstheme="minorHAnsi"/>
        </w:rPr>
        <w:t>on the 16</w:t>
      </w:r>
      <w:r w:rsidR="00F62177" w:rsidRPr="00F62177">
        <w:rPr>
          <w:rFonts w:cstheme="minorHAnsi"/>
          <w:vertAlign w:val="superscript"/>
        </w:rPr>
        <w:t>th</w:t>
      </w:r>
      <w:r w:rsidR="00F62177">
        <w:rPr>
          <w:rFonts w:cstheme="minorHAnsi"/>
        </w:rPr>
        <w:t xml:space="preserve"> June </w:t>
      </w:r>
      <w:r w:rsidRPr="00DD41E3">
        <w:rPr>
          <w:rFonts w:cstheme="minorHAnsi"/>
        </w:rPr>
        <w:t>and sent to all responding parties as soon as possible.</w:t>
      </w:r>
    </w:p>
    <w:p w:rsidR="00B50579" w:rsidRPr="00DD41E3" w:rsidRDefault="00B50579" w:rsidP="00B50579">
      <w:pPr>
        <w:pStyle w:val="ListParagraph"/>
        <w:rPr>
          <w:rFonts w:asciiTheme="minorHAnsi" w:hAnsiTheme="minorHAnsi" w:cstheme="minorHAnsi"/>
        </w:rPr>
      </w:pPr>
    </w:p>
    <w:p w:rsidR="00B50579" w:rsidRPr="00DD41E3" w:rsidRDefault="00B50579" w:rsidP="00B50579">
      <w:pPr>
        <w:pStyle w:val="ListParagraph"/>
        <w:numPr>
          <w:ilvl w:val="0"/>
          <w:numId w:val="1"/>
        </w:numPr>
        <w:ind w:right="119"/>
        <w:contextualSpacing/>
        <w:jc w:val="both"/>
        <w:rPr>
          <w:rFonts w:asciiTheme="minorHAnsi" w:hAnsiTheme="minorHAnsi" w:cstheme="minorHAnsi"/>
        </w:rPr>
      </w:pPr>
      <w:r w:rsidRPr="00DD41E3">
        <w:rPr>
          <w:rFonts w:asciiTheme="minorHAnsi" w:hAnsiTheme="minorHAnsi" w:cstheme="minorHAnsi"/>
        </w:rPr>
        <w:t>Could we have a copy of the Excel spreadsheet when it becomes available on 15</w:t>
      </w:r>
      <w:r w:rsidRPr="00DD41E3">
        <w:rPr>
          <w:rFonts w:asciiTheme="minorHAnsi" w:hAnsiTheme="minorHAnsi" w:cstheme="minorHAnsi"/>
          <w:vertAlign w:val="superscript"/>
        </w:rPr>
        <w:t>th</w:t>
      </w:r>
      <w:r w:rsidRPr="00DD41E3">
        <w:rPr>
          <w:rFonts w:asciiTheme="minorHAnsi" w:hAnsiTheme="minorHAnsi" w:cstheme="minorHAnsi"/>
        </w:rPr>
        <w:t xml:space="preserve"> June please? </w:t>
      </w:r>
    </w:p>
    <w:p w:rsidR="00DD41E3" w:rsidRDefault="00DD41E3" w:rsidP="00B50579">
      <w:pPr>
        <w:ind w:right="119"/>
        <w:contextualSpacing/>
        <w:jc w:val="both"/>
        <w:rPr>
          <w:rFonts w:cstheme="minorHAnsi"/>
        </w:rPr>
      </w:pPr>
    </w:p>
    <w:p w:rsidR="00B50579" w:rsidRPr="00DD41E3" w:rsidRDefault="00B50579" w:rsidP="00DD41E3">
      <w:pPr>
        <w:ind w:left="1440" w:right="119" w:hanging="1440"/>
        <w:contextualSpacing/>
        <w:jc w:val="both"/>
        <w:rPr>
          <w:rFonts w:cstheme="minorHAnsi"/>
        </w:rPr>
      </w:pPr>
      <w:r w:rsidRPr="00DD41E3">
        <w:rPr>
          <w:rFonts w:cstheme="minorHAnsi"/>
        </w:rPr>
        <w:t xml:space="preserve">Answer </w:t>
      </w:r>
      <w:r w:rsidR="00DD41E3">
        <w:rPr>
          <w:rFonts w:cstheme="minorHAnsi"/>
        </w:rPr>
        <w:tab/>
      </w:r>
      <w:r w:rsidRPr="00DD41E3">
        <w:rPr>
          <w:rFonts w:cstheme="minorHAnsi"/>
        </w:rPr>
        <w:t xml:space="preserve"> It will be sent on the 16</w:t>
      </w:r>
      <w:r w:rsidRPr="00DD41E3">
        <w:rPr>
          <w:rFonts w:cstheme="minorHAnsi"/>
          <w:vertAlign w:val="superscript"/>
        </w:rPr>
        <w:t>th</w:t>
      </w:r>
      <w:r w:rsidR="00DD41E3">
        <w:rPr>
          <w:rFonts w:cstheme="minorHAnsi"/>
        </w:rPr>
        <w:t xml:space="preserve"> to all current respondents and update</w:t>
      </w:r>
      <w:r w:rsidR="00F62177">
        <w:rPr>
          <w:rFonts w:cstheme="minorHAnsi"/>
        </w:rPr>
        <w:t>d</w:t>
      </w:r>
      <w:r w:rsidR="00DD41E3">
        <w:rPr>
          <w:rFonts w:cstheme="minorHAnsi"/>
        </w:rPr>
        <w:t xml:space="preserve"> on Contracts Finder Website</w:t>
      </w:r>
      <w:r w:rsidR="00F62177">
        <w:rPr>
          <w:rFonts w:cstheme="minorHAnsi"/>
        </w:rPr>
        <w:t>.</w:t>
      </w:r>
    </w:p>
    <w:p w:rsidR="00B50579" w:rsidRPr="00DD41E3" w:rsidRDefault="00B50579" w:rsidP="00B50579">
      <w:pPr>
        <w:rPr>
          <w:rFonts w:cstheme="minorHAnsi"/>
        </w:rPr>
      </w:pPr>
    </w:p>
    <w:p w:rsidR="00B50579" w:rsidRPr="00DD41E3" w:rsidRDefault="00B50579" w:rsidP="00B50579">
      <w:pPr>
        <w:pStyle w:val="ListParagraph"/>
        <w:numPr>
          <w:ilvl w:val="0"/>
          <w:numId w:val="1"/>
        </w:numPr>
        <w:ind w:right="119"/>
        <w:contextualSpacing/>
        <w:jc w:val="both"/>
        <w:rPr>
          <w:rFonts w:asciiTheme="minorHAnsi" w:hAnsiTheme="minorHAnsi" w:cstheme="minorHAnsi"/>
        </w:rPr>
      </w:pPr>
      <w:r w:rsidRPr="00DD41E3">
        <w:rPr>
          <w:rFonts w:asciiTheme="minorHAnsi" w:hAnsiTheme="minorHAnsi" w:cstheme="minorHAnsi"/>
        </w:rPr>
        <w:t>Do any word counts apply to the responses in Stage 3 (e.g. we note question 2.4 is only 200 words)?</w:t>
      </w:r>
    </w:p>
    <w:p w:rsidR="00DD41E3" w:rsidRDefault="00DD41E3" w:rsidP="00B50579">
      <w:pPr>
        <w:ind w:right="119"/>
        <w:contextualSpacing/>
        <w:jc w:val="both"/>
        <w:rPr>
          <w:rFonts w:cstheme="minorHAnsi"/>
        </w:rPr>
      </w:pPr>
    </w:p>
    <w:p w:rsidR="00B50579" w:rsidRPr="00DD41E3" w:rsidRDefault="00F62177" w:rsidP="00B50579">
      <w:pPr>
        <w:ind w:right="119"/>
        <w:contextualSpacing/>
        <w:jc w:val="both"/>
        <w:rPr>
          <w:rFonts w:cstheme="minorHAnsi"/>
        </w:rPr>
      </w:pPr>
      <w:r>
        <w:rPr>
          <w:rFonts w:cstheme="minorHAnsi"/>
        </w:rPr>
        <w:t xml:space="preserve">Answer </w:t>
      </w:r>
      <w:r>
        <w:rPr>
          <w:rFonts w:cstheme="minorHAnsi"/>
        </w:rPr>
        <w:tab/>
        <w:t>No word count</w:t>
      </w:r>
      <w:r w:rsidR="00B50579" w:rsidRPr="00DD41E3">
        <w:rPr>
          <w:rFonts w:cstheme="minorHAnsi"/>
        </w:rPr>
        <w:t xml:space="preserve"> in stage 3.</w:t>
      </w:r>
    </w:p>
    <w:p w:rsidR="00B50579" w:rsidRPr="00DD41E3" w:rsidRDefault="00B50579" w:rsidP="00B50579">
      <w:pPr>
        <w:pStyle w:val="ListParagraph"/>
        <w:rPr>
          <w:rFonts w:asciiTheme="minorHAnsi" w:hAnsiTheme="minorHAnsi" w:cstheme="minorHAnsi"/>
        </w:rPr>
      </w:pPr>
    </w:p>
    <w:p w:rsidR="00B50579" w:rsidRPr="00DD41E3" w:rsidRDefault="00B50579" w:rsidP="00B50579">
      <w:pPr>
        <w:pStyle w:val="ListParagraph"/>
        <w:numPr>
          <w:ilvl w:val="0"/>
          <w:numId w:val="1"/>
        </w:numPr>
        <w:ind w:right="119"/>
        <w:contextualSpacing/>
        <w:jc w:val="both"/>
        <w:rPr>
          <w:rFonts w:asciiTheme="minorHAnsi" w:hAnsiTheme="minorHAnsi" w:cstheme="minorHAnsi"/>
        </w:rPr>
      </w:pPr>
      <w:r w:rsidRPr="00DD41E3">
        <w:rPr>
          <w:rFonts w:asciiTheme="minorHAnsi" w:hAnsiTheme="minorHAnsi" w:cstheme="minorHAnsi"/>
        </w:rPr>
        <w:t>The section ‘Material Misrepresentation’ is followed by a heading ‘Questions’ but no questions follow. Is anything missing here or should this heading be ignored?</w:t>
      </w:r>
    </w:p>
    <w:p w:rsidR="00DD41E3" w:rsidRDefault="00DD41E3" w:rsidP="00B50579">
      <w:pPr>
        <w:ind w:right="119"/>
        <w:contextualSpacing/>
        <w:jc w:val="both"/>
        <w:rPr>
          <w:rFonts w:cstheme="minorHAnsi"/>
        </w:rPr>
      </w:pPr>
    </w:p>
    <w:p w:rsidR="00B50579" w:rsidRPr="00DD41E3" w:rsidRDefault="00F62177" w:rsidP="00F62177">
      <w:pPr>
        <w:ind w:left="2127" w:right="119" w:hanging="2160"/>
        <w:contextualSpacing/>
        <w:jc w:val="both"/>
        <w:rPr>
          <w:rFonts w:cstheme="minorHAnsi"/>
        </w:rPr>
      </w:pPr>
      <w:r>
        <w:rPr>
          <w:rFonts w:cstheme="minorHAnsi"/>
        </w:rPr>
        <w:t xml:space="preserve">Answer           </w:t>
      </w:r>
      <w:r w:rsidR="00B50579" w:rsidRPr="00DD41E3">
        <w:rPr>
          <w:rFonts w:cstheme="minorHAnsi"/>
        </w:rPr>
        <w:t xml:space="preserve">Ignore the heading </w:t>
      </w:r>
      <w:r>
        <w:rPr>
          <w:rFonts w:cstheme="minorHAnsi"/>
        </w:rPr>
        <w:t>“</w:t>
      </w:r>
      <w:r w:rsidR="00B50579" w:rsidRPr="00DD41E3">
        <w:rPr>
          <w:rFonts w:cstheme="minorHAnsi"/>
        </w:rPr>
        <w:t>Questions</w:t>
      </w:r>
      <w:r>
        <w:rPr>
          <w:rFonts w:cstheme="minorHAnsi"/>
        </w:rPr>
        <w:t>”</w:t>
      </w:r>
      <w:r w:rsidR="00B50579" w:rsidRPr="00DD41E3">
        <w:rPr>
          <w:rFonts w:cstheme="minorHAnsi"/>
        </w:rPr>
        <w:t xml:space="preserve"> after Material Misrepresentation</w:t>
      </w:r>
      <w:r>
        <w:rPr>
          <w:rFonts w:cstheme="minorHAnsi"/>
        </w:rPr>
        <w:t xml:space="preserve"> section</w:t>
      </w:r>
      <w:r w:rsidR="00B50579" w:rsidRPr="00DD41E3">
        <w:rPr>
          <w:rFonts w:cstheme="minorHAnsi"/>
        </w:rPr>
        <w:t>.</w:t>
      </w:r>
    </w:p>
    <w:p w:rsidR="00B50579" w:rsidRPr="00DD41E3" w:rsidRDefault="00B50579" w:rsidP="00B50579">
      <w:pPr>
        <w:pStyle w:val="ListParagraph"/>
        <w:rPr>
          <w:rFonts w:asciiTheme="minorHAnsi" w:hAnsiTheme="minorHAnsi" w:cstheme="minorHAnsi"/>
        </w:rPr>
      </w:pPr>
    </w:p>
    <w:p w:rsidR="00B50579" w:rsidRPr="00DD41E3" w:rsidRDefault="00B50579" w:rsidP="00B50579">
      <w:pPr>
        <w:pStyle w:val="ListParagraph"/>
        <w:numPr>
          <w:ilvl w:val="0"/>
          <w:numId w:val="1"/>
        </w:numPr>
        <w:ind w:right="119"/>
        <w:contextualSpacing/>
        <w:jc w:val="both"/>
        <w:rPr>
          <w:rFonts w:asciiTheme="minorHAnsi" w:hAnsiTheme="minorHAnsi" w:cstheme="minorHAnsi"/>
        </w:rPr>
      </w:pPr>
      <w:r w:rsidRPr="00DD41E3">
        <w:rPr>
          <w:rFonts w:asciiTheme="minorHAnsi" w:hAnsiTheme="minorHAnsi" w:cstheme="minorHAnsi"/>
        </w:rPr>
        <w:t>As D2 and D3 are live projects, do you intend to allocate this work and would that be to one bidder or possibly more than one?</w:t>
      </w:r>
    </w:p>
    <w:p w:rsidR="00DD41E3" w:rsidRDefault="00DD41E3" w:rsidP="00B50579">
      <w:pPr>
        <w:ind w:right="119"/>
        <w:contextualSpacing/>
        <w:jc w:val="both"/>
        <w:rPr>
          <w:rFonts w:cstheme="minorHAnsi"/>
        </w:rPr>
      </w:pPr>
    </w:p>
    <w:p w:rsidR="00B50579" w:rsidRPr="00DD41E3" w:rsidRDefault="00B50579" w:rsidP="00B50579">
      <w:pPr>
        <w:ind w:right="119"/>
        <w:contextualSpacing/>
        <w:jc w:val="both"/>
        <w:rPr>
          <w:rFonts w:cstheme="minorHAnsi"/>
        </w:rPr>
      </w:pPr>
      <w:r w:rsidRPr="00DD41E3">
        <w:rPr>
          <w:rFonts w:cstheme="minorHAnsi"/>
        </w:rPr>
        <w:t>Answer</w:t>
      </w:r>
      <w:r w:rsidRPr="00DD41E3">
        <w:rPr>
          <w:rFonts w:cstheme="minorHAnsi"/>
        </w:rPr>
        <w:tab/>
      </w:r>
      <w:r w:rsidRPr="00DD41E3">
        <w:rPr>
          <w:rFonts w:cstheme="minorHAnsi"/>
        </w:rPr>
        <w:tab/>
        <w:t xml:space="preserve">D2 and D3 are repeating projects which may be given to one company. </w:t>
      </w:r>
    </w:p>
    <w:p w:rsidR="00B50579" w:rsidRPr="00DD41E3" w:rsidRDefault="00B50579" w:rsidP="00B50579">
      <w:pPr>
        <w:pStyle w:val="ListParagraph"/>
        <w:rPr>
          <w:rFonts w:asciiTheme="minorHAnsi" w:hAnsiTheme="minorHAnsi" w:cstheme="minorHAnsi"/>
        </w:rPr>
      </w:pPr>
    </w:p>
    <w:p w:rsidR="00B50579" w:rsidRPr="00DD41E3" w:rsidRDefault="00B50579" w:rsidP="00B50579">
      <w:pPr>
        <w:pStyle w:val="ListParagraph"/>
        <w:numPr>
          <w:ilvl w:val="0"/>
          <w:numId w:val="1"/>
        </w:numPr>
        <w:ind w:right="119"/>
        <w:contextualSpacing/>
        <w:jc w:val="both"/>
        <w:rPr>
          <w:rFonts w:asciiTheme="minorHAnsi" w:hAnsiTheme="minorHAnsi" w:cstheme="minorHAnsi"/>
        </w:rPr>
      </w:pPr>
      <w:r w:rsidRPr="00DD41E3">
        <w:rPr>
          <w:rFonts w:asciiTheme="minorHAnsi" w:hAnsiTheme="minorHAnsi" w:cstheme="minorHAnsi"/>
        </w:rPr>
        <w:t>Are you able to advise approximately how many opportunities are likely to be offered through the framework over its lifespan?</w:t>
      </w:r>
    </w:p>
    <w:p w:rsidR="00DD41E3" w:rsidRDefault="00DD41E3" w:rsidP="00B50579">
      <w:pPr>
        <w:ind w:left="1440" w:right="119" w:hanging="1440"/>
        <w:contextualSpacing/>
        <w:jc w:val="both"/>
        <w:rPr>
          <w:rFonts w:cstheme="minorHAnsi"/>
        </w:rPr>
      </w:pPr>
    </w:p>
    <w:p w:rsidR="00B50579" w:rsidRPr="00DD41E3" w:rsidRDefault="00B50579" w:rsidP="00B50579">
      <w:pPr>
        <w:ind w:left="1440" w:right="119" w:hanging="1440"/>
        <w:contextualSpacing/>
        <w:jc w:val="both"/>
        <w:rPr>
          <w:rFonts w:cstheme="minorHAnsi"/>
        </w:rPr>
      </w:pPr>
      <w:r w:rsidRPr="00DD41E3">
        <w:rPr>
          <w:rFonts w:cstheme="minorHAnsi"/>
        </w:rPr>
        <w:t>Answer</w:t>
      </w:r>
      <w:r w:rsidRPr="00DD41E3">
        <w:rPr>
          <w:rFonts w:cstheme="minorHAnsi"/>
        </w:rPr>
        <w:tab/>
        <w:t>Unfortunately HLF is an organisation where groups of staff commission projects independently against various suppliers. This Framework is a vehicle to draw commissions together to a single group of Consultants. 10 commissions have been tendered as single projects in the last 2 months.</w:t>
      </w:r>
    </w:p>
    <w:p w:rsidR="00813130" w:rsidRPr="00DD41E3" w:rsidRDefault="00813130" w:rsidP="004920DA">
      <w:pPr>
        <w:pStyle w:val="ListParagraph"/>
        <w:numPr>
          <w:ilvl w:val="0"/>
          <w:numId w:val="3"/>
        </w:numPr>
        <w:spacing w:before="100" w:beforeAutospacing="1" w:after="100" w:afterAutospacing="1"/>
        <w:rPr>
          <w:rFonts w:asciiTheme="minorHAnsi" w:eastAsia="Times New Roman" w:hAnsiTheme="minorHAnsi" w:cstheme="minorHAnsi"/>
        </w:rPr>
      </w:pPr>
      <w:r w:rsidRPr="00DD41E3">
        <w:rPr>
          <w:rFonts w:asciiTheme="minorHAnsi" w:eastAsia="Times New Roman" w:hAnsiTheme="minorHAnsi" w:cstheme="minorHAnsi"/>
        </w:rPr>
        <w:t>As part of quotation response, section 1 &amp; 2 - page 13-14, public liability, professional indemnity and product liability insurances are required. It is not clear if the insurance has to be secured before response submission or we can buy it, if successful.</w:t>
      </w:r>
    </w:p>
    <w:p w:rsidR="004920DA" w:rsidRPr="00DD41E3" w:rsidRDefault="004920DA" w:rsidP="004920DA">
      <w:pPr>
        <w:ind w:left="1440" w:hanging="1440"/>
        <w:rPr>
          <w:rFonts w:cstheme="minorHAnsi"/>
          <w:color w:val="1F497D"/>
        </w:rPr>
      </w:pPr>
      <w:r w:rsidRPr="00DD41E3">
        <w:rPr>
          <w:rFonts w:eastAsia="Times New Roman" w:cstheme="minorHAnsi"/>
        </w:rPr>
        <w:t>Answer</w:t>
      </w:r>
      <w:r w:rsidRPr="00DD41E3">
        <w:rPr>
          <w:rFonts w:eastAsia="Times New Roman" w:cstheme="minorHAnsi"/>
        </w:rPr>
        <w:tab/>
      </w:r>
      <w:r w:rsidRPr="00DD41E3">
        <w:rPr>
          <w:rFonts w:cstheme="minorHAnsi"/>
        </w:rPr>
        <w:t>We are content that if you agree to take on these insurance covers if you are suc</w:t>
      </w:r>
      <w:r w:rsidR="00F62177">
        <w:rPr>
          <w:rFonts w:cstheme="minorHAnsi"/>
        </w:rPr>
        <w:t>cessful and</w:t>
      </w:r>
      <w:r w:rsidRPr="00DD41E3">
        <w:rPr>
          <w:rFonts w:cstheme="minorHAnsi"/>
        </w:rPr>
        <w:t xml:space="preserve"> join the Framework that would be sufficient to respond to the tender.</w:t>
      </w:r>
    </w:p>
    <w:p w:rsidR="00C26B2A" w:rsidRDefault="001930AA" w:rsidP="007E5CE9">
      <w:pPr>
        <w:pStyle w:val="ListParagraph"/>
        <w:numPr>
          <w:ilvl w:val="0"/>
          <w:numId w:val="3"/>
        </w:numPr>
        <w:rPr>
          <w:rFonts w:asciiTheme="minorHAnsi" w:hAnsiTheme="minorHAnsi" w:cstheme="minorHAnsi"/>
        </w:rPr>
      </w:pPr>
      <w:r w:rsidRPr="00DD41E3">
        <w:rPr>
          <w:rFonts w:asciiTheme="minorHAnsi" w:hAnsiTheme="minorHAnsi" w:cstheme="minorHAnsi"/>
        </w:rPr>
        <w:t>A</w:t>
      </w:r>
      <w:r w:rsidR="00C26B2A" w:rsidRPr="00DD41E3">
        <w:rPr>
          <w:rFonts w:asciiTheme="minorHAnsi" w:hAnsiTheme="minorHAnsi" w:cstheme="minorHAnsi"/>
        </w:rPr>
        <w:t>re you expecting the first set of analysis to be undertaken this summer and that successful or not the call would be repeated every year up to 2020. Do we bid for one year in tis call or all the years?</w:t>
      </w:r>
    </w:p>
    <w:p w:rsidR="00DD41E3" w:rsidRPr="00DD41E3" w:rsidRDefault="00DD41E3" w:rsidP="00DD41E3">
      <w:pPr>
        <w:pStyle w:val="ListParagraph"/>
        <w:rPr>
          <w:rFonts w:asciiTheme="minorHAnsi" w:hAnsiTheme="minorHAnsi" w:cstheme="minorHAnsi"/>
        </w:rPr>
      </w:pPr>
    </w:p>
    <w:p w:rsidR="001930AA" w:rsidRPr="005E527C" w:rsidRDefault="001930AA" w:rsidP="00DD41E3">
      <w:pPr>
        <w:ind w:left="1440" w:hanging="1440"/>
        <w:rPr>
          <w:rFonts w:cstheme="minorHAnsi"/>
        </w:rPr>
      </w:pPr>
      <w:r w:rsidRPr="005E527C">
        <w:rPr>
          <w:rFonts w:cstheme="minorHAnsi"/>
        </w:rPr>
        <w:t xml:space="preserve">Answer </w:t>
      </w:r>
      <w:r w:rsidR="00DD41E3" w:rsidRPr="005E527C">
        <w:rPr>
          <w:rFonts w:cstheme="minorHAnsi"/>
        </w:rPr>
        <w:tab/>
      </w:r>
      <w:r w:rsidRPr="005E527C">
        <w:rPr>
          <w:rFonts w:cstheme="minorHAnsi"/>
        </w:rPr>
        <w:t>Our intension is to create a small pool of approved Consultants and allocate projects that best suit them. It maybe a group of projects fit one Consultant in terms of experience and price</w:t>
      </w:r>
      <w:r w:rsidR="00F62177">
        <w:rPr>
          <w:rFonts w:cstheme="minorHAnsi"/>
        </w:rPr>
        <w:t xml:space="preserve"> really well and we could just Order that </w:t>
      </w:r>
      <w:proofErr w:type="gramStart"/>
      <w:r w:rsidR="00F62177">
        <w:rPr>
          <w:rFonts w:cstheme="minorHAnsi"/>
        </w:rPr>
        <w:t>Directly</w:t>
      </w:r>
      <w:proofErr w:type="gramEnd"/>
      <w:r w:rsidRPr="005E527C">
        <w:rPr>
          <w:rFonts w:cstheme="minorHAnsi"/>
        </w:rPr>
        <w:t xml:space="preserve"> from them as we require.</w:t>
      </w:r>
    </w:p>
    <w:p w:rsidR="001930AA" w:rsidRPr="005E527C" w:rsidRDefault="00F62177" w:rsidP="00DD41E3">
      <w:pPr>
        <w:ind w:left="1440"/>
        <w:rPr>
          <w:rFonts w:cstheme="minorHAnsi"/>
        </w:rPr>
      </w:pPr>
      <w:r>
        <w:rPr>
          <w:rFonts w:cstheme="minorHAnsi"/>
        </w:rPr>
        <w:t>Alternatively other</w:t>
      </w:r>
      <w:r w:rsidR="001930AA" w:rsidRPr="005E527C">
        <w:rPr>
          <w:rFonts w:cstheme="minorHAnsi"/>
        </w:rPr>
        <w:t xml:space="preserve"> projects may be such that it may suit a few Consultants and we would need to see who is available and whether specific prices may differ. It is not our intension to keep tendering each commission, we want to keep it simple based on the returns and clarifications during this process.</w:t>
      </w:r>
    </w:p>
    <w:p w:rsidR="00AF2CDE" w:rsidRPr="005E527C" w:rsidRDefault="005E527C" w:rsidP="00ED4ED2">
      <w:pPr>
        <w:pStyle w:val="ListParagraph"/>
        <w:numPr>
          <w:ilvl w:val="0"/>
          <w:numId w:val="3"/>
        </w:numPr>
        <w:spacing w:before="100" w:beforeAutospacing="1" w:after="100" w:afterAutospacing="1"/>
        <w:rPr>
          <w:rFonts w:asciiTheme="minorHAnsi" w:hAnsiTheme="minorHAnsi" w:cstheme="minorHAnsi"/>
        </w:rPr>
      </w:pPr>
      <w:r w:rsidRPr="005E527C">
        <w:rPr>
          <w:rFonts w:asciiTheme="minorHAnsi" w:hAnsiTheme="minorHAnsi" w:cstheme="minorHAnsi"/>
        </w:rPr>
        <w:t xml:space="preserve">Are </w:t>
      </w:r>
      <w:r w:rsidR="00AF2CDE" w:rsidRPr="005E527C">
        <w:rPr>
          <w:rFonts w:asciiTheme="minorHAnsi" w:hAnsiTheme="minorHAnsi" w:cstheme="minorHAnsi"/>
        </w:rPr>
        <w:t>you are looking for suppliers to tender for the requi</w:t>
      </w:r>
      <w:r w:rsidR="00F62177">
        <w:rPr>
          <w:rFonts w:asciiTheme="minorHAnsi" w:hAnsiTheme="minorHAnsi" w:cstheme="minorHAnsi"/>
        </w:rPr>
        <w:t>rements set-out in Section D2</w:t>
      </w:r>
      <w:r w:rsidR="00AF2CDE" w:rsidRPr="005E527C">
        <w:rPr>
          <w:rFonts w:asciiTheme="minorHAnsi" w:hAnsiTheme="minorHAnsi" w:cstheme="minorHAnsi"/>
        </w:rPr>
        <w:t>? </w:t>
      </w:r>
    </w:p>
    <w:p w:rsidR="005E527C" w:rsidRPr="005E527C" w:rsidRDefault="005E527C" w:rsidP="00C93F77">
      <w:pPr>
        <w:ind w:left="1440" w:hanging="1440"/>
        <w:rPr>
          <w:rFonts w:cstheme="minorHAnsi"/>
        </w:rPr>
      </w:pPr>
      <w:r w:rsidRPr="005E527C">
        <w:rPr>
          <w:rFonts w:cstheme="minorHAnsi"/>
        </w:rPr>
        <w:t xml:space="preserve">Answer </w:t>
      </w:r>
      <w:r w:rsidRPr="005E527C">
        <w:rPr>
          <w:rFonts w:cstheme="minorHAnsi"/>
        </w:rPr>
        <w:tab/>
      </w:r>
      <w:r w:rsidR="00F62177">
        <w:rPr>
          <w:rFonts w:cstheme="minorHAnsi"/>
        </w:rPr>
        <w:t xml:space="preserve">Yes. </w:t>
      </w:r>
      <w:r>
        <w:rPr>
          <w:rFonts w:cstheme="minorHAnsi"/>
        </w:rPr>
        <w:t>D2 was based on a project</w:t>
      </w:r>
      <w:r w:rsidRPr="005E527C">
        <w:rPr>
          <w:rFonts w:cstheme="minorHAnsi"/>
        </w:rPr>
        <w:t xml:space="preserve"> specification which wa</w:t>
      </w:r>
      <w:r>
        <w:rPr>
          <w:rFonts w:cstheme="minorHAnsi"/>
        </w:rPr>
        <w:t>s pre</w:t>
      </w:r>
      <w:r w:rsidR="00F62177">
        <w:rPr>
          <w:rFonts w:cstheme="minorHAnsi"/>
        </w:rPr>
        <w:t>viously completed but a project that repeats. Please use the updated Excel Spreadsheet available on this website named Data Analysis Embedded Spreadsheet.</w:t>
      </w:r>
      <w:bookmarkStart w:id="0" w:name="_GoBack"/>
      <w:bookmarkEnd w:id="0"/>
    </w:p>
    <w:p w:rsidR="00AF2CDE" w:rsidRPr="00DD41E3" w:rsidRDefault="00AF2CDE">
      <w:pPr>
        <w:rPr>
          <w:rFonts w:cstheme="minorHAnsi"/>
        </w:rPr>
      </w:pPr>
    </w:p>
    <w:sectPr w:rsidR="00AF2CDE" w:rsidRPr="00DD41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76702"/>
    <w:multiLevelType w:val="hybridMultilevel"/>
    <w:tmpl w:val="11426F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5BA51E59"/>
    <w:multiLevelType w:val="multilevel"/>
    <w:tmpl w:val="0368F1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501FB7"/>
    <w:multiLevelType w:val="hybridMultilevel"/>
    <w:tmpl w:val="4C746DF0"/>
    <w:lvl w:ilvl="0" w:tplc="A196A63E">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130"/>
    <w:rsid w:val="00113AA7"/>
    <w:rsid w:val="001930AA"/>
    <w:rsid w:val="003A6D00"/>
    <w:rsid w:val="004920DA"/>
    <w:rsid w:val="00535D55"/>
    <w:rsid w:val="0057508F"/>
    <w:rsid w:val="005E527C"/>
    <w:rsid w:val="00813130"/>
    <w:rsid w:val="009A50B7"/>
    <w:rsid w:val="00AF2CDE"/>
    <w:rsid w:val="00B408F0"/>
    <w:rsid w:val="00B50579"/>
    <w:rsid w:val="00BC27D9"/>
    <w:rsid w:val="00C26B2A"/>
    <w:rsid w:val="00C93F77"/>
    <w:rsid w:val="00DD41E3"/>
    <w:rsid w:val="00F621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65327C-EA4A-45E9-9768-28285102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08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3130"/>
    <w:pPr>
      <w:spacing w:after="0" w:line="240" w:lineRule="auto"/>
      <w:ind w:left="720"/>
    </w:pPr>
    <w:rPr>
      <w:rFonts w:ascii="Calibri" w:hAnsi="Calibri" w:cs="Calibri"/>
    </w:rPr>
  </w:style>
  <w:style w:type="paragraph" w:styleId="PlainText">
    <w:name w:val="Plain Text"/>
    <w:basedOn w:val="Normal"/>
    <w:link w:val="PlainTextChar"/>
    <w:uiPriority w:val="99"/>
    <w:semiHidden/>
    <w:unhideWhenUsed/>
    <w:rsid w:val="009A50B7"/>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A50B7"/>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215409">
      <w:bodyDiv w:val="1"/>
      <w:marLeft w:val="0"/>
      <w:marRight w:val="0"/>
      <w:marTop w:val="0"/>
      <w:marBottom w:val="0"/>
      <w:divBdr>
        <w:top w:val="none" w:sz="0" w:space="0" w:color="auto"/>
        <w:left w:val="none" w:sz="0" w:space="0" w:color="auto"/>
        <w:bottom w:val="none" w:sz="0" w:space="0" w:color="auto"/>
        <w:right w:val="none" w:sz="0" w:space="0" w:color="auto"/>
      </w:divBdr>
    </w:div>
    <w:div w:id="399254969">
      <w:bodyDiv w:val="1"/>
      <w:marLeft w:val="0"/>
      <w:marRight w:val="0"/>
      <w:marTop w:val="0"/>
      <w:marBottom w:val="0"/>
      <w:divBdr>
        <w:top w:val="none" w:sz="0" w:space="0" w:color="auto"/>
        <w:left w:val="none" w:sz="0" w:space="0" w:color="auto"/>
        <w:bottom w:val="none" w:sz="0" w:space="0" w:color="auto"/>
        <w:right w:val="none" w:sz="0" w:space="0" w:color="auto"/>
      </w:divBdr>
    </w:div>
    <w:div w:id="473645870">
      <w:bodyDiv w:val="1"/>
      <w:marLeft w:val="0"/>
      <w:marRight w:val="0"/>
      <w:marTop w:val="0"/>
      <w:marBottom w:val="0"/>
      <w:divBdr>
        <w:top w:val="none" w:sz="0" w:space="0" w:color="auto"/>
        <w:left w:val="none" w:sz="0" w:space="0" w:color="auto"/>
        <w:bottom w:val="none" w:sz="0" w:space="0" w:color="auto"/>
        <w:right w:val="none" w:sz="0" w:space="0" w:color="auto"/>
      </w:divBdr>
    </w:div>
    <w:div w:id="566720535">
      <w:bodyDiv w:val="1"/>
      <w:marLeft w:val="0"/>
      <w:marRight w:val="0"/>
      <w:marTop w:val="0"/>
      <w:marBottom w:val="0"/>
      <w:divBdr>
        <w:top w:val="none" w:sz="0" w:space="0" w:color="auto"/>
        <w:left w:val="none" w:sz="0" w:space="0" w:color="auto"/>
        <w:bottom w:val="none" w:sz="0" w:space="0" w:color="auto"/>
        <w:right w:val="none" w:sz="0" w:space="0" w:color="auto"/>
      </w:divBdr>
    </w:div>
    <w:div w:id="723718987">
      <w:bodyDiv w:val="1"/>
      <w:marLeft w:val="0"/>
      <w:marRight w:val="0"/>
      <w:marTop w:val="0"/>
      <w:marBottom w:val="0"/>
      <w:divBdr>
        <w:top w:val="none" w:sz="0" w:space="0" w:color="auto"/>
        <w:left w:val="none" w:sz="0" w:space="0" w:color="auto"/>
        <w:bottom w:val="none" w:sz="0" w:space="0" w:color="auto"/>
        <w:right w:val="none" w:sz="0" w:space="0" w:color="auto"/>
      </w:divBdr>
    </w:div>
    <w:div w:id="1026640340">
      <w:bodyDiv w:val="1"/>
      <w:marLeft w:val="0"/>
      <w:marRight w:val="0"/>
      <w:marTop w:val="0"/>
      <w:marBottom w:val="0"/>
      <w:divBdr>
        <w:top w:val="none" w:sz="0" w:space="0" w:color="auto"/>
        <w:left w:val="none" w:sz="0" w:space="0" w:color="auto"/>
        <w:bottom w:val="none" w:sz="0" w:space="0" w:color="auto"/>
        <w:right w:val="none" w:sz="0" w:space="0" w:color="auto"/>
      </w:divBdr>
    </w:div>
    <w:div w:id="1384601641">
      <w:bodyDiv w:val="1"/>
      <w:marLeft w:val="0"/>
      <w:marRight w:val="0"/>
      <w:marTop w:val="0"/>
      <w:marBottom w:val="0"/>
      <w:divBdr>
        <w:top w:val="none" w:sz="0" w:space="0" w:color="auto"/>
        <w:left w:val="none" w:sz="0" w:space="0" w:color="auto"/>
        <w:bottom w:val="none" w:sz="0" w:space="0" w:color="auto"/>
        <w:right w:val="none" w:sz="0" w:space="0" w:color="auto"/>
      </w:divBdr>
    </w:div>
    <w:div w:id="1508061264">
      <w:bodyDiv w:val="1"/>
      <w:marLeft w:val="0"/>
      <w:marRight w:val="0"/>
      <w:marTop w:val="0"/>
      <w:marBottom w:val="0"/>
      <w:divBdr>
        <w:top w:val="none" w:sz="0" w:space="0" w:color="auto"/>
        <w:left w:val="none" w:sz="0" w:space="0" w:color="auto"/>
        <w:bottom w:val="none" w:sz="0" w:space="0" w:color="auto"/>
        <w:right w:val="none" w:sz="0" w:space="0" w:color="auto"/>
      </w:divBdr>
    </w:div>
    <w:div w:id="1799834423">
      <w:bodyDiv w:val="1"/>
      <w:marLeft w:val="0"/>
      <w:marRight w:val="0"/>
      <w:marTop w:val="0"/>
      <w:marBottom w:val="0"/>
      <w:divBdr>
        <w:top w:val="none" w:sz="0" w:space="0" w:color="auto"/>
        <w:left w:val="none" w:sz="0" w:space="0" w:color="auto"/>
        <w:bottom w:val="none" w:sz="0" w:space="0" w:color="auto"/>
        <w:right w:val="none" w:sz="0" w:space="0" w:color="auto"/>
      </w:divBdr>
    </w:div>
    <w:div w:id="205391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636</Words>
  <Characters>3628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Crisp</dc:creator>
  <cp:keywords/>
  <dc:description/>
  <cp:lastModifiedBy>Jim Crisp</cp:lastModifiedBy>
  <cp:revision>15</cp:revision>
  <dcterms:created xsi:type="dcterms:W3CDTF">2017-06-16T14:10:00Z</dcterms:created>
  <dcterms:modified xsi:type="dcterms:W3CDTF">2017-06-16T16:56:00Z</dcterms:modified>
</cp:coreProperties>
</file>