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6BB12" w14:textId="48A471C1" w:rsidR="00A74406" w:rsidRPr="00BD1E84" w:rsidRDefault="00A74406" w:rsidP="00A74406">
      <w:pPr>
        <w:pStyle w:val="Title"/>
        <w:rPr>
          <w:rFonts w:ascii="Arial Black" w:hAnsi="Arial Black" w:cs="Arial"/>
          <w:sz w:val="64"/>
        </w:rPr>
      </w:pPr>
      <w:r w:rsidRPr="00BD1E84">
        <w:rPr>
          <w:rFonts w:ascii="Arial Black" w:hAnsi="Arial Black" w:cs="Arial"/>
          <w:sz w:val="64"/>
        </w:rPr>
        <w:t>HOOK PARISH COUNCIL</w:t>
      </w:r>
    </w:p>
    <w:p w14:paraId="30136520" w14:textId="77777777" w:rsidR="00A74406" w:rsidRDefault="00A74406" w:rsidP="00A74406">
      <w:pPr>
        <w:jc w:val="right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C17613A" wp14:editId="07F9D866">
            <wp:simplePos x="0" y="0"/>
            <wp:positionH relativeFrom="column">
              <wp:posOffset>1920240</wp:posOffset>
            </wp:positionH>
            <wp:positionV relativeFrom="paragraph">
              <wp:posOffset>53975</wp:posOffset>
            </wp:positionV>
            <wp:extent cx="1402080" cy="889635"/>
            <wp:effectExtent l="0" t="0" r="7620" b="5715"/>
            <wp:wrapSquare wrapText="bothSides"/>
            <wp:docPr id="14" name="Picture 14" descr="Hoo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ook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1B5051" w14:textId="77777777" w:rsidR="00A74406" w:rsidRDefault="00A74406" w:rsidP="00A74406">
      <w:pPr>
        <w:framePr w:hSpace="180" w:wrap="around" w:vAnchor="text" w:hAnchor="page" w:x="1530" w:y="35"/>
      </w:pPr>
    </w:p>
    <w:p w14:paraId="79E52F81" w14:textId="77777777" w:rsidR="00A74406" w:rsidRDefault="00A74406" w:rsidP="00A74406">
      <w:pPr>
        <w:pStyle w:val="LP"/>
        <w:tabs>
          <w:tab w:val="right" w:pos="9072"/>
        </w:tabs>
        <w:spacing w:after="0"/>
        <w:rPr>
          <w:rFonts w:ascii="Arial" w:hAnsi="Arial" w:cs="Arial"/>
          <w:bCs/>
          <w:sz w:val="22"/>
          <w:szCs w:val="22"/>
        </w:rPr>
      </w:pPr>
    </w:p>
    <w:p w14:paraId="685C6045" w14:textId="77777777" w:rsidR="00A74406" w:rsidRDefault="00A74406" w:rsidP="00A74406">
      <w:pPr>
        <w:pStyle w:val="LP"/>
        <w:tabs>
          <w:tab w:val="right" w:pos="9072"/>
        </w:tabs>
        <w:spacing w:after="0"/>
        <w:rPr>
          <w:rFonts w:ascii="Arial" w:hAnsi="Arial" w:cs="Arial"/>
          <w:bCs/>
          <w:sz w:val="22"/>
          <w:szCs w:val="22"/>
        </w:rPr>
      </w:pPr>
    </w:p>
    <w:p w14:paraId="3AE63360" w14:textId="77777777" w:rsidR="00A74406" w:rsidRDefault="00A74406" w:rsidP="00A74406">
      <w:pPr>
        <w:pStyle w:val="LP"/>
        <w:tabs>
          <w:tab w:val="right" w:pos="9072"/>
        </w:tabs>
        <w:spacing w:after="0"/>
        <w:rPr>
          <w:rFonts w:ascii="Arial" w:hAnsi="Arial" w:cs="Arial"/>
          <w:bCs/>
          <w:sz w:val="22"/>
          <w:szCs w:val="22"/>
        </w:rPr>
      </w:pPr>
    </w:p>
    <w:p w14:paraId="2C4DAA77" w14:textId="77777777" w:rsidR="00A74406" w:rsidRDefault="00A74406" w:rsidP="00A74406">
      <w:pPr>
        <w:pStyle w:val="LP"/>
        <w:tabs>
          <w:tab w:val="right" w:pos="9072"/>
        </w:tabs>
        <w:spacing w:after="0"/>
        <w:rPr>
          <w:rFonts w:ascii="Arial" w:hAnsi="Arial" w:cs="Arial"/>
          <w:bCs/>
          <w:sz w:val="22"/>
          <w:szCs w:val="22"/>
        </w:rPr>
      </w:pPr>
    </w:p>
    <w:p w14:paraId="3A9160BC" w14:textId="77777777" w:rsidR="00A74406" w:rsidRDefault="00A74406" w:rsidP="00A74406">
      <w:pPr>
        <w:pStyle w:val="LP"/>
        <w:tabs>
          <w:tab w:val="right" w:pos="9072"/>
        </w:tabs>
        <w:spacing w:after="0"/>
        <w:rPr>
          <w:rFonts w:ascii="Arial" w:hAnsi="Arial" w:cs="Arial"/>
          <w:bCs/>
          <w:sz w:val="22"/>
          <w:szCs w:val="22"/>
        </w:rPr>
      </w:pPr>
    </w:p>
    <w:p w14:paraId="00F871D9" w14:textId="77777777" w:rsidR="00A74406" w:rsidRDefault="00A74406" w:rsidP="00A74406">
      <w:pPr>
        <w:pStyle w:val="LP"/>
        <w:tabs>
          <w:tab w:val="right" w:pos="9072"/>
        </w:tabs>
        <w:spacing w:after="0"/>
        <w:rPr>
          <w:rFonts w:ascii="Arial" w:hAnsi="Arial" w:cs="Arial"/>
          <w:bCs/>
          <w:sz w:val="22"/>
          <w:szCs w:val="22"/>
        </w:rPr>
      </w:pPr>
    </w:p>
    <w:p w14:paraId="563434D3" w14:textId="77777777" w:rsidR="00A74406" w:rsidRPr="00C57F73" w:rsidRDefault="00A74406" w:rsidP="00A7440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57F73">
        <w:rPr>
          <w:rFonts w:ascii="Arial" w:hAnsi="Arial" w:cs="Arial"/>
          <w:b/>
          <w:bCs/>
          <w:sz w:val="22"/>
          <w:szCs w:val="22"/>
        </w:rPr>
        <w:t>Advert for Contractor Services for the Pavilion Project</w:t>
      </w:r>
    </w:p>
    <w:p w14:paraId="2BDB55D3" w14:textId="77777777" w:rsidR="00A74406" w:rsidRPr="00D31B7A" w:rsidRDefault="00A74406" w:rsidP="00A74406">
      <w:pPr>
        <w:rPr>
          <w:rFonts w:ascii="Arial" w:hAnsi="Arial" w:cs="Arial"/>
          <w:sz w:val="22"/>
          <w:szCs w:val="22"/>
        </w:rPr>
      </w:pPr>
    </w:p>
    <w:p w14:paraId="1878566C" w14:textId="77777777" w:rsidR="00A74406" w:rsidRDefault="00A74406" w:rsidP="00A74406">
      <w:pPr>
        <w:rPr>
          <w:rFonts w:ascii="Arial" w:hAnsi="Arial" w:cs="Arial"/>
          <w:sz w:val="22"/>
          <w:szCs w:val="22"/>
        </w:rPr>
      </w:pPr>
      <w:r w:rsidRPr="00D31B7A">
        <w:rPr>
          <w:rFonts w:ascii="Arial" w:hAnsi="Arial" w:cs="Arial"/>
          <w:sz w:val="22"/>
          <w:szCs w:val="22"/>
        </w:rPr>
        <w:t xml:space="preserve">Hook Parish Council </w:t>
      </w:r>
      <w:r>
        <w:rPr>
          <w:rFonts w:ascii="Arial" w:hAnsi="Arial" w:cs="Arial"/>
          <w:sz w:val="22"/>
          <w:szCs w:val="22"/>
        </w:rPr>
        <w:t>(HPC), the client, wishes to appoint a suitably qualified and experienced consultant to provide architectural and lead design services and subsequent management of construction, through to completion</w:t>
      </w:r>
      <w:r w:rsidRPr="00D31B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 an exciting new-build pavilion project in Hook.  </w:t>
      </w:r>
    </w:p>
    <w:p w14:paraId="5B982DBF" w14:textId="77777777" w:rsidR="00A74406" w:rsidRPr="00D31B7A" w:rsidRDefault="00A74406" w:rsidP="00A74406">
      <w:pPr>
        <w:rPr>
          <w:rFonts w:ascii="Arial" w:hAnsi="Arial" w:cs="Arial"/>
          <w:sz w:val="22"/>
          <w:szCs w:val="22"/>
        </w:rPr>
      </w:pPr>
    </w:p>
    <w:p w14:paraId="781FE149" w14:textId="77777777" w:rsidR="00A74406" w:rsidRDefault="00A74406" w:rsidP="00A74406">
      <w:pPr>
        <w:rPr>
          <w:rFonts w:ascii="Arial" w:hAnsi="Arial" w:cs="Arial"/>
          <w:b/>
          <w:bCs/>
          <w:sz w:val="22"/>
          <w:szCs w:val="22"/>
        </w:rPr>
      </w:pPr>
      <w:r w:rsidRPr="00D31B7A">
        <w:rPr>
          <w:rFonts w:ascii="Arial" w:hAnsi="Arial" w:cs="Arial"/>
          <w:b/>
          <w:bCs/>
          <w:sz w:val="22"/>
          <w:szCs w:val="22"/>
        </w:rPr>
        <w:t>The Project</w:t>
      </w:r>
    </w:p>
    <w:p w14:paraId="7A1292BF" w14:textId="77777777" w:rsidR="00A74406" w:rsidRPr="00D31B7A" w:rsidRDefault="00A74406" w:rsidP="00A74406">
      <w:pPr>
        <w:rPr>
          <w:rFonts w:ascii="Arial" w:hAnsi="Arial" w:cs="Arial"/>
          <w:b/>
          <w:bCs/>
          <w:sz w:val="22"/>
          <w:szCs w:val="22"/>
        </w:rPr>
      </w:pPr>
    </w:p>
    <w:p w14:paraId="35949283" w14:textId="77777777" w:rsidR="00A74406" w:rsidRDefault="00A74406" w:rsidP="00A744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HPC’s aspiration is to establish a sports pavilion which will be of sufficient size and space (450 sqm minimum) to promote best use of the adjacent playing fields; this would comprise the provision of both changing facilities and a social pavilion together with all associated infrastructure on the defined site. The associated infrastructure is to include appropriate ground works and services to allow a separate Shed facility to be situated close to the pavilion.</w:t>
      </w:r>
    </w:p>
    <w:p w14:paraId="1FC57F70" w14:textId="77777777" w:rsidR="00A74406" w:rsidRPr="00D31B7A" w:rsidRDefault="00A74406" w:rsidP="00A74406">
      <w:pPr>
        <w:rPr>
          <w:rFonts w:ascii="Arial" w:hAnsi="Arial" w:cs="Arial"/>
          <w:sz w:val="22"/>
          <w:szCs w:val="22"/>
        </w:rPr>
      </w:pPr>
    </w:p>
    <w:p w14:paraId="76B6A8FA" w14:textId="77777777" w:rsidR="00A74406" w:rsidRDefault="00A74406" w:rsidP="00A74406">
      <w:pPr>
        <w:rPr>
          <w:rFonts w:ascii="Arial" w:hAnsi="Arial" w:cs="Arial"/>
          <w:color w:val="000000" w:themeColor="text1"/>
          <w:sz w:val="22"/>
          <w:szCs w:val="22"/>
          <w:lang w:eastAsia="en-GB"/>
        </w:rPr>
      </w:pPr>
      <w:r w:rsidRPr="00D31B7A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The Council </w:t>
      </w: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will consider </w:t>
      </w:r>
      <w:r w:rsidRPr="00A61EFE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traditional </w:t>
      </w: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>and</w:t>
      </w:r>
      <w:r w:rsidRPr="00A61EFE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innovative cost- effective designs </w:t>
      </w:r>
      <w:r w:rsidRPr="00D31B7A">
        <w:rPr>
          <w:rFonts w:ascii="Arial" w:hAnsi="Arial" w:cs="Arial"/>
          <w:color w:val="000000" w:themeColor="text1"/>
          <w:sz w:val="22"/>
          <w:szCs w:val="22"/>
          <w:lang w:eastAsia="en-GB"/>
        </w:rPr>
        <w:t>for the Pavilion and associated facilities</w:t>
      </w: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>,</w:t>
      </w:r>
      <w:r w:rsidRPr="00D31B7A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which satisfies the planning and technical guidelines set out by the RFA and Sports Council England. The building must be sympathetic to </w:t>
      </w: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its </w:t>
      </w:r>
      <w:r w:rsidRPr="00D31B7A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setting and address the sporting activities proposed for the adjoining playing fields and </w:t>
      </w: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>provide sufficient community space to allow for both post-match and other activities.</w:t>
      </w:r>
    </w:p>
    <w:p w14:paraId="587D6EFD" w14:textId="77777777" w:rsidR="00A74406" w:rsidRDefault="00A74406" w:rsidP="00A74406">
      <w:pPr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14:paraId="5F17B69A" w14:textId="77777777" w:rsidR="00A74406" w:rsidRDefault="00A74406" w:rsidP="00A74406">
      <w:pPr>
        <w:rPr>
          <w:rFonts w:ascii="Arial" w:hAnsi="Arial" w:cs="Arial"/>
          <w:b/>
          <w:bCs/>
          <w:color w:val="000000" w:themeColor="text1"/>
          <w:sz w:val="22"/>
          <w:szCs w:val="22"/>
          <w:lang w:eastAsia="en-GB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lang w:eastAsia="en-GB"/>
        </w:rPr>
        <w:t>The Site</w:t>
      </w:r>
    </w:p>
    <w:p w14:paraId="2BC511DB" w14:textId="77777777" w:rsidR="00A74406" w:rsidRDefault="00A74406" w:rsidP="00A74406">
      <w:pPr>
        <w:rPr>
          <w:rFonts w:ascii="Arial" w:hAnsi="Arial" w:cs="Arial"/>
          <w:b/>
          <w:bCs/>
          <w:color w:val="000000" w:themeColor="text1"/>
          <w:sz w:val="22"/>
          <w:szCs w:val="22"/>
          <w:lang w:eastAsia="en-GB"/>
        </w:rPr>
      </w:pPr>
    </w:p>
    <w:p w14:paraId="424AC537" w14:textId="77777777" w:rsidR="00A74406" w:rsidRDefault="00A74406" w:rsidP="00A74406">
      <w:pPr>
        <w:rPr>
          <w:rFonts w:ascii="Arial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>The site is located adjacent to the Green Hart Park Housing Development, RG27 9EQ at NE Hook, accessed from the A30, along Papermill Avenue.</w:t>
      </w:r>
    </w:p>
    <w:p w14:paraId="497CB3D5" w14:textId="77777777" w:rsidR="00A74406" w:rsidRDefault="00A74406" w:rsidP="00A74406">
      <w:pPr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14:paraId="500BDEF3" w14:textId="3BAAE8FB" w:rsidR="00A74406" w:rsidRDefault="00A74406" w:rsidP="00A74406">
      <w:pPr>
        <w:ind w:left="-709"/>
        <w:rPr>
          <w:noProof/>
        </w:rPr>
      </w:pPr>
      <w:r>
        <w:rPr>
          <w:noProof/>
        </w:rPr>
        <w:t xml:space="preserve">                 </w:t>
      </w:r>
    </w:p>
    <w:p w14:paraId="6CB58AD7" w14:textId="5D4B6646" w:rsidR="004100FF" w:rsidRDefault="005B0E4B" w:rsidP="00A74406">
      <w:pPr>
        <w:ind w:left="-709"/>
        <w:rPr>
          <w:noProof/>
        </w:rPr>
      </w:pPr>
      <w:r>
        <w:rPr>
          <w:noProof/>
        </w:rPr>
        <w:drawing>
          <wp:inline distT="0" distB="0" distL="0" distR="0" wp14:anchorId="0B37B275" wp14:editId="2868CA44">
            <wp:extent cx="2369820" cy="2580128"/>
            <wp:effectExtent l="0" t="0" r="0" b="0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91049" cy="2603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</w:t>
      </w:r>
      <w:r>
        <w:rPr>
          <w:noProof/>
        </w:rPr>
        <w:drawing>
          <wp:inline distT="0" distB="0" distL="0" distR="0" wp14:anchorId="644BB713" wp14:editId="47BB4605">
            <wp:extent cx="2598420" cy="2497900"/>
            <wp:effectExtent l="0" t="0" r="0" b="0"/>
            <wp:docPr id="5" name="Picture 5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ap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44815" cy="254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CEC24" w14:textId="477E56CE" w:rsidR="00A74406" w:rsidRPr="005B0E4B" w:rsidRDefault="005B0E4B" w:rsidP="005B0E4B">
      <w:pPr>
        <w:ind w:left="-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</w:t>
      </w:r>
      <w:r w:rsidR="00A74406" w:rsidRPr="00D31B7A">
        <w:rPr>
          <w:rFonts w:ascii="Arial" w:hAnsi="Arial" w:cs="Arial"/>
          <w:b/>
          <w:bCs/>
          <w:sz w:val="22"/>
          <w:szCs w:val="22"/>
        </w:rPr>
        <w:t xml:space="preserve">The </w:t>
      </w:r>
      <w:r w:rsidR="00A74406">
        <w:rPr>
          <w:rFonts w:ascii="Arial" w:hAnsi="Arial" w:cs="Arial"/>
          <w:b/>
          <w:bCs/>
          <w:sz w:val="22"/>
          <w:szCs w:val="22"/>
        </w:rPr>
        <w:t>Opportunity</w:t>
      </w:r>
    </w:p>
    <w:p w14:paraId="145C2003" w14:textId="77777777" w:rsidR="00A74406" w:rsidRDefault="00A74406" w:rsidP="00A74406">
      <w:pPr>
        <w:rPr>
          <w:rFonts w:ascii="Arial" w:hAnsi="Arial" w:cs="Arial"/>
          <w:b/>
          <w:bCs/>
          <w:sz w:val="22"/>
          <w:szCs w:val="22"/>
        </w:rPr>
      </w:pPr>
    </w:p>
    <w:p w14:paraId="2D44C691" w14:textId="77777777" w:rsidR="00A74406" w:rsidRPr="000005E3" w:rsidRDefault="00A74406" w:rsidP="00A74406">
      <w:pPr>
        <w:pStyle w:val="Default"/>
        <w:rPr>
          <w:sz w:val="22"/>
          <w:szCs w:val="22"/>
        </w:rPr>
      </w:pPr>
      <w:r w:rsidRPr="000005E3">
        <w:rPr>
          <w:sz w:val="22"/>
          <w:szCs w:val="22"/>
        </w:rPr>
        <w:t xml:space="preserve">HPC is inviting quotations to deliver the following outputs: </w:t>
      </w:r>
    </w:p>
    <w:p w14:paraId="42827A59" w14:textId="77777777" w:rsidR="00A74406" w:rsidRPr="000005E3" w:rsidRDefault="00A74406" w:rsidP="00A74406">
      <w:pPr>
        <w:pStyle w:val="Default"/>
        <w:rPr>
          <w:sz w:val="22"/>
          <w:szCs w:val="22"/>
        </w:rPr>
      </w:pPr>
    </w:p>
    <w:p w14:paraId="229C81B9" w14:textId="2250ED3B" w:rsidR="00A74406" w:rsidRPr="000005E3" w:rsidRDefault="00A74406" w:rsidP="00A74406">
      <w:pPr>
        <w:pStyle w:val="Default"/>
        <w:rPr>
          <w:sz w:val="22"/>
          <w:szCs w:val="22"/>
        </w:rPr>
      </w:pPr>
      <w:r w:rsidRPr="000005E3">
        <w:rPr>
          <w:sz w:val="22"/>
          <w:szCs w:val="22"/>
        </w:rPr>
        <w:t xml:space="preserve">• Act as the Council’s Lead Consultant and Designer for the project </w:t>
      </w:r>
    </w:p>
    <w:p w14:paraId="6929646E" w14:textId="77777777" w:rsidR="00A74406" w:rsidRPr="000005E3" w:rsidRDefault="00A74406" w:rsidP="00A74406">
      <w:pPr>
        <w:pStyle w:val="Default"/>
        <w:rPr>
          <w:sz w:val="22"/>
          <w:szCs w:val="22"/>
        </w:rPr>
      </w:pPr>
      <w:r w:rsidRPr="000005E3">
        <w:rPr>
          <w:sz w:val="22"/>
          <w:szCs w:val="22"/>
        </w:rPr>
        <w:t xml:space="preserve">• To develop the specification set out below into a final design </w:t>
      </w:r>
    </w:p>
    <w:p w14:paraId="73FEC213" w14:textId="77777777" w:rsidR="00A74406" w:rsidRPr="000005E3" w:rsidRDefault="00A74406" w:rsidP="00A74406">
      <w:pPr>
        <w:pStyle w:val="Default"/>
        <w:rPr>
          <w:sz w:val="22"/>
          <w:szCs w:val="22"/>
        </w:rPr>
      </w:pPr>
      <w:r w:rsidRPr="000005E3">
        <w:rPr>
          <w:sz w:val="22"/>
          <w:szCs w:val="22"/>
        </w:rPr>
        <w:t xml:space="preserve">• Provide estimated costs of the pavilion </w:t>
      </w:r>
    </w:p>
    <w:p w14:paraId="0F68453F" w14:textId="77777777" w:rsidR="00A74406" w:rsidRDefault="00A74406" w:rsidP="00A74406">
      <w:pPr>
        <w:pStyle w:val="Default"/>
        <w:rPr>
          <w:sz w:val="22"/>
          <w:szCs w:val="22"/>
        </w:rPr>
      </w:pPr>
      <w:r w:rsidRPr="000005E3">
        <w:rPr>
          <w:sz w:val="22"/>
          <w:szCs w:val="22"/>
        </w:rPr>
        <w:t xml:space="preserve">• To provide detailed plans to obtain planning permission of the final design </w:t>
      </w:r>
      <w:r>
        <w:rPr>
          <w:sz w:val="22"/>
          <w:szCs w:val="22"/>
        </w:rPr>
        <w:t>(HPC would wish to submit a planning application as soon as practicable in 2023).</w:t>
      </w:r>
    </w:p>
    <w:p w14:paraId="2E353C8F" w14:textId="77777777" w:rsidR="00A74406" w:rsidRDefault="00A74406" w:rsidP="00A74406">
      <w:pPr>
        <w:pStyle w:val="Default"/>
        <w:rPr>
          <w:sz w:val="22"/>
          <w:szCs w:val="22"/>
        </w:rPr>
      </w:pPr>
    </w:p>
    <w:p w14:paraId="4B60F60B" w14:textId="77777777" w:rsidR="00A74406" w:rsidRPr="00874102" w:rsidRDefault="00A74406" w:rsidP="00A74406">
      <w:pPr>
        <w:pStyle w:val="Default"/>
        <w:rPr>
          <w:sz w:val="22"/>
          <w:szCs w:val="22"/>
        </w:rPr>
      </w:pPr>
      <w:r w:rsidRPr="00874102">
        <w:rPr>
          <w:sz w:val="22"/>
          <w:szCs w:val="22"/>
        </w:rPr>
        <w:t xml:space="preserve">Your proposal should include: </w:t>
      </w:r>
    </w:p>
    <w:p w14:paraId="61CBD165" w14:textId="77777777" w:rsidR="00A74406" w:rsidRPr="00874102" w:rsidRDefault="00A74406" w:rsidP="00A74406">
      <w:pPr>
        <w:pStyle w:val="Default"/>
        <w:rPr>
          <w:sz w:val="22"/>
          <w:szCs w:val="22"/>
        </w:rPr>
      </w:pPr>
    </w:p>
    <w:p w14:paraId="632D01E1" w14:textId="5C01EDA4" w:rsidR="00A74406" w:rsidRPr="00874102" w:rsidRDefault="00A74406" w:rsidP="00336CE1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874102">
        <w:rPr>
          <w:sz w:val="22"/>
          <w:szCs w:val="22"/>
        </w:rPr>
        <w:t xml:space="preserve">The quote for delivering the four outputs above </w:t>
      </w:r>
    </w:p>
    <w:p w14:paraId="50AE0E0C" w14:textId="26CA6481" w:rsidR="00A74406" w:rsidRPr="00874102" w:rsidRDefault="00A74406" w:rsidP="00336CE1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874102">
        <w:rPr>
          <w:sz w:val="22"/>
          <w:szCs w:val="22"/>
        </w:rPr>
        <w:t xml:space="preserve">Methodology for how you would deliver the indicative timescales for producing designs and costs </w:t>
      </w:r>
    </w:p>
    <w:p w14:paraId="405DBF1F" w14:textId="3D7E71EB" w:rsidR="00A74406" w:rsidRPr="00874102" w:rsidRDefault="00A74406" w:rsidP="00336CE1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874102">
        <w:rPr>
          <w:sz w:val="22"/>
          <w:szCs w:val="22"/>
        </w:rPr>
        <w:t xml:space="preserve">At least two examples of similar work </w:t>
      </w:r>
    </w:p>
    <w:p w14:paraId="6779DD27" w14:textId="36E52208" w:rsidR="00A74406" w:rsidRPr="00874102" w:rsidRDefault="00A74406" w:rsidP="00336CE1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874102">
        <w:rPr>
          <w:sz w:val="22"/>
          <w:szCs w:val="22"/>
        </w:rPr>
        <w:t xml:space="preserve">Details of appropriate qualifications and insurances </w:t>
      </w:r>
    </w:p>
    <w:p w14:paraId="492619A7" w14:textId="0F5768B2" w:rsidR="00A74406" w:rsidRPr="00874102" w:rsidRDefault="00A74406" w:rsidP="00336CE1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874102">
        <w:rPr>
          <w:sz w:val="22"/>
          <w:szCs w:val="22"/>
        </w:rPr>
        <w:t xml:space="preserve">Confirmation that you have visited the site and understood the </w:t>
      </w:r>
      <w:r>
        <w:rPr>
          <w:sz w:val="22"/>
          <w:szCs w:val="22"/>
        </w:rPr>
        <w:t xml:space="preserve">site layout </w:t>
      </w:r>
      <w:r w:rsidRPr="00874102">
        <w:rPr>
          <w:sz w:val="22"/>
          <w:szCs w:val="22"/>
        </w:rPr>
        <w:t xml:space="preserve">and pavilion location </w:t>
      </w:r>
    </w:p>
    <w:p w14:paraId="55B2F881" w14:textId="77777777" w:rsidR="00A74406" w:rsidRPr="00874102" w:rsidRDefault="00A74406" w:rsidP="00A74406">
      <w:pPr>
        <w:pStyle w:val="Default"/>
        <w:rPr>
          <w:b/>
          <w:bCs/>
          <w:i/>
          <w:iCs/>
          <w:sz w:val="22"/>
          <w:szCs w:val="22"/>
        </w:rPr>
      </w:pPr>
    </w:p>
    <w:p w14:paraId="4DF448BA" w14:textId="77777777" w:rsidR="00A74406" w:rsidRDefault="00A74406" w:rsidP="00A74406">
      <w:pPr>
        <w:pStyle w:val="Default"/>
        <w:rPr>
          <w:b/>
          <w:bCs/>
          <w:i/>
          <w:iCs/>
          <w:sz w:val="22"/>
          <w:szCs w:val="22"/>
        </w:rPr>
      </w:pPr>
    </w:p>
    <w:p w14:paraId="2F96D592" w14:textId="77777777" w:rsidR="00A74406" w:rsidRDefault="00A74406" w:rsidP="00A74406">
      <w:pPr>
        <w:pStyle w:val="Default"/>
        <w:rPr>
          <w:b/>
          <w:bCs/>
          <w:i/>
          <w:iCs/>
          <w:sz w:val="22"/>
          <w:szCs w:val="22"/>
        </w:rPr>
      </w:pPr>
      <w:r w:rsidRPr="00874102">
        <w:rPr>
          <w:b/>
          <w:bCs/>
          <w:i/>
          <w:iCs/>
          <w:sz w:val="22"/>
          <w:szCs w:val="22"/>
        </w:rPr>
        <w:t xml:space="preserve">Pavilion Specification </w:t>
      </w:r>
    </w:p>
    <w:p w14:paraId="488C1F40" w14:textId="77777777" w:rsidR="00A74406" w:rsidRPr="00874102" w:rsidRDefault="00A74406" w:rsidP="00A74406">
      <w:pPr>
        <w:pStyle w:val="Default"/>
        <w:rPr>
          <w:sz w:val="22"/>
          <w:szCs w:val="22"/>
        </w:rPr>
      </w:pPr>
    </w:p>
    <w:p w14:paraId="4297B297" w14:textId="59B0BC93" w:rsidR="00A74406" w:rsidRPr="00874102" w:rsidRDefault="00A74406" w:rsidP="00A74406">
      <w:pPr>
        <w:pStyle w:val="Default"/>
        <w:rPr>
          <w:sz w:val="22"/>
          <w:szCs w:val="22"/>
        </w:rPr>
      </w:pPr>
      <w:r w:rsidRPr="00874102">
        <w:rPr>
          <w:sz w:val="22"/>
          <w:szCs w:val="22"/>
        </w:rPr>
        <w:t>The design for the new Pavilion will need to include</w:t>
      </w:r>
      <w:r w:rsidR="004A3DCC">
        <w:rPr>
          <w:sz w:val="22"/>
          <w:szCs w:val="22"/>
        </w:rPr>
        <w:t xml:space="preserve"> as a minimum</w:t>
      </w:r>
      <w:r w:rsidRPr="00874102">
        <w:rPr>
          <w:sz w:val="22"/>
          <w:szCs w:val="22"/>
        </w:rPr>
        <w:t xml:space="preserve"> the following: </w:t>
      </w:r>
    </w:p>
    <w:p w14:paraId="50AB2A9D" w14:textId="77777777" w:rsidR="00A74406" w:rsidRDefault="00A74406" w:rsidP="00A74406">
      <w:pPr>
        <w:pStyle w:val="Default"/>
        <w:spacing w:after="74"/>
        <w:rPr>
          <w:sz w:val="22"/>
          <w:szCs w:val="22"/>
        </w:rPr>
      </w:pPr>
    </w:p>
    <w:p w14:paraId="518EA81E" w14:textId="77777777" w:rsidR="00A74406" w:rsidRDefault="00A74406" w:rsidP="00EB7D3B">
      <w:pPr>
        <w:pStyle w:val="Default"/>
        <w:numPr>
          <w:ilvl w:val="0"/>
          <w:numId w:val="2"/>
        </w:numPr>
        <w:spacing w:after="74"/>
        <w:rPr>
          <w:sz w:val="22"/>
          <w:szCs w:val="22"/>
        </w:rPr>
      </w:pPr>
      <w:r>
        <w:rPr>
          <w:sz w:val="22"/>
          <w:szCs w:val="22"/>
        </w:rPr>
        <w:t>4</w:t>
      </w:r>
      <w:r w:rsidRPr="00874102">
        <w:rPr>
          <w:sz w:val="22"/>
          <w:szCs w:val="22"/>
        </w:rPr>
        <w:t xml:space="preserve"> x Changing rooms meeting the minimum specification for </w:t>
      </w:r>
      <w:r>
        <w:rPr>
          <w:sz w:val="22"/>
          <w:szCs w:val="22"/>
        </w:rPr>
        <w:t>Rugby and Football</w:t>
      </w:r>
      <w:r w:rsidRPr="00874102">
        <w:rPr>
          <w:sz w:val="22"/>
          <w:szCs w:val="22"/>
        </w:rPr>
        <w:t>. These must be accessible from both inside and outside</w:t>
      </w:r>
    </w:p>
    <w:p w14:paraId="68D473FE" w14:textId="77777777" w:rsidR="00A74406" w:rsidRDefault="00A74406" w:rsidP="00EB7D3B">
      <w:pPr>
        <w:pStyle w:val="Default"/>
        <w:numPr>
          <w:ilvl w:val="0"/>
          <w:numId w:val="2"/>
        </w:numPr>
        <w:spacing w:after="74"/>
        <w:rPr>
          <w:sz w:val="22"/>
          <w:szCs w:val="22"/>
        </w:rPr>
      </w:pPr>
      <w:r>
        <w:rPr>
          <w:sz w:val="22"/>
          <w:szCs w:val="22"/>
        </w:rPr>
        <w:t>2x officials changing rooms</w:t>
      </w:r>
    </w:p>
    <w:p w14:paraId="6FA592DB" w14:textId="5536A6EF" w:rsidR="00E046A0" w:rsidRPr="00874102" w:rsidRDefault="00E046A0" w:rsidP="00EB7D3B">
      <w:pPr>
        <w:pStyle w:val="Default"/>
        <w:numPr>
          <w:ilvl w:val="0"/>
          <w:numId w:val="2"/>
        </w:numPr>
        <w:spacing w:after="74"/>
        <w:rPr>
          <w:sz w:val="22"/>
          <w:szCs w:val="22"/>
        </w:rPr>
      </w:pPr>
      <w:r>
        <w:rPr>
          <w:sz w:val="22"/>
          <w:szCs w:val="22"/>
        </w:rPr>
        <w:t>First aid/physio room</w:t>
      </w:r>
    </w:p>
    <w:p w14:paraId="3972C319" w14:textId="77777777" w:rsidR="00A74406" w:rsidRPr="00874102" w:rsidRDefault="00A74406" w:rsidP="00EB7D3B">
      <w:pPr>
        <w:pStyle w:val="Default"/>
        <w:numPr>
          <w:ilvl w:val="0"/>
          <w:numId w:val="2"/>
        </w:numPr>
        <w:spacing w:after="74"/>
        <w:rPr>
          <w:sz w:val="22"/>
          <w:szCs w:val="22"/>
        </w:rPr>
      </w:pPr>
      <w:r w:rsidRPr="00874102">
        <w:rPr>
          <w:sz w:val="22"/>
          <w:szCs w:val="22"/>
        </w:rPr>
        <w:t>Separate internal toilet facilities for non-players and s</w:t>
      </w:r>
      <w:r>
        <w:rPr>
          <w:sz w:val="22"/>
          <w:szCs w:val="22"/>
        </w:rPr>
        <w:t>ocial space</w:t>
      </w:r>
      <w:r w:rsidRPr="00874102">
        <w:rPr>
          <w:sz w:val="22"/>
          <w:szCs w:val="22"/>
        </w:rPr>
        <w:t xml:space="preserve"> hall users </w:t>
      </w:r>
    </w:p>
    <w:p w14:paraId="02B3582C" w14:textId="77777777" w:rsidR="00A74406" w:rsidRPr="00874102" w:rsidRDefault="00A74406" w:rsidP="00EB7D3B">
      <w:pPr>
        <w:pStyle w:val="Default"/>
        <w:numPr>
          <w:ilvl w:val="0"/>
          <w:numId w:val="2"/>
        </w:numPr>
        <w:spacing w:after="74"/>
        <w:rPr>
          <w:sz w:val="22"/>
          <w:szCs w:val="22"/>
        </w:rPr>
      </w:pPr>
      <w:r w:rsidRPr="00874102">
        <w:rPr>
          <w:sz w:val="22"/>
          <w:szCs w:val="22"/>
        </w:rPr>
        <w:t xml:space="preserve">Kitchen space/bar space </w:t>
      </w:r>
    </w:p>
    <w:p w14:paraId="354A4B67" w14:textId="77777777" w:rsidR="00A74406" w:rsidRPr="00874102" w:rsidRDefault="00A74406" w:rsidP="00EB7D3B">
      <w:pPr>
        <w:pStyle w:val="Default"/>
        <w:numPr>
          <w:ilvl w:val="0"/>
          <w:numId w:val="2"/>
        </w:numPr>
        <w:spacing w:after="74"/>
        <w:rPr>
          <w:sz w:val="22"/>
          <w:szCs w:val="22"/>
        </w:rPr>
      </w:pPr>
      <w:r w:rsidRPr="00874102">
        <w:rPr>
          <w:sz w:val="22"/>
          <w:szCs w:val="22"/>
        </w:rPr>
        <w:t xml:space="preserve">2 x locked storage areas one internal use and one externally accessible. </w:t>
      </w:r>
    </w:p>
    <w:p w14:paraId="7E3B89D4" w14:textId="2B4E8A16" w:rsidR="00A74406" w:rsidRPr="00874102" w:rsidRDefault="00A74406" w:rsidP="00EB7D3B">
      <w:pPr>
        <w:pStyle w:val="Default"/>
        <w:numPr>
          <w:ilvl w:val="0"/>
          <w:numId w:val="2"/>
        </w:numPr>
        <w:spacing w:after="74"/>
        <w:rPr>
          <w:sz w:val="22"/>
          <w:szCs w:val="22"/>
        </w:rPr>
      </w:pPr>
      <w:r w:rsidRPr="00874102">
        <w:rPr>
          <w:sz w:val="22"/>
          <w:szCs w:val="22"/>
        </w:rPr>
        <w:t xml:space="preserve">Fully accessible for disabled/wheelchairs </w:t>
      </w:r>
      <w:r w:rsidR="00EC7DB4">
        <w:rPr>
          <w:sz w:val="22"/>
          <w:szCs w:val="22"/>
        </w:rPr>
        <w:t>to meet Part M Building Regulations</w:t>
      </w:r>
    </w:p>
    <w:p w14:paraId="4D2391EF" w14:textId="77777777" w:rsidR="00A74406" w:rsidRPr="00874102" w:rsidRDefault="00A74406" w:rsidP="00EB7D3B">
      <w:pPr>
        <w:pStyle w:val="Default"/>
        <w:numPr>
          <w:ilvl w:val="0"/>
          <w:numId w:val="2"/>
        </w:numPr>
        <w:spacing w:after="74"/>
        <w:rPr>
          <w:sz w:val="22"/>
          <w:szCs w:val="22"/>
        </w:rPr>
      </w:pPr>
      <w:r w:rsidRPr="00874102">
        <w:rPr>
          <w:sz w:val="22"/>
          <w:szCs w:val="22"/>
        </w:rPr>
        <w:t>Plant room</w:t>
      </w:r>
    </w:p>
    <w:p w14:paraId="68A26AD8" w14:textId="77777777" w:rsidR="00A74406" w:rsidRPr="00874102" w:rsidRDefault="00A74406" w:rsidP="00EB7D3B">
      <w:pPr>
        <w:pStyle w:val="Default"/>
        <w:numPr>
          <w:ilvl w:val="0"/>
          <w:numId w:val="2"/>
        </w:numPr>
        <w:spacing w:after="74"/>
        <w:rPr>
          <w:sz w:val="22"/>
          <w:szCs w:val="22"/>
        </w:rPr>
      </w:pPr>
      <w:r w:rsidRPr="00874102">
        <w:rPr>
          <w:sz w:val="22"/>
          <w:szCs w:val="22"/>
        </w:rPr>
        <w:t xml:space="preserve">No outside covered or sheltered areas </w:t>
      </w:r>
    </w:p>
    <w:p w14:paraId="39E9C553" w14:textId="77777777" w:rsidR="00A74406" w:rsidRPr="00874102" w:rsidRDefault="00A74406" w:rsidP="00EB7D3B">
      <w:pPr>
        <w:pStyle w:val="Default"/>
        <w:numPr>
          <w:ilvl w:val="0"/>
          <w:numId w:val="2"/>
        </w:numPr>
        <w:spacing w:after="74"/>
        <w:rPr>
          <w:sz w:val="22"/>
          <w:szCs w:val="22"/>
        </w:rPr>
      </w:pPr>
      <w:r w:rsidRPr="00874102">
        <w:rPr>
          <w:sz w:val="22"/>
          <w:szCs w:val="22"/>
        </w:rPr>
        <w:t xml:space="preserve">External bin storage </w:t>
      </w:r>
    </w:p>
    <w:p w14:paraId="5843C75C" w14:textId="2CAF0C98" w:rsidR="00A74406" w:rsidRDefault="00A74406" w:rsidP="00EB7D3B">
      <w:pPr>
        <w:pStyle w:val="Default"/>
        <w:numPr>
          <w:ilvl w:val="0"/>
          <w:numId w:val="2"/>
        </w:numPr>
        <w:spacing w:after="74"/>
        <w:rPr>
          <w:sz w:val="22"/>
          <w:szCs w:val="22"/>
        </w:rPr>
      </w:pPr>
      <w:r>
        <w:rPr>
          <w:sz w:val="22"/>
          <w:szCs w:val="22"/>
        </w:rPr>
        <w:t>E</w:t>
      </w:r>
      <w:r w:rsidRPr="00874102">
        <w:rPr>
          <w:sz w:val="22"/>
          <w:szCs w:val="22"/>
        </w:rPr>
        <w:t xml:space="preserve">xternal lighting </w:t>
      </w:r>
      <w:r>
        <w:rPr>
          <w:sz w:val="22"/>
          <w:szCs w:val="22"/>
        </w:rPr>
        <w:t xml:space="preserve">(and possibly CCTV) </w:t>
      </w:r>
    </w:p>
    <w:p w14:paraId="3B43F5D4" w14:textId="77777777" w:rsidR="00A74406" w:rsidRDefault="00A74406" w:rsidP="00EB7D3B">
      <w:pPr>
        <w:pStyle w:val="Default"/>
        <w:numPr>
          <w:ilvl w:val="0"/>
          <w:numId w:val="2"/>
        </w:numPr>
        <w:spacing w:after="74"/>
        <w:rPr>
          <w:sz w:val="22"/>
          <w:szCs w:val="22"/>
        </w:rPr>
      </w:pPr>
      <w:r>
        <w:rPr>
          <w:sz w:val="22"/>
          <w:szCs w:val="22"/>
        </w:rPr>
        <w:t>Fencing to enclose the complete site</w:t>
      </w:r>
    </w:p>
    <w:p w14:paraId="393AA4F3" w14:textId="77777777" w:rsidR="00A74406" w:rsidRDefault="00A74406" w:rsidP="00EB7D3B">
      <w:pPr>
        <w:pStyle w:val="Default"/>
        <w:numPr>
          <w:ilvl w:val="0"/>
          <w:numId w:val="2"/>
        </w:numPr>
        <w:spacing w:after="74"/>
        <w:rPr>
          <w:sz w:val="22"/>
          <w:szCs w:val="22"/>
        </w:rPr>
      </w:pPr>
      <w:r>
        <w:rPr>
          <w:sz w:val="22"/>
          <w:szCs w:val="22"/>
        </w:rPr>
        <w:t>External kitchen serving hatch</w:t>
      </w:r>
    </w:p>
    <w:p w14:paraId="03855D91" w14:textId="44218211" w:rsidR="00C23ED4" w:rsidRPr="00874102" w:rsidRDefault="00C23ED4" w:rsidP="00EB7D3B">
      <w:pPr>
        <w:pStyle w:val="Default"/>
        <w:numPr>
          <w:ilvl w:val="0"/>
          <w:numId w:val="2"/>
        </w:numPr>
        <w:spacing w:after="74"/>
        <w:rPr>
          <w:sz w:val="22"/>
          <w:szCs w:val="22"/>
        </w:rPr>
      </w:pPr>
      <w:r>
        <w:rPr>
          <w:sz w:val="22"/>
          <w:szCs w:val="22"/>
        </w:rPr>
        <w:t xml:space="preserve">Measures </w:t>
      </w:r>
      <w:r w:rsidR="005D2435">
        <w:rPr>
          <w:sz w:val="22"/>
          <w:szCs w:val="22"/>
        </w:rPr>
        <w:t>of resistance to vandalism</w:t>
      </w:r>
    </w:p>
    <w:p w14:paraId="19D6DD70" w14:textId="77777777" w:rsidR="00A74406" w:rsidRDefault="00A74406" w:rsidP="00EB7D3B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874102">
        <w:rPr>
          <w:sz w:val="22"/>
          <w:szCs w:val="22"/>
        </w:rPr>
        <w:t xml:space="preserve">A structure with a lifespan of at least 40 years that is sympathetic to the surrounding area </w:t>
      </w:r>
    </w:p>
    <w:p w14:paraId="712115FC" w14:textId="57B92337" w:rsidR="005D2435" w:rsidRDefault="005D2435" w:rsidP="00EB7D3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Supporting site infrastructure </w:t>
      </w:r>
    </w:p>
    <w:p w14:paraId="62F9DF63" w14:textId="77777777" w:rsidR="00A74406" w:rsidRPr="00874102" w:rsidRDefault="00A74406" w:rsidP="00A74406">
      <w:pPr>
        <w:pStyle w:val="Default"/>
        <w:rPr>
          <w:sz w:val="22"/>
          <w:szCs w:val="22"/>
        </w:rPr>
      </w:pPr>
    </w:p>
    <w:p w14:paraId="26FBC0AB" w14:textId="77777777" w:rsidR="00A74406" w:rsidRPr="00B20CBD" w:rsidRDefault="00A74406" w:rsidP="00A74406">
      <w:pPr>
        <w:rPr>
          <w:rFonts w:ascii="Arial" w:hAnsi="Arial" w:cs="Arial"/>
          <w:sz w:val="22"/>
          <w:szCs w:val="22"/>
        </w:rPr>
      </w:pPr>
      <w:r w:rsidRPr="00B20CBD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consultant’s</w:t>
      </w:r>
      <w:r w:rsidRPr="00B20C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Pr="00B20CBD">
        <w:rPr>
          <w:rFonts w:ascii="Arial" w:hAnsi="Arial" w:cs="Arial"/>
          <w:sz w:val="22"/>
          <w:szCs w:val="22"/>
        </w:rPr>
        <w:t xml:space="preserve">ervices will generally follow </w:t>
      </w:r>
      <w:r>
        <w:rPr>
          <w:rFonts w:ascii="Arial" w:hAnsi="Arial" w:cs="Arial"/>
          <w:sz w:val="22"/>
          <w:szCs w:val="22"/>
        </w:rPr>
        <w:t xml:space="preserve">pre-determined </w:t>
      </w:r>
      <w:r w:rsidRPr="00B20CBD">
        <w:rPr>
          <w:rFonts w:ascii="Arial" w:hAnsi="Arial" w:cs="Arial"/>
          <w:sz w:val="22"/>
          <w:szCs w:val="22"/>
        </w:rPr>
        <w:t xml:space="preserve">key stages </w:t>
      </w:r>
      <w:r>
        <w:rPr>
          <w:rFonts w:ascii="Arial" w:hAnsi="Arial" w:cs="Arial"/>
          <w:sz w:val="22"/>
          <w:szCs w:val="22"/>
        </w:rPr>
        <w:t xml:space="preserve">which will be agreed with the client. </w:t>
      </w:r>
      <w:r w:rsidRPr="00B20CBD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Consultant</w:t>
      </w:r>
      <w:r w:rsidRPr="00B20CBD">
        <w:rPr>
          <w:rFonts w:ascii="Arial" w:hAnsi="Arial" w:cs="Arial"/>
          <w:sz w:val="22"/>
          <w:szCs w:val="22"/>
        </w:rPr>
        <w:t xml:space="preserve"> will be responsible for appointing any necessary specialist consultants, as sub-consultants, that </w:t>
      </w:r>
      <w:r>
        <w:rPr>
          <w:rFonts w:ascii="Arial" w:hAnsi="Arial" w:cs="Arial"/>
          <w:sz w:val="22"/>
          <w:szCs w:val="22"/>
        </w:rPr>
        <w:t>is</w:t>
      </w:r>
      <w:r w:rsidRPr="00B20CBD">
        <w:rPr>
          <w:rFonts w:ascii="Arial" w:hAnsi="Arial" w:cs="Arial"/>
          <w:sz w:val="22"/>
          <w:szCs w:val="22"/>
        </w:rPr>
        <w:t xml:space="preserve"> consider</w:t>
      </w:r>
      <w:r>
        <w:rPr>
          <w:rFonts w:ascii="Arial" w:hAnsi="Arial" w:cs="Arial"/>
          <w:sz w:val="22"/>
          <w:szCs w:val="22"/>
        </w:rPr>
        <w:t>ed</w:t>
      </w:r>
      <w:r w:rsidRPr="00B20CBD">
        <w:rPr>
          <w:rFonts w:ascii="Arial" w:hAnsi="Arial" w:cs="Arial"/>
          <w:sz w:val="22"/>
          <w:szCs w:val="22"/>
        </w:rPr>
        <w:t xml:space="preserve"> necessary </w:t>
      </w:r>
      <w:proofErr w:type="gramStart"/>
      <w:r w:rsidRPr="00B20CBD">
        <w:rPr>
          <w:rFonts w:ascii="Arial" w:hAnsi="Arial" w:cs="Arial"/>
          <w:sz w:val="22"/>
          <w:szCs w:val="22"/>
        </w:rPr>
        <w:t>in order to</w:t>
      </w:r>
      <w:proofErr w:type="gramEnd"/>
      <w:r w:rsidRPr="00B20CBD">
        <w:rPr>
          <w:rFonts w:ascii="Arial" w:hAnsi="Arial" w:cs="Arial"/>
          <w:sz w:val="22"/>
          <w:szCs w:val="22"/>
        </w:rPr>
        <w:t xml:space="preserve"> satisfactorily complete all of the </w:t>
      </w:r>
      <w:r>
        <w:rPr>
          <w:rFonts w:ascii="Arial" w:hAnsi="Arial" w:cs="Arial"/>
          <w:sz w:val="22"/>
          <w:szCs w:val="22"/>
        </w:rPr>
        <w:t>s</w:t>
      </w:r>
      <w:r w:rsidRPr="00B20CBD">
        <w:rPr>
          <w:rFonts w:ascii="Arial" w:hAnsi="Arial" w:cs="Arial"/>
          <w:sz w:val="22"/>
          <w:szCs w:val="22"/>
        </w:rPr>
        <w:t>ervices</w:t>
      </w:r>
      <w:r>
        <w:rPr>
          <w:rFonts w:ascii="Arial" w:hAnsi="Arial" w:cs="Arial"/>
          <w:sz w:val="22"/>
          <w:szCs w:val="22"/>
        </w:rPr>
        <w:t>, vehicular and pedestrian access and car parking.</w:t>
      </w:r>
      <w:r w:rsidRPr="00B20CBD">
        <w:rPr>
          <w:rFonts w:ascii="Arial" w:hAnsi="Arial" w:cs="Arial"/>
          <w:sz w:val="22"/>
          <w:szCs w:val="22"/>
        </w:rPr>
        <w:t xml:space="preserve"> </w:t>
      </w:r>
    </w:p>
    <w:p w14:paraId="231B2296" w14:textId="77777777" w:rsidR="00A74406" w:rsidRPr="00B20CBD" w:rsidRDefault="00A74406" w:rsidP="00A74406">
      <w:pPr>
        <w:ind w:left="-426"/>
        <w:rPr>
          <w:rFonts w:ascii="Arial" w:hAnsi="Arial" w:cs="Arial"/>
          <w:sz w:val="22"/>
          <w:szCs w:val="22"/>
        </w:rPr>
      </w:pPr>
    </w:p>
    <w:p w14:paraId="630A8C63" w14:textId="77777777" w:rsidR="00A74406" w:rsidRDefault="00A74406" w:rsidP="00A74406">
      <w:pPr>
        <w:rPr>
          <w:rFonts w:ascii="Arial" w:hAnsi="Arial" w:cs="Arial"/>
          <w:b/>
          <w:bCs/>
          <w:sz w:val="22"/>
          <w:szCs w:val="22"/>
        </w:rPr>
      </w:pPr>
    </w:p>
    <w:p w14:paraId="26B89F23" w14:textId="77777777" w:rsidR="00A74406" w:rsidRDefault="00A74406" w:rsidP="00A74406">
      <w:pPr>
        <w:rPr>
          <w:rFonts w:ascii="Arial" w:hAnsi="Arial" w:cs="Arial"/>
          <w:b/>
          <w:bCs/>
          <w:sz w:val="22"/>
          <w:szCs w:val="22"/>
        </w:rPr>
      </w:pPr>
      <w:r w:rsidRPr="00D31B7A">
        <w:rPr>
          <w:rFonts w:ascii="Arial" w:hAnsi="Arial" w:cs="Arial"/>
          <w:b/>
          <w:bCs/>
          <w:sz w:val="22"/>
          <w:szCs w:val="22"/>
        </w:rPr>
        <w:t>Applications</w:t>
      </w:r>
    </w:p>
    <w:p w14:paraId="72F0BF42" w14:textId="77777777" w:rsidR="00E16DE3" w:rsidRPr="00D31B7A" w:rsidRDefault="00E16DE3" w:rsidP="00A74406">
      <w:pPr>
        <w:rPr>
          <w:rFonts w:ascii="Arial" w:hAnsi="Arial" w:cs="Arial"/>
          <w:b/>
          <w:bCs/>
          <w:sz w:val="22"/>
          <w:szCs w:val="22"/>
        </w:rPr>
      </w:pPr>
    </w:p>
    <w:p w14:paraId="13BDCE25" w14:textId="373A8453" w:rsidR="00A74406" w:rsidRPr="00D31B7A" w:rsidRDefault="00A74406" w:rsidP="00A74406">
      <w:pPr>
        <w:rPr>
          <w:rFonts w:ascii="Arial" w:hAnsi="Arial" w:cs="Arial"/>
          <w:sz w:val="22"/>
          <w:szCs w:val="22"/>
        </w:rPr>
      </w:pPr>
      <w:r w:rsidRPr="00D31B7A">
        <w:rPr>
          <w:rFonts w:ascii="Arial" w:hAnsi="Arial" w:cs="Arial"/>
          <w:sz w:val="22"/>
          <w:szCs w:val="22"/>
        </w:rPr>
        <w:t xml:space="preserve">Submissions to be made to the </w:t>
      </w:r>
      <w:r w:rsidR="00E16DE3">
        <w:rPr>
          <w:rFonts w:ascii="Arial" w:hAnsi="Arial" w:cs="Arial"/>
          <w:sz w:val="22"/>
          <w:szCs w:val="22"/>
        </w:rPr>
        <w:t>Clerk to the Council</w:t>
      </w:r>
      <w:r w:rsidRPr="00D31B7A">
        <w:rPr>
          <w:rFonts w:ascii="Arial" w:hAnsi="Arial" w:cs="Arial"/>
          <w:sz w:val="22"/>
          <w:szCs w:val="22"/>
        </w:rPr>
        <w:t>, Hook Parish Council, Hook Community Centre, Ravenscroft, Hook, Hampshire, RG27 9NN o</w:t>
      </w:r>
      <w:r w:rsidR="00336CE1">
        <w:rPr>
          <w:rFonts w:ascii="Arial" w:hAnsi="Arial" w:cs="Arial"/>
          <w:sz w:val="22"/>
          <w:szCs w:val="22"/>
        </w:rPr>
        <w:t xml:space="preserve">r </w:t>
      </w:r>
      <w:r w:rsidRPr="00D31B7A">
        <w:rPr>
          <w:rFonts w:ascii="Arial" w:hAnsi="Arial" w:cs="Arial"/>
          <w:sz w:val="22"/>
          <w:szCs w:val="22"/>
        </w:rPr>
        <w:t xml:space="preserve">by e-mail to </w:t>
      </w:r>
      <w:hyperlink r:id="rId11" w:history="1">
        <w:r w:rsidRPr="00D31B7A">
          <w:rPr>
            <w:rStyle w:val="Hyperlink"/>
            <w:rFonts w:ascii="Arial" w:hAnsi="Arial" w:cs="Arial"/>
            <w:sz w:val="22"/>
            <w:szCs w:val="22"/>
          </w:rPr>
          <w:t>clerk@hook.gov.uk</w:t>
        </w:r>
      </w:hyperlink>
      <w:r w:rsidRPr="00D31B7A">
        <w:rPr>
          <w:rFonts w:ascii="Arial" w:hAnsi="Arial" w:cs="Arial"/>
          <w:sz w:val="22"/>
          <w:szCs w:val="22"/>
        </w:rPr>
        <w:t xml:space="preserve">.  To include, inter-alia, your qualifications, examples of relevant experience and at least </w:t>
      </w:r>
      <w:r w:rsidR="00336CE1">
        <w:rPr>
          <w:rFonts w:ascii="Arial" w:hAnsi="Arial" w:cs="Arial"/>
          <w:sz w:val="22"/>
          <w:szCs w:val="22"/>
        </w:rPr>
        <w:t xml:space="preserve">two </w:t>
      </w:r>
      <w:r w:rsidRPr="00D31B7A">
        <w:rPr>
          <w:rFonts w:ascii="Arial" w:hAnsi="Arial" w:cs="Arial"/>
          <w:sz w:val="22"/>
          <w:szCs w:val="22"/>
        </w:rPr>
        <w:t xml:space="preserve">references. To be submitted no later than noon on </w:t>
      </w:r>
      <w:r>
        <w:rPr>
          <w:rFonts w:ascii="Arial" w:hAnsi="Arial" w:cs="Arial"/>
          <w:sz w:val="22"/>
          <w:szCs w:val="22"/>
        </w:rPr>
        <w:t>20</w:t>
      </w:r>
      <w:r w:rsidRPr="000005E3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January 2023</w:t>
      </w:r>
      <w:r w:rsidRPr="00D31B7A">
        <w:rPr>
          <w:rFonts w:ascii="Arial" w:hAnsi="Arial" w:cs="Arial"/>
          <w:sz w:val="22"/>
          <w:szCs w:val="22"/>
        </w:rPr>
        <w:t xml:space="preserve">. </w:t>
      </w:r>
    </w:p>
    <w:p w14:paraId="739A1F67" w14:textId="77777777" w:rsidR="00A74406" w:rsidRDefault="00A74406" w:rsidP="00A74406"/>
    <w:p w14:paraId="7AB3BAEF" w14:textId="77777777" w:rsidR="00A74406" w:rsidRPr="002C3D3A" w:rsidRDefault="00A74406" w:rsidP="00A74406">
      <w:pPr>
        <w:pStyle w:val="LP"/>
        <w:tabs>
          <w:tab w:val="right" w:pos="9072"/>
        </w:tabs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67360C07" w14:textId="77777777" w:rsidR="00A74406" w:rsidRPr="00A74406" w:rsidRDefault="00A74406" w:rsidP="008D7744">
      <w:pPr>
        <w:rPr>
          <w:rFonts w:ascii="Arial" w:hAnsi="Arial" w:cs="Arial"/>
          <w:sz w:val="22"/>
          <w:szCs w:val="22"/>
        </w:rPr>
      </w:pPr>
    </w:p>
    <w:p w14:paraId="408C7F15" w14:textId="77777777" w:rsidR="00A74406" w:rsidRPr="00F23AF0" w:rsidRDefault="00A74406" w:rsidP="008D7744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B287AE1" w14:textId="4AFEC156" w:rsidR="00EF2038" w:rsidRDefault="00EF2038"/>
    <w:p w14:paraId="0E923CC9" w14:textId="77777777" w:rsidR="00EF2038" w:rsidRDefault="00EF2038" w:rsidP="00EF2038">
      <w:pPr>
        <w:spacing w:after="120"/>
      </w:pPr>
    </w:p>
    <w:p w14:paraId="0310814A" w14:textId="2B3C92D4" w:rsidR="00EF2038" w:rsidRDefault="00EF2038" w:rsidP="00EF2038">
      <w:pPr>
        <w:rPr>
          <w:rFonts w:ascii="Arial" w:hAnsi="Arial" w:cs="Arial"/>
          <w:sz w:val="22"/>
          <w:szCs w:val="22"/>
        </w:rPr>
      </w:pPr>
    </w:p>
    <w:p w14:paraId="25D6371A" w14:textId="4F97A7BC" w:rsidR="00EF2038" w:rsidRPr="00EF2038" w:rsidRDefault="00EF2038" w:rsidP="00EF2038">
      <w:pPr>
        <w:rPr>
          <w:b/>
          <w:bCs/>
        </w:rPr>
      </w:pPr>
    </w:p>
    <w:sectPr w:rsidR="00EF2038" w:rsidRPr="00EF2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37526"/>
    <w:multiLevelType w:val="hybridMultilevel"/>
    <w:tmpl w:val="EB4A3B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F261F7"/>
    <w:multiLevelType w:val="hybridMultilevel"/>
    <w:tmpl w:val="C2FE1D5A"/>
    <w:lvl w:ilvl="0" w:tplc="11E4DE54">
      <w:start w:val="2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4761E"/>
    <w:multiLevelType w:val="hybridMultilevel"/>
    <w:tmpl w:val="770EF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53D24"/>
    <w:multiLevelType w:val="hybridMultilevel"/>
    <w:tmpl w:val="99BADDB2"/>
    <w:lvl w:ilvl="0" w:tplc="CEC4B60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3228678">
    <w:abstractNumId w:val="3"/>
  </w:num>
  <w:num w:numId="2" w16cid:durableId="1680621672">
    <w:abstractNumId w:val="0"/>
  </w:num>
  <w:num w:numId="3" w16cid:durableId="2166356">
    <w:abstractNumId w:val="2"/>
  </w:num>
  <w:num w:numId="4" w16cid:durableId="1528249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38"/>
    <w:rsid w:val="000C460B"/>
    <w:rsid w:val="000F3582"/>
    <w:rsid w:val="0021621E"/>
    <w:rsid w:val="002A5B9E"/>
    <w:rsid w:val="002C5ABF"/>
    <w:rsid w:val="003327DA"/>
    <w:rsid w:val="00336CE1"/>
    <w:rsid w:val="00350DA9"/>
    <w:rsid w:val="004100FF"/>
    <w:rsid w:val="004A3DCC"/>
    <w:rsid w:val="00530B38"/>
    <w:rsid w:val="005978D4"/>
    <w:rsid w:val="005B0E4B"/>
    <w:rsid w:val="005D2435"/>
    <w:rsid w:val="006715BD"/>
    <w:rsid w:val="00741516"/>
    <w:rsid w:val="0077078F"/>
    <w:rsid w:val="008D7744"/>
    <w:rsid w:val="00A74406"/>
    <w:rsid w:val="00BF7CB8"/>
    <w:rsid w:val="00C23ED4"/>
    <w:rsid w:val="00C92C7E"/>
    <w:rsid w:val="00CA4015"/>
    <w:rsid w:val="00CB1EB5"/>
    <w:rsid w:val="00E046A0"/>
    <w:rsid w:val="00E16DE3"/>
    <w:rsid w:val="00E561C2"/>
    <w:rsid w:val="00E602F1"/>
    <w:rsid w:val="00EB7D3B"/>
    <w:rsid w:val="00EC7DB4"/>
    <w:rsid w:val="00EF2038"/>
    <w:rsid w:val="00F5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D4EBC"/>
  <w15:chartTrackingRefBased/>
  <w15:docId w15:val="{1989BC18-FED3-4AE8-A3CB-A37347D6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0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A74406"/>
    <w:pPr>
      <w:jc w:val="center"/>
    </w:pPr>
    <w:rPr>
      <w:rFonts w:ascii="Bookman Old Style" w:hAnsi="Bookman Old Style"/>
      <w:sz w:val="68"/>
      <w:szCs w:val="20"/>
    </w:rPr>
  </w:style>
  <w:style w:type="character" w:customStyle="1" w:styleId="TitleChar">
    <w:name w:val="Title Char"/>
    <w:basedOn w:val="DefaultParagraphFont"/>
    <w:link w:val="Title"/>
    <w:rsid w:val="00A74406"/>
    <w:rPr>
      <w:rFonts w:ascii="Bookman Old Style" w:eastAsia="Times New Roman" w:hAnsi="Bookman Old Style" w:cs="Times New Roman"/>
      <w:sz w:val="68"/>
      <w:szCs w:val="20"/>
    </w:rPr>
  </w:style>
  <w:style w:type="paragraph" w:customStyle="1" w:styleId="LP">
    <w:name w:val="LP"/>
    <w:basedOn w:val="Normal"/>
    <w:rsid w:val="00A74406"/>
    <w:pPr>
      <w:spacing w:after="240"/>
    </w:pPr>
    <w:rPr>
      <w:szCs w:val="20"/>
    </w:rPr>
  </w:style>
  <w:style w:type="character" w:styleId="Hyperlink">
    <w:name w:val="Hyperlink"/>
    <w:basedOn w:val="DefaultParagraphFont"/>
    <w:rsid w:val="00A744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erk@hook.gov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7c435-0241-40d8-8e61-44a85bfafc81">
      <Terms xmlns="http://schemas.microsoft.com/office/infopath/2007/PartnerControls"/>
    </lcf76f155ced4ddcb4097134ff3c332f>
    <TaxCatchAll xmlns="f5929e5e-c55a-45e1-92a0-df0ffb074f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FE82A828C794A880972A9B2F83315" ma:contentTypeVersion="16" ma:contentTypeDescription="Create a new document." ma:contentTypeScope="" ma:versionID="461ef913750b26bcbc995d78932f04a7">
  <xsd:schema xmlns:xsd="http://www.w3.org/2001/XMLSchema" xmlns:xs="http://www.w3.org/2001/XMLSchema" xmlns:p="http://schemas.microsoft.com/office/2006/metadata/properties" xmlns:ns2="cee7c435-0241-40d8-8e61-44a85bfafc81" xmlns:ns3="f5929e5e-c55a-45e1-92a0-df0ffb074f80" targetNamespace="http://schemas.microsoft.com/office/2006/metadata/properties" ma:root="true" ma:fieldsID="165cf0691809387ef533355e0ec353d1" ns2:_="" ns3:_="">
    <xsd:import namespace="cee7c435-0241-40d8-8e61-44a85bfafc81"/>
    <xsd:import namespace="f5929e5e-c55a-45e1-92a0-df0ffb074f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7c435-0241-40d8-8e61-44a85bfaf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4ff2e7-ef60-44fe-a5ad-746e207b28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29e5e-c55a-45e1-92a0-df0ffb074f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83017a-c61c-4938-accb-fac42ed7d336}" ma:internalName="TaxCatchAll" ma:showField="CatchAllData" ma:web="f5929e5e-c55a-45e1-92a0-df0ffb074f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6B8C7B-59F8-4CA6-8C6E-86B4FD4F85E2}">
  <ds:schemaRefs>
    <ds:schemaRef ds:uri="http://schemas.microsoft.com/office/2006/metadata/properties"/>
    <ds:schemaRef ds:uri="http://schemas.microsoft.com/office/infopath/2007/PartnerControls"/>
    <ds:schemaRef ds:uri="cee7c435-0241-40d8-8e61-44a85bfafc81"/>
    <ds:schemaRef ds:uri="f5929e5e-c55a-45e1-92a0-df0ffb074f80"/>
  </ds:schemaRefs>
</ds:datastoreItem>
</file>

<file path=customXml/itemProps2.xml><?xml version="1.0" encoding="utf-8"?>
<ds:datastoreItem xmlns:ds="http://schemas.openxmlformats.org/officeDocument/2006/customXml" ds:itemID="{FF50838C-1001-4A93-B3ED-C3E7AB93D0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52C6B-8EAF-4EC9-B087-C3C44EFDB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7c435-0241-40d8-8e61-44a85bfafc81"/>
    <ds:schemaRef ds:uri="f5929e5e-c55a-45e1-92a0-df0ffb074f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Dignan</dc:creator>
  <cp:keywords/>
  <dc:description/>
  <cp:lastModifiedBy>Sarah Dignan</cp:lastModifiedBy>
  <cp:revision>12</cp:revision>
  <dcterms:created xsi:type="dcterms:W3CDTF">2022-12-13T13:28:00Z</dcterms:created>
  <dcterms:modified xsi:type="dcterms:W3CDTF">2022-12-13T13:47:00Z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0x01010058BFE82A828C794A880972A9B2F83315</vt:lpwstr>
  </property>
  <property fmtid="{D5CDD505-2E9C-101B-9397-08002B2CF9AE}" pid="3" name="MediaServiceImageTags">
    <vt:lpwstr/>
  </property>
</Properties>
</file>