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710D7" w14:textId="6A28DAC1" w:rsidR="00E62F46" w:rsidRDefault="00E62F46" w:rsidP="00E62F46">
      <w:pPr>
        <w:jc w:val="center"/>
        <w:rPr>
          <w:rFonts w:ascii="Arial" w:hAnsi="Arial" w:cs="Arial"/>
          <w:b/>
          <w:sz w:val="24"/>
          <w:szCs w:val="24"/>
        </w:rPr>
      </w:pPr>
      <w:bookmarkStart w:id="0" w:name="_GoBack"/>
      <w:bookmarkEnd w:id="0"/>
      <w:r>
        <w:rPr>
          <w:rFonts w:cs="Arial"/>
          <w:b/>
          <w:bCs/>
          <w:noProof/>
          <w:szCs w:val="28"/>
        </w:rPr>
        <w:drawing>
          <wp:anchor distT="0" distB="0" distL="114300" distR="114300" simplePos="0" relativeHeight="251660288" behindDoc="1" locked="0" layoutInCell="1" allowOverlap="1" wp14:anchorId="161DBA15" wp14:editId="5497A193">
            <wp:simplePos x="0" y="0"/>
            <wp:positionH relativeFrom="margin">
              <wp:align>left</wp:align>
            </wp:positionH>
            <wp:positionV relativeFrom="paragraph">
              <wp:posOffset>0</wp:posOffset>
            </wp:positionV>
            <wp:extent cx="1146810" cy="1222375"/>
            <wp:effectExtent l="0" t="0" r="0" b="0"/>
            <wp:wrapTight wrapText="bothSides">
              <wp:wrapPolygon edited="0">
                <wp:start x="0" y="0"/>
                <wp:lineTo x="0" y="21207"/>
                <wp:lineTo x="21169" y="21207"/>
                <wp:lineTo x="21169" y="13128"/>
                <wp:lineTo x="19734" y="12455"/>
                <wp:lineTo x="10405" y="10772"/>
                <wp:lineTo x="15429" y="8752"/>
                <wp:lineTo x="16505" y="7069"/>
                <wp:lineTo x="15429" y="3030"/>
                <wp:lineTo x="136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 LOGO full version (1).png"/>
                    <pic:cNvPicPr/>
                  </pic:nvPicPr>
                  <pic:blipFill>
                    <a:blip r:embed="rId11"/>
                    <a:stretch>
                      <a:fillRect/>
                    </a:stretch>
                  </pic:blipFill>
                  <pic:spPr>
                    <a:xfrm>
                      <a:off x="0" y="0"/>
                      <a:ext cx="1146810" cy="1222375"/>
                    </a:xfrm>
                    <a:prstGeom prst="rect">
                      <a:avLst/>
                    </a:prstGeom>
                  </pic:spPr>
                </pic:pic>
              </a:graphicData>
            </a:graphic>
            <wp14:sizeRelH relativeFrom="page">
              <wp14:pctWidth>0</wp14:pctWidth>
            </wp14:sizeRelH>
            <wp14:sizeRelV relativeFrom="page">
              <wp14:pctHeight>0</wp14:pctHeight>
            </wp14:sizeRelV>
          </wp:anchor>
        </w:drawing>
      </w:r>
    </w:p>
    <w:p w14:paraId="4AF81F42" w14:textId="1854173C" w:rsidR="00E62F46" w:rsidRDefault="00E62F46" w:rsidP="00E62F46">
      <w:pPr>
        <w:jc w:val="center"/>
        <w:rPr>
          <w:rFonts w:ascii="Arial" w:hAnsi="Arial" w:cs="Arial"/>
          <w:b/>
          <w:sz w:val="24"/>
          <w:szCs w:val="24"/>
        </w:rPr>
      </w:pPr>
    </w:p>
    <w:p w14:paraId="02270176" w14:textId="77777777" w:rsidR="00E62F46" w:rsidRDefault="00E62F46" w:rsidP="00E62F46">
      <w:pPr>
        <w:jc w:val="center"/>
        <w:rPr>
          <w:rFonts w:ascii="Arial" w:hAnsi="Arial" w:cs="Arial"/>
          <w:b/>
          <w:sz w:val="24"/>
          <w:szCs w:val="24"/>
        </w:rPr>
      </w:pPr>
    </w:p>
    <w:p w14:paraId="30EA3D37" w14:textId="3CD47998" w:rsidR="00E62F46" w:rsidRDefault="00E62F46" w:rsidP="00E62F46">
      <w:pPr>
        <w:jc w:val="center"/>
        <w:rPr>
          <w:rFonts w:ascii="Arial" w:hAnsi="Arial" w:cs="Arial"/>
          <w:b/>
          <w:sz w:val="24"/>
          <w:szCs w:val="24"/>
        </w:rPr>
      </w:pPr>
    </w:p>
    <w:p w14:paraId="6D2FAA16" w14:textId="658689BC" w:rsidR="00E62F46" w:rsidRDefault="00E62F46" w:rsidP="00E62F46">
      <w:pPr>
        <w:jc w:val="center"/>
        <w:rPr>
          <w:rFonts w:ascii="Arial" w:hAnsi="Arial" w:cs="Arial"/>
          <w:b/>
          <w:sz w:val="24"/>
          <w:szCs w:val="24"/>
        </w:rPr>
      </w:pPr>
    </w:p>
    <w:p w14:paraId="1CC33F80" w14:textId="279D61B2" w:rsidR="00E62F46" w:rsidRDefault="00E62F46" w:rsidP="00E62F46">
      <w:pPr>
        <w:jc w:val="center"/>
        <w:rPr>
          <w:rFonts w:ascii="Arial" w:hAnsi="Arial" w:cs="Arial"/>
          <w:b/>
          <w:sz w:val="24"/>
          <w:szCs w:val="24"/>
        </w:rPr>
      </w:pPr>
    </w:p>
    <w:p w14:paraId="71380F19" w14:textId="77777777" w:rsidR="00E62F46" w:rsidRDefault="00E62F46" w:rsidP="00E62F46">
      <w:pPr>
        <w:jc w:val="center"/>
        <w:rPr>
          <w:rFonts w:ascii="Arial" w:hAnsi="Arial" w:cs="Arial"/>
          <w:b/>
          <w:sz w:val="24"/>
          <w:szCs w:val="24"/>
        </w:rPr>
      </w:pPr>
    </w:p>
    <w:p w14:paraId="2033352E" w14:textId="77777777" w:rsidR="001D176E" w:rsidRDefault="001D176E" w:rsidP="00E62F46">
      <w:pPr>
        <w:jc w:val="center"/>
        <w:rPr>
          <w:rFonts w:ascii="Arial" w:hAnsi="Arial" w:cs="Arial"/>
          <w:b/>
          <w:sz w:val="32"/>
          <w:szCs w:val="32"/>
        </w:rPr>
      </w:pPr>
      <w:bookmarkStart w:id="1" w:name="_Hlk23763941"/>
      <w:r>
        <w:rPr>
          <w:rFonts w:ascii="Arial" w:hAnsi="Arial" w:cs="Arial"/>
          <w:b/>
          <w:sz w:val="32"/>
          <w:szCs w:val="32"/>
        </w:rPr>
        <w:t>North of Tyne Combined Authority (NTCA)</w:t>
      </w:r>
    </w:p>
    <w:p w14:paraId="4595FA1C" w14:textId="3CDA6E97" w:rsidR="00E62F46" w:rsidRDefault="00CD1335" w:rsidP="00E62F46">
      <w:pPr>
        <w:jc w:val="center"/>
        <w:rPr>
          <w:rFonts w:ascii="Arial" w:hAnsi="Arial" w:cs="Arial"/>
          <w:b/>
          <w:sz w:val="32"/>
          <w:szCs w:val="32"/>
        </w:rPr>
      </w:pPr>
      <w:r>
        <w:rPr>
          <w:rFonts w:ascii="Arial" w:hAnsi="Arial" w:cs="Arial"/>
          <w:b/>
          <w:sz w:val="32"/>
          <w:szCs w:val="32"/>
        </w:rPr>
        <w:t xml:space="preserve">Framework Agreement for </w:t>
      </w:r>
      <w:r w:rsidR="00E62F46" w:rsidRPr="00E62F46">
        <w:rPr>
          <w:rFonts w:ascii="Arial" w:hAnsi="Arial" w:cs="Arial"/>
          <w:b/>
          <w:sz w:val="32"/>
          <w:szCs w:val="32"/>
        </w:rPr>
        <w:t xml:space="preserve">Adult Education </w:t>
      </w:r>
      <w:r w:rsidR="00C063EF">
        <w:rPr>
          <w:rFonts w:ascii="Arial" w:hAnsi="Arial" w:cs="Arial"/>
          <w:b/>
          <w:sz w:val="32"/>
          <w:szCs w:val="32"/>
        </w:rPr>
        <w:t xml:space="preserve">Budget </w:t>
      </w:r>
      <w:r w:rsidR="00E62F46" w:rsidRPr="00E62F46">
        <w:rPr>
          <w:rFonts w:ascii="Arial" w:hAnsi="Arial" w:cs="Arial"/>
          <w:b/>
          <w:sz w:val="32"/>
          <w:szCs w:val="32"/>
        </w:rPr>
        <w:t>Procured Provision</w:t>
      </w:r>
    </w:p>
    <w:p w14:paraId="3AA02BE1" w14:textId="77777777" w:rsidR="00CD1335" w:rsidRPr="00E62F46" w:rsidRDefault="00CD1335" w:rsidP="00E62F46">
      <w:pPr>
        <w:jc w:val="center"/>
        <w:rPr>
          <w:rFonts w:ascii="Arial" w:hAnsi="Arial" w:cs="Arial"/>
          <w:b/>
          <w:sz w:val="32"/>
          <w:szCs w:val="32"/>
        </w:rPr>
      </w:pPr>
    </w:p>
    <w:p w14:paraId="5B87BD2E" w14:textId="57B29032" w:rsidR="00E62F46" w:rsidRPr="00E62F46" w:rsidRDefault="00C063EF" w:rsidP="00E62F46">
      <w:pPr>
        <w:jc w:val="center"/>
        <w:rPr>
          <w:rFonts w:ascii="Arial" w:hAnsi="Arial" w:cs="Arial"/>
          <w:b/>
          <w:sz w:val="32"/>
          <w:szCs w:val="32"/>
        </w:rPr>
      </w:pPr>
      <w:r>
        <w:rPr>
          <w:rFonts w:ascii="Arial" w:hAnsi="Arial" w:cs="Arial"/>
          <w:b/>
          <w:sz w:val="32"/>
          <w:szCs w:val="32"/>
        </w:rPr>
        <w:t xml:space="preserve">Schedule 1: </w:t>
      </w:r>
      <w:r w:rsidR="00E62F46" w:rsidRPr="00E62F46">
        <w:rPr>
          <w:rFonts w:ascii="Arial" w:hAnsi="Arial" w:cs="Arial"/>
          <w:b/>
          <w:sz w:val="32"/>
          <w:szCs w:val="32"/>
        </w:rPr>
        <w:t>Service Specification</w:t>
      </w:r>
    </w:p>
    <w:bookmarkEnd w:id="1"/>
    <w:p w14:paraId="627A891A" w14:textId="77777777" w:rsidR="001D176E" w:rsidRDefault="001D176E">
      <w:pPr>
        <w:rPr>
          <w:rFonts w:ascii="Arial" w:hAnsi="Arial" w:cs="Arial"/>
          <w:b/>
          <w:sz w:val="24"/>
          <w:szCs w:val="24"/>
        </w:rPr>
      </w:pPr>
    </w:p>
    <w:p w14:paraId="6CD636B5" w14:textId="77777777" w:rsidR="001D176E" w:rsidRDefault="001D176E">
      <w:pPr>
        <w:rPr>
          <w:rFonts w:ascii="Arial" w:hAnsi="Arial" w:cs="Arial"/>
          <w:b/>
          <w:sz w:val="24"/>
          <w:szCs w:val="24"/>
        </w:rPr>
      </w:pPr>
    </w:p>
    <w:p w14:paraId="4E14984A" w14:textId="77777777" w:rsidR="001D176E" w:rsidRDefault="001D176E">
      <w:pPr>
        <w:rPr>
          <w:rFonts w:ascii="Arial" w:hAnsi="Arial" w:cs="Arial"/>
          <w:b/>
          <w:sz w:val="24"/>
          <w:szCs w:val="24"/>
        </w:rPr>
      </w:pPr>
    </w:p>
    <w:p w14:paraId="6BEC46B8" w14:textId="77777777" w:rsidR="001D176E" w:rsidRDefault="001D176E">
      <w:pPr>
        <w:rPr>
          <w:rFonts w:ascii="Arial" w:hAnsi="Arial" w:cs="Arial"/>
          <w:b/>
          <w:sz w:val="24"/>
          <w:szCs w:val="24"/>
        </w:rPr>
      </w:pPr>
    </w:p>
    <w:p w14:paraId="642E0259" w14:textId="77777777" w:rsidR="001D176E" w:rsidRDefault="001D176E">
      <w:pPr>
        <w:rPr>
          <w:rFonts w:ascii="Arial" w:hAnsi="Arial" w:cs="Arial"/>
          <w:b/>
          <w:sz w:val="24"/>
          <w:szCs w:val="24"/>
        </w:rPr>
      </w:pPr>
    </w:p>
    <w:p w14:paraId="75617F5E" w14:textId="77777777" w:rsidR="001D176E" w:rsidRDefault="001D176E">
      <w:pPr>
        <w:rPr>
          <w:rFonts w:ascii="Arial" w:hAnsi="Arial" w:cs="Arial"/>
          <w:b/>
          <w:sz w:val="24"/>
          <w:szCs w:val="24"/>
        </w:rPr>
      </w:pPr>
    </w:p>
    <w:p w14:paraId="5D45F1B9" w14:textId="77777777" w:rsidR="001D176E" w:rsidRDefault="001D176E">
      <w:pPr>
        <w:rPr>
          <w:rFonts w:ascii="Arial" w:hAnsi="Arial" w:cs="Arial"/>
          <w:b/>
          <w:sz w:val="24"/>
          <w:szCs w:val="24"/>
        </w:rPr>
      </w:pPr>
    </w:p>
    <w:p w14:paraId="2BF3E3DA" w14:textId="77777777" w:rsidR="001D176E" w:rsidRDefault="001D176E">
      <w:pPr>
        <w:rPr>
          <w:rFonts w:ascii="Arial" w:hAnsi="Arial" w:cs="Arial"/>
          <w:b/>
          <w:sz w:val="24"/>
          <w:szCs w:val="24"/>
        </w:rPr>
      </w:pPr>
    </w:p>
    <w:p w14:paraId="296422B6" w14:textId="77777777" w:rsidR="001D176E" w:rsidRDefault="001D176E">
      <w:pPr>
        <w:rPr>
          <w:rFonts w:ascii="Arial" w:hAnsi="Arial" w:cs="Arial"/>
          <w:b/>
          <w:sz w:val="24"/>
          <w:szCs w:val="24"/>
        </w:rPr>
      </w:pPr>
    </w:p>
    <w:p w14:paraId="36BBAD53" w14:textId="77777777" w:rsidR="001D176E" w:rsidRDefault="001D176E">
      <w:pPr>
        <w:rPr>
          <w:rFonts w:ascii="Arial" w:hAnsi="Arial" w:cs="Arial"/>
          <w:b/>
          <w:sz w:val="24"/>
          <w:szCs w:val="24"/>
        </w:rPr>
      </w:pPr>
    </w:p>
    <w:p w14:paraId="4F382850" w14:textId="77777777" w:rsidR="001D176E" w:rsidRDefault="001D176E">
      <w:pPr>
        <w:rPr>
          <w:rFonts w:ascii="Arial" w:hAnsi="Arial" w:cs="Arial"/>
          <w:b/>
          <w:sz w:val="24"/>
          <w:szCs w:val="24"/>
        </w:rPr>
      </w:pPr>
    </w:p>
    <w:p w14:paraId="26A6726A" w14:textId="77777777" w:rsidR="001D176E" w:rsidRDefault="001D176E">
      <w:pPr>
        <w:rPr>
          <w:rFonts w:ascii="Arial" w:hAnsi="Arial" w:cs="Arial"/>
          <w:b/>
          <w:sz w:val="24"/>
          <w:szCs w:val="24"/>
        </w:rPr>
      </w:pPr>
    </w:p>
    <w:p w14:paraId="7FF8C543" w14:textId="77777777" w:rsidR="001D176E" w:rsidRDefault="001D176E">
      <w:pPr>
        <w:rPr>
          <w:rFonts w:ascii="Arial" w:hAnsi="Arial" w:cs="Arial"/>
          <w:b/>
          <w:sz w:val="24"/>
          <w:szCs w:val="24"/>
        </w:rPr>
      </w:pPr>
    </w:p>
    <w:p w14:paraId="7AD18B7C" w14:textId="240B3F7A" w:rsidR="001D176E" w:rsidRDefault="001D176E">
      <w:pPr>
        <w:rPr>
          <w:rFonts w:ascii="Arial" w:hAnsi="Arial" w:cs="Arial"/>
          <w:b/>
          <w:sz w:val="24"/>
          <w:szCs w:val="24"/>
        </w:rPr>
      </w:pPr>
    </w:p>
    <w:p w14:paraId="7ACA647A" w14:textId="5968330D" w:rsidR="001D176E" w:rsidRDefault="001D176E">
      <w:pPr>
        <w:rPr>
          <w:rFonts w:ascii="Arial" w:hAnsi="Arial" w:cs="Arial"/>
          <w:b/>
          <w:sz w:val="24"/>
          <w:szCs w:val="24"/>
        </w:rPr>
      </w:pPr>
    </w:p>
    <w:p w14:paraId="09BCC016" w14:textId="46C0DBCB" w:rsidR="001D176E" w:rsidRDefault="00994F9A">
      <w:pPr>
        <w:rPr>
          <w:rFonts w:ascii="Arial" w:hAnsi="Arial" w:cs="Arial"/>
          <w:b/>
          <w:sz w:val="24"/>
          <w:szCs w:val="24"/>
        </w:rPr>
      </w:pPr>
      <w:r>
        <w:rPr>
          <w:rFonts w:cs="Arial"/>
          <w:b/>
          <w:bCs/>
          <w:noProof/>
          <w:szCs w:val="28"/>
        </w:rPr>
        <w:drawing>
          <wp:anchor distT="0" distB="0" distL="114300" distR="114300" simplePos="0" relativeHeight="251662336" behindDoc="1" locked="0" layoutInCell="1" allowOverlap="1" wp14:anchorId="11ACE47B" wp14:editId="6FBCE00C">
            <wp:simplePos x="0" y="0"/>
            <wp:positionH relativeFrom="margin">
              <wp:align>center</wp:align>
            </wp:positionH>
            <wp:positionV relativeFrom="paragraph">
              <wp:posOffset>294640</wp:posOffset>
            </wp:positionV>
            <wp:extent cx="4688230" cy="1018120"/>
            <wp:effectExtent l="0" t="0" r="0" b="0"/>
            <wp:wrapTight wrapText="bothSides">
              <wp:wrapPolygon edited="0">
                <wp:start x="9742" y="404"/>
                <wp:lineTo x="351" y="6468"/>
                <wp:lineTo x="263" y="11319"/>
                <wp:lineTo x="1404" y="14148"/>
                <wp:lineTo x="8075" y="19808"/>
                <wp:lineTo x="9304" y="20616"/>
                <wp:lineTo x="9742" y="20616"/>
                <wp:lineTo x="12639" y="19808"/>
                <wp:lineTo x="12814" y="18191"/>
                <wp:lineTo x="11673" y="14148"/>
                <wp:lineTo x="16237" y="14148"/>
                <wp:lineTo x="21152" y="10915"/>
                <wp:lineTo x="21240" y="7681"/>
                <wp:lineTo x="10445" y="404"/>
                <wp:lineTo x="9742" y="40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 Logos.png"/>
                    <pic:cNvPicPr/>
                  </pic:nvPicPr>
                  <pic:blipFill>
                    <a:blip r:embed="rId12"/>
                    <a:stretch>
                      <a:fillRect/>
                    </a:stretch>
                  </pic:blipFill>
                  <pic:spPr>
                    <a:xfrm>
                      <a:off x="0" y="0"/>
                      <a:ext cx="4688230" cy="1018120"/>
                    </a:xfrm>
                    <a:prstGeom prst="rect">
                      <a:avLst/>
                    </a:prstGeom>
                  </pic:spPr>
                </pic:pic>
              </a:graphicData>
            </a:graphic>
            <wp14:sizeRelH relativeFrom="page">
              <wp14:pctWidth>0</wp14:pctWidth>
            </wp14:sizeRelH>
            <wp14:sizeRelV relativeFrom="page">
              <wp14:pctHeight>0</wp14:pctHeight>
            </wp14:sizeRelV>
          </wp:anchor>
        </w:drawing>
      </w:r>
    </w:p>
    <w:p w14:paraId="03E620F9" w14:textId="09561719" w:rsidR="00752127" w:rsidRDefault="00752127">
      <w:pPr>
        <w:rPr>
          <w:rFonts w:ascii="Arial" w:hAnsi="Arial" w:cs="Arial"/>
          <w:b/>
          <w:sz w:val="24"/>
          <w:szCs w:val="24"/>
        </w:rPr>
      </w:pPr>
      <w:r>
        <w:rPr>
          <w:rFonts w:ascii="Arial" w:hAnsi="Arial" w:cs="Arial"/>
          <w:b/>
          <w:sz w:val="24"/>
          <w:szCs w:val="24"/>
        </w:rPr>
        <w:br w:type="page"/>
      </w:r>
    </w:p>
    <w:p w14:paraId="7C25208E" w14:textId="6F95F5DE" w:rsidR="00ED5AB3" w:rsidRPr="00E923BA" w:rsidRDefault="00F57B61" w:rsidP="00DD4744">
      <w:pPr>
        <w:jc w:val="center"/>
        <w:rPr>
          <w:rFonts w:ascii="Arial" w:hAnsi="Arial" w:cs="Arial"/>
          <w:b/>
          <w:sz w:val="24"/>
          <w:szCs w:val="24"/>
        </w:rPr>
      </w:pPr>
      <w:bookmarkStart w:id="2" w:name="_Hlk22051134"/>
      <w:bookmarkEnd w:id="2"/>
      <w:r w:rsidRPr="00E923BA">
        <w:rPr>
          <w:rFonts w:ascii="Arial" w:hAnsi="Arial" w:cs="Arial"/>
          <w:b/>
          <w:sz w:val="24"/>
          <w:szCs w:val="24"/>
        </w:rPr>
        <w:lastRenderedPageBreak/>
        <w:t>North of Tyne Combined A</w:t>
      </w:r>
      <w:r w:rsidR="00055BE8" w:rsidRPr="00E923BA">
        <w:rPr>
          <w:rFonts w:ascii="Arial" w:hAnsi="Arial" w:cs="Arial"/>
          <w:b/>
          <w:sz w:val="24"/>
          <w:szCs w:val="24"/>
        </w:rPr>
        <w:t>uth</w:t>
      </w:r>
      <w:r w:rsidRPr="00E923BA">
        <w:rPr>
          <w:rFonts w:ascii="Arial" w:hAnsi="Arial" w:cs="Arial"/>
          <w:b/>
          <w:sz w:val="24"/>
          <w:szCs w:val="24"/>
        </w:rPr>
        <w:t xml:space="preserve">ority </w:t>
      </w:r>
      <w:r w:rsidR="00C60ACB" w:rsidRPr="00E923BA">
        <w:rPr>
          <w:rFonts w:ascii="Arial" w:hAnsi="Arial" w:cs="Arial"/>
          <w:b/>
          <w:sz w:val="24"/>
          <w:szCs w:val="24"/>
        </w:rPr>
        <w:t xml:space="preserve">– </w:t>
      </w:r>
      <w:r w:rsidRPr="00E923BA">
        <w:rPr>
          <w:rFonts w:ascii="Arial" w:hAnsi="Arial" w:cs="Arial"/>
          <w:b/>
          <w:sz w:val="24"/>
          <w:szCs w:val="24"/>
        </w:rPr>
        <w:t xml:space="preserve">Adult Education and Skills </w:t>
      </w:r>
      <w:r w:rsidR="00C60ACB" w:rsidRPr="00E923BA">
        <w:rPr>
          <w:rFonts w:ascii="Arial" w:hAnsi="Arial" w:cs="Arial"/>
          <w:b/>
          <w:sz w:val="24"/>
          <w:szCs w:val="24"/>
        </w:rPr>
        <w:t>Procured Provision</w:t>
      </w:r>
    </w:p>
    <w:p w14:paraId="375EECE3" w14:textId="3CE94628" w:rsidR="00DD4744" w:rsidRPr="00E923BA" w:rsidRDefault="00DD4744" w:rsidP="00DD4744">
      <w:pPr>
        <w:jc w:val="center"/>
        <w:rPr>
          <w:rFonts w:ascii="Arial" w:hAnsi="Arial" w:cs="Arial"/>
          <w:b/>
          <w:sz w:val="24"/>
          <w:szCs w:val="24"/>
        </w:rPr>
      </w:pPr>
      <w:r w:rsidRPr="00E923BA">
        <w:rPr>
          <w:rFonts w:ascii="Arial" w:hAnsi="Arial" w:cs="Arial"/>
          <w:b/>
          <w:sz w:val="24"/>
          <w:szCs w:val="24"/>
        </w:rPr>
        <w:t xml:space="preserve">Invitation to tender for education and training services </w:t>
      </w:r>
    </w:p>
    <w:p w14:paraId="0EA05900" w14:textId="2123A8D0" w:rsidR="002F379D" w:rsidRPr="00E923BA" w:rsidRDefault="00DD4744" w:rsidP="00D73A8D">
      <w:pPr>
        <w:jc w:val="center"/>
        <w:rPr>
          <w:rFonts w:ascii="Arial" w:hAnsi="Arial" w:cs="Arial"/>
          <w:b/>
          <w:sz w:val="24"/>
          <w:szCs w:val="24"/>
        </w:rPr>
      </w:pPr>
      <w:r w:rsidRPr="00E923BA">
        <w:rPr>
          <w:rFonts w:ascii="Arial" w:hAnsi="Arial" w:cs="Arial"/>
          <w:b/>
          <w:sz w:val="24"/>
          <w:szCs w:val="24"/>
        </w:rPr>
        <w:t>Service Specification</w:t>
      </w:r>
    </w:p>
    <w:p w14:paraId="00560B7B" w14:textId="279CA51A" w:rsidR="00602BA2" w:rsidRDefault="00602BA2" w:rsidP="00602BA2">
      <w:pPr>
        <w:pStyle w:val="ListParagraph"/>
        <w:spacing w:after="0" w:line="240" w:lineRule="auto"/>
        <w:ind w:left="360" w:right="565"/>
        <w:jc w:val="center"/>
        <w:rPr>
          <w:rFonts w:ascii="Arial" w:hAnsi="Arial" w:cs="Arial"/>
          <w:b/>
          <w:bCs/>
          <w:sz w:val="24"/>
          <w:szCs w:val="24"/>
        </w:rPr>
      </w:pPr>
      <w:r w:rsidRPr="00602BA2">
        <w:rPr>
          <w:rFonts w:ascii="Arial" w:hAnsi="Arial" w:cs="Arial"/>
          <w:b/>
          <w:bCs/>
          <w:sz w:val="24"/>
          <w:szCs w:val="24"/>
        </w:rPr>
        <w:t>The Services subject to this Tender are “Social or Other Specific Services” within Section 7 of the Public Contracts Regulations 2015 and are therefore not subject to the full extent of the Regulations.</w:t>
      </w:r>
    </w:p>
    <w:p w14:paraId="4BDAE554" w14:textId="77777777" w:rsidR="00602BA2" w:rsidRDefault="00602BA2" w:rsidP="00602BA2">
      <w:pPr>
        <w:pStyle w:val="ListParagraph"/>
        <w:spacing w:after="0" w:line="240" w:lineRule="auto"/>
        <w:ind w:left="360" w:right="565"/>
        <w:rPr>
          <w:rFonts w:ascii="Arial" w:hAnsi="Arial" w:cs="Arial"/>
          <w:b/>
          <w:bCs/>
          <w:sz w:val="24"/>
          <w:szCs w:val="24"/>
        </w:rPr>
      </w:pPr>
    </w:p>
    <w:p w14:paraId="4AAC74FF" w14:textId="4E98723D" w:rsidR="00AB4C50" w:rsidRDefault="00DD4744" w:rsidP="009C1460">
      <w:pPr>
        <w:pStyle w:val="ListParagraph"/>
        <w:spacing w:after="0" w:line="240" w:lineRule="auto"/>
        <w:ind w:left="360"/>
        <w:rPr>
          <w:rFonts w:ascii="Arial" w:hAnsi="Arial" w:cs="Arial"/>
          <w:b/>
          <w:sz w:val="24"/>
          <w:szCs w:val="24"/>
        </w:rPr>
      </w:pPr>
      <w:r w:rsidRPr="00E923BA">
        <w:rPr>
          <w:rFonts w:ascii="Arial" w:hAnsi="Arial" w:cs="Arial"/>
          <w:b/>
          <w:sz w:val="24"/>
          <w:szCs w:val="24"/>
        </w:rPr>
        <w:t>Introduction</w:t>
      </w:r>
      <w:r w:rsidR="00D73A8D" w:rsidRPr="00E923BA">
        <w:rPr>
          <w:rFonts w:ascii="Arial" w:hAnsi="Arial" w:cs="Arial"/>
          <w:b/>
          <w:sz w:val="24"/>
          <w:szCs w:val="24"/>
        </w:rPr>
        <w:t xml:space="preserve">  </w:t>
      </w:r>
    </w:p>
    <w:p w14:paraId="496372CA" w14:textId="77777777" w:rsidR="00602BA2" w:rsidRDefault="00602BA2" w:rsidP="009C1460">
      <w:pPr>
        <w:pStyle w:val="ListParagraph"/>
        <w:spacing w:after="0" w:line="240" w:lineRule="auto"/>
        <w:ind w:left="360"/>
        <w:rPr>
          <w:rFonts w:ascii="Arial" w:hAnsi="Arial" w:cs="Arial"/>
          <w:b/>
          <w:sz w:val="24"/>
          <w:szCs w:val="24"/>
        </w:rPr>
      </w:pPr>
    </w:p>
    <w:p w14:paraId="638D976D" w14:textId="20343FB0" w:rsidR="00602BA2" w:rsidRPr="00E923BA" w:rsidRDefault="00602BA2" w:rsidP="00602BA2">
      <w:pPr>
        <w:pStyle w:val="BodyText"/>
        <w:numPr>
          <w:ilvl w:val="0"/>
          <w:numId w:val="2"/>
        </w:numPr>
        <w:ind w:left="357" w:right="567" w:hanging="357"/>
        <w:rPr>
          <w:rFonts w:eastAsiaTheme="minorHAnsi"/>
          <w:color w:val="000000"/>
          <w:lang w:eastAsia="en-US" w:bidi="ar-SA"/>
        </w:rPr>
      </w:pPr>
      <w:r w:rsidRPr="00E923BA">
        <w:t>The Government will devolve approx</w:t>
      </w:r>
      <w:r w:rsidR="001D176E">
        <w:t>imately</w:t>
      </w:r>
      <w:r w:rsidRPr="00E923BA">
        <w:t xml:space="preserve"> £22m per annum of the Adult Education Budget</w:t>
      </w:r>
      <w:r w:rsidR="001D176E">
        <w:t xml:space="preserve"> (AEB)</w:t>
      </w:r>
      <w:r w:rsidRPr="00E923BA">
        <w:t xml:space="preserve"> to </w:t>
      </w:r>
      <w:r>
        <w:t>the North of Tyne Combined Authority (</w:t>
      </w:r>
      <w:r w:rsidRPr="00E923BA">
        <w:t>NTCA</w:t>
      </w:r>
      <w:r>
        <w:t>)</w:t>
      </w:r>
      <w:r w:rsidRPr="00E923BA">
        <w:t xml:space="preserve"> from 1st August 2020</w:t>
      </w:r>
      <w:r>
        <w:t xml:space="preserve"> </w:t>
      </w:r>
      <w:r w:rsidRPr="00E923BA">
        <w:t xml:space="preserve">enabling </w:t>
      </w:r>
      <w:r>
        <w:t xml:space="preserve">adult learning </w:t>
      </w:r>
      <w:r w:rsidRPr="00E923BA">
        <w:t>priorities to be determined at a local level. This funding will support a range of flexible high-quality education and skills provision, d</w:t>
      </w:r>
      <w:r w:rsidRPr="00E923BA">
        <w:rPr>
          <w:rFonts w:eastAsiaTheme="minorHAnsi"/>
          <w:color w:val="000000"/>
          <w:lang w:eastAsia="en-US" w:bidi="ar-SA"/>
        </w:rPr>
        <w:t xml:space="preserve">elivering a more responsive, accessible adult skills offer for residents of North of Tyne and employers. </w:t>
      </w:r>
    </w:p>
    <w:p w14:paraId="49F71141" w14:textId="77777777" w:rsidR="00602BA2" w:rsidRPr="00E923BA" w:rsidRDefault="00602BA2" w:rsidP="00602BA2">
      <w:pPr>
        <w:pStyle w:val="BodyText"/>
        <w:ind w:left="357" w:right="567"/>
      </w:pPr>
    </w:p>
    <w:p w14:paraId="265DD098" w14:textId="729B80C5" w:rsidR="00602BA2" w:rsidRDefault="00602BA2" w:rsidP="00602BA2">
      <w:pPr>
        <w:pStyle w:val="BodyText"/>
        <w:numPr>
          <w:ilvl w:val="0"/>
          <w:numId w:val="2"/>
        </w:numPr>
        <w:ind w:left="357" w:right="567" w:hanging="357"/>
      </w:pPr>
      <w:r w:rsidRPr="00E923BA">
        <w:t xml:space="preserve">NTCA will continue to support high quality activity delivered by </w:t>
      </w:r>
      <w:r>
        <w:t>organisations</w:t>
      </w:r>
      <w:r w:rsidRPr="00E923BA">
        <w:t xml:space="preserve">, where </w:t>
      </w:r>
      <w:r>
        <w:t>it</w:t>
      </w:r>
      <w:r w:rsidRPr="00E923BA">
        <w:t xml:space="preserve"> meets the needs of residents and employers, but, where we believe a different mix and balance of activities need to be delivered, we will seek to secure the changes without destabilising the North of Tyne post-16 </w:t>
      </w:r>
      <w:r>
        <w:t xml:space="preserve">provider </w:t>
      </w:r>
      <w:r w:rsidRPr="00E923BA">
        <w:t>base.</w:t>
      </w:r>
    </w:p>
    <w:p w14:paraId="52A806E4" w14:textId="77777777" w:rsidR="00602BA2" w:rsidRDefault="00602BA2" w:rsidP="00602BA2">
      <w:pPr>
        <w:pStyle w:val="BodyText"/>
        <w:ind w:right="567"/>
      </w:pPr>
    </w:p>
    <w:p w14:paraId="1189605A" w14:textId="77777777" w:rsidR="00602BA2" w:rsidRDefault="00602BA2" w:rsidP="00602BA2">
      <w:pPr>
        <w:pStyle w:val="BodyText"/>
        <w:numPr>
          <w:ilvl w:val="0"/>
          <w:numId w:val="2"/>
        </w:numPr>
        <w:ind w:right="567"/>
      </w:pPr>
      <w:r w:rsidRPr="00E923BA">
        <w:t>To secure delivery of adult skills provision from academic year (AY) 2020/21 NTCA is operating two concurrent commissioning processes:</w:t>
      </w:r>
    </w:p>
    <w:p w14:paraId="5E4226DF" w14:textId="77777777" w:rsidR="00602BA2" w:rsidRDefault="00602BA2" w:rsidP="00602BA2">
      <w:pPr>
        <w:pStyle w:val="BodyText"/>
        <w:ind w:right="567"/>
      </w:pPr>
    </w:p>
    <w:p w14:paraId="71E6C0B6" w14:textId="655E8E77" w:rsidR="00602BA2" w:rsidRDefault="00602BA2" w:rsidP="001D176E">
      <w:pPr>
        <w:pStyle w:val="BodyText"/>
        <w:numPr>
          <w:ilvl w:val="0"/>
          <w:numId w:val="29"/>
        </w:numPr>
        <w:ind w:right="567"/>
      </w:pPr>
      <w:r w:rsidRPr="00E923BA">
        <w:t xml:space="preserve">A 3-year plan-led approach with funding agreements with ‘in scope’ </w:t>
      </w:r>
      <w:r w:rsidR="00FD3052">
        <w:t>G</w:t>
      </w:r>
      <w:r w:rsidRPr="00E923BA">
        <w:t xml:space="preserve">rant </w:t>
      </w:r>
      <w:r>
        <w:t>providers</w:t>
      </w:r>
      <w:r w:rsidR="00B23D7E">
        <w:t xml:space="preserve">.  </w:t>
      </w:r>
      <w:r w:rsidR="00B23D7E" w:rsidRPr="00E923BA">
        <w:t xml:space="preserve">The </w:t>
      </w:r>
      <w:r w:rsidR="00FD3052">
        <w:t>G</w:t>
      </w:r>
      <w:r w:rsidR="00B23D7E">
        <w:t>rant i</w:t>
      </w:r>
      <w:r w:rsidR="00B23D7E" w:rsidRPr="00E923BA">
        <w:t xml:space="preserve">s initially for </w:t>
      </w:r>
      <w:r w:rsidR="00B23D7E">
        <w:t>a</w:t>
      </w:r>
      <w:r w:rsidR="00B23D7E" w:rsidRPr="00E923BA">
        <w:t xml:space="preserve"> 12-month delivery period from 1</w:t>
      </w:r>
      <w:r w:rsidR="00B23D7E" w:rsidRPr="00E923BA">
        <w:rPr>
          <w:vertAlign w:val="superscript"/>
        </w:rPr>
        <w:t>st</w:t>
      </w:r>
      <w:r w:rsidR="00B23D7E" w:rsidRPr="00E923BA">
        <w:t xml:space="preserve"> August 2020 to 31</w:t>
      </w:r>
      <w:r w:rsidR="00B23D7E" w:rsidRPr="00E923BA">
        <w:rPr>
          <w:vertAlign w:val="superscript"/>
        </w:rPr>
        <w:t>st</w:t>
      </w:r>
      <w:r w:rsidR="00B23D7E" w:rsidRPr="00E923BA">
        <w:t xml:space="preserve"> July 2021. </w:t>
      </w:r>
      <w:r w:rsidR="00B23D7E" w:rsidRPr="00E923BA">
        <w:rPr>
          <w:color w:val="000000"/>
        </w:rPr>
        <w:t xml:space="preserve">Thereafter, NTCA reserve the right to extend </w:t>
      </w:r>
      <w:r w:rsidR="00B23D7E">
        <w:rPr>
          <w:color w:val="000000"/>
        </w:rPr>
        <w:t xml:space="preserve">the </w:t>
      </w:r>
      <w:r w:rsidR="00FD3052">
        <w:rPr>
          <w:color w:val="000000"/>
        </w:rPr>
        <w:t>G</w:t>
      </w:r>
      <w:r w:rsidR="00B23D7E">
        <w:rPr>
          <w:color w:val="000000"/>
        </w:rPr>
        <w:t xml:space="preserve">rant </w:t>
      </w:r>
      <w:r w:rsidR="00B23D7E" w:rsidRPr="00E923BA">
        <w:rPr>
          <w:color w:val="000000"/>
        </w:rPr>
        <w:t xml:space="preserve">on an </w:t>
      </w:r>
      <w:r w:rsidR="00B23D7E" w:rsidRPr="00E923BA">
        <w:t>annual basis up to and including the AY 2022/23 funding year (i.e. a maximum period covering 3 years in total</w:t>
      </w:r>
      <w:r w:rsidR="00F83737">
        <w:t>)</w:t>
      </w:r>
      <w:r w:rsidR="00B23D7E">
        <w:t>.</w:t>
      </w:r>
    </w:p>
    <w:p w14:paraId="4A082452" w14:textId="77777777" w:rsidR="00B23D7E" w:rsidRDefault="00B23D7E" w:rsidP="00B23D7E">
      <w:pPr>
        <w:pStyle w:val="BodyText"/>
        <w:ind w:left="1134" w:right="567"/>
      </w:pPr>
    </w:p>
    <w:p w14:paraId="3C7C0CD7" w14:textId="77777777" w:rsidR="00602BA2" w:rsidRDefault="00602BA2" w:rsidP="00B23D7E">
      <w:pPr>
        <w:pStyle w:val="BodyText"/>
        <w:ind w:left="426" w:right="567"/>
      </w:pPr>
      <w:r w:rsidRPr="00E923BA">
        <w:t xml:space="preserve">Continuing to grant fund these </w:t>
      </w:r>
      <w:r>
        <w:t>providers</w:t>
      </w:r>
      <w:r w:rsidRPr="00E923BA">
        <w:t xml:space="preserve"> will provide stability for our residents and will ensure we continue to have sufficient levels of statutory entitlement provision available to residents. </w:t>
      </w:r>
    </w:p>
    <w:p w14:paraId="7E055E5B" w14:textId="7DCCAFBD" w:rsidR="00602BA2" w:rsidRDefault="00602BA2" w:rsidP="00602BA2">
      <w:pPr>
        <w:pStyle w:val="BodyText"/>
        <w:ind w:left="571" w:right="568"/>
      </w:pPr>
    </w:p>
    <w:p w14:paraId="10ED8C03" w14:textId="47AB20A1" w:rsidR="00B23D7E" w:rsidRDefault="00B23D7E" w:rsidP="001D176E">
      <w:pPr>
        <w:pStyle w:val="BodyText"/>
        <w:numPr>
          <w:ilvl w:val="0"/>
          <w:numId w:val="29"/>
        </w:numPr>
        <w:spacing w:before="1"/>
        <w:ind w:right="567"/>
      </w:pPr>
      <w:r>
        <w:t>An i</w:t>
      </w:r>
      <w:r w:rsidRPr="00E923BA">
        <w:t>nvitation to Tender (ITT) to procure delivery of Adult Education and Training Services funded through NTCA</w:t>
      </w:r>
      <w:r w:rsidR="001D176E">
        <w:t xml:space="preserve"> </w:t>
      </w:r>
      <w:r w:rsidRPr="00E923BA">
        <w:t>using approx</w:t>
      </w:r>
      <w:r w:rsidR="001D176E">
        <w:t>imately</w:t>
      </w:r>
      <w:r w:rsidRPr="00E923BA">
        <w:t xml:space="preserve"> £6</w:t>
      </w:r>
      <w:r>
        <w:t>.6</w:t>
      </w:r>
      <w:r w:rsidRPr="00E923BA">
        <w:t>m per annum of th</w:t>
      </w:r>
      <w:r w:rsidR="001D176E">
        <w:t xml:space="preserve">e </w:t>
      </w:r>
      <w:r w:rsidRPr="00E923BA">
        <w:t>AEB funding devolved to the NTCA from 1</w:t>
      </w:r>
      <w:r w:rsidRPr="00B23D7E">
        <w:rPr>
          <w:vertAlign w:val="superscript"/>
        </w:rPr>
        <w:t>st</w:t>
      </w:r>
      <w:r w:rsidRPr="00E923BA">
        <w:t xml:space="preserve"> August 2020. </w:t>
      </w:r>
      <w:r>
        <w:t xml:space="preserve"> Call off contracts will </w:t>
      </w:r>
      <w:r w:rsidRPr="00E923BA">
        <w:t>initially</w:t>
      </w:r>
      <w:r>
        <w:t xml:space="preserve"> be</w:t>
      </w:r>
      <w:r w:rsidRPr="00E923BA">
        <w:t xml:space="preserve"> for </w:t>
      </w:r>
      <w:r>
        <w:t xml:space="preserve">a </w:t>
      </w:r>
      <w:r w:rsidRPr="00E923BA">
        <w:t>12-month delivery period from 1</w:t>
      </w:r>
      <w:r w:rsidRPr="00E923BA">
        <w:rPr>
          <w:vertAlign w:val="superscript"/>
        </w:rPr>
        <w:t>st</w:t>
      </w:r>
      <w:r w:rsidRPr="00E923BA">
        <w:t xml:space="preserve"> August 2020 to 31</w:t>
      </w:r>
      <w:r w:rsidRPr="00E923BA">
        <w:rPr>
          <w:vertAlign w:val="superscript"/>
        </w:rPr>
        <w:t>st</w:t>
      </w:r>
      <w:r w:rsidRPr="00E923BA">
        <w:t xml:space="preserve"> July 2021. </w:t>
      </w:r>
      <w:r w:rsidRPr="00E923BA">
        <w:rPr>
          <w:color w:val="000000"/>
        </w:rPr>
        <w:t xml:space="preserve">Thereafter, NTCA reserves the right to extend </w:t>
      </w:r>
      <w:r>
        <w:rPr>
          <w:color w:val="000000"/>
        </w:rPr>
        <w:t xml:space="preserve">the call off </w:t>
      </w:r>
      <w:r w:rsidRPr="00E923BA">
        <w:rPr>
          <w:color w:val="000000"/>
        </w:rPr>
        <w:t xml:space="preserve">contracts on an </w:t>
      </w:r>
      <w:r w:rsidRPr="00E923BA">
        <w:t xml:space="preserve">annual basis up to and including the AY 2022/23 funding year (i.e. a maximum period covering 3 years in total). </w:t>
      </w:r>
    </w:p>
    <w:p w14:paraId="16AC6F7A" w14:textId="77777777" w:rsidR="00AB4C50" w:rsidRPr="00AA18C0" w:rsidRDefault="00AB4C50" w:rsidP="00B23D7E">
      <w:pPr>
        <w:pStyle w:val="BodyText"/>
        <w:ind w:right="568"/>
        <w:jc w:val="both"/>
      </w:pPr>
    </w:p>
    <w:p w14:paraId="2D2E2B7A" w14:textId="593392DB" w:rsidR="00AB4C50" w:rsidRDefault="00AB4C50" w:rsidP="00B23D7E">
      <w:pPr>
        <w:pStyle w:val="BodyText"/>
        <w:numPr>
          <w:ilvl w:val="0"/>
          <w:numId w:val="2"/>
        </w:numPr>
        <w:ind w:right="567"/>
      </w:pPr>
      <w:r w:rsidRPr="00E923BA">
        <w:t xml:space="preserve">This specification relates to </w:t>
      </w:r>
      <w:r w:rsidRPr="00E923BA">
        <w:rPr>
          <w:u w:val="single"/>
        </w:rPr>
        <w:t>procured provision only</w:t>
      </w:r>
      <w:r w:rsidRPr="00E923BA">
        <w:t>. If a</w:t>
      </w:r>
      <w:r>
        <w:t>n</w:t>
      </w:r>
      <w:r w:rsidRPr="00E923BA">
        <w:t xml:space="preserve"> </w:t>
      </w:r>
      <w:r>
        <w:t>organisation</w:t>
      </w:r>
      <w:r w:rsidRPr="00E923BA">
        <w:t xml:space="preserve"> receives </w:t>
      </w:r>
      <w:r w:rsidR="00FD3052">
        <w:t>G</w:t>
      </w:r>
      <w:r w:rsidRPr="00E923BA">
        <w:t>rant funding, either from</w:t>
      </w:r>
      <w:r w:rsidR="00602BA2">
        <w:t xml:space="preserve"> Education and Skills Funding Agency</w:t>
      </w:r>
      <w:r w:rsidRPr="00E923BA">
        <w:t xml:space="preserve"> </w:t>
      </w:r>
      <w:r w:rsidR="00602BA2">
        <w:t>(</w:t>
      </w:r>
      <w:r w:rsidRPr="00E923BA">
        <w:t>ESFA</w:t>
      </w:r>
      <w:r w:rsidR="00602BA2">
        <w:t>)</w:t>
      </w:r>
      <w:r w:rsidRPr="00E923BA">
        <w:t>, NTCA or another devolved area, this does not preclude them from submitting a tender through the procurement process.</w:t>
      </w:r>
    </w:p>
    <w:p w14:paraId="5F46C115" w14:textId="46A799EB" w:rsidR="00AB4C50" w:rsidRDefault="00AB4C50" w:rsidP="009C1460">
      <w:pPr>
        <w:pStyle w:val="BodyText"/>
        <w:ind w:left="360" w:right="568"/>
        <w:jc w:val="both"/>
      </w:pPr>
    </w:p>
    <w:p w14:paraId="26C8961A" w14:textId="78333317" w:rsidR="00B23D7E" w:rsidRDefault="00B23D7E" w:rsidP="009C1460">
      <w:pPr>
        <w:pStyle w:val="BodyText"/>
        <w:ind w:left="360" w:right="568"/>
        <w:jc w:val="both"/>
      </w:pPr>
    </w:p>
    <w:p w14:paraId="5F3BFCC7" w14:textId="1B5D4F36" w:rsidR="00B23D7E" w:rsidRDefault="00B23D7E" w:rsidP="009C1460">
      <w:pPr>
        <w:pStyle w:val="BodyText"/>
        <w:ind w:left="360" w:right="568"/>
        <w:jc w:val="both"/>
      </w:pPr>
    </w:p>
    <w:p w14:paraId="65B49A30" w14:textId="77777777" w:rsidR="00B23D7E" w:rsidRPr="00E923BA" w:rsidRDefault="00B23D7E" w:rsidP="009C1460">
      <w:pPr>
        <w:pStyle w:val="BodyText"/>
        <w:ind w:left="360" w:right="568"/>
        <w:jc w:val="both"/>
      </w:pPr>
    </w:p>
    <w:p w14:paraId="6FA9254F" w14:textId="77777777" w:rsidR="001D176E" w:rsidRDefault="001D176E">
      <w:pPr>
        <w:rPr>
          <w:rFonts w:ascii="Arial" w:eastAsia="Arial" w:hAnsi="Arial" w:cs="Arial"/>
          <w:b/>
          <w:sz w:val="24"/>
          <w:szCs w:val="24"/>
          <w:lang w:eastAsia="en-GB" w:bidi="en-GB"/>
        </w:rPr>
      </w:pPr>
      <w:r>
        <w:rPr>
          <w:b/>
        </w:rPr>
        <w:br w:type="page"/>
      </w:r>
    </w:p>
    <w:p w14:paraId="58F611B7" w14:textId="0B0F93E3" w:rsidR="00055BE8" w:rsidRDefault="00BD6B7C" w:rsidP="009C1460">
      <w:pPr>
        <w:pStyle w:val="BodyText"/>
        <w:ind w:left="357" w:right="567"/>
        <w:rPr>
          <w:b/>
        </w:rPr>
      </w:pPr>
      <w:r w:rsidRPr="00E923BA">
        <w:rPr>
          <w:b/>
        </w:rPr>
        <w:lastRenderedPageBreak/>
        <w:t>NTCA</w:t>
      </w:r>
      <w:r>
        <w:rPr>
          <w:b/>
        </w:rPr>
        <w:t xml:space="preserve"> </w:t>
      </w:r>
      <w:r w:rsidRPr="00E923BA">
        <w:rPr>
          <w:b/>
        </w:rPr>
        <w:t>Economic Vision</w:t>
      </w:r>
    </w:p>
    <w:p w14:paraId="06B062B8" w14:textId="77777777" w:rsidR="00B23D7E" w:rsidRDefault="00B23D7E" w:rsidP="009C1460">
      <w:pPr>
        <w:pStyle w:val="BodyText"/>
        <w:ind w:left="357" w:right="567"/>
        <w:rPr>
          <w:b/>
        </w:rPr>
      </w:pPr>
    </w:p>
    <w:p w14:paraId="6B18E954" w14:textId="06B2CDDC" w:rsidR="005F6D07" w:rsidRPr="00E923BA" w:rsidRDefault="00F57B61" w:rsidP="00B23D7E">
      <w:pPr>
        <w:pStyle w:val="BodyText"/>
        <w:numPr>
          <w:ilvl w:val="0"/>
          <w:numId w:val="2"/>
        </w:numPr>
        <w:ind w:right="567"/>
      </w:pPr>
      <w:r w:rsidRPr="00E923BA">
        <w:t xml:space="preserve">Our vision is of a dynamic more inclusive economy, one that brings together people and opportunities to create vibrant communities and </w:t>
      </w:r>
      <w:r w:rsidR="00357170" w:rsidRPr="00E923BA">
        <w:t xml:space="preserve">a </w:t>
      </w:r>
      <w:r w:rsidRPr="00E923BA">
        <w:t xml:space="preserve">high quality of life, narrowing inequalities and ensuring that all residents have a stake in our region’s future. </w:t>
      </w:r>
      <w:r w:rsidR="00055BE8" w:rsidRPr="00E923BA">
        <w:t xml:space="preserve">The </w:t>
      </w:r>
      <w:r w:rsidR="00F83737">
        <w:t>NTCA</w:t>
      </w:r>
      <w:r w:rsidR="00055BE8" w:rsidRPr="00E923BA">
        <w:t xml:space="preserve"> believes in opportunity for all, removing the barriers which make it difficult for people to take up employment and training opportunities. </w:t>
      </w:r>
    </w:p>
    <w:p w14:paraId="0B35C581" w14:textId="77777777" w:rsidR="00B23D7E" w:rsidRDefault="00B23D7E" w:rsidP="00B23D7E">
      <w:pPr>
        <w:widowControl w:val="0"/>
        <w:tabs>
          <w:tab w:val="left" w:pos="1645"/>
          <w:tab w:val="left" w:pos="1646"/>
        </w:tabs>
        <w:autoSpaceDE w:val="0"/>
        <w:autoSpaceDN w:val="0"/>
        <w:spacing w:after="0" w:line="240" w:lineRule="auto"/>
        <w:ind w:right="640"/>
        <w:rPr>
          <w:rFonts w:ascii="Arial" w:eastAsia="Arial" w:hAnsi="Arial" w:cs="Arial"/>
          <w:sz w:val="24"/>
          <w:szCs w:val="24"/>
          <w:lang w:eastAsia="en-GB" w:bidi="en-GB"/>
        </w:rPr>
      </w:pPr>
    </w:p>
    <w:p w14:paraId="74DA354A" w14:textId="68366E63" w:rsidR="00B23D7E" w:rsidRPr="00B23D7E" w:rsidRDefault="00B23D7E" w:rsidP="001E7D0A">
      <w:pPr>
        <w:pStyle w:val="BodyText"/>
        <w:numPr>
          <w:ilvl w:val="0"/>
          <w:numId w:val="2"/>
        </w:numPr>
        <w:ind w:right="567"/>
      </w:pPr>
      <w:r w:rsidRPr="00B23D7E">
        <w:t xml:space="preserve">We are focused on narrowing the gap both between the area and the national average (outside London) and within the area to reduce inequality; this includes: </w:t>
      </w:r>
    </w:p>
    <w:p w14:paraId="0344F0EB" w14:textId="77777777" w:rsidR="00B23D7E" w:rsidRPr="00B23D7E" w:rsidRDefault="00B23D7E" w:rsidP="00B23D7E">
      <w:pPr>
        <w:pStyle w:val="ListParagraph"/>
        <w:widowControl w:val="0"/>
        <w:tabs>
          <w:tab w:val="left" w:pos="1645"/>
          <w:tab w:val="left" w:pos="1646"/>
        </w:tabs>
        <w:autoSpaceDE w:val="0"/>
        <w:autoSpaceDN w:val="0"/>
        <w:spacing w:after="0" w:line="240" w:lineRule="auto"/>
        <w:ind w:left="1077" w:right="640"/>
        <w:rPr>
          <w:rFonts w:ascii="Arial" w:eastAsia="Arial" w:hAnsi="Arial" w:cs="Arial"/>
          <w:sz w:val="24"/>
          <w:szCs w:val="24"/>
          <w:lang w:eastAsia="en-GB" w:bidi="en-GB"/>
        </w:rPr>
      </w:pPr>
    </w:p>
    <w:p w14:paraId="723B5B9B" w14:textId="4BF56062" w:rsidR="00B23D7E" w:rsidRPr="001E7D0A" w:rsidRDefault="00B23D7E" w:rsidP="001E7D0A">
      <w:pPr>
        <w:pStyle w:val="ListParagraph"/>
        <w:widowControl w:val="0"/>
        <w:numPr>
          <w:ilvl w:val="0"/>
          <w:numId w:val="28"/>
        </w:numPr>
        <w:tabs>
          <w:tab w:val="left" w:pos="1645"/>
          <w:tab w:val="left" w:pos="1646"/>
        </w:tabs>
        <w:autoSpaceDE w:val="0"/>
        <w:autoSpaceDN w:val="0"/>
        <w:spacing w:after="0" w:line="240" w:lineRule="auto"/>
        <w:ind w:right="640"/>
        <w:rPr>
          <w:rFonts w:ascii="Arial" w:eastAsia="Arial" w:hAnsi="Arial" w:cs="Arial"/>
          <w:sz w:val="24"/>
          <w:szCs w:val="24"/>
          <w:lang w:eastAsia="en-GB" w:bidi="en-GB"/>
        </w:rPr>
      </w:pPr>
      <w:r w:rsidRPr="001E7D0A">
        <w:rPr>
          <w:rFonts w:ascii="Arial" w:eastAsia="Arial" w:hAnsi="Arial" w:cs="Arial"/>
          <w:b/>
          <w:sz w:val="24"/>
          <w:szCs w:val="24"/>
          <w:lang w:eastAsia="en-GB" w:bidi="en-GB"/>
        </w:rPr>
        <w:t>Closing the gap on average earnings</w:t>
      </w:r>
      <w:r w:rsidRPr="001E7D0A">
        <w:rPr>
          <w:rFonts w:ascii="Arial" w:eastAsia="Arial" w:hAnsi="Arial" w:cs="Arial"/>
          <w:sz w:val="24"/>
          <w:szCs w:val="24"/>
          <w:lang w:eastAsia="en-GB" w:bidi="en-GB"/>
        </w:rPr>
        <w:t>: Increasing the earnings, qualifications levels and progression routes for local residents will be an important issue as an inclusive economy</w:t>
      </w:r>
      <w:r w:rsidR="00FD3052">
        <w:rPr>
          <w:rFonts w:ascii="Arial" w:eastAsia="Arial" w:hAnsi="Arial" w:cs="Arial"/>
          <w:sz w:val="24"/>
          <w:szCs w:val="24"/>
          <w:lang w:eastAsia="en-GB" w:bidi="en-GB"/>
        </w:rPr>
        <w:t>,</w:t>
      </w:r>
      <w:r w:rsidRPr="001E7D0A">
        <w:rPr>
          <w:rFonts w:ascii="Arial" w:eastAsia="Arial" w:hAnsi="Arial" w:cs="Arial"/>
          <w:sz w:val="24"/>
          <w:szCs w:val="24"/>
          <w:lang w:eastAsia="en-GB" w:bidi="en-GB"/>
        </w:rPr>
        <w:t xml:space="preserve"> to ensure residents have access to new higher skilled jobs in future</w:t>
      </w:r>
      <w:r w:rsidR="00FD3052">
        <w:rPr>
          <w:rFonts w:ascii="Arial" w:eastAsia="Arial" w:hAnsi="Arial" w:cs="Arial"/>
          <w:sz w:val="24"/>
          <w:szCs w:val="24"/>
          <w:lang w:eastAsia="en-GB" w:bidi="en-GB"/>
        </w:rPr>
        <w:t>.</w:t>
      </w:r>
      <w:r w:rsidRPr="001E7D0A">
        <w:rPr>
          <w:rFonts w:ascii="Arial" w:eastAsia="Arial" w:hAnsi="Arial" w:cs="Arial"/>
          <w:sz w:val="24"/>
          <w:szCs w:val="24"/>
          <w:lang w:eastAsia="en-GB" w:bidi="en-GB"/>
        </w:rPr>
        <w:t xml:space="preserve"> </w:t>
      </w:r>
    </w:p>
    <w:p w14:paraId="53D78A7C" w14:textId="77777777" w:rsidR="00B23D7E" w:rsidRPr="00B23D7E" w:rsidRDefault="00B23D7E" w:rsidP="00B23D7E">
      <w:pPr>
        <w:widowControl w:val="0"/>
        <w:tabs>
          <w:tab w:val="left" w:pos="1645"/>
          <w:tab w:val="left" w:pos="1646"/>
        </w:tabs>
        <w:autoSpaceDE w:val="0"/>
        <w:autoSpaceDN w:val="0"/>
        <w:spacing w:after="0" w:line="240" w:lineRule="auto"/>
        <w:ind w:right="640"/>
        <w:rPr>
          <w:rFonts w:ascii="Arial" w:eastAsia="Arial" w:hAnsi="Arial" w:cs="Arial"/>
          <w:sz w:val="24"/>
          <w:szCs w:val="24"/>
          <w:lang w:eastAsia="en-GB" w:bidi="en-GB"/>
        </w:rPr>
      </w:pPr>
    </w:p>
    <w:p w14:paraId="6A362FBC" w14:textId="1F7F63E6" w:rsidR="00B23D7E" w:rsidRPr="001E7D0A" w:rsidRDefault="00B23D7E" w:rsidP="001E7D0A">
      <w:pPr>
        <w:pStyle w:val="ListParagraph"/>
        <w:widowControl w:val="0"/>
        <w:numPr>
          <w:ilvl w:val="0"/>
          <w:numId w:val="28"/>
        </w:numPr>
        <w:tabs>
          <w:tab w:val="left" w:pos="1645"/>
          <w:tab w:val="left" w:pos="1646"/>
        </w:tabs>
        <w:autoSpaceDE w:val="0"/>
        <w:autoSpaceDN w:val="0"/>
        <w:spacing w:after="0" w:line="240" w:lineRule="auto"/>
        <w:ind w:right="640"/>
        <w:rPr>
          <w:rFonts w:ascii="Arial" w:eastAsia="Arial" w:hAnsi="Arial" w:cs="Arial"/>
          <w:sz w:val="24"/>
          <w:szCs w:val="24"/>
          <w:lang w:eastAsia="en-GB" w:bidi="en-GB"/>
        </w:rPr>
      </w:pPr>
      <w:r w:rsidRPr="001E7D0A">
        <w:rPr>
          <w:rFonts w:ascii="Arial" w:eastAsia="Arial" w:hAnsi="Arial" w:cs="Arial"/>
          <w:b/>
          <w:sz w:val="24"/>
          <w:szCs w:val="24"/>
          <w:lang w:eastAsia="en-GB" w:bidi="en-GB"/>
        </w:rPr>
        <w:t>Closing the unemployment gap</w:t>
      </w:r>
      <w:r w:rsidRPr="001E7D0A">
        <w:rPr>
          <w:rFonts w:ascii="Arial" w:eastAsia="Arial" w:hAnsi="Arial" w:cs="Arial"/>
          <w:sz w:val="24"/>
          <w:szCs w:val="24"/>
          <w:lang w:eastAsia="en-GB" w:bidi="en-GB"/>
        </w:rPr>
        <w:t>: Remove the barriers which make it difficult for people to take up employment and training opportunities</w:t>
      </w:r>
      <w:r w:rsidR="00FD3052">
        <w:rPr>
          <w:rFonts w:ascii="Arial" w:eastAsia="Arial" w:hAnsi="Arial" w:cs="Arial"/>
          <w:sz w:val="24"/>
          <w:szCs w:val="24"/>
          <w:lang w:eastAsia="en-GB" w:bidi="en-GB"/>
        </w:rPr>
        <w:t>.</w:t>
      </w:r>
      <w:r w:rsidRPr="001E7D0A">
        <w:rPr>
          <w:rFonts w:ascii="Arial" w:eastAsia="Arial" w:hAnsi="Arial" w:cs="Arial"/>
          <w:sz w:val="24"/>
          <w:szCs w:val="24"/>
          <w:lang w:eastAsia="en-GB" w:bidi="en-GB"/>
        </w:rPr>
        <w:t xml:space="preserve"> </w:t>
      </w:r>
    </w:p>
    <w:p w14:paraId="39B2495F" w14:textId="77777777" w:rsidR="00B23D7E" w:rsidRPr="00B23D7E" w:rsidRDefault="00B23D7E" w:rsidP="00B23D7E">
      <w:pPr>
        <w:widowControl w:val="0"/>
        <w:tabs>
          <w:tab w:val="left" w:pos="1645"/>
          <w:tab w:val="left" w:pos="1646"/>
        </w:tabs>
        <w:autoSpaceDE w:val="0"/>
        <w:autoSpaceDN w:val="0"/>
        <w:spacing w:after="0" w:line="240" w:lineRule="auto"/>
        <w:ind w:right="640"/>
        <w:rPr>
          <w:rFonts w:ascii="Arial" w:eastAsia="Arial" w:hAnsi="Arial" w:cs="Arial"/>
          <w:sz w:val="24"/>
          <w:szCs w:val="24"/>
          <w:lang w:eastAsia="en-GB" w:bidi="en-GB"/>
        </w:rPr>
      </w:pPr>
    </w:p>
    <w:p w14:paraId="3BD224D3" w14:textId="75282F4A" w:rsidR="00B23D7E" w:rsidRPr="001E7D0A" w:rsidRDefault="00B23D7E" w:rsidP="001E7D0A">
      <w:pPr>
        <w:pStyle w:val="ListParagraph"/>
        <w:widowControl w:val="0"/>
        <w:numPr>
          <w:ilvl w:val="0"/>
          <w:numId w:val="28"/>
        </w:numPr>
        <w:tabs>
          <w:tab w:val="left" w:pos="1645"/>
          <w:tab w:val="left" w:pos="1646"/>
        </w:tabs>
        <w:autoSpaceDE w:val="0"/>
        <w:autoSpaceDN w:val="0"/>
        <w:spacing w:after="0" w:line="240" w:lineRule="auto"/>
        <w:ind w:right="640"/>
        <w:rPr>
          <w:rFonts w:ascii="Arial" w:eastAsia="Arial" w:hAnsi="Arial" w:cs="Arial"/>
          <w:sz w:val="24"/>
          <w:szCs w:val="24"/>
          <w:lang w:eastAsia="en-GB" w:bidi="en-GB"/>
        </w:rPr>
      </w:pPr>
      <w:r w:rsidRPr="001E7D0A">
        <w:rPr>
          <w:rFonts w:ascii="Arial" w:eastAsia="Arial" w:hAnsi="Arial" w:cs="Arial"/>
          <w:b/>
          <w:sz w:val="24"/>
          <w:szCs w:val="24"/>
          <w:lang w:eastAsia="en-GB" w:bidi="en-GB"/>
        </w:rPr>
        <w:t>Closing the skills and education gap</w:t>
      </w:r>
      <w:r w:rsidRPr="001E7D0A">
        <w:rPr>
          <w:rFonts w:ascii="Arial" w:eastAsia="Arial" w:hAnsi="Arial" w:cs="Arial"/>
          <w:sz w:val="24"/>
          <w:szCs w:val="24"/>
          <w:lang w:eastAsia="en-GB" w:bidi="en-GB"/>
        </w:rPr>
        <w:t>: Through good schools and colleges, make sure our young people have the skills, experience and qualifications to take up quality training and jobs</w:t>
      </w:r>
      <w:r w:rsidR="00FD3052">
        <w:rPr>
          <w:rFonts w:ascii="Arial" w:eastAsia="Arial" w:hAnsi="Arial" w:cs="Arial"/>
          <w:sz w:val="24"/>
          <w:szCs w:val="24"/>
          <w:lang w:eastAsia="en-GB" w:bidi="en-GB"/>
        </w:rPr>
        <w:t>.</w:t>
      </w:r>
      <w:r w:rsidRPr="001E7D0A">
        <w:rPr>
          <w:rFonts w:ascii="Arial" w:eastAsia="Arial" w:hAnsi="Arial" w:cs="Arial"/>
          <w:sz w:val="24"/>
          <w:szCs w:val="24"/>
          <w:lang w:eastAsia="en-GB" w:bidi="en-GB"/>
        </w:rPr>
        <w:t xml:space="preserve"> </w:t>
      </w:r>
    </w:p>
    <w:p w14:paraId="6ED403E0" w14:textId="77777777" w:rsidR="00B23D7E" w:rsidRPr="00B23D7E" w:rsidRDefault="00B23D7E" w:rsidP="00B23D7E">
      <w:pPr>
        <w:widowControl w:val="0"/>
        <w:tabs>
          <w:tab w:val="left" w:pos="1645"/>
          <w:tab w:val="left" w:pos="1646"/>
        </w:tabs>
        <w:autoSpaceDE w:val="0"/>
        <w:autoSpaceDN w:val="0"/>
        <w:spacing w:after="0" w:line="240" w:lineRule="auto"/>
        <w:ind w:right="640"/>
        <w:rPr>
          <w:rFonts w:ascii="Arial" w:eastAsia="Arial" w:hAnsi="Arial" w:cs="Arial"/>
          <w:sz w:val="24"/>
          <w:szCs w:val="24"/>
          <w:lang w:eastAsia="en-GB" w:bidi="en-GB"/>
        </w:rPr>
      </w:pPr>
    </w:p>
    <w:p w14:paraId="5D4E112C" w14:textId="21AB27B1" w:rsidR="00AB4C50" w:rsidRPr="001E7D0A" w:rsidRDefault="00B23D7E" w:rsidP="001E7D0A">
      <w:pPr>
        <w:pStyle w:val="ListParagraph"/>
        <w:widowControl w:val="0"/>
        <w:numPr>
          <w:ilvl w:val="0"/>
          <w:numId w:val="28"/>
        </w:numPr>
        <w:tabs>
          <w:tab w:val="left" w:pos="1645"/>
          <w:tab w:val="left" w:pos="1646"/>
        </w:tabs>
        <w:autoSpaceDE w:val="0"/>
        <w:autoSpaceDN w:val="0"/>
        <w:spacing w:after="0" w:line="240" w:lineRule="auto"/>
        <w:ind w:right="640"/>
        <w:rPr>
          <w:rFonts w:ascii="Arial" w:eastAsia="Arial" w:hAnsi="Arial" w:cs="Arial"/>
          <w:sz w:val="24"/>
          <w:szCs w:val="24"/>
          <w:lang w:eastAsia="en-GB" w:bidi="en-GB"/>
        </w:rPr>
      </w:pPr>
      <w:r w:rsidRPr="001E7D0A">
        <w:rPr>
          <w:rFonts w:ascii="Arial" w:eastAsia="Arial" w:hAnsi="Arial" w:cs="Arial"/>
          <w:b/>
          <w:sz w:val="24"/>
          <w:szCs w:val="24"/>
          <w:lang w:eastAsia="en-GB" w:bidi="en-GB"/>
        </w:rPr>
        <w:t>Closing the aspiration and ambition gap</w:t>
      </w:r>
      <w:r w:rsidRPr="001E7D0A">
        <w:rPr>
          <w:rFonts w:ascii="Arial" w:eastAsia="Arial" w:hAnsi="Arial" w:cs="Arial"/>
          <w:sz w:val="24"/>
          <w:szCs w:val="24"/>
          <w:lang w:eastAsia="en-GB" w:bidi="en-GB"/>
        </w:rPr>
        <w:t>: So that local people own their own economic future and all young people to have high aspirations and confidence, with support to enable them to make good choices</w:t>
      </w:r>
      <w:r w:rsidR="00FD3052">
        <w:rPr>
          <w:rFonts w:ascii="Arial" w:eastAsia="Arial" w:hAnsi="Arial" w:cs="Arial"/>
          <w:sz w:val="24"/>
          <w:szCs w:val="24"/>
          <w:lang w:eastAsia="en-GB" w:bidi="en-GB"/>
        </w:rPr>
        <w:t>.</w:t>
      </w:r>
    </w:p>
    <w:p w14:paraId="724EAE4F" w14:textId="77777777" w:rsidR="00B23D7E" w:rsidRPr="00B23D7E" w:rsidRDefault="00B23D7E" w:rsidP="00B23D7E">
      <w:pPr>
        <w:widowControl w:val="0"/>
        <w:tabs>
          <w:tab w:val="left" w:pos="1645"/>
          <w:tab w:val="left" w:pos="1646"/>
        </w:tabs>
        <w:autoSpaceDE w:val="0"/>
        <w:autoSpaceDN w:val="0"/>
        <w:spacing w:after="0" w:line="240" w:lineRule="auto"/>
        <w:ind w:right="640"/>
        <w:rPr>
          <w:rFonts w:ascii="Arial" w:eastAsia="Arial" w:hAnsi="Arial" w:cs="Arial"/>
          <w:sz w:val="24"/>
          <w:szCs w:val="24"/>
          <w:lang w:eastAsia="en-GB" w:bidi="en-GB"/>
        </w:rPr>
      </w:pPr>
    </w:p>
    <w:p w14:paraId="48236DC1" w14:textId="50D24F91" w:rsidR="00F47EF5" w:rsidRPr="00E923BA" w:rsidRDefault="00F47EF5" w:rsidP="001E7D0A">
      <w:pPr>
        <w:pStyle w:val="BodyText"/>
        <w:numPr>
          <w:ilvl w:val="0"/>
          <w:numId w:val="2"/>
        </w:numPr>
        <w:ind w:right="567"/>
      </w:pPr>
      <w:r w:rsidRPr="00E923BA">
        <w:t xml:space="preserve">We want to empower our people with the skills and resources they need to take ownership of their futures and secure good jobs with </w:t>
      </w:r>
      <w:r>
        <w:t xml:space="preserve">the real </w:t>
      </w:r>
      <w:r w:rsidRPr="00E923BA">
        <w:t>living wage</w:t>
      </w:r>
      <w:r>
        <w:rPr>
          <w:rStyle w:val="FootnoteReference"/>
        </w:rPr>
        <w:footnoteReference w:id="2"/>
      </w:r>
      <w:r w:rsidRPr="00E923BA">
        <w:t>.</w:t>
      </w:r>
    </w:p>
    <w:p w14:paraId="3566E9C8" w14:textId="77777777" w:rsidR="00F47EF5" w:rsidRPr="00F47EF5" w:rsidRDefault="00F47EF5" w:rsidP="009C1460">
      <w:pPr>
        <w:widowControl w:val="0"/>
        <w:tabs>
          <w:tab w:val="left" w:pos="1645"/>
          <w:tab w:val="left" w:pos="1646"/>
        </w:tabs>
        <w:autoSpaceDE w:val="0"/>
        <w:autoSpaceDN w:val="0"/>
        <w:spacing w:after="0" w:line="240" w:lineRule="auto"/>
        <w:ind w:right="640"/>
        <w:rPr>
          <w:rFonts w:ascii="Arial" w:eastAsia="Arial" w:hAnsi="Arial" w:cs="Arial"/>
          <w:sz w:val="24"/>
          <w:szCs w:val="24"/>
          <w:lang w:eastAsia="en-GB" w:bidi="en-GB"/>
        </w:rPr>
      </w:pPr>
    </w:p>
    <w:p w14:paraId="2F435BD2" w14:textId="1D225D77" w:rsidR="00F47EF5" w:rsidRDefault="00B436D2" w:rsidP="001E7D0A">
      <w:pPr>
        <w:pStyle w:val="BodyText"/>
        <w:numPr>
          <w:ilvl w:val="0"/>
          <w:numId w:val="2"/>
        </w:numPr>
        <w:ind w:right="567"/>
      </w:pPr>
      <w:r w:rsidRPr="00E923BA">
        <w:t>Education is the key to enabling better life outcomes</w:t>
      </w:r>
      <w:r w:rsidR="001E7D0A">
        <w:t>.  W</w:t>
      </w:r>
      <w:r w:rsidRPr="00E923BA">
        <w:t>e need more of our residents to have the skills needed to access</w:t>
      </w:r>
      <w:r w:rsidR="001E7D0A">
        <w:t xml:space="preserve"> good</w:t>
      </w:r>
      <w:r w:rsidRPr="00E923BA">
        <w:t xml:space="preserve"> jobs and progress – this is a challenge as</w:t>
      </w:r>
      <w:r w:rsidR="00DF51F6">
        <w:t xml:space="preserve"> </w:t>
      </w:r>
      <w:r w:rsidRPr="00753173">
        <w:t>18%</w:t>
      </w:r>
      <w:r w:rsidR="00821F37" w:rsidRPr="00753173">
        <w:rPr>
          <w:rStyle w:val="FootnoteReference"/>
        </w:rPr>
        <w:footnoteReference w:id="3"/>
      </w:r>
      <w:r w:rsidRPr="00E923BA">
        <w:t xml:space="preserve"> have no or low qualifications. </w:t>
      </w:r>
    </w:p>
    <w:p w14:paraId="28C012D6" w14:textId="77777777" w:rsidR="00F47EF5" w:rsidRDefault="00F47EF5" w:rsidP="009C1460">
      <w:pPr>
        <w:pStyle w:val="ListParagraph"/>
        <w:spacing w:after="0" w:line="240" w:lineRule="auto"/>
      </w:pPr>
    </w:p>
    <w:p w14:paraId="53CBA857" w14:textId="45A5EDE1" w:rsidR="002C6363" w:rsidRPr="001E7D0A" w:rsidRDefault="002C6363" w:rsidP="001E7D0A">
      <w:pPr>
        <w:pStyle w:val="BodyText"/>
        <w:numPr>
          <w:ilvl w:val="0"/>
          <w:numId w:val="2"/>
        </w:numPr>
        <w:ind w:right="567"/>
        <w:rPr>
          <w:b/>
        </w:rPr>
      </w:pPr>
      <w:r w:rsidRPr="001E7D0A">
        <w:rPr>
          <w:color w:val="000000"/>
        </w:rPr>
        <w:t>The devolved AEB provides NTCA with the opportunity to develop new relationships with post-16 skills and training providers, focus on outcomes for learners and ensure AEB provision</w:t>
      </w:r>
      <w:r w:rsidR="001D176E">
        <w:rPr>
          <w:color w:val="000000"/>
        </w:rPr>
        <w:t>,</w:t>
      </w:r>
      <w:r w:rsidRPr="001E7D0A">
        <w:rPr>
          <w:color w:val="000000"/>
        </w:rPr>
        <w:t xml:space="preserve"> even at lower levels</w:t>
      </w:r>
      <w:r w:rsidR="001D176E">
        <w:rPr>
          <w:color w:val="000000"/>
        </w:rPr>
        <w:t>,</w:t>
      </w:r>
      <w:r w:rsidRPr="001E7D0A">
        <w:rPr>
          <w:color w:val="000000"/>
        </w:rPr>
        <w:t xml:space="preserve"> is better aligned to the needs of employers and growth sectors.   </w:t>
      </w:r>
      <w:r w:rsidRPr="001E7D0A">
        <w:t xml:space="preserve">The North of Tyne’s growth sectors include: </w:t>
      </w:r>
    </w:p>
    <w:p w14:paraId="54C7F19B" w14:textId="77777777" w:rsidR="001E7D0A" w:rsidRPr="001E7D0A" w:rsidRDefault="001E7D0A" w:rsidP="001E7D0A">
      <w:pPr>
        <w:pStyle w:val="BodyText"/>
        <w:ind w:right="567"/>
        <w:rPr>
          <w:b/>
        </w:rPr>
      </w:pPr>
    </w:p>
    <w:p w14:paraId="0443C99E" w14:textId="0BA3E071" w:rsidR="002C6363" w:rsidRPr="002C6363" w:rsidRDefault="00016704" w:rsidP="009C1460">
      <w:pPr>
        <w:pStyle w:val="ListParagraph"/>
        <w:numPr>
          <w:ilvl w:val="0"/>
          <w:numId w:val="2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w:t>
      </w:r>
      <w:r w:rsidR="001E7D0A">
        <w:rPr>
          <w:rFonts w:ascii="Arial" w:hAnsi="Arial" w:cs="Arial"/>
          <w:sz w:val="24"/>
          <w:szCs w:val="24"/>
        </w:rPr>
        <w:t xml:space="preserve">igital and </w:t>
      </w:r>
      <w:r>
        <w:rPr>
          <w:rFonts w:ascii="Arial" w:hAnsi="Arial" w:cs="Arial"/>
          <w:sz w:val="24"/>
          <w:szCs w:val="24"/>
        </w:rPr>
        <w:t>t</w:t>
      </w:r>
      <w:r w:rsidR="001E7D0A">
        <w:rPr>
          <w:rFonts w:ascii="Arial" w:hAnsi="Arial" w:cs="Arial"/>
          <w:sz w:val="24"/>
          <w:szCs w:val="24"/>
        </w:rPr>
        <w:t>echnology</w:t>
      </w:r>
      <w:r>
        <w:rPr>
          <w:rFonts w:ascii="Arial" w:hAnsi="Arial" w:cs="Arial"/>
          <w:sz w:val="24"/>
          <w:szCs w:val="24"/>
        </w:rPr>
        <w:t>;</w:t>
      </w:r>
    </w:p>
    <w:p w14:paraId="389C5B8C" w14:textId="28E5FB1C" w:rsidR="002C6363" w:rsidRPr="002C6363" w:rsidRDefault="001E7D0A" w:rsidP="009C1460">
      <w:pPr>
        <w:pStyle w:val="ListParagraph"/>
        <w:numPr>
          <w:ilvl w:val="0"/>
          <w:numId w:val="2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002C6363" w:rsidRPr="002C6363">
        <w:rPr>
          <w:rFonts w:ascii="Arial" w:hAnsi="Arial" w:cs="Arial"/>
          <w:sz w:val="24"/>
          <w:szCs w:val="24"/>
        </w:rPr>
        <w:t>nergy</w:t>
      </w:r>
      <w:r>
        <w:rPr>
          <w:rFonts w:ascii="Arial" w:hAnsi="Arial" w:cs="Arial"/>
          <w:sz w:val="24"/>
          <w:szCs w:val="24"/>
        </w:rPr>
        <w:t xml:space="preserve">, </w:t>
      </w:r>
      <w:r w:rsidR="002C6363" w:rsidRPr="002C6363">
        <w:rPr>
          <w:rFonts w:ascii="Arial" w:hAnsi="Arial" w:cs="Arial"/>
          <w:sz w:val="24"/>
          <w:szCs w:val="24"/>
        </w:rPr>
        <w:t xml:space="preserve">offshore </w:t>
      </w:r>
      <w:r>
        <w:rPr>
          <w:rFonts w:ascii="Arial" w:hAnsi="Arial" w:cs="Arial"/>
          <w:sz w:val="24"/>
          <w:szCs w:val="24"/>
        </w:rPr>
        <w:t>and advanced manufacturing</w:t>
      </w:r>
      <w:r w:rsidR="00016704">
        <w:rPr>
          <w:rFonts w:ascii="Arial" w:hAnsi="Arial" w:cs="Arial"/>
          <w:sz w:val="24"/>
          <w:szCs w:val="24"/>
        </w:rPr>
        <w:t>;</w:t>
      </w:r>
      <w:r w:rsidR="002C6363" w:rsidRPr="002C6363">
        <w:rPr>
          <w:rFonts w:ascii="Arial" w:hAnsi="Arial" w:cs="Arial"/>
          <w:sz w:val="24"/>
          <w:szCs w:val="24"/>
        </w:rPr>
        <w:t xml:space="preserve"> </w:t>
      </w:r>
    </w:p>
    <w:p w14:paraId="15419FF2" w14:textId="19DF3385" w:rsidR="001E7D0A" w:rsidRDefault="001E7D0A" w:rsidP="001E7D0A">
      <w:pPr>
        <w:pStyle w:val="ListParagraph"/>
        <w:numPr>
          <w:ilvl w:val="0"/>
          <w:numId w:val="2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H</w:t>
      </w:r>
      <w:r w:rsidR="002C6363" w:rsidRPr="002C6363">
        <w:rPr>
          <w:rFonts w:ascii="Arial" w:hAnsi="Arial" w:cs="Arial"/>
          <w:sz w:val="24"/>
          <w:szCs w:val="24"/>
        </w:rPr>
        <w:t>ealth and life science</w:t>
      </w:r>
      <w:r>
        <w:rPr>
          <w:rFonts w:ascii="Arial" w:hAnsi="Arial" w:cs="Arial"/>
          <w:sz w:val="24"/>
          <w:szCs w:val="24"/>
        </w:rPr>
        <w:t>s</w:t>
      </w:r>
      <w:r w:rsidR="00016704">
        <w:rPr>
          <w:rFonts w:ascii="Arial" w:hAnsi="Arial" w:cs="Arial"/>
          <w:sz w:val="24"/>
          <w:szCs w:val="24"/>
        </w:rPr>
        <w:t>;</w:t>
      </w:r>
    </w:p>
    <w:p w14:paraId="71319CCE" w14:textId="22C840B2" w:rsidR="002C6363" w:rsidRPr="001E7D0A" w:rsidRDefault="001E7D0A" w:rsidP="001E7D0A">
      <w:pPr>
        <w:pStyle w:val="ListParagraph"/>
        <w:numPr>
          <w:ilvl w:val="0"/>
          <w:numId w:val="26"/>
        </w:numPr>
        <w:autoSpaceDE w:val="0"/>
        <w:autoSpaceDN w:val="0"/>
        <w:adjustRightInd w:val="0"/>
        <w:spacing w:after="0" w:line="240" w:lineRule="auto"/>
        <w:jc w:val="both"/>
        <w:rPr>
          <w:rFonts w:ascii="Arial" w:hAnsi="Arial" w:cs="Arial"/>
          <w:sz w:val="24"/>
          <w:szCs w:val="24"/>
        </w:rPr>
      </w:pPr>
      <w:r w:rsidRPr="001E7D0A">
        <w:rPr>
          <w:rFonts w:ascii="Arial" w:hAnsi="Arial" w:cs="Arial"/>
          <w:sz w:val="24"/>
          <w:szCs w:val="24"/>
        </w:rPr>
        <w:t>F</w:t>
      </w:r>
      <w:r w:rsidR="002C6363" w:rsidRPr="001E7D0A">
        <w:rPr>
          <w:rFonts w:ascii="Arial" w:hAnsi="Arial" w:cs="Arial"/>
          <w:sz w:val="24"/>
          <w:szCs w:val="24"/>
        </w:rPr>
        <w:t>inancial and professional business services</w:t>
      </w:r>
      <w:r w:rsidR="00016704">
        <w:rPr>
          <w:rFonts w:ascii="Arial" w:hAnsi="Arial" w:cs="Arial"/>
          <w:sz w:val="24"/>
          <w:szCs w:val="24"/>
        </w:rPr>
        <w:t>;</w:t>
      </w:r>
    </w:p>
    <w:p w14:paraId="6FE0E39F" w14:textId="7766BC29" w:rsidR="002C6363" w:rsidRPr="002C6363" w:rsidRDefault="001E7D0A" w:rsidP="009C1460">
      <w:pPr>
        <w:pStyle w:val="ListParagraph"/>
        <w:numPr>
          <w:ilvl w:val="0"/>
          <w:numId w:val="26"/>
        </w:numPr>
        <w:autoSpaceDE w:val="0"/>
        <w:autoSpaceDN w:val="0"/>
        <w:adjustRightInd w:val="0"/>
        <w:spacing w:after="0" w:line="240" w:lineRule="auto"/>
        <w:jc w:val="both"/>
        <w:rPr>
          <w:rFonts w:ascii="Arial" w:hAnsi="Arial" w:cs="Arial"/>
          <w:b/>
          <w:sz w:val="24"/>
          <w:szCs w:val="24"/>
        </w:rPr>
      </w:pPr>
      <w:r>
        <w:rPr>
          <w:rFonts w:ascii="Arial" w:hAnsi="Arial" w:cs="Arial"/>
          <w:sz w:val="24"/>
          <w:szCs w:val="24"/>
        </w:rPr>
        <w:t>T</w:t>
      </w:r>
      <w:r w:rsidR="002C6363" w:rsidRPr="002C6363">
        <w:rPr>
          <w:rFonts w:ascii="Arial" w:hAnsi="Arial" w:cs="Arial"/>
          <w:sz w:val="24"/>
          <w:szCs w:val="24"/>
        </w:rPr>
        <w:t>ourism</w:t>
      </w:r>
      <w:r>
        <w:rPr>
          <w:rFonts w:ascii="Arial" w:hAnsi="Arial" w:cs="Arial"/>
          <w:sz w:val="24"/>
          <w:szCs w:val="24"/>
        </w:rPr>
        <w:t xml:space="preserve">, </w:t>
      </w:r>
      <w:r w:rsidR="002C6363" w:rsidRPr="002C6363">
        <w:rPr>
          <w:rFonts w:ascii="Arial" w:hAnsi="Arial" w:cs="Arial"/>
          <w:sz w:val="24"/>
          <w:szCs w:val="24"/>
        </w:rPr>
        <w:t>leisure</w:t>
      </w:r>
      <w:r>
        <w:rPr>
          <w:rFonts w:ascii="Arial" w:hAnsi="Arial" w:cs="Arial"/>
          <w:sz w:val="24"/>
          <w:szCs w:val="24"/>
        </w:rPr>
        <w:t xml:space="preserve"> and culture</w:t>
      </w:r>
      <w:r w:rsidR="00016704">
        <w:rPr>
          <w:rFonts w:ascii="Arial" w:hAnsi="Arial" w:cs="Arial"/>
          <w:sz w:val="24"/>
          <w:szCs w:val="24"/>
        </w:rPr>
        <w:t>.</w:t>
      </w:r>
      <w:r w:rsidR="002C6363" w:rsidRPr="002C6363">
        <w:rPr>
          <w:rFonts w:ascii="Arial" w:hAnsi="Arial" w:cs="Arial"/>
          <w:sz w:val="24"/>
          <w:szCs w:val="24"/>
        </w:rPr>
        <w:t xml:space="preserve"> </w:t>
      </w:r>
    </w:p>
    <w:p w14:paraId="21893995" w14:textId="77777777" w:rsidR="002C6363" w:rsidRPr="002C6363" w:rsidRDefault="002C6363" w:rsidP="009C1460">
      <w:pPr>
        <w:pStyle w:val="ListParagraph"/>
        <w:autoSpaceDE w:val="0"/>
        <w:autoSpaceDN w:val="0"/>
        <w:adjustRightInd w:val="0"/>
        <w:spacing w:after="0" w:line="240" w:lineRule="auto"/>
        <w:ind w:left="360"/>
        <w:jc w:val="both"/>
        <w:rPr>
          <w:rFonts w:ascii="Arial" w:hAnsi="Arial" w:cs="Arial"/>
          <w:sz w:val="24"/>
          <w:szCs w:val="24"/>
        </w:rPr>
      </w:pPr>
    </w:p>
    <w:p w14:paraId="2872D57C" w14:textId="09A39F6B" w:rsidR="002C6363" w:rsidRPr="001E7D0A" w:rsidRDefault="002C6363" w:rsidP="001E7D0A">
      <w:pPr>
        <w:pStyle w:val="BodyText"/>
        <w:numPr>
          <w:ilvl w:val="0"/>
          <w:numId w:val="2"/>
        </w:numPr>
        <w:ind w:right="567"/>
        <w:rPr>
          <w:rFonts w:eastAsia="Times New Roman"/>
        </w:rPr>
      </w:pPr>
      <w:r w:rsidRPr="001E7D0A">
        <w:t>These growth sectors are closely linked to our research centres and infrastructure assets including business parks and ports which will act as catalysts for economic growth. Equally these sectors have skills needs and gaps which need to be understood and responded to in order to ensure that they realise their full growth potential</w:t>
      </w:r>
      <w:r w:rsidR="00F47EF5" w:rsidRPr="001E7D0A">
        <w:t>.</w:t>
      </w:r>
    </w:p>
    <w:p w14:paraId="75FC4BA8" w14:textId="3F74E51B" w:rsidR="00433E6B" w:rsidRDefault="00433E6B" w:rsidP="009C1460">
      <w:pPr>
        <w:autoSpaceDE w:val="0"/>
        <w:autoSpaceDN w:val="0"/>
        <w:adjustRightInd w:val="0"/>
        <w:spacing w:after="0" w:line="240" w:lineRule="auto"/>
        <w:jc w:val="both"/>
        <w:rPr>
          <w:rFonts w:ascii="Arial" w:eastAsia="Times New Roman" w:hAnsi="Arial" w:cs="Arial"/>
          <w:sz w:val="24"/>
          <w:szCs w:val="24"/>
        </w:rPr>
      </w:pPr>
    </w:p>
    <w:p w14:paraId="48BF43D8" w14:textId="0DE3980B" w:rsidR="00433E6B" w:rsidRPr="00F47EF5" w:rsidRDefault="00AE2C1F" w:rsidP="009C1460">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Strategic Approach to D</w:t>
      </w:r>
      <w:r w:rsidR="00433E6B" w:rsidRPr="00F47EF5">
        <w:rPr>
          <w:rFonts w:ascii="Arial" w:eastAsia="Times New Roman" w:hAnsi="Arial" w:cs="Arial"/>
          <w:b/>
          <w:sz w:val="24"/>
          <w:szCs w:val="24"/>
        </w:rPr>
        <w:t>evolved AEB</w:t>
      </w:r>
    </w:p>
    <w:p w14:paraId="02860724" w14:textId="77777777" w:rsidR="00433E6B" w:rsidRPr="00433E6B" w:rsidRDefault="00433E6B" w:rsidP="009C1460">
      <w:pPr>
        <w:autoSpaceDE w:val="0"/>
        <w:autoSpaceDN w:val="0"/>
        <w:adjustRightInd w:val="0"/>
        <w:spacing w:after="0" w:line="240" w:lineRule="auto"/>
        <w:jc w:val="both"/>
        <w:rPr>
          <w:rFonts w:ascii="Arial" w:eastAsia="Times New Roman" w:hAnsi="Arial" w:cs="Arial"/>
          <w:sz w:val="24"/>
          <w:szCs w:val="24"/>
        </w:rPr>
      </w:pPr>
    </w:p>
    <w:p w14:paraId="0210C903" w14:textId="06C8BAF2" w:rsidR="00433E6B" w:rsidRDefault="00433E6B" w:rsidP="001E7D0A">
      <w:pPr>
        <w:pStyle w:val="BodyText"/>
        <w:numPr>
          <w:ilvl w:val="0"/>
          <w:numId w:val="2"/>
        </w:numPr>
        <w:ind w:right="567"/>
      </w:pPr>
      <w:r w:rsidRPr="001E7D0A">
        <w:t>The principle purpose of the AEB is to engage adults and provide them with the skills needed for entering and sustaining work, an apprenticeship/traineeship, or other further learning.</w:t>
      </w:r>
    </w:p>
    <w:p w14:paraId="5DB89B12" w14:textId="77777777" w:rsidR="001E7D0A" w:rsidRDefault="001E7D0A" w:rsidP="001E7D0A">
      <w:pPr>
        <w:pStyle w:val="BodyText"/>
        <w:ind w:left="360" w:right="567"/>
      </w:pPr>
    </w:p>
    <w:p w14:paraId="758191F1" w14:textId="335429C4" w:rsidR="001E7D0A" w:rsidRPr="00AE2C1F" w:rsidRDefault="001E7D0A" w:rsidP="004C5EEC">
      <w:pPr>
        <w:pStyle w:val="ListParagraph"/>
        <w:numPr>
          <w:ilvl w:val="0"/>
          <w:numId w:val="2"/>
        </w:numPr>
        <w:autoSpaceDE w:val="0"/>
        <w:autoSpaceDN w:val="0"/>
        <w:adjustRightInd w:val="0"/>
        <w:spacing w:after="0" w:line="240" w:lineRule="auto"/>
        <w:rPr>
          <w:rFonts w:ascii="Arial" w:eastAsia="Times New Roman" w:hAnsi="Arial" w:cs="Arial"/>
          <w:sz w:val="24"/>
          <w:szCs w:val="24"/>
        </w:rPr>
      </w:pPr>
      <w:r w:rsidRPr="00AE2C1F">
        <w:rPr>
          <w:rFonts w:ascii="Arial" w:hAnsi="Arial" w:cs="Arial"/>
          <w:sz w:val="24"/>
          <w:szCs w:val="24"/>
        </w:rPr>
        <w:t>AEB encompasses a range of statutory entitlements for learners, including the right to fully funded provision for basic English</w:t>
      </w:r>
      <w:r>
        <w:rPr>
          <w:rFonts w:ascii="Arial" w:hAnsi="Arial" w:cs="Arial"/>
          <w:sz w:val="24"/>
          <w:szCs w:val="24"/>
        </w:rPr>
        <w:t xml:space="preserve">, maths and digital </w:t>
      </w:r>
      <w:r w:rsidRPr="00AE2C1F">
        <w:rPr>
          <w:rFonts w:ascii="Arial" w:hAnsi="Arial" w:cs="Arial"/>
          <w:sz w:val="24"/>
          <w:szCs w:val="24"/>
        </w:rPr>
        <w:t>qualifications</w:t>
      </w:r>
      <w:r>
        <w:rPr>
          <w:rFonts w:ascii="Arial" w:hAnsi="Arial" w:cs="Arial"/>
          <w:sz w:val="24"/>
          <w:szCs w:val="24"/>
        </w:rPr>
        <w:t>.  A</w:t>
      </w:r>
      <w:r w:rsidRPr="00AE2C1F">
        <w:rPr>
          <w:rFonts w:ascii="Arial" w:hAnsi="Arial" w:cs="Arial"/>
          <w:sz w:val="24"/>
          <w:szCs w:val="24"/>
        </w:rPr>
        <w:t>n entitlement to a first Level 2 and/or Level 3 qualification</w:t>
      </w:r>
      <w:r>
        <w:rPr>
          <w:rFonts w:ascii="Arial" w:hAnsi="Arial" w:cs="Arial"/>
          <w:sz w:val="24"/>
          <w:szCs w:val="24"/>
        </w:rPr>
        <w:t xml:space="preserve"> d</w:t>
      </w:r>
      <w:r w:rsidRPr="00AE2C1F">
        <w:rPr>
          <w:rFonts w:ascii="Arial" w:hAnsi="Arial" w:cs="Arial"/>
          <w:sz w:val="24"/>
          <w:szCs w:val="24"/>
        </w:rPr>
        <w:t xml:space="preserve">epending on the resident’s age and employment status.  </w:t>
      </w:r>
    </w:p>
    <w:p w14:paraId="62A8819F" w14:textId="77777777" w:rsidR="001E7D0A" w:rsidRPr="001E7D0A" w:rsidRDefault="001E7D0A" w:rsidP="004C5EEC">
      <w:pPr>
        <w:pStyle w:val="BodyText"/>
        <w:ind w:right="567"/>
      </w:pPr>
    </w:p>
    <w:p w14:paraId="306CF387" w14:textId="4C4926B4" w:rsidR="00433E6B" w:rsidRPr="001E7D0A" w:rsidRDefault="001E7D0A" w:rsidP="004C5EEC">
      <w:pPr>
        <w:pStyle w:val="ListParagraph"/>
        <w:numPr>
          <w:ilvl w:val="0"/>
          <w:numId w:val="2"/>
        </w:numPr>
        <w:autoSpaceDE w:val="0"/>
        <w:autoSpaceDN w:val="0"/>
        <w:adjustRightInd w:val="0"/>
        <w:spacing w:after="0" w:line="240" w:lineRule="auto"/>
        <w:rPr>
          <w:rFonts w:ascii="Arial" w:eastAsia="Times New Roman" w:hAnsi="Arial" w:cs="Arial"/>
          <w:sz w:val="24"/>
          <w:szCs w:val="24"/>
        </w:rPr>
      </w:pPr>
      <w:r>
        <w:rPr>
          <w:rFonts w:ascii="Arial" w:hAnsi="Arial" w:cs="Arial"/>
          <w:sz w:val="24"/>
          <w:szCs w:val="24"/>
        </w:rPr>
        <w:t>AEB</w:t>
      </w:r>
      <w:r w:rsidR="00433E6B" w:rsidRPr="001E7D0A">
        <w:rPr>
          <w:rFonts w:ascii="Arial" w:hAnsi="Arial" w:cs="Arial"/>
          <w:sz w:val="24"/>
          <w:szCs w:val="24"/>
        </w:rPr>
        <w:t xml:space="preserve"> </w:t>
      </w:r>
      <w:r w:rsidR="00433E6B" w:rsidRPr="001E7D0A">
        <w:rPr>
          <w:rStyle w:val="A6"/>
          <w:rFonts w:ascii="Arial" w:hAnsi="Arial" w:cs="Arial"/>
          <w:sz w:val="24"/>
          <w:szCs w:val="24"/>
        </w:rPr>
        <w:t>provides funding for programmes of learning up to Level 2 (GCSE level equivalent) and some Level 3 qualifications (A level equivalent), dependant on eligibility. It does not fund all Level 3 learning, or programmes at Level 4 and above</w:t>
      </w:r>
      <w:r>
        <w:rPr>
          <w:rStyle w:val="A6"/>
          <w:rFonts w:ascii="Arial" w:hAnsi="Arial" w:cs="Arial"/>
          <w:sz w:val="24"/>
          <w:szCs w:val="24"/>
        </w:rPr>
        <w:t>. T</w:t>
      </w:r>
      <w:r w:rsidR="00433E6B" w:rsidRPr="001E7D0A">
        <w:rPr>
          <w:rStyle w:val="A6"/>
          <w:rFonts w:ascii="Arial" w:hAnsi="Arial" w:cs="Arial"/>
          <w:sz w:val="24"/>
          <w:szCs w:val="24"/>
        </w:rPr>
        <w:t xml:space="preserve">hese are funded through Advanced Learner Loans or Higher Education (HE) funding. </w:t>
      </w:r>
      <w:r w:rsidR="00433E6B" w:rsidRPr="001E7D0A">
        <w:rPr>
          <w:rFonts w:ascii="Arial" w:hAnsi="Arial" w:cs="Arial"/>
          <w:sz w:val="24"/>
          <w:szCs w:val="24"/>
        </w:rPr>
        <w:t xml:space="preserve"> </w:t>
      </w:r>
    </w:p>
    <w:p w14:paraId="7DB58F33" w14:textId="77777777" w:rsidR="00DF0655" w:rsidRPr="00DF0655" w:rsidRDefault="00DF0655" w:rsidP="004C5EEC">
      <w:pPr>
        <w:pStyle w:val="ListParagraph"/>
        <w:spacing w:after="0" w:line="240" w:lineRule="auto"/>
        <w:rPr>
          <w:rFonts w:ascii="Arial" w:eastAsia="Times New Roman" w:hAnsi="Arial" w:cs="Arial"/>
          <w:sz w:val="24"/>
          <w:szCs w:val="24"/>
        </w:rPr>
      </w:pPr>
    </w:p>
    <w:p w14:paraId="64AA720C" w14:textId="3F62FD88" w:rsidR="004C5EEC" w:rsidRDefault="00AE2C1F" w:rsidP="004C5EEC">
      <w:pPr>
        <w:pStyle w:val="ListParagraph"/>
        <w:numPr>
          <w:ilvl w:val="0"/>
          <w:numId w:val="2"/>
        </w:numPr>
        <w:autoSpaceDE w:val="0"/>
        <w:autoSpaceDN w:val="0"/>
        <w:adjustRightInd w:val="0"/>
        <w:spacing w:after="0" w:line="240" w:lineRule="auto"/>
        <w:rPr>
          <w:rFonts w:ascii="Arial" w:hAnsi="Arial" w:cs="Arial"/>
          <w:sz w:val="24"/>
          <w:szCs w:val="24"/>
        </w:rPr>
      </w:pPr>
      <w:r w:rsidRPr="004C5EEC">
        <w:rPr>
          <w:rFonts w:ascii="Arial" w:hAnsi="Arial" w:cs="Arial"/>
          <w:sz w:val="24"/>
          <w:szCs w:val="24"/>
        </w:rPr>
        <w:t xml:space="preserve">In addition to the devolved AEB, there are several other funding streams which will continue to be managed by the Education and Skills Funding Agency (ESFA) on behalf of the Department for Education (DfE). These include funding for apprenticeships and traineeships, offender learning and allocations for advanced learner loans. NTCA will work collaboratively with national strategic partners and local stakeholders to align the devolved AEB with other funding streams. </w:t>
      </w:r>
    </w:p>
    <w:p w14:paraId="53A50FCA" w14:textId="77777777" w:rsidR="004C5EEC" w:rsidRPr="004C5EEC" w:rsidRDefault="004C5EEC" w:rsidP="004C5EEC">
      <w:pPr>
        <w:autoSpaceDE w:val="0"/>
        <w:autoSpaceDN w:val="0"/>
        <w:adjustRightInd w:val="0"/>
        <w:spacing w:after="0" w:line="240" w:lineRule="auto"/>
        <w:rPr>
          <w:rFonts w:ascii="Arial" w:hAnsi="Arial" w:cs="Arial"/>
          <w:sz w:val="24"/>
          <w:szCs w:val="24"/>
        </w:rPr>
      </w:pPr>
    </w:p>
    <w:p w14:paraId="053EE320" w14:textId="3E1E63E1" w:rsidR="004C5EEC" w:rsidRDefault="00053CA9"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 xml:space="preserve">AEB provision </w:t>
      </w:r>
      <w:r w:rsidR="004C5EEC" w:rsidRPr="001E7D0A">
        <w:rPr>
          <w:rFonts w:ascii="Arial" w:hAnsi="Arial" w:cs="Arial"/>
          <w:sz w:val="24"/>
          <w:szCs w:val="24"/>
        </w:rPr>
        <w:t>must complement, rather than duplicate</w:t>
      </w:r>
      <w:r w:rsidR="00FD3052">
        <w:rPr>
          <w:rFonts w:ascii="Arial" w:hAnsi="Arial" w:cs="Arial"/>
          <w:sz w:val="24"/>
          <w:szCs w:val="24"/>
        </w:rPr>
        <w:t>,</w:t>
      </w:r>
      <w:r w:rsidR="004C5EEC" w:rsidRPr="001E7D0A">
        <w:rPr>
          <w:rFonts w:ascii="Arial" w:hAnsi="Arial" w:cs="Arial"/>
          <w:sz w:val="24"/>
          <w:szCs w:val="24"/>
        </w:rPr>
        <w:t xml:space="preserve"> the wider experiences and opportunities a</w:t>
      </w:r>
      <w:r w:rsidR="004C5EEC">
        <w:rPr>
          <w:rFonts w:ascii="Arial" w:hAnsi="Arial" w:cs="Arial"/>
          <w:sz w:val="24"/>
          <w:szCs w:val="24"/>
        </w:rPr>
        <w:t>vailable to NTCA residents</w:t>
      </w:r>
      <w:r w:rsidR="004C5EEC" w:rsidRPr="001E7D0A">
        <w:rPr>
          <w:rFonts w:ascii="Arial" w:hAnsi="Arial" w:cs="Arial"/>
          <w:sz w:val="24"/>
          <w:szCs w:val="24"/>
        </w:rPr>
        <w:t xml:space="preserve"> </w:t>
      </w:r>
      <w:r w:rsidR="004C5EEC" w:rsidRPr="00053CA9">
        <w:rPr>
          <w:rFonts w:ascii="Arial" w:hAnsi="Arial" w:cs="Arial"/>
          <w:sz w:val="24"/>
          <w:szCs w:val="24"/>
        </w:rPr>
        <w:t>and through this procurement process</w:t>
      </w:r>
      <w:r w:rsidR="004C5EEC">
        <w:rPr>
          <w:rFonts w:ascii="Arial" w:hAnsi="Arial" w:cs="Arial"/>
          <w:sz w:val="24"/>
          <w:szCs w:val="24"/>
        </w:rPr>
        <w:t xml:space="preserve"> </w:t>
      </w:r>
      <w:r w:rsidR="004C5EEC" w:rsidRPr="00053CA9">
        <w:rPr>
          <w:rFonts w:ascii="Arial" w:hAnsi="Arial" w:cs="Arial"/>
          <w:sz w:val="24"/>
          <w:szCs w:val="24"/>
        </w:rPr>
        <w:t xml:space="preserve">organisations must consider how they ensure residents are equipped with the skills needed for jobs both now and in the future. </w:t>
      </w:r>
    </w:p>
    <w:p w14:paraId="381A8D36" w14:textId="77777777" w:rsidR="00214EBE" w:rsidRPr="00214EBE" w:rsidRDefault="00214EBE" w:rsidP="00214EBE">
      <w:pPr>
        <w:pStyle w:val="BodyText"/>
        <w:ind w:right="567"/>
      </w:pPr>
    </w:p>
    <w:p w14:paraId="138F3E13" w14:textId="182408EF" w:rsidR="00214EBE" w:rsidRPr="00214EBE" w:rsidRDefault="00214EBE" w:rsidP="00214EBE">
      <w:pPr>
        <w:pStyle w:val="ListParagraph"/>
        <w:numPr>
          <w:ilvl w:val="0"/>
          <w:numId w:val="2"/>
        </w:numPr>
        <w:autoSpaceDE w:val="0"/>
        <w:autoSpaceDN w:val="0"/>
        <w:adjustRightInd w:val="0"/>
        <w:spacing w:after="0" w:line="240" w:lineRule="auto"/>
        <w:rPr>
          <w:rFonts w:ascii="Arial" w:hAnsi="Arial" w:cs="Arial"/>
          <w:sz w:val="24"/>
          <w:szCs w:val="24"/>
        </w:rPr>
      </w:pPr>
      <w:r w:rsidRPr="00214EBE">
        <w:rPr>
          <w:rFonts w:ascii="Arial" w:hAnsi="Arial" w:cs="Arial"/>
          <w:sz w:val="24"/>
          <w:szCs w:val="24"/>
        </w:rPr>
        <w:t xml:space="preserve">NTCA does expect the mix and balance of provision in the area to start to change from 2020/21. This will include increasing the number of residents accessing statutory English, maths and digital provision, and a greater focus on delivering provision and qualifications linked to job opportunities available in the area. We will expect organisations to identify </w:t>
      </w:r>
      <w:r w:rsidRPr="00214EBE">
        <w:rPr>
          <w:rFonts w:ascii="Arial" w:hAnsi="Arial" w:cs="Arial"/>
          <w:color w:val="000000"/>
          <w:sz w:val="24"/>
          <w:szCs w:val="24"/>
        </w:rPr>
        <w:t xml:space="preserve">priority cohorts of residents who are disadvantaged e.g. disproportionately face barriers in learning and/or entering and progressing in employment. </w:t>
      </w:r>
    </w:p>
    <w:p w14:paraId="337CEBE1" w14:textId="77777777" w:rsidR="001E7D0A" w:rsidRPr="00E923BA" w:rsidRDefault="001E7D0A" w:rsidP="001E7D0A">
      <w:pPr>
        <w:autoSpaceDE w:val="0"/>
        <w:autoSpaceDN w:val="0"/>
        <w:adjustRightInd w:val="0"/>
        <w:spacing w:after="0" w:line="240" w:lineRule="auto"/>
        <w:jc w:val="both"/>
      </w:pPr>
    </w:p>
    <w:p w14:paraId="0A5F2B61" w14:textId="3456F0A7" w:rsidR="00AE2C1F" w:rsidRPr="00053CA9" w:rsidRDefault="00AE2C1F"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Devolved AEB funding will support key elements of our Inclusive Economy Policy Statement (</w:t>
      </w:r>
      <w:hyperlink r:id="rId13" w:history="1">
        <w:r w:rsidRPr="00053CA9">
          <w:rPr>
            <w:rStyle w:val="Hyperlink"/>
            <w:rFonts w:ascii="Arial" w:hAnsi="Arial" w:cs="Arial"/>
            <w:sz w:val="24"/>
            <w:szCs w:val="24"/>
          </w:rPr>
          <w:t>https://www.northoftyne-ca.gov.uk/economic-vision</w:t>
        </w:r>
      </w:hyperlink>
      <w:r w:rsidRPr="00053CA9">
        <w:rPr>
          <w:rFonts w:ascii="Arial" w:hAnsi="Arial" w:cs="Arial"/>
          <w:sz w:val="24"/>
          <w:szCs w:val="24"/>
        </w:rPr>
        <w:t>)</w:t>
      </w:r>
      <w:r w:rsidR="00053CA9">
        <w:rPr>
          <w:rFonts w:ascii="Arial" w:hAnsi="Arial" w:cs="Arial"/>
          <w:sz w:val="24"/>
          <w:szCs w:val="24"/>
        </w:rPr>
        <w:t>,</w:t>
      </w:r>
      <w:r w:rsidRPr="00053CA9">
        <w:rPr>
          <w:rFonts w:ascii="Arial" w:hAnsi="Arial" w:cs="Arial"/>
          <w:sz w:val="24"/>
          <w:szCs w:val="24"/>
        </w:rPr>
        <w:t xml:space="preserve"> the emerging Local Industrial Strategy and play a key role in NTCA’s economic growth and reform agenda. Additional information is also available in </w:t>
      </w:r>
      <w:r w:rsidR="00053CA9">
        <w:rPr>
          <w:rFonts w:ascii="Arial" w:hAnsi="Arial" w:cs="Arial"/>
          <w:sz w:val="24"/>
          <w:szCs w:val="24"/>
        </w:rPr>
        <w:t>the NTCA</w:t>
      </w:r>
      <w:r w:rsidRPr="00053CA9">
        <w:rPr>
          <w:rFonts w:ascii="Arial" w:hAnsi="Arial" w:cs="Arial"/>
          <w:sz w:val="24"/>
          <w:szCs w:val="24"/>
        </w:rPr>
        <w:t xml:space="preserve"> AEB Strategic Skills Plan (</w:t>
      </w:r>
      <w:hyperlink r:id="rId14" w:history="1">
        <w:r w:rsidRPr="00053CA9">
          <w:rPr>
            <w:rStyle w:val="Hyperlink"/>
            <w:rFonts w:ascii="Arial" w:hAnsi="Arial" w:cs="Arial"/>
            <w:sz w:val="24"/>
            <w:szCs w:val="24"/>
          </w:rPr>
          <w:t>https://www.northoftyne-ca.gov.uk/adult-education-budget-devolution</w:t>
        </w:r>
      </w:hyperlink>
      <w:r w:rsidRPr="00053CA9">
        <w:rPr>
          <w:rFonts w:ascii="Arial" w:hAnsi="Arial" w:cs="Arial"/>
          <w:sz w:val="24"/>
          <w:szCs w:val="24"/>
        </w:rPr>
        <w:t>)</w:t>
      </w:r>
    </w:p>
    <w:p w14:paraId="7B49B6AD" w14:textId="77777777" w:rsidR="00AB4C50" w:rsidRPr="00C93D6D" w:rsidRDefault="00AB4C50" w:rsidP="004C5EEC">
      <w:pPr>
        <w:pStyle w:val="BodyText"/>
        <w:ind w:right="567"/>
      </w:pPr>
    </w:p>
    <w:p w14:paraId="68F3EF6D" w14:textId="7444A16E" w:rsidR="00AE2C1F" w:rsidRPr="00053CA9" w:rsidRDefault="00AE2C1F"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NTCA will be looking for better progression for those in learning, improved skills acquisition</w:t>
      </w:r>
      <w:r w:rsidR="00FD3052">
        <w:rPr>
          <w:rFonts w:ascii="Arial" w:hAnsi="Arial" w:cs="Arial"/>
          <w:sz w:val="24"/>
          <w:szCs w:val="24"/>
        </w:rPr>
        <w:t>,</w:t>
      </w:r>
      <w:r w:rsidRPr="00053CA9">
        <w:rPr>
          <w:rFonts w:ascii="Arial" w:hAnsi="Arial" w:cs="Arial"/>
          <w:sz w:val="24"/>
          <w:szCs w:val="24"/>
        </w:rPr>
        <w:t xml:space="preserve"> enabling entry into jobs and career advancement for those in work. Initial changes will centre on agreeing delivery plans and the introduction of a risk-based performance management approach, which will help improve the current evidence base and intelligence that is available about progression and outcomes</w:t>
      </w:r>
      <w:r w:rsidR="00016704">
        <w:rPr>
          <w:rFonts w:ascii="Arial" w:hAnsi="Arial" w:cs="Arial"/>
          <w:sz w:val="24"/>
          <w:szCs w:val="24"/>
        </w:rPr>
        <w:t xml:space="preserve">.  </w:t>
      </w:r>
      <w:r w:rsidRPr="00053CA9">
        <w:rPr>
          <w:rFonts w:ascii="Arial" w:hAnsi="Arial" w:cs="Arial"/>
          <w:sz w:val="24"/>
          <w:szCs w:val="24"/>
        </w:rPr>
        <w:t>Central to this will be ensuring that</w:t>
      </w:r>
      <w:r w:rsidR="00053CA9">
        <w:rPr>
          <w:rFonts w:ascii="Arial" w:hAnsi="Arial" w:cs="Arial"/>
          <w:sz w:val="24"/>
          <w:szCs w:val="24"/>
        </w:rPr>
        <w:t xml:space="preserve"> providers deliver</w:t>
      </w:r>
      <w:r w:rsidRPr="00053CA9">
        <w:rPr>
          <w:rFonts w:ascii="Arial" w:hAnsi="Arial" w:cs="Arial"/>
          <w:sz w:val="24"/>
          <w:szCs w:val="24"/>
        </w:rPr>
        <w:t xml:space="preserve"> relevant, impartial information advice and guidance, so that residents and employers understand the value of investing in skills development.</w:t>
      </w:r>
    </w:p>
    <w:p w14:paraId="4F4F798D" w14:textId="77777777" w:rsidR="00016704" w:rsidRDefault="00016704" w:rsidP="009C1460">
      <w:pPr>
        <w:spacing w:after="0" w:line="240" w:lineRule="auto"/>
        <w:rPr>
          <w:rFonts w:ascii="Arial" w:eastAsia="Arial" w:hAnsi="Arial" w:cs="Arial"/>
          <w:b/>
          <w:bCs/>
          <w:sz w:val="24"/>
          <w:szCs w:val="24"/>
          <w:lang w:eastAsia="en-GB" w:bidi="en-GB"/>
        </w:rPr>
      </w:pPr>
    </w:p>
    <w:p w14:paraId="397E71D5" w14:textId="77777777" w:rsidR="00016704" w:rsidRDefault="00016704" w:rsidP="009C1460">
      <w:pPr>
        <w:spacing w:after="0" w:line="240" w:lineRule="auto"/>
        <w:rPr>
          <w:rFonts w:ascii="Arial" w:eastAsia="Arial" w:hAnsi="Arial" w:cs="Arial"/>
          <w:b/>
          <w:bCs/>
          <w:sz w:val="24"/>
          <w:szCs w:val="24"/>
          <w:lang w:eastAsia="en-GB" w:bidi="en-GB"/>
        </w:rPr>
      </w:pPr>
    </w:p>
    <w:p w14:paraId="69E35BB0" w14:textId="77777777" w:rsidR="00016704" w:rsidRDefault="00016704" w:rsidP="009C1460">
      <w:pPr>
        <w:spacing w:after="0" w:line="240" w:lineRule="auto"/>
        <w:rPr>
          <w:rFonts w:ascii="Arial" w:eastAsia="Arial" w:hAnsi="Arial" w:cs="Arial"/>
          <w:b/>
          <w:bCs/>
          <w:sz w:val="24"/>
          <w:szCs w:val="24"/>
          <w:lang w:eastAsia="en-GB" w:bidi="en-GB"/>
        </w:rPr>
      </w:pPr>
    </w:p>
    <w:p w14:paraId="332F0B4E" w14:textId="77777777" w:rsidR="00016704" w:rsidRDefault="00016704" w:rsidP="009C1460">
      <w:pPr>
        <w:spacing w:after="0" w:line="240" w:lineRule="auto"/>
        <w:rPr>
          <w:rFonts w:ascii="Arial" w:eastAsia="Arial" w:hAnsi="Arial" w:cs="Arial"/>
          <w:b/>
          <w:bCs/>
          <w:sz w:val="24"/>
          <w:szCs w:val="24"/>
          <w:lang w:eastAsia="en-GB" w:bidi="en-GB"/>
        </w:rPr>
      </w:pPr>
    </w:p>
    <w:p w14:paraId="66868DBC" w14:textId="77777777" w:rsidR="00FD3052" w:rsidRDefault="00FD3052">
      <w:pPr>
        <w:rPr>
          <w:rFonts w:ascii="Arial" w:eastAsia="Arial" w:hAnsi="Arial" w:cs="Arial"/>
          <w:b/>
          <w:bCs/>
          <w:sz w:val="24"/>
          <w:szCs w:val="24"/>
          <w:lang w:eastAsia="en-GB" w:bidi="en-GB"/>
        </w:rPr>
      </w:pPr>
      <w:r>
        <w:rPr>
          <w:rFonts w:ascii="Arial" w:eastAsia="Arial" w:hAnsi="Arial" w:cs="Arial"/>
          <w:b/>
          <w:bCs/>
          <w:sz w:val="24"/>
          <w:szCs w:val="24"/>
          <w:lang w:eastAsia="en-GB" w:bidi="en-GB"/>
        </w:rPr>
        <w:br w:type="page"/>
      </w:r>
    </w:p>
    <w:p w14:paraId="64130F9C" w14:textId="07F1E90F" w:rsidR="00A27744" w:rsidRDefault="00A27744" w:rsidP="009C1460">
      <w:pPr>
        <w:spacing w:after="0" w:line="240" w:lineRule="auto"/>
        <w:rPr>
          <w:rFonts w:ascii="Arial" w:eastAsia="Arial" w:hAnsi="Arial" w:cs="Arial"/>
          <w:b/>
          <w:bCs/>
          <w:sz w:val="24"/>
          <w:szCs w:val="24"/>
          <w:lang w:eastAsia="en-GB" w:bidi="en-GB"/>
        </w:rPr>
      </w:pPr>
      <w:r w:rsidRPr="00AB4C50">
        <w:rPr>
          <w:rFonts w:ascii="Arial" w:eastAsia="Arial" w:hAnsi="Arial" w:cs="Arial"/>
          <w:b/>
          <w:bCs/>
          <w:sz w:val="24"/>
          <w:szCs w:val="24"/>
          <w:lang w:eastAsia="en-GB" w:bidi="en-GB"/>
        </w:rPr>
        <w:t>Regional Context</w:t>
      </w:r>
    </w:p>
    <w:p w14:paraId="22B27D86" w14:textId="77777777" w:rsidR="00053CA9" w:rsidRPr="00AB4C50" w:rsidRDefault="00053CA9" w:rsidP="009C1460">
      <w:pPr>
        <w:spacing w:after="0" w:line="240" w:lineRule="auto"/>
        <w:rPr>
          <w:rFonts w:ascii="Arial" w:eastAsia="Arial" w:hAnsi="Arial" w:cs="Arial"/>
          <w:sz w:val="24"/>
          <w:szCs w:val="24"/>
          <w:highlight w:val="yellow"/>
          <w:lang w:eastAsia="en-GB" w:bidi="en-GB"/>
        </w:rPr>
      </w:pPr>
    </w:p>
    <w:p w14:paraId="68E9AA5D" w14:textId="6CEFA0C2" w:rsidR="005A170A" w:rsidRPr="00053CA9" w:rsidRDefault="005A170A"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The North of Tyne area has great assets in our universities, innovative businesses, international connectivity and rich cultures. It has a strong track record of creating jobs and supporting world</w:t>
      </w:r>
      <w:r w:rsidR="009928D4" w:rsidRPr="00053CA9">
        <w:rPr>
          <w:rFonts w:ascii="Arial" w:hAnsi="Arial" w:cs="Arial"/>
          <w:sz w:val="24"/>
          <w:szCs w:val="24"/>
        </w:rPr>
        <w:t xml:space="preserve"> </w:t>
      </w:r>
      <w:r w:rsidRPr="00053CA9">
        <w:rPr>
          <w:rFonts w:ascii="Arial" w:hAnsi="Arial" w:cs="Arial"/>
          <w:sz w:val="24"/>
          <w:szCs w:val="24"/>
        </w:rPr>
        <w:t xml:space="preserve">leading businesses. Our unique combination of city, coast and countryside offers a range of great places to live, work and bring up families. The North of Tyne </w:t>
      </w:r>
      <w:r w:rsidR="009928D4" w:rsidRPr="00053CA9">
        <w:rPr>
          <w:rFonts w:ascii="Arial" w:hAnsi="Arial" w:cs="Arial"/>
          <w:sz w:val="24"/>
          <w:szCs w:val="24"/>
        </w:rPr>
        <w:t>p</w:t>
      </w:r>
      <w:r w:rsidRPr="00053CA9">
        <w:rPr>
          <w:rFonts w:ascii="Arial" w:hAnsi="Arial" w:cs="Arial"/>
          <w:sz w:val="24"/>
          <w:szCs w:val="24"/>
        </w:rPr>
        <w:t>otential includes</w:t>
      </w:r>
      <w:r w:rsidR="00053CA9">
        <w:rPr>
          <w:rFonts w:ascii="Arial" w:hAnsi="Arial" w:cs="Arial"/>
          <w:sz w:val="24"/>
          <w:szCs w:val="24"/>
        </w:rPr>
        <w:t>:</w:t>
      </w:r>
      <w:r w:rsidRPr="00053CA9">
        <w:rPr>
          <w:rFonts w:ascii="Arial" w:hAnsi="Arial" w:cs="Arial"/>
          <w:sz w:val="24"/>
          <w:szCs w:val="24"/>
        </w:rPr>
        <w:t xml:space="preserve"> </w:t>
      </w:r>
    </w:p>
    <w:p w14:paraId="06225504" w14:textId="3D9F137B" w:rsidR="005B409D" w:rsidRPr="00E923BA" w:rsidRDefault="005B409D" w:rsidP="009C1460">
      <w:pPr>
        <w:pStyle w:val="BodyText"/>
        <w:ind w:left="360" w:right="568"/>
      </w:pPr>
    </w:p>
    <w:p w14:paraId="6739980F" w14:textId="42D815ED" w:rsidR="005A170A" w:rsidRPr="00E923BA" w:rsidRDefault="005A170A" w:rsidP="00016704">
      <w:pPr>
        <w:pStyle w:val="BodyText"/>
        <w:numPr>
          <w:ilvl w:val="0"/>
          <w:numId w:val="30"/>
        </w:numPr>
      </w:pPr>
      <w:r w:rsidRPr="00E923BA">
        <w:t>one of the fastest-growing local economies and job growth rates in the country</w:t>
      </w:r>
      <w:r w:rsidR="00016704">
        <w:t>;</w:t>
      </w:r>
    </w:p>
    <w:p w14:paraId="278B7555" w14:textId="76CDF32B" w:rsidR="005A170A" w:rsidRPr="00E923BA" w:rsidRDefault="005A170A" w:rsidP="00016704">
      <w:pPr>
        <w:pStyle w:val="BodyText"/>
        <w:numPr>
          <w:ilvl w:val="0"/>
          <w:numId w:val="30"/>
        </w:numPr>
      </w:pPr>
      <w:r w:rsidRPr="00E923BA">
        <w:t>one of the fastest-growing technology sectors outside of London</w:t>
      </w:r>
      <w:r w:rsidR="00016704">
        <w:t>;</w:t>
      </w:r>
    </w:p>
    <w:p w14:paraId="2C20F75A" w14:textId="55F6C32A" w:rsidR="005A170A" w:rsidRPr="00E923BA" w:rsidRDefault="005A170A" w:rsidP="00016704">
      <w:pPr>
        <w:pStyle w:val="BodyText"/>
        <w:numPr>
          <w:ilvl w:val="0"/>
          <w:numId w:val="30"/>
        </w:numPr>
      </w:pPr>
      <w:r w:rsidRPr="00E923BA">
        <w:t>the highest-skilled workforce in the North</w:t>
      </w:r>
      <w:r w:rsidR="00016704">
        <w:t>;</w:t>
      </w:r>
    </w:p>
    <w:p w14:paraId="07BDF763" w14:textId="76A9F68D" w:rsidR="005A170A" w:rsidRPr="00E923BA" w:rsidRDefault="005A170A" w:rsidP="00016704">
      <w:pPr>
        <w:pStyle w:val="BodyText"/>
        <w:numPr>
          <w:ilvl w:val="0"/>
          <w:numId w:val="30"/>
        </w:numPr>
        <w:tabs>
          <w:tab w:val="left" w:pos="1535"/>
          <w:tab w:val="left" w:pos="1536"/>
        </w:tabs>
      </w:pPr>
      <w:r w:rsidRPr="00E923BA">
        <w:t>excellent transport links nationally and internationally</w:t>
      </w:r>
      <w:r w:rsidR="00016704">
        <w:t>;</w:t>
      </w:r>
    </w:p>
    <w:p w14:paraId="1DC85394" w14:textId="71646652" w:rsidR="005A170A" w:rsidRPr="00E923BA" w:rsidRDefault="005A170A" w:rsidP="00016704">
      <w:pPr>
        <w:pStyle w:val="BodyText"/>
        <w:numPr>
          <w:ilvl w:val="0"/>
          <w:numId w:val="30"/>
        </w:numPr>
        <w:tabs>
          <w:tab w:val="left" w:pos="1535"/>
          <w:tab w:val="left" w:pos="1536"/>
        </w:tabs>
      </w:pPr>
      <w:r w:rsidRPr="00E923BA">
        <w:t>innovation, research and development hubs in two universities and world-leading businesses</w:t>
      </w:r>
      <w:r w:rsidR="00016704">
        <w:t>;</w:t>
      </w:r>
    </w:p>
    <w:p w14:paraId="293B1A9A" w14:textId="7783E472" w:rsidR="005A170A" w:rsidRPr="00E923BA" w:rsidRDefault="005A170A" w:rsidP="00016704">
      <w:pPr>
        <w:pStyle w:val="BodyText"/>
        <w:numPr>
          <w:ilvl w:val="0"/>
          <w:numId w:val="30"/>
        </w:numPr>
      </w:pPr>
      <w:r w:rsidRPr="00E923BA">
        <w:t>a huge range of natural, historic and cultural assets</w:t>
      </w:r>
      <w:r w:rsidR="00016704">
        <w:t>.</w:t>
      </w:r>
    </w:p>
    <w:p w14:paraId="5B784482" w14:textId="098D3710" w:rsidR="005A170A" w:rsidRPr="00E923BA" w:rsidRDefault="005A170A" w:rsidP="009C1460">
      <w:pPr>
        <w:pStyle w:val="BodyText"/>
      </w:pPr>
    </w:p>
    <w:p w14:paraId="68A4D792" w14:textId="6B7CDE6B" w:rsidR="007104D8" w:rsidRDefault="009E6AE8" w:rsidP="00016704">
      <w:pPr>
        <w:spacing w:after="0" w:line="240" w:lineRule="auto"/>
        <w:rPr>
          <w:rFonts w:ascii="Arial" w:eastAsia="Arial" w:hAnsi="Arial" w:cs="Arial"/>
          <w:sz w:val="24"/>
          <w:szCs w:val="24"/>
          <w:lang w:eastAsia="en-GB" w:bidi="en-GB"/>
        </w:rPr>
      </w:pPr>
      <w:r w:rsidRPr="00E923BA">
        <w:rPr>
          <w:rFonts w:ascii="Arial" w:eastAsia="Arial" w:hAnsi="Arial" w:cs="Arial"/>
          <w:sz w:val="24"/>
          <w:szCs w:val="24"/>
          <w:lang w:eastAsia="en-GB" w:bidi="en-GB"/>
        </w:rPr>
        <w:t>But</w:t>
      </w:r>
      <w:r w:rsidR="005A170A" w:rsidRPr="00E923BA">
        <w:rPr>
          <w:rFonts w:ascii="Arial" w:eastAsia="Arial" w:hAnsi="Arial" w:cs="Arial"/>
          <w:sz w:val="24"/>
          <w:szCs w:val="24"/>
          <w:lang w:eastAsia="en-GB" w:bidi="en-GB"/>
        </w:rPr>
        <w:t xml:space="preserve"> it also has its challenges: </w:t>
      </w:r>
    </w:p>
    <w:p w14:paraId="55DC1BAB" w14:textId="33B65598" w:rsidR="008750E9" w:rsidRPr="00016704" w:rsidRDefault="008750E9" w:rsidP="00016704">
      <w:pPr>
        <w:pStyle w:val="ListParagraph"/>
        <w:numPr>
          <w:ilvl w:val="0"/>
          <w:numId w:val="31"/>
        </w:numPr>
        <w:spacing w:after="0" w:line="240" w:lineRule="auto"/>
        <w:rPr>
          <w:rFonts w:ascii="Arial" w:eastAsia="Arial" w:hAnsi="Arial" w:cs="Arial"/>
          <w:sz w:val="24"/>
          <w:szCs w:val="24"/>
          <w:lang w:eastAsia="en-GB" w:bidi="en-GB"/>
        </w:rPr>
      </w:pPr>
      <w:r w:rsidRPr="00016704">
        <w:rPr>
          <w:rFonts w:ascii="Arial" w:eastAsia="Arial" w:hAnsi="Arial" w:cs="Arial"/>
          <w:sz w:val="24"/>
          <w:szCs w:val="24"/>
          <w:lang w:eastAsia="en-GB" w:bidi="en-GB"/>
        </w:rPr>
        <w:t>social inequality with pockets of deprivation and a lack of job opportunities in some areas</w:t>
      </w:r>
      <w:r w:rsidR="00016704">
        <w:rPr>
          <w:rFonts w:ascii="Arial" w:eastAsia="Arial" w:hAnsi="Arial" w:cs="Arial"/>
          <w:sz w:val="24"/>
          <w:szCs w:val="24"/>
          <w:lang w:eastAsia="en-GB" w:bidi="en-GB"/>
        </w:rPr>
        <w:t>;</w:t>
      </w:r>
    </w:p>
    <w:p w14:paraId="18AD0AC7" w14:textId="74FE8128" w:rsidR="005A170A" w:rsidRPr="00E923BA" w:rsidRDefault="005A170A" w:rsidP="00016704">
      <w:pPr>
        <w:pStyle w:val="BodyText"/>
        <w:numPr>
          <w:ilvl w:val="0"/>
          <w:numId w:val="31"/>
        </w:numPr>
        <w:tabs>
          <w:tab w:val="left" w:pos="1535"/>
          <w:tab w:val="left" w:pos="1536"/>
        </w:tabs>
      </w:pPr>
      <w:r w:rsidRPr="00E923BA">
        <w:t>consistently higher unemployment than the national average</w:t>
      </w:r>
      <w:r w:rsidR="00016704">
        <w:t>;</w:t>
      </w:r>
    </w:p>
    <w:p w14:paraId="448FE106" w14:textId="4091C71D" w:rsidR="008750E9" w:rsidRPr="00E923BA" w:rsidRDefault="008750E9" w:rsidP="00016704">
      <w:pPr>
        <w:pStyle w:val="BodyText"/>
        <w:numPr>
          <w:ilvl w:val="0"/>
          <w:numId w:val="31"/>
        </w:numPr>
        <w:tabs>
          <w:tab w:val="left" w:pos="1535"/>
          <w:tab w:val="left" w:pos="1536"/>
        </w:tabs>
        <w:ind w:right="446"/>
      </w:pPr>
      <w:r w:rsidRPr="00E923BA">
        <w:t>a high proportion of residents with no or low qualifications compared to national</w:t>
      </w:r>
      <w:r w:rsidR="00016704">
        <w:t>;</w:t>
      </w:r>
      <w:r w:rsidRPr="00E923BA">
        <w:t xml:space="preserve"> averages; leading them into low skilled, low paid jobs without the higher-level skills needed to progress into higher earnings</w:t>
      </w:r>
      <w:r w:rsidR="00016704">
        <w:t>;</w:t>
      </w:r>
    </w:p>
    <w:p w14:paraId="41833302" w14:textId="33907B34" w:rsidR="005A170A" w:rsidRPr="00E923BA" w:rsidRDefault="005A170A" w:rsidP="00016704">
      <w:pPr>
        <w:pStyle w:val="BodyText"/>
        <w:numPr>
          <w:ilvl w:val="0"/>
          <w:numId w:val="31"/>
        </w:numPr>
        <w:tabs>
          <w:tab w:val="left" w:pos="1535"/>
          <w:tab w:val="left" w:pos="1536"/>
        </w:tabs>
      </w:pPr>
      <w:r w:rsidRPr="00E923BA">
        <w:t>lower productivity than the national average</w:t>
      </w:r>
      <w:r w:rsidR="00016704">
        <w:t>;</w:t>
      </w:r>
    </w:p>
    <w:p w14:paraId="59F1169E" w14:textId="48D3414C" w:rsidR="008750E9" w:rsidRPr="00E923BA" w:rsidRDefault="008750E9" w:rsidP="00016704">
      <w:pPr>
        <w:pStyle w:val="BodyText"/>
        <w:numPr>
          <w:ilvl w:val="0"/>
          <w:numId w:val="31"/>
        </w:numPr>
        <w:tabs>
          <w:tab w:val="left" w:pos="1535"/>
          <w:tab w:val="left" w:pos="1536"/>
        </w:tabs>
      </w:pPr>
      <w:r w:rsidRPr="00E923BA">
        <w:t>many young people not in education or employment</w:t>
      </w:r>
      <w:r w:rsidR="00016704">
        <w:t>;</w:t>
      </w:r>
    </w:p>
    <w:p w14:paraId="5AEA22FA" w14:textId="19DFD277" w:rsidR="00BC00C0" w:rsidRPr="00F2017C" w:rsidRDefault="005A170A" w:rsidP="00016704">
      <w:pPr>
        <w:pStyle w:val="BodyText"/>
        <w:numPr>
          <w:ilvl w:val="0"/>
          <w:numId w:val="31"/>
        </w:numPr>
        <w:tabs>
          <w:tab w:val="left" w:pos="1535"/>
          <w:tab w:val="left" w:pos="1536"/>
        </w:tabs>
        <w:rPr>
          <w:b/>
          <w:bCs/>
        </w:rPr>
      </w:pPr>
      <w:r w:rsidRPr="00E923BA">
        <w:t>an increasing demand for higher level skills and qualifications in priority sectors</w:t>
      </w:r>
      <w:bookmarkStart w:id="3" w:name="_Hlk19016383"/>
      <w:r w:rsidR="00016704">
        <w:t>.</w:t>
      </w:r>
    </w:p>
    <w:p w14:paraId="6FFB7D3D" w14:textId="434E110B" w:rsidR="00F2017C" w:rsidRDefault="00F2017C" w:rsidP="009C1460">
      <w:pPr>
        <w:pStyle w:val="BodyText"/>
        <w:tabs>
          <w:tab w:val="left" w:pos="1535"/>
          <w:tab w:val="left" w:pos="1536"/>
        </w:tabs>
        <w:ind w:left="1440"/>
      </w:pPr>
    </w:p>
    <w:p w14:paraId="40DE3702" w14:textId="34F9D25D" w:rsidR="00F2017C" w:rsidRPr="00053CA9" w:rsidRDefault="00F2017C"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 xml:space="preserve">To fully realise its potential impact, this procured provision must support activity </w:t>
      </w:r>
      <w:r w:rsidR="005B409D" w:rsidRPr="00053CA9">
        <w:rPr>
          <w:rFonts w:ascii="Arial" w:hAnsi="Arial" w:cs="Arial"/>
          <w:sz w:val="24"/>
          <w:szCs w:val="24"/>
        </w:rPr>
        <w:t xml:space="preserve">which enables </w:t>
      </w:r>
      <w:r w:rsidRPr="00053CA9">
        <w:rPr>
          <w:rFonts w:ascii="Arial" w:hAnsi="Arial" w:cs="Arial"/>
          <w:sz w:val="24"/>
          <w:szCs w:val="24"/>
        </w:rPr>
        <w:t>residents to access the local labour market, improv</w:t>
      </w:r>
      <w:r w:rsidR="005B409D" w:rsidRPr="00053CA9">
        <w:rPr>
          <w:rFonts w:ascii="Arial" w:hAnsi="Arial" w:cs="Arial"/>
          <w:sz w:val="24"/>
          <w:szCs w:val="24"/>
        </w:rPr>
        <w:t>e</w:t>
      </w:r>
      <w:r w:rsidRPr="00053CA9">
        <w:rPr>
          <w:rFonts w:ascii="Arial" w:hAnsi="Arial" w:cs="Arial"/>
          <w:sz w:val="24"/>
          <w:szCs w:val="24"/>
        </w:rPr>
        <w:t xml:space="preserve"> social mobility and support our inclusive economy ambitions. It will also support two of our Pillars of Ambition embedded in the North of Tyne’s Economic Vision: Leaders of Tomorrow and Hotbed of Talent. The diagram below summarises the aims and objectives </w:t>
      </w:r>
      <w:r w:rsidR="00ED095F" w:rsidRPr="00053CA9">
        <w:rPr>
          <w:rFonts w:ascii="Arial" w:hAnsi="Arial" w:cs="Arial"/>
          <w:sz w:val="24"/>
          <w:szCs w:val="24"/>
        </w:rPr>
        <w:t>u</w:t>
      </w:r>
      <w:r w:rsidRPr="00053CA9">
        <w:rPr>
          <w:rFonts w:ascii="Arial" w:hAnsi="Arial" w:cs="Arial"/>
          <w:sz w:val="24"/>
          <w:szCs w:val="24"/>
        </w:rPr>
        <w:t>nderpinning these two strategic priorities and how progress will be measured over the first three years</w:t>
      </w:r>
      <w:r w:rsidR="005B409D" w:rsidRPr="00053CA9">
        <w:rPr>
          <w:rFonts w:ascii="Arial" w:hAnsi="Arial" w:cs="Arial"/>
          <w:sz w:val="24"/>
          <w:szCs w:val="24"/>
        </w:rPr>
        <w:t>.</w:t>
      </w:r>
    </w:p>
    <w:p w14:paraId="27F121CB" w14:textId="7FDC8441" w:rsidR="00F2017C" w:rsidRPr="00E923BA" w:rsidRDefault="00F2017C" w:rsidP="00F2017C">
      <w:pPr>
        <w:pStyle w:val="BodyText"/>
        <w:spacing w:before="1"/>
        <w:ind w:left="357" w:right="567"/>
        <w:jc w:val="both"/>
      </w:pPr>
    </w:p>
    <w:p w14:paraId="489A144F" w14:textId="413F6677" w:rsidR="00F23EAE" w:rsidRPr="005B409D" w:rsidRDefault="00F23EAE" w:rsidP="005B409D">
      <w:pPr>
        <w:pStyle w:val="BodyText"/>
        <w:spacing w:before="1"/>
        <w:ind w:left="-284" w:right="567"/>
        <w:jc w:val="center"/>
      </w:pPr>
    </w:p>
    <w:p w14:paraId="61023F82" w14:textId="77777777" w:rsidR="00053CA9" w:rsidRDefault="00053CA9" w:rsidP="009C1460">
      <w:pPr>
        <w:pStyle w:val="NoSpacing"/>
        <w:rPr>
          <w:rFonts w:ascii="Arial" w:hAnsi="Arial" w:cs="Arial"/>
          <w:b/>
          <w:bCs/>
          <w:sz w:val="24"/>
          <w:szCs w:val="24"/>
        </w:rPr>
      </w:pPr>
    </w:p>
    <w:p w14:paraId="1A0B5AC6" w14:textId="77777777" w:rsidR="00053CA9" w:rsidRDefault="00053CA9" w:rsidP="009C1460">
      <w:pPr>
        <w:pStyle w:val="NoSpacing"/>
        <w:rPr>
          <w:rFonts w:ascii="Arial" w:hAnsi="Arial" w:cs="Arial"/>
          <w:b/>
          <w:bCs/>
          <w:sz w:val="24"/>
          <w:szCs w:val="24"/>
        </w:rPr>
      </w:pPr>
    </w:p>
    <w:p w14:paraId="426041A1" w14:textId="77777777" w:rsidR="00053CA9" w:rsidRDefault="00053CA9" w:rsidP="009C1460">
      <w:pPr>
        <w:pStyle w:val="NoSpacing"/>
        <w:rPr>
          <w:rFonts w:ascii="Arial" w:hAnsi="Arial" w:cs="Arial"/>
          <w:b/>
          <w:bCs/>
          <w:sz w:val="24"/>
          <w:szCs w:val="24"/>
        </w:rPr>
      </w:pPr>
    </w:p>
    <w:p w14:paraId="1FE3F252" w14:textId="77777777" w:rsidR="00053CA9" w:rsidRDefault="00053CA9" w:rsidP="009C1460">
      <w:pPr>
        <w:pStyle w:val="NoSpacing"/>
        <w:rPr>
          <w:rFonts w:ascii="Arial" w:hAnsi="Arial" w:cs="Arial"/>
          <w:b/>
          <w:bCs/>
          <w:sz w:val="24"/>
          <w:szCs w:val="24"/>
        </w:rPr>
      </w:pPr>
    </w:p>
    <w:p w14:paraId="0D8F3F86" w14:textId="77777777" w:rsidR="00053CA9" w:rsidRDefault="00053CA9" w:rsidP="009C1460">
      <w:pPr>
        <w:pStyle w:val="NoSpacing"/>
        <w:rPr>
          <w:rFonts w:ascii="Arial" w:hAnsi="Arial" w:cs="Arial"/>
          <w:b/>
          <w:bCs/>
          <w:sz w:val="24"/>
          <w:szCs w:val="24"/>
        </w:rPr>
      </w:pPr>
    </w:p>
    <w:p w14:paraId="3C702627" w14:textId="2C924E89" w:rsidR="00053CA9" w:rsidRDefault="00053CA9" w:rsidP="009C1460">
      <w:pPr>
        <w:pStyle w:val="NoSpacing"/>
        <w:rPr>
          <w:rFonts w:ascii="Arial" w:hAnsi="Arial" w:cs="Arial"/>
          <w:b/>
          <w:bCs/>
          <w:sz w:val="24"/>
          <w:szCs w:val="24"/>
        </w:rPr>
      </w:pPr>
    </w:p>
    <w:p w14:paraId="4E51C193" w14:textId="384AB760" w:rsidR="00053CA9" w:rsidRDefault="00214EBE" w:rsidP="009C1460">
      <w:pPr>
        <w:pStyle w:val="NoSpacing"/>
        <w:rPr>
          <w:rFonts w:ascii="Arial" w:hAnsi="Arial" w:cs="Arial"/>
          <w:b/>
          <w:bCs/>
          <w:sz w:val="24"/>
          <w:szCs w:val="24"/>
        </w:rPr>
      </w:pPr>
      <w:r w:rsidRPr="00E923BA">
        <w:rPr>
          <w:noProof/>
        </w:rPr>
        <w:drawing>
          <wp:anchor distT="0" distB="0" distL="114300" distR="114300" simplePos="0" relativeHeight="251658240" behindDoc="1" locked="0" layoutInCell="1" allowOverlap="1" wp14:anchorId="4CF151BF" wp14:editId="2569B70B">
            <wp:simplePos x="0" y="0"/>
            <wp:positionH relativeFrom="margin">
              <wp:align>center</wp:align>
            </wp:positionH>
            <wp:positionV relativeFrom="paragraph">
              <wp:posOffset>-1290320</wp:posOffset>
            </wp:positionV>
            <wp:extent cx="5643245" cy="3257550"/>
            <wp:effectExtent l="0" t="0" r="0" b="0"/>
            <wp:wrapTight wrapText="bothSides">
              <wp:wrapPolygon edited="0">
                <wp:start x="1750" y="0"/>
                <wp:lineTo x="292" y="1389"/>
                <wp:lineTo x="146" y="1642"/>
                <wp:lineTo x="146" y="21474"/>
                <wp:lineTo x="21291" y="21474"/>
                <wp:lineTo x="21291" y="0"/>
                <wp:lineTo x="17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171"/>
                    <a:stretch/>
                  </pic:blipFill>
                  <pic:spPr bwMode="auto">
                    <a:xfrm>
                      <a:off x="0" y="0"/>
                      <a:ext cx="5643245" cy="325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06147C" w14:textId="77777777" w:rsidR="00053CA9" w:rsidRDefault="00053CA9" w:rsidP="009C1460">
      <w:pPr>
        <w:pStyle w:val="NoSpacing"/>
        <w:rPr>
          <w:rFonts w:ascii="Arial" w:hAnsi="Arial" w:cs="Arial"/>
          <w:b/>
          <w:bCs/>
          <w:sz w:val="24"/>
          <w:szCs w:val="24"/>
        </w:rPr>
      </w:pPr>
    </w:p>
    <w:p w14:paraId="7EECD860" w14:textId="77777777" w:rsidR="00053CA9" w:rsidRDefault="00053CA9" w:rsidP="009C1460">
      <w:pPr>
        <w:pStyle w:val="NoSpacing"/>
        <w:rPr>
          <w:rFonts w:ascii="Arial" w:hAnsi="Arial" w:cs="Arial"/>
          <w:b/>
          <w:bCs/>
          <w:sz w:val="24"/>
          <w:szCs w:val="24"/>
        </w:rPr>
      </w:pPr>
    </w:p>
    <w:p w14:paraId="309DFA87" w14:textId="77777777" w:rsidR="00053CA9" w:rsidRDefault="00053CA9" w:rsidP="009C1460">
      <w:pPr>
        <w:pStyle w:val="NoSpacing"/>
        <w:rPr>
          <w:rFonts w:ascii="Arial" w:hAnsi="Arial" w:cs="Arial"/>
          <w:b/>
          <w:bCs/>
          <w:sz w:val="24"/>
          <w:szCs w:val="24"/>
        </w:rPr>
      </w:pPr>
    </w:p>
    <w:p w14:paraId="313C6F7E" w14:textId="6F7D9820" w:rsidR="00053CA9" w:rsidRDefault="00053CA9" w:rsidP="009C1460">
      <w:pPr>
        <w:pStyle w:val="NoSpacing"/>
        <w:rPr>
          <w:rFonts w:ascii="Arial" w:hAnsi="Arial" w:cs="Arial"/>
          <w:b/>
          <w:bCs/>
          <w:sz w:val="24"/>
          <w:szCs w:val="24"/>
        </w:rPr>
      </w:pPr>
    </w:p>
    <w:p w14:paraId="4121623C" w14:textId="77777777" w:rsidR="00053CA9" w:rsidRDefault="00053CA9" w:rsidP="009C1460">
      <w:pPr>
        <w:pStyle w:val="NoSpacing"/>
        <w:rPr>
          <w:rFonts w:ascii="Arial" w:hAnsi="Arial" w:cs="Arial"/>
          <w:b/>
          <w:bCs/>
          <w:sz w:val="24"/>
          <w:szCs w:val="24"/>
        </w:rPr>
      </w:pPr>
    </w:p>
    <w:p w14:paraId="17C4BDEC" w14:textId="4E43C793" w:rsidR="00053CA9" w:rsidRDefault="00053CA9" w:rsidP="009C1460">
      <w:pPr>
        <w:pStyle w:val="NoSpacing"/>
        <w:rPr>
          <w:rFonts w:ascii="Arial" w:hAnsi="Arial" w:cs="Arial"/>
          <w:b/>
          <w:bCs/>
          <w:sz w:val="24"/>
          <w:szCs w:val="24"/>
        </w:rPr>
      </w:pPr>
    </w:p>
    <w:p w14:paraId="0C4BA1B0" w14:textId="04D24497" w:rsidR="00053CA9" w:rsidRDefault="00053CA9" w:rsidP="009C1460">
      <w:pPr>
        <w:pStyle w:val="NoSpacing"/>
        <w:rPr>
          <w:rFonts w:ascii="Arial" w:hAnsi="Arial" w:cs="Arial"/>
          <w:b/>
          <w:bCs/>
          <w:sz w:val="24"/>
          <w:szCs w:val="24"/>
        </w:rPr>
      </w:pPr>
    </w:p>
    <w:p w14:paraId="5FC116CD" w14:textId="77777777" w:rsidR="00053CA9" w:rsidRDefault="00053CA9" w:rsidP="009C1460">
      <w:pPr>
        <w:pStyle w:val="NoSpacing"/>
        <w:rPr>
          <w:rFonts w:ascii="Arial" w:hAnsi="Arial" w:cs="Arial"/>
          <w:b/>
          <w:bCs/>
          <w:sz w:val="24"/>
          <w:szCs w:val="24"/>
        </w:rPr>
      </w:pPr>
    </w:p>
    <w:p w14:paraId="1A11C07A" w14:textId="77777777" w:rsidR="00053CA9" w:rsidRDefault="00053CA9" w:rsidP="009C1460">
      <w:pPr>
        <w:pStyle w:val="NoSpacing"/>
        <w:rPr>
          <w:rFonts w:ascii="Arial" w:hAnsi="Arial" w:cs="Arial"/>
          <w:b/>
          <w:bCs/>
          <w:sz w:val="24"/>
          <w:szCs w:val="24"/>
        </w:rPr>
      </w:pPr>
    </w:p>
    <w:p w14:paraId="6083DC9C" w14:textId="77777777" w:rsidR="00053CA9" w:rsidRDefault="00053CA9" w:rsidP="009C1460">
      <w:pPr>
        <w:pStyle w:val="NoSpacing"/>
        <w:rPr>
          <w:rFonts w:ascii="Arial" w:hAnsi="Arial" w:cs="Arial"/>
          <w:b/>
          <w:bCs/>
          <w:sz w:val="24"/>
          <w:szCs w:val="24"/>
        </w:rPr>
      </w:pPr>
    </w:p>
    <w:p w14:paraId="7C011B36" w14:textId="72F71393" w:rsidR="00BC00C0" w:rsidRPr="00E923BA" w:rsidRDefault="00BC00C0" w:rsidP="009C1460">
      <w:pPr>
        <w:pStyle w:val="NoSpacing"/>
        <w:rPr>
          <w:rFonts w:ascii="Arial" w:hAnsi="Arial" w:cs="Arial"/>
          <w:b/>
          <w:bCs/>
          <w:sz w:val="24"/>
          <w:szCs w:val="24"/>
        </w:rPr>
      </w:pPr>
      <w:r w:rsidRPr="00E923BA">
        <w:rPr>
          <w:rFonts w:ascii="Arial" w:hAnsi="Arial" w:cs="Arial"/>
          <w:b/>
          <w:bCs/>
          <w:sz w:val="24"/>
          <w:szCs w:val="24"/>
        </w:rPr>
        <w:t xml:space="preserve">The scale of the challenge </w:t>
      </w:r>
    </w:p>
    <w:p w14:paraId="54791AFB" w14:textId="364A8DD3" w:rsidR="00BC00C0" w:rsidRPr="00E923BA" w:rsidRDefault="00BC00C0" w:rsidP="009C1460">
      <w:pPr>
        <w:pStyle w:val="NoSpacing"/>
        <w:rPr>
          <w:rFonts w:ascii="Arial" w:hAnsi="Arial" w:cs="Arial"/>
          <w:b/>
          <w:bCs/>
          <w:sz w:val="24"/>
          <w:szCs w:val="24"/>
        </w:rPr>
      </w:pPr>
    </w:p>
    <w:p w14:paraId="1C9D2EBE" w14:textId="3B4D6662" w:rsidR="005B409D" w:rsidRPr="00053CA9" w:rsidRDefault="007C6F2C" w:rsidP="004C5EEC">
      <w:pPr>
        <w:pStyle w:val="ListParagraph"/>
        <w:numPr>
          <w:ilvl w:val="0"/>
          <w:numId w:val="2"/>
        </w:numPr>
        <w:autoSpaceDE w:val="0"/>
        <w:autoSpaceDN w:val="0"/>
        <w:adjustRightInd w:val="0"/>
        <w:spacing w:after="0" w:line="240" w:lineRule="auto"/>
        <w:rPr>
          <w:rFonts w:ascii="Arial" w:hAnsi="Arial" w:cs="Arial"/>
          <w:sz w:val="24"/>
          <w:szCs w:val="24"/>
        </w:rPr>
      </w:pPr>
      <w:bookmarkStart w:id="4" w:name="_Hlk21419544"/>
      <w:r w:rsidRPr="00053CA9">
        <w:rPr>
          <w:rFonts w:ascii="Arial" w:hAnsi="Arial" w:cs="Arial"/>
          <w:sz w:val="24"/>
          <w:szCs w:val="24"/>
        </w:rPr>
        <w:t>Across the NTCA area,12% of Lower Super Output Areas (LSOAs) are within the 10% most deprived in England, although this varies significantly by Local Authority District</w:t>
      </w:r>
      <w:r w:rsidR="00637F8E">
        <w:rPr>
          <w:rStyle w:val="FootnoteReference"/>
          <w:rFonts w:ascii="Arial" w:hAnsi="Arial" w:cs="Arial"/>
          <w:sz w:val="24"/>
          <w:szCs w:val="24"/>
        </w:rPr>
        <w:footnoteReference w:id="4"/>
      </w:r>
      <w:r w:rsidRPr="00053CA9">
        <w:rPr>
          <w:rFonts w:ascii="Arial" w:hAnsi="Arial" w:cs="Arial"/>
          <w:sz w:val="24"/>
          <w:szCs w:val="24"/>
        </w:rPr>
        <w:t xml:space="preserve">. </w:t>
      </w:r>
      <w:r w:rsidR="005B409D" w:rsidRPr="00053CA9">
        <w:rPr>
          <w:rFonts w:ascii="Arial" w:hAnsi="Arial" w:cs="Arial"/>
          <w:sz w:val="24"/>
          <w:szCs w:val="24"/>
        </w:rPr>
        <w:t>Identifying areas where deprivation is high and understanding the challenges communities in these areas face, will help to influence the type of AEB provision that is required to enable residents to benefit from economic growth.</w:t>
      </w:r>
    </w:p>
    <w:p w14:paraId="3D0872A5" w14:textId="77777777" w:rsidR="00902618" w:rsidRPr="00E923BA" w:rsidRDefault="00902618" w:rsidP="004C5EEC">
      <w:pPr>
        <w:pStyle w:val="BodyText"/>
        <w:ind w:right="569"/>
        <w:rPr>
          <w:b/>
          <w:bCs/>
        </w:rPr>
      </w:pPr>
    </w:p>
    <w:p w14:paraId="71ACABCD" w14:textId="31FCC5C4" w:rsidR="001D1137" w:rsidRPr="00053CA9" w:rsidRDefault="00A1082E"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 xml:space="preserve">The NTCA area has had good employment growth in sectors which require high skills, for example digital. </w:t>
      </w:r>
      <w:r w:rsidR="001D1137" w:rsidRPr="00053CA9">
        <w:rPr>
          <w:rFonts w:ascii="Arial" w:hAnsi="Arial" w:cs="Arial"/>
          <w:sz w:val="24"/>
          <w:szCs w:val="24"/>
        </w:rPr>
        <w:t>NTCA’s economic success will be dependent on more highly skilled people than ever before, who are trained effectively, to grow the economy and raise productivity.</w:t>
      </w:r>
      <w:r w:rsidR="00736740" w:rsidRPr="00053CA9">
        <w:rPr>
          <w:rFonts w:ascii="Arial" w:hAnsi="Arial" w:cs="Arial"/>
          <w:sz w:val="24"/>
          <w:szCs w:val="24"/>
        </w:rPr>
        <w:t xml:space="preserve"> </w:t>
      </w:r>
    </w:p>
    <w:p w14:paraId="06CE07A7" w14:textId="77777777" w:rsidR="001D1137" w:rsidRPr="00E923BA" w:rsidRDefault="001D1137" w:rsidP="004C5EEC">
      <w:pPr>
        <w:pStyle w:val="BodyText"/>
        <w:ind w:left="360" w:right="568"/>
      </w:pPr>
    </w:p>
    <w:p w14:paraId="48B8BBA5" w14:textId="4EE0FCB8" w:rsidR="00A1082E" w:rsidRPr="00053CA9" w:rsidRDefault="00A1082E"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The area also has significant employment in some mid to low-</w:t>
      </w:r>
      <w:r w:rsidR="007C6F2C" w:rsidRPr="00053CA9">
        <w:rPr>
          <w:rFonts w:ascii="Arial" w:hAnsi="Arial" w:cs="Arial"/>
          <w:sz w:val="24"/>
          <w:szCs w:val="24"/>
        </w:rPr>
        <w:t>skilled sectors</w:t>
      </w:r>
      <w:r w:rsidRPr="00053CA9">
        <w:rPr>
          <w:rFonts w:ascii="Arial" w:hAnsi="Arial" w:cs="Arial"/>
          <w:sz w:val="24"/>
          <w:szCs w:val="24"/>
        </w:rPr>
        <w:t xml:space="preserve"> such as health, accommodation and food services and retail. These jobs are </w:t>
      </w:r>
      <w:r w:rsidR="00821F37" w:rsidRPr="00053CA9">
        <w:rPr>
          <w:rFonts w:ascii="Arial" w:hAnsi="Arial" w:cs="Arial"/>
          <w:sz w:val="24"/>
          <w:szCs w:val="24"/>
        </w:rPr>
        <w:t>important</w:t>
      </w:r>
      <w:r w:rsidRPr="00053CA9">
        <w:rPr>
          <w:rFonts w:ascii="Arial" w:hAnsi="Arial" w:cs="Arial"/>
          <w:sz w:val="24"/>
          <w:szCs w:val="24"/>
        </w:rPr>
        <w:t xml:space="preserve"> to the local economy and provide entry points into employment</w:t>
      </w:r>
      <w:r w:rsidR="00017C0F" w:rsidRPr="00053CA9">
        <w:rPr>
          <w:rFonts w:ascii="Arial" w:hAnsi="Arial" w:cs="Arial"/>
          <w:sz w:val="24"/>
          <w:szCs w:val="24"/>
        </w:rPr>
        <w:t xml:space="preserve"> but should offer better career progression.</w:t>
      </w:r>
    </w:p>
    <w:p w14:paraId="0D4C925B" w14:textId="77777777" w:rsidR="00A1082E" w:rsidRPr="00E923BA" w:rsidRDefault="00A1082E" w:rsidP="004C5EEC">
      <w:pPr>
        <w:pStyle w:val="BodyText"/>
        <w:ind w:right="565"/>
      </w:pPr>
    </w:p>
    <w:p w14:paraId="3D6DA6C6" w14:textId="4A621A51" w:rsidR="00A1082E" w:rsidRPr="00053CA9" w:rsidRDefault="00A1082E"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 xml:space="preserve">Whilst skills shortages are largely attributed to the higher and mid-skilled occupations, a significant number of employers also reported a lack of proficiency within the workforce (skills gaps) in service and labour-intensive occupations. </w:t>
      </w:r>
      <w:r w:rsidR="00510B59" w:rsidRPr="00053CA9">
        <w:rPr>
          <w:rFonts w:ascii="Arial" w:hAnsi="Arial" w:cs="Arial"/>
          <w:sz w:val="24"/>
          <w:szCs w:val="24"/>
        </w:rPr>
        <w:t>In addition, we know there are gaps in basic and generic skills inclu</w:t>
      </w:r>
      <w:r w:rsidR="00EA4CC7" w:rsidRPr="00053CA9">
        <w:rPr>
          <w:rFonts w:ascii="Arial" w:hAnsi="Arial" w:cs="Arial"/>
          <w:sz w:val="24"/>
          <w:szCs w:val="24"/>
        </w:rPr>
        <w:t>ding</w:t>
      </w:r>
      <w:r w:rsidR="00510B59" w:rsidRPr="00053CA9">
        <w:rPr>
          <w:rFonts w:ascii="Arial" w:hAnsi="Arial" w:cs="Arial"/>
          <w:sz w:val="24"/>
          <w:szCs w:val="24"/>
        </w:rPr>
        <w:t xml:space="preserve"> English</w:t>
      </w:r>
      <w:r w:rsidR="00053CA9">
        <w:rPr>
          <w:rFonts w:ascii="Arial" w:hAnsi="Arial" w:cs="Arial"/>
          <w:sz w:val="24"/>
          <w:szCs w:val="24"/>
        </w:rPr>
        <w:t>,</w:t>
      </w:r>
      <w:r w:rsidR="00510B59" w:rsidRPr="00053CA9">
        <w:rPr>
          <w:rFonts w:ascii="Arial" w:hAnsi="Arial" w:cs="Arial"/>
          <w:sz w:val="24"/>
          <w:szCs w:val="24"/>
        </w:rPr>
        <w:t xml:space="preserve"> </w:t>
      </w:r>
      <w:r w:rsidR="00053CA9">
        <w:rPr>
          <w:rFonts w:ascii="Arial" w:hAnsi="Arial" w:cs="Arial"/>
          <w:sz w:val="24"/>
          <w:szCs w:val="24"/>
        </w:rPr>
        <w:t>m</w:t>
      </w:r>
      <w:r w:rsidR="00510B59" w:rsidRPr="00053CA9">
        <w:rPr>
          <w:rFonts w:ascii="Arial" w:hAnsi="Arial" w:cs="Arial"/>
          <w:sz w:val="24"/>
          <w:szCs w:val="24"/>
        </w:rPr>
        <w:t xml:space="preserve">aths </w:t>
      </w:r>
      <w:r w:rsidR="00CD0D10" w:rsidRPr="00053CA9">
        <w:rPr>
          <w:rFonts w:ascii="Arial" w:hAnsi="Arial" w:cs="Arial"/>
          <w:sz w:val="24"/>
          <w:szCs w:val="24"/>
        </w:rPr>
        <w:t xml:space="preserve">and digital skills </w:t>
      </w:r>
      <w:r w:rsidR="00510B59" w:rsidRPr="00053CA9">
        <w:rPr>
          <w:rFonts w:ascii="Arial" w:hAnsi="Arial" w:cs="Arial"/>
          <w:sz w:val="24"/>
          <w:szCs w:val="24"/>
        </w:rPr>
        <w:t>which underpin employment and progression.</w:t>
      </w:r>
    </w:p>
    <w:p w14:paraId="6671ED66" w14:textId="77777777" w:rsidR="00A1082E" w:rsidRPr="00053CA9" w:rsidRDefault="00A1082E" w:rsidP="004C5EEC">
      <w:pPr>
        <w:pStyle w:val="BodyText"/>
        <w:ind w:right="565"/>
      </w:pPr>
    </w:p>
    <w:p w14:paraId="4F42695D" w14:textId="0478B732" w:rsidR="00A1082E" w:rsidRPr="00053CA9" w:rsidRDefault="00A1082E"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Earnings are below the national average and real earnings across the NTCA area have declined over the past five years. There are high levels of in-work poverty, with 23%</w:t>
      </w:r>
      <w:r w:rsidR="008C4F2F" w:rsidRPr="00053CA9">
        <w:rPr>
          <w:rStyle w:val="FootnoteReference"/>
          <w:rFonts w:ascii="Arial" w:hAnsi="Arial" w:cs="Arial"/>
          <w:sz w:val="24"/>
          <w:szCs w:val="24"/>
        </w:rPr>
        <w:footnoteReference w:id="5"/>
      </w:r>
      <w:r w:rsidRPr="00053CA9">
        <w:rPr>
          <w:rFonts w:ascii="Arial" w:hAnsi="Arial" w:cs="Arial"/>
          <w:sz w:val="24"/>
          <w:szCs w:val="24"/>
        </w:rPr>
        <w:t xml:space="preserve"> of the workforce earning less than the ‘real’ living wage. </w:t>
      </w:r>
    </w:p>
    <w:p w14:paraId="083C97D8" w14:textId="77777777" w:rsidR="00A1082E" w:rsidRPr="00053CA9" w:rsidRDefault="00A1082E" w:rsidP="004C5EEC">
      <w:pPr>
        <w:pStyle w:val="BodyText"/>
        <w:ind w:right="565"/>
      </w:pPr>
    </w:p>
    <w:p w14:paraId="296A90A9" w14:textId="7CC645F8" w:rsidR="00F40733" w:rsidRPr="00053CA9" w:rsidRDefault="00F40733"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 xml:space="preserve">Overall the unemployment rate for the working age population in the </w:t>
      </w:r>
      <w:r w:rsidR="00B414F2" w:rsidRPr="00053CA9">
        <w:rPr>
          <w:rFonts w:ascii="Arial" w:hAnsi="Arial" w:cs="Arial"/>
          <w:sz w:val="24"/>
          <w:szCs w:val="24"/>
        </w:rPr>
        <w:t xml:space="preserve">NTCA area </w:t>
      </w:r>
      <w:r w:rsidRPr="00053CA9">
        <w:rPr>
          <w:rFonts w:ascii="Arial" w:hAnsi="Arial" w:cs="Arial"/>
          <w:sz w:val="24"/>
          <w:szCs w:val="24"/>
        </w:rPr>
        <w:t>is higher than the rate for England. However, u</w:t>
      </w:r>
      <w:r w:rsidR="00816F14" w:rsidRPr="00053CA9">
        <w:rPr>
          <w:rFonts w:ascii="Arial" w:hAnsi="Arial" w:cs="Arial"/>
          <w:sz w:val="24"/>
          <w:szCs w:val="24"/>
        </w:rPr>
        <w:t>nemployment rates vary across the North of Tyne’s three Local Authority Districts</w:t>
      </w:r>
      <w:r w:rsidR="00053CA9">
        <w:rPr>
          <w:rFonts w:ascii="Arial" w:hAnsi="Arial" w:cs="Arial"/>
          <w:sz w:val="24"/>
          <w:szCs w:val="24"/>
        </w:rPr>
        <w:t xml:space="preserve"> </w:t>
      </w:r>
      <w:r w:rsidR="00816F14" w:rsidRPr="00053CA9">
        <w:rPr>
          <w:rFonts w:ascii="Arial" w:hAnsi="Arial" w:cs="Arial"/>
          <w:sz w:val="24"/>
          <w:szCs w:val="24"/>
        </w:rPr>
        <w:t>pointing to place-specific barriers to labour market participatio</w:t>
      </w:r>
      <w:r w:rsidR="00DE2443" w:rsidRPr="00053CA9">
        <w:rPr>
          <w:rFonts w:ascii="Arial" w:hAnsi="Arial" w:cs="Arial"/>
          <w:sz w:val="24"/>
          <w:szCs w:val="24"/>
        </w:rPr>
        <w:t>n</w:t>
      </w:r>
      <w:r w:rsidRPr="00053CA9">
        <w:rPr>
          <w:rFonts w:ascii="Arial" w:hAnsi="Arial" w:cs="Arial"/>
          <w:sz w:val="24"/>
          <w:szCs w:val="24"/>
        </w:rPr>
        <w:t xml:space="preserve">. </w:t>
      </w:r>
      <w:r w:rsidR="001B7DC8" w:rsidRPr="00053CA9">
        <w:rPr>
          <w:rFonts w:ascii="Arial" w:hAnsi="Arial" w:cs="Arial"/>
          <w:sz w:val="24"/>
          <w:szCs w:val="24"/>
        </w:rPr>
        <w:t>T</w:t>
      </w:r>
      <w:r w:rsidRPr="00053CA9">
        <w:rPr>
          <w:rFonts w:ascii="Arial" w:hAnsi="Arial" w:cs="Arial"/>
          <w:sz w:val="24"/>
          <w:szCs w:val="24"/>
        </w:rPr>
        <w:t xml:space="preserve">his </w:t>
      </w:r>
      <w:r w:rsidR="00816F14" w:rsidRPr="00053CA9">
        <w:rPr>
          <w:rFonts w:ascii="Arial" w:hAnsi="Arial" w:cs="Arial"/>
          <w:sz w:val="24"/>
          <w:szCs w:val="24"/>
        </w:rPr>
        <w:t>suggests</w:t>
      </w:r>
      <w:r w:rsidR="00816F14" w:rsidRPr="00053CA9">
        <w:rPr>
          <w:rFonts w:ascii="Arial" w:hAnsi="Arial" w:cs="Arial"/>
          <w:spacing w:val="-13"/>
          <w:sz w:val="24"/>
          <w:szCs w:val="24"/>
        </w:rPr>
        <w:t xml:space="preserve"> </w:t>
      </w:r>
      <w:r w:rsidR="001B7DC8" w:rsidRPr="00053CA9">
        <w:rPr>
          <w:rFonts w:ascii="Arial" w:hAnsi="Arial" w:cs="Arial"/>
          <w:spacing w:val="-13"/>
          <w:sz w:val="24"/>
          <w:szCs w:val="24"/>
        </w:rPr>
        <w:t xml:space="preserve">that </w:t>
      </w:r>
      <w:r w:rsidR="00816F14" w:rsidRPr="00053CA9">
        <w:rPr>
          <w:rFonts w:ascii="Arial" w:hAnsi="Arial" w:cs="Arial"/>
          <w:sz w:val="24"/>
          <w:szCs w:val="24"/>
        </w:rPr>
        <w:t>not</w:t>
      </w:r>
      <w:r w:rsidR="00816F14" w:rsidRPr="00053CA9">
        <w:rPr>
          <w:rFonts w:ascii="Arial" w:hAnsi="Arial" w:cs="Arial"/>
          <w:spacing w:val="-16"/>
          <w:sz w:val="24"/>
          <w:szCs w:val="24"/>
        </w:rPr>
        <w:t xml:space="preserve"> </w:t>
      </w:r>
      <w:r w:rsidR="00816F14" w:rsidRPr="00053CA9">
        <w:rPr>
          <w:rFonts w:ascii="Arial" w:hAnsi="Arial" w:cs="Arial"/>
          <w:sz w:val="24"/>
          <w:szCs w:val="24"/>
        </w:rPr>
        <w:t>all</w:t>
      </w:r>
      <w:r w:rsidR="00816F14" w:rsidRPr="00053CA9">
        <w:rPr>
          <w:rFonts w:ascii="Arial" w:hAnsi="Arial" w:cs="Arial"/>
          <w:spacing w:val="-13"/>
          <w:sz w:val="24"/>
          <w:szCs w:val="24"/>
        </w:rPr>
        <w:t xml:space="preserve"> </w:t>
      </w:r>
      <w:r w:rsidR="00816F14" w:rsidRPr="00053CA9">
        <w:rPr>
          <w:rFonts w:ascii="Arial" w:hAnsi="Arial" w:cs="Arial"/>
          <w:sz w:val="24"/>
          <w:szCs w:val="24"/>
        </w:rPr>
        <w:t>our</w:t>
      </w:r>
      <w:r w:rsidR="00816F14" w:rsidRPr="00053CA9">
        <w:rPr>
          <w:rFonts w:ascii="Arial" w:hAnsi="Arial" w:cs="Arial"/>
          <w:spacing w:val="-16"/>
          <w:sz w:val="24"/>
          <w:szCs w:val="24"/>
        </w:rPr>
        <w:t xml:space="preserve"> </w:t>
      </w:r>
      <w:r w:rsidR="00816F14" w:rsidRPr="00053CA9">
        <w:rPr>
          <w:rFonts w:ascii="Arial" w:hAnsi="Arial" w:cs="Arial"/>
          <w:sz w:val="24"/>
          <w:szCs w:val="24"/>
        </w:rPr>
        <w:t>residents are benefitting equally from the economic growth we have seen.</w:t>
      </w:r>
      <w:r w:rsidR="00DE2443" w:rsidRPr="00053CA9">
        <w:rPr>
          <w:rFonts w:ascii="Arial" w:hAnsi="Arial" w:cs="Arial"/>
          <w:sz w:val="24"/>
          <w:szCs w:val="24"/>
        </w:rPr>
        <w:t xml:space="preserve"> </w:t>
      </w:r>
    </w:p>
    <w:p w14:paraId="3EC09078" w14:textId="77777777" w:rsidR="00F40733" w:rsidRPr="00053CA9" w:rsidRDefault="00F40733" w:rsidP="009C1460">
      <w:pPr>
        <w:pStyle w:val="BodyText"/>
        <w:ind w:right="565"/>
      </w:pPr>
    </w:p>
    <w:p w14:paraId="705EBA9C" w14:textId="650A01EE" w:rsidR="00F2017C" w:rsidRPr="00053CA9" w:rsidRDefault="00F40733" w:rsidP="004C5EEC">
      <w:pPr>
        <w:pStyle w:val="ListParagraph"/>
        <w:numPr>
          <w:ilvl w:val="0"/>
          <w:numId w:val="2"/>
        </w:numPr>
        <w:autoSpaceDE w:val="0"/>
        <w:autoSpaceDN w:val="0"/>
        <w:adjustRightInd w:val="0"/>
        <w:spacing w:after="0" w:line="240" w:lineRule="auto"/>
        <w:rPr>
          <w:rFonts w:ascii="Arial" w:hAnsi="Arial" w:cs="Arial"/>
          <w:sz w:val="24"/>
          <w:szCs w:val="24"/>
        </w:rPr>
      </w:pPr>
      <w:r w:rsidRPr="00053CA9">
        <w:rPr>
          <w:rFonts w:ascii="Arial" w:hAnsi="Arial" w:cs="Arial"/>
          <w:sz w:val="24"/>
          <w:szCs w:val="24"/>
        </w:rPr>
        <w:t>Across</w:t>
      </w:r>
      <w:r w:rsidRPr="00053CA9">
        <w:rPr>
          <w:rFonts w:ascii="Arial" w:hAnsi="Arial" w:cs="Arial"/>
          <w:spacing w:val="-9"/>
          <w:sz w:val="24"/>
          <w:szCs w:val="24"/>
        </w:rPr>
        <w:t xml:space="preserve"> </w:t>
      </w:r>
      <w:r w:rsidRPr="00053CA9">
        <w:rPr>
          <w:rFonts w:ascii="Arial" w:hAnsi="Arial" w:cs="Arial"/>
          <w:sz w:val="24"/>
          <w:szCs w:val="24"/>
        </w:rPr>
        <w:t>the</w:t>
      </w:r>
      <w:r w:rsidRPr="00053CA9">
        <w:rPr>
          <w:rFonts w:ascii="Arial" w:hAnsi="Arial" w:cs="Arial"/>
          <w:spacing w:val="-8"/>
          <w:sz w:val="24"/>
          <w:szCs w:val="24"/>
        </w:rPr>
        <w:t xml:space="preserve"> </w:t>
      </w:r>
      <w:r w:rsidRPr="00053CA9">
        <w:rPr>
          <w:rFonts w:ascii="Arial" w:hAnsi="Arial" w:cs="Arial"/>
          <w:sz w:val="24"/>
          <w:szCs w:val="24"/>
        </w:rPr>
        <w:t>NTCA</w:t>
      </w:r>
      <w:r w:rsidRPr="00053CA9">
        <w:rPr>
          <w:rFonts w:ascii="Arial" w:hAnsi="Arial" w:cs="Arial"/>
          <w:spacing w:val="-11"/>
          <w:sz w:val="24"/>
          <w:szCs w:val="24"/>
        </w:rPr>
        <w:t xml:space="preserve"> </w:t>
      </w:r>
      <w:r w:rsidRPr="00053CA9">
        <w:rPr>
          <w:rFonts w:ascii="Arial" w:hAnsi="Arial" w:cs="Arial"/>
          <w:sz w:val="24"/>
          <w:szCs w:val="24"/>
        </w:rPr>
        <w:t>area</w:t>
      </w:r>
      <w:r w:rsidRPr="00053CA9">
        <w:rPr>
          <w:rFonts w:ascii="Arial" w:hAnsi="Arial" w:cs="Arial"/>
          <w:spacing w:val="-13"/>
          <w:sz w:val="24"/>
          <w:szCs w:val="24"/>
        </w:rPr>
        <w:t xml:space="preserve"> </w:t>
      </w:r>
      <w:r w:rsidRPr="00053CA9">
        <w:rPr>
          <w:rFonts w:ascii="Arial" w:hAnsi="Arial" w:cs="Arial"/>
          <w:sz w:val="24"/>
          <w:szCs w:val="24"/>
        </w:rPr>
        <w:t>20%</w:t>
      </w:r>
      <w:r w:rsidR="00FD3052">
        <w:rPr>
          <w:rStyle w:val="FootnoteReference"/>
          <w:rFonts w:ascii="Arial" w:hAnsi="Arial" w:cs="Arial"/>
          <w:sz w:val="24"/>
          <w:szCs w:val="24"/>
        </w:rPr>
        <w:footnoteReference w:id="6"/>
      </w:r>
      <w:r w:rsidRPr="00053CA9">
        <w:rPr>
          <w:rFonts w:ascii="Arial" w:hAnsi="Arial" w:cs="Arial"/>
          <w:spacing w:val="-11"/>
          <w:sz w:val="24"/>
          <w:szCs w:val="24"/>
        </w:rPr>
        <w:t xml:space="preserve"> </w:t>
      </w:r>
      <w:r w:rsidRPr="00053CA9">
        <w:rPr>
          <w:rFonts w:ascii="Arial" w:hAnsi="Arial" w:cs="Arial"/>
          <w:sz w:val="24"/>
          <w:szCs w:val="24"/>
        </w:rPr>
        <w:t>of</w:t>
      </w:r>
      <w:r w:rsidRPr="00053CA9">
        <w:rPr>
          <w:rFonts w:ascii="Arial" w:hAnsi="Arial" w:cs="Arial"/>
          <w:spacing w:val="-8"/>
          <w:sz w:val="24"/>
          <w:szCs w:val="24"/>
        </w:rPr>
        <w:t xml:space="preserve"> our </w:t>
      </w:r>
      <w:r w:rsidRPr="00053CA9">
        <w:rPr>
          <w:rFonts w:ascii="Arial" w:hAnsi="Arial" w:cs="Arial"/>
          <w:sz w:val="24"/>
          <w:szCs w:val="24"/>
        </w:rPr>
        <w:t>economically</w:t>
      </w:r>
      <w:r w:rsidRPr="00053CA9">
        <w:rPr>
          <w:rFonts w:ascii="Arial" w:hAnsi="Arial" w:cs="Arial"/>
          <w:spacing w:val="-12"/>
          <w:sz w:val="24"/>
          <w:szCs w:val="24"/>
        </w:rPr>
        <w:t xml:space="preserve"> </w:t>
      </w:r>
      <w:r w:rsidRPr="00053CA9">
        <w:rPr>
          <w:rFonts w:ascii="Arial" w:hAnsi="Arial" w:cs="Arial"/>
          <w:sz w:val="24"/>
          <w:szCs w:val="24"/>
        </w:rPr>
        <w:t>inactive</w:t>
      </w:r>
      <w:r w:rsidRPr="00053CA9">
        <w:rPr>
          <w:rFonts w:ascii="Arial" w:hAnsi="Arial" w:cs="Arial"/>
          <w:spacing w:val="-5"/>
          <w:sz w:val="24"/>
          <w:szCs w:val="24"/>
        </w:rPr>
        <w:t xml:space="preserve"> residents have stated they </w:t>
      </w:r>
      <w:r w:rsidRPr="00053CA9">
        <w:rPr>
          <w:rFonts w:ascii="Arial" w:hAnsi="Arial" w:cs="Arial"/>
          <w:sz w:val="24"/>
          <w:szCs w:val="24"/>
        </w:rPr>
        <w:t>want a job.</w:t>
      </w:r>
      <w:r w:rsidRPr="00053CA9">
        <w:rPr>
          <w:rFonts w:ascii="Arial" w:hAnsi="Arial" w:cs="Arial"/>
          <w:spacing w:val="-15"/>
          <w:sz w:val="24"/>
          <w:szCs w:val="24"/>
        </w:rPr>
        <w:t xml:space="preserve"> </w:t>
      </w:r>
      <w:r w:rsidR="001D1137" w:rsidRPr="00053CA9">
        <w:rPr>
          <w:rFonts w:ascii="Arial" w:hAnsi="Arial" w:cs="Arial"/>
          <w:spacing w:val="-15"/>
          <w:sz w:val="24"/>
          <w:szCs w:val="24"/>
        </w:rPr>
        <w:t>U</w:t>
      </w:r>
      <w:r w:rsidRPr="00053CA9">
        <w:rPr>
          <w:rFonts w:ascii="Arial" w:hAnsi="Arial" w:cs="Arial"/>
          <w:sz w:val="24"/>
          <w:szCs w:val="24"/>
        </w:rPr>
        <w:t>nderstand</w:t>
      </w:r>
      <w:r w:rsidR="001D1137" w:rsidRPr="00053CA9">
        <w:rPr>
          <w:rFonts w:ascii="Arial" w:hAnsi="Arial" w:cs="Arial"/>
          <w:sz w:val="24"/>
          <w:szCs w:val="24"/>
        </w:rPr>
        <w:t>ing</w:t>
      </w:r>
      <w:r w:rsidRPr="00053CA9">
        <w:rPr>
          <w:rFonts w:ascii="Arial" w:hAnsi="Arial" w:cs="Arial"/>
          <w:spacing w:val="-16"/>
          <w:sz w:val="24"/>
          <w:szCs w:val="24"/>
        </w:rPr>
        <w:t xml:space="preserve"> </w:t>
      </w:r>
      <w:r w:rsidRPr="00053CA9">
        <w:rPr>
          <w:rFonts w:ascii="Arial" w:hAnsi="Arial" w:cs="Arial"/>
          <w:sz w:val="24"/>
          <w:szCs w:val="24"/>
        </w:rPr>
        <w:t>the</w:t>
      </w:r>
      <w:r w:rsidRPr="00053CA9">
        <w:rPr>
          <w:rFonts w:ascii="Arial" w:hAnsi="Arial" w:cs="Arial"/>
          <w:spacing w:val="-15"/>
          <w:sz w:val="24"/>
          <w:szCs w:val="24"/>
        </w:rPr>
        <w:t xml:space="preserve"> </w:t>
      </w:r>
      <w:r w:rsidRPr="00053CA9">
        <w:rPr>
          <w:rFonts w:ascii="Arial" w:hAnsi="Arial" w:cs="Arial"/>
          <w:sz w:val="24"/>
          <w:szCs w:val="24"/>
        </w:rPr>
        <w:t>reasons</w:t>
      </w:r>
      <w:r w:rsidRPr="00053CA9">
        <w:rPr>
          <w:rFonts w:ascii="Arial" w:hAnsi="Arial" w:cs="Arial"/>
          <w:spacing w:val="-19"/>
          <w:sz w:val="24"/>
          <w:szCs w:val="24"/>
        </w:rPr>
        <w:t xml:space="preserve"> </w:t>
      </w:r>
      <w:r w:rsidRPr="00053CA9">
        <w:rPr>
          <w:rFonts w:ascii="Arial" w:hAnsi="Arial" w:cs="Arial"/>
          <w:sz w:val="24"/>
          <w:szCs w:val="24"/>
        </w:rPr>
        <w:t>why</w:t>
      </w:r>
      <w:r w:rsidRPr="00053CA9">
        <w:rPr>
          <w:rFonts w:ascii="Arial" w:hAnsi="Arial" w:cs="Arial"/>
          <w:spacing w:val="-17"/>
          <w:sz w:val="24"/>
          <w:szCs w:val="24"/>
        </w:rPr>
        <w:t xml:space="preserve"> </w:t>
      </w:r>
      <w:r w:rsidRPr="00053CA9">
        <w:rPr>
          <w:rFonts w:ascii="Arial" w:hAnsi="Arial" w:cs="Arial"/>
          <w:sz w:val="24"/>
          <w:szCs w:val="24"/>
        </w:rPr>
        <w:t>these</w:t>
      </w:r>
      <w:r w:rsidRPr="00053CA9">
        <w:rPr>
          <w:rFonts w:ascii="Arial" w:hAnsi="Arial" w:cs="Arial"/>
          <w:spacing w:val="-15"/>
          <w:sz w:val="24"/>
          <w:szCs w:val="24"/>
        </w:rPr>
        <w:t xml:space="preserve"> </w:t>
      </w:r>
      <w:r w:rsidRPr="00053CA9">
        <w:rPr>
          <w:rFonts w:ascii="Arial" w:hAnsi="Arial" w:cs="Arial"/>
          <w:sz w:val="24"/>
          <w:szCs w:val="24"/>
        </w:rPr>
        <w:t>residents</w:t>
      </w:r>
      <w:r w:rsidRPr="00053CA9">
        <w:rPr>
          <w:rFonts w:ascii="Arial" w:hAnsi="Arial" w:cs="Arial"/>
          <w:spacing w:val="-17"/>
          <w:sz w:val="24"/>
          <w:szCs w:val="24"/>
        </w:rPr>
        <w:t xml:space="preserve"> </w:t>
      </w:r>
      <w:r w:rsidRPr="00053CA9">
        <w:rPr>
          <w:rFonts w:ascii="Arial" w:hAnsi="Arial" w:cs="Arial"/>
          <w:sz w:val="24"/>
          <w:szCs w:val="24"/>
        </w:rPr>
        <w:t>are</w:t>
      </w:r>
      <w:r w:rsidRPr="00053CA9">
        <w:rPr>
          <w:rFonts w:ascii="Arial" w:hAnsi="Arial" w:cs="Arial"/>
          <w:spacing w:val="-14"/>
          <w:sz w:val="24"/>
          <w:szCs w:val="24"/>
        </w:rPr>
        <w:t xml:space="preserve"> </w:t>
      </w:r>
      <w:r w:rsidRPr="00053CA9">
        <w:rPr>
          <w:rFonts w:ascii="Arial" w:hAnsi="Arial" w:cs="Arial"/>
          <w:sz w:val="24"/>
          <w:szCs w:val="24"/>
        </w:rPr>
        <w:t>not</w:t>
      </w:r>
      <w:r w:rsidRPr="00053CA9">
        <w:rPr>
          <w:rFonts w:ascii="Arial" w:hAnsi="Arial" w:cs="Arial"/>
          <w:spacing w:val="-17"/>
          <w:sz w:val="24"/>
          <w:szCs w:val="24"/>
        </w:rPr>
        <w:t xml:space="preserve"> </w:t>
      </w:r>
      <w:r w:rsidRPr="00053CA9">
        <w:rPr>
          <w:rFonts w:ascii="Arial" w:hAnsi="Arial" w:cs="Arial"/>
          <w:sz w:val="24"/>
          <w:szCs w:val="24"/>
        </w:rPr>
        <w:t>accessing</w:t>
      </w:r>
      <w:r w:rsidRPr="00053CA9">
        <w:rPr>
          <w:rFonts w:ascii="Arial" w:hAnsi="Arial" w:cs="Arial"/>
          <w:spacing w:val="-16"/>
          <w:sz w:val="24"/>
          <w:szCs w:val="24"/>
        </w:rPr>
        <w:t xml:space="preserve"> </w:t>
      </w:r>
      <w:r w:rsidRPr="00053CA9">
        <w:rPr>
          <w:rFonts w:ascii="Arial" w:hAnsi="Arial" w:cs="Arial"/>
          <w:sz w:val="24"/>
          <w:szCs w:val="24"/>
        </w:rPr>
        <w:t>employment is fundamental in assisting them to overcome the barriers they are</w:t>
      </w:r>
      <w:r w:rsidRPr="00053CA9">
        <w:rPr>
          <w:rFonts w:ascii="Arial" w:hAnsi="Arial" w:cs="Arial"/>
          <w:spacing w:val="-10"/>
          <w:sz w:val="24"/>
          <w:szCs w:val="24"/>
        </w:rPr>
        <w:t xml:space="preserve"> </w:t>
      </w:r>
      <w:r w:rsidRPr="00053CA9">
        <w:rPr>
          <w:rFonts w:ascii="Arial" w:hAnsi="Arial" w:cs="Arial"/>
          <w:sz w:val="24"/>
          <w:szCs w:val="24"/>
        </w:rPr>
        <w:t>facing</w:t>
      </w:r>
      <w:r w:rsidR="001D1137" w:rsidRPr="00053CA9">
        <w:rPr>
          <w:rFonts w:ascii="Arial" w:hAnsi="Arial" w:cs="Arial"/>
          <w:sz w:val="24"/>
          <w:szCs w:val="24"/>
        </w:rPr>
        <w:t xml:space="preserve">. </w:t>
      </w:r>
      <w:r w:rsidR="00C44A56" w:rsidRPr="00053CA9">
        <w:rPr>
          <w:rFonts w:ascii="Arial" w:hAnsi="Arial" w:cs="Arial"/>
          <w:sz w:val="24"/>
          <w:szCs w:val="24"/>
        </w:rPr>
        <w:t>E</w:t>
      </w:r>
      <w:r w:rsidR="00DE2443" w:rsidRPr="00053CA9">
        <w:rPr>
          <w:rFonts w:ascii="Arial" w:hAnsi="Arial" w:cs="Arial"/>
          <w:sz w:val="24"/>
          <w:szCs w:val="24"/>
        </w:rPr>
        <w:t xml:space="preserve">vidence suggest that the </w:t>
      </w:r>
      <w:r w:rsidR="00C44A56" w:rsidRPr="00053CA9">
        <w:rPr>
          <w:rFonts w:ascii="Arial" w:hAnsi="Arial" w:cs="Arial"/>
          <w:sz w:val="24"/>
          <w:szCs w:val="24"/>
        </w:rPr>
        <w:t xml:space="preserve">current </w:t>
      </w:r>
      <w:r w:rsidR="00DE2443" w:rsidRPr="00053CA9">
        <w:rPr>
          <w:rFonts w:ascii="Arial" w:hAnsi="Arial" w:cs="Arial"/>
          <w:sz w:val="24"/>
          <w:szCs w:val="24"/>
        </w:rPr>
        <w:t>provision</w:t>
      </w:r>
      <w:r w:rsidR="00C44A56" w:rsidRPr="00053CA9">
        <w:rPr>
          <w:rFonts w:ascii="Arial" w:hAnsi="Arial" w:cs="Arial"/>
          <w:sz w:val="24"/>
          <w:szCs w:val="24"/>
        </w:rPr>
        <w:t xml:space="preserve"> is not enabling residents to progress in work. </w:t>
      </w:r>
    </w:p>
    <w:p w14:paraId="48F07FD1" w14:textId="77777777" w:rsidR="00F2017C" w:rsidRPr="00053CA9" w:rsidRDefault="00F2017C" w:rsidP="009C1460">
      <w:pPr>
        <w:pStyle w:val="BodyText"/>
        <w:ind w:left="502" w:right="568"/>
      </w:pPr>
    </w:p>
    <w:bookmarkEnd w:id="3"/>
    <w:bookmarkEnd w:id="4"/>
    <w:p w14:paraId="19EE4945" w14:textId="3A6AA6BC" w:rsidR="00AA18C0" w:rsidRPr="00053CA9" w:rsidRDefault="00AA18C0" w:rsidP="00AA18C0">
      <w:pPr>
        <w:pStyle w:val="BodyText"/>
        <w:spacing w:before="1" w:line="259" w:lineRule="auto"/>
        <w:ind w:right="568"/>
        <w:jc w:val="both"/>
        <w:rPr>
          <w:b/>
          <w:bCs/>
        </w:rPr>
      </w:pPr>
    </w:p>
    <w:p w14:paraId="288B5D6E" w14:textId="1071116E" w:rsidR="009C1460" w:rsidRDefault="009C1460" w:rsidP="00AA18C0">
      <w:pPr>
        <w:pStyle w:val="BodyText"/>
        <w:spacing w:before="1" w:line="259" w:lineRule="auto"/>
        <w:ind w:right="568"/>
        <w:jc w:val="both"/>
        <w:rPr>
          <w:b/>
          <w:bCs/>
        </w:rPr>
      </w:pPr>
    </w:p>
    <w:p w14:paraId="5CB66607" w14:textId="5C74F5CE" w:rsidR="009C1460" w:rsidRDefault="009C1460" w:rsidP="00AA18C0">
      <w:pPr>
        <w:pStyle w:val="BodyText"/>
        <w:spacing w:before="1" w:line="259" w:lineRule="auto"/>
        <w:ind w:right="568"/>
        <w:jc w:val="both"/>
        <w:rPr>
          <w:b/>
          <w:bCs/>
        </w:rPr>
      </w:pPr>
    </w:p>
    <w:p w14:paraId="0E06C2D2" w14:textId="346CA3BE" w:rsidR="009C1460" w:rsidRDefault="009C1460" w:rsidP="00AA18C0">
      <w:pPr>
        <w:pStyle w:val="BodyText"/>
        <w:spacing w:before="1" w:line="259" w:lineRule="auto"/>
        <w:ind w:right="568"/>
        <w:jc w:val="both"/>
        <w:rPr>
          <w:b/>
          <w:bCs/>
        </w:rPr>
      </w:pPr>
    </w:p>
    <w:p w14:paraId="46D2855E" w14:textId="05CDEDF3" w:rsidR="009C1460" w:rsidRDefault="009C1460" w:rsidP="00AA18C0">
      <w:pPr>
        <w:pStyle w:val="BodyText"/>
        <w:spacing w:before="1" w:line="259" w:lineRule="auto"/>
        <w:ind w:right="568"/>
        <w:jc w:val="both"/>
        <w:rPr>
          <w:b/>
          <w:bCs/>
        </w:rPr>
      </w:pPr>
    </w:p>
    <w:p w14:paraId="482E3B8C" w14:textId="30AF5382" w:rsidR="004C5EEC" w:rsidRDefault="004C5EEC">
      <w:pPr>
        <w:rPr>
          <w:rFonts w:ascii="Arial" w:eastAsia="Arial" w:hAnsi="Arial" w:cs="Arial"/>
          <w:b/>
          <w:bCs/>
          <w:sz w:val="24"/>
          <w:szCs w:val="24"/>
          <w:lang w:eastAsia="en-GB" w:bidi="en-GB"/>
        </w:rPr>
      </w:pPr>
      <w:r>
        <w:rPr>
          <w:b/>
          <w:bCs/>
        </w:rPr>
        <w:br w:type="page"/>
      </w:r>
    </w:p>
    <w:p w14:paraId="5EBA190B" w14:textId="5A022258" w:rsidR="00BC00C0" w:rsidRDefault="00BC00C0" w:rsidP="009C1460">
      <w:pPr>
        <w:pStyle w:val="BodyText"/>
        <w:ind w:right="568"/>
        <w:jc w:val="both"/>
        <w:rPr>
          <w:b/>
          <w:bCs/>
        </w:rPr>
      </w:pPr>
      <w:r w:rsidRPr="00E923BA">
        <w:rPr>
          <w:b/>
          <w:bCs/>
        </w:rPr>
        <w:t>Current AEB Delivery</w:t>
      </w:r>
    </w:p>
    <w:p w14:paraId="1EEC80E2" w14:textId="77777777" w:rsidR="004C5EEC" w:rsidRPr="00E923BA" w:rsidRDefault="004C5EEC" w:rsidP="009C1460">
      <w:pPr>
        <w:pStyle w:val="BodyText"/>
        <w:ind w:right="568"/>
        <w:jc w:val="both"/>
        <w:rPr>
          <w:b/>
          <w:bCs/>
        </w:rPr>
      </w:pPr>
    </w:p>
    <w:p w14:paraId="3E5B24EC" w14:textId="4E3CCEBF" w:rsidR="00BC00C0" w:rsidRPr="004C5EEC" w:rsidRDefault="00BC00C0" w:rsidP="004C5EEC">
      <w:pPr>
        <w:pStyle w:val="ListParagraph"/>
        <w:numPr>
          <w:ilvl w:val="0"/>
          <w:numId w:val="2"/>
        </w:numPr>
        <w:autoSpaceDE w:val="0"/>
        <w:autoSpaceDN w:val="0"/>
        <w:adjustRightInd w:val="0"/>
        <w:spacing w:after="0" w:line="240" w:lineRule="auto"/>
        <w:rPr>
          <w:rFonts w:ascii="Arial" w:eastAsia="Arial" w:hAnsi="Arial" w:cs="Arial"/>
          <w:b/>
          <w:bCs/>
          <w:sz w:val="24"/>
          <w:szCs w:val="24"/>
          <w:lang w:eastAsia="en-GB" w:bidi="en-GB"/>
        </w:rPr>
      </w:pPr>
      <w:r w:rsidRPr="004C5EEC">
        <w:rPr>
          <w:rFonts w:ascii="Arial" w:eastAsia="Arial" w:hAnsi="Arial" w:cs="Arial"/>
          <w:sz w:val="24"/>
          <w:szCs w:val="24"/>
          <w:lang w:eastAsia="en-GB" w:bidi="en-GB"/>
        </w:rPr>
        <w:t xml:space="preserve">Our analysis shows that there is a mismatch between the supply and the demand for skills, which implies that </w:t>
      </w:r>
      <w:r w:rsidR="00F04F1C" w:rsidRPr="004C5EEC">
        <w:rPr>
          <w:rFonts w:ascii="Arial" w:eastAsia="Arial" w:hAnsi="Arial" w:cs="Arial"/>
          <w:sz w:val="24"/>
          <w:szCs w:val="24"/>
          <w:lang w:eastAsia="en-GB" w:bidi="en-GB"/>
        </w:rPr>
        <w:t>o</w:t>
      </w:r>
      <w:r w:rsidR="00AE5656" w:rsidRPr="004C5EEC">
        <w:rPr>
          <w:rFonts w:ascii="Arial" w:eastAsia="Arial" w:hAnsi="Arial" w:cs="Arial"/>
          <w:sz w:val="24"/>
          <w:szCs w:val="24"/>
          <w:lang w:eastAsia="en-GB" w:bidi="en-GB"/>
        </w:rPr>
        <w:t>rganisations</w:t>
      </w:r>
      <w:r w:rsidRPr="004C5EEC">
        <w:rPr>
          <w:rFonts w:ascii="Arial" w:eastAsia="Arial" w:hAnsi="Arial" w:cs="Arial"/>
          <w:sz w:val="24"/>
          <w:szCs w:val="24"/>
          <w:lang w:eastAsia="en-GB" w:bidi="en-GB"/>
        </w:rPr>
        <w:t xml:space="preserve"> are not </w:t>
      </w:r>
      <w:r w:rsidR="009E6AE8" w:rsidRPr="004C5EEC">
        <w:rPr>
          <w:rFonts w:ascii="Arial" w:eastAsia="Arial" w:hAnsi="Arial" w:cs="Arial"/>
          <w:sz w:val="24"/>
          <w:szCs w:val="24"/>
          <w:lang w:eastAsia="en-GB" w:bidi="en-GB"/>
        </w:rPr>
        <w:t>offering,</w:t>
      </w:r>
      <w:r w:rsidRPr="004C5EEC">
        <w:rPr>
          <w:rFonts w:ascii="Arial" w:eastAsia="Arial" w:hAnsi="Arial" w:cs="Arial"/>
          <w:sz w:val="24"/>
          <w:szCs w:val="24"/>
          <w:lang w:eastAsia="en-GB" w:bidi="en-GB"/>
        </w:rPr>
        <w:t xml:space="preserve"> or residents are not choosing</w:t>
      </w:r>
      <w:r w:rsidR="00A82086" w:rsidRPr="004C5EEC">
        <w:rPr>
          <w:rFonts w:ascii="Arial" w:eastAsia="Arial" w:hAnsi="Arial" w:cs="Arial"/>
          <w:sz w:val="24"/>
          <w:szCs w:val="24"/>
          <w:lang w:eastAsia="en-GB" w:bidi="en-GB"/>
        </w:rPr>
        <w:t>,</w:t>
      </w:r>
      <w:r w:rsidRPr="004C5EEC">
        <w:rPr>
          <w:rFonts w:ascii="Arial" w:eastAsia="Arial" w:hAnsi="Arial" w:cs="Arial"/>
          <w:sz w:val="24"/>
          <w:szCs w:val="24"/>
          <w:lang w:eastAsia="en-GB" w:bidi="en-GB"/>
        </w:rPr>
        <w:t xml:space="preserve"> the courses that match </w:t>
      </w:r>
      <w:r w:rsidR="009E6AE8" w:rsidRPr="004C5EEC">
        <w:rPr>
          <w:rFonts w:ascii="Arial" w:eastAsia="Arial" w:hAnsi="Arial" w:cs="Arial"/>
          <w:sz w:val="24"/>
          <w:szCs w:val="24"/>
          <w:lang w:eastAsia="en-GB" w:bidi="en-GB"/>
        </w:rPr>
        <w:t>employers’</w:t>
      </w:r>
      <w:r w:rsidRPr="004C5EEC">
        <w:rPr>
          <w:rFonts w:ascii="Arial" w:eastAsia="Arial" w:hAnsi="Arial" w:cs="Arial"/>
          <w:sz w:val="24"/>
          <w:szCs w:val="24"/>
          <w:lang w:eastAsia="en-GB" w:bidi="en-GB"/>
        </w:rPr>
        <w:t xml:space="preserve"> skills needs, and the future skills needs will not be met unless this changes.</w:t>
      </w:r>
    </w:p>
    <w:p w14:paraId="0DD45A8B" w14:textId="77777777" w:rsidR="009C1460" w:rsidRPr="004C5EEC" w:rsidRDefault="009C1460" w:rsidP="009C1460">
      <w:pPr>
        <w:pStyle w:val="Default"/>
        <w:ind w:left="360" w:right="566"/>
        <w:rPr>
          <w:rFonts w:eastAsia="Arial"/>
          <w:b/>
          <w:bCs/>
          <w:color w:val="auto"/>
          <w:lang w:eastAsia="en-GB" w:bidi="en-GB"/>
        </w:rPr>
      </w:pPr>
    </w:p>
    <w:p w14:paraId="1D5C70B2" w14:textId="70096659" w:rsidR="00A27744" w:rsidRPr="004C5EEC" w:rsidRDefault="00A27744" w:rsidP="004C5EEC">
      <w:pPr>
        <w:pStyle w:val="ListParagraph"/>
        <w:numPr>
          <w:ilvl w:val="0"/>
          <w:numId w:val="2"/>
        </w:numPr>
        <w:autoSpaceDE w:val="0"/>
        <w:autoSpaceDN w:val="0"/>
        <w:adjustRightInd w:val="0"/>
        <w:spacing w:after="0" w:line="240" w:lineRule="auto"/>
        <w:rPr>
          <w:rFonts w:ascii="Arial" w:eastAsia="Arial" w:hAnsi="Arial" w:cs="Arial"/>
          <w:sz w:val="24"/>
          <w:szCs w:val="24"/>
          <w:lang w:eastAsia="en-GB" w:bidi="en-GB"/>
        </w:rPr>
      </w:pPr>
      <w:r w:rsidRPr="004C5EEC">
        <w:rPr>
          <w:rFonts w:ascii="Arial" w:eastAsia="Arial" w:hAnsi="Arial" w:cs="Arial"/>
          <w:sz w:val="24"/>
          <w:szCs w:val="24"/>
          <w:lang w:eastAsia="en-GB" w:bidi="en-GB"/>
        </w:rPr>
        <w:t xml:space="preserve">Our analysis of the total </w:t>
      </w:r>
      <w:r w:rsidR="00CB7C76" w:rsidRPr="004C5EEC">
        <w:rPr>
          <w:rFonts w:ascii="Arial" w:eastAsia="Arial" w:hAnsi="Arial" w:cs="Arial"/>
          <w:sz w:val="24"/>
          <w:szCs w:val="24"/>
          <w:lang w:eastAsia="en-GB" w:bidi="en-GB"/>
        </w:rPr>
        <w:t xml:space="preserve">£22m AEB provision </w:t>
      </w:r>
      <w:r w:rsidRPr="004C5EEC">
        <w:rPr>
          <w:rFonts w:ascii="Arial" w:eastAsia="Arial" w:hAnsi="Arial" w:cs="Arial"/>
          <w:sz w:val="24"/>
          <w:szCs w:val="24"/>
          <w:lang w:eastAsia="en-GB" w:bidi="en-GB"/>
        </w:rPr>
        <w:t xml:space="preserve">to </w:t>
      </w:r>
      <w:r w:rsidR="005A170A" w:rsidRPr="004C5EEC">
        <w:rPr>
          <w:rFonts w:ascii="Arial" w:eastAsia="Arial" w:hAnsi="Arial" w:cs="Arial"/>
          <w:sz w:val="24"/>
          <w:szCs w:val="24"/>
          <w:lang w:eastAsia="en-GB" w:bidi="en-GB"/>
        </w:rPr>
        <w:t xml:space="preserve">NTCA </w:t>
      </w:r>
      <w:r w:rsidR="00CB7C76" w:rsidRPr="004C5EEC">
        <w:rPr>
          <w:rFonts w:ascii="Arial" w:eastAsia="Arial" w:hAnsi="Arial" w:cs="Arial"/>
          <w:sz w:val="24"/>
          <w:szCs w:val="24"/>
          <w:lang w:eastAsia="en-GB" w:bidi="en-GB"/>
        </w:rPr>
        <w:t xml:space="preserve">residents </w:t>
      </w:r>
      <w:r w:rsidRPr="004C5EEC">
        <w:rPr>
          <w:rFonts w:ascii="Arial" w:eastAsia="Arial" w:hAnsi="Arial" w:cs="Arial"/>
          <w:sz w:val="24"/>
          <w:szCs w:val="24"/>
          <w:lang w:eastAsia="en-GB" w:bidi="en-GB"/>
        </w:rPr>
        <w:t xml:space="preserve">in 2017/18 demonstrates that: </w:t>
      </w:r>
    </w:p>
    <w:p w14:paraId="33A85BC5" w14:textId="77777777" w:rsidR="009C1460" w:rsidRPr="00E923BA" w:rsidRDefault="009C1460" w:rsidP="009C1460">
      <w:pPr>
        <w:pStyle w:val="Default"/>
        <w:ind w:right="566"/>
        <w:rPr>
          <w:rFonts w:eastAsia="Arial"/>
          <w:color w:val="auto"/>
          <w:lang w:eastAsia="en-GB" w:bidi="en-GB"/>
        </w:rPr>
      </w:pPr>
    </w:p>
    <w:p w14:paraId="089DCB93" w14:textId="235D9040" w:rsidR="00AD33FF" w:rsidRPr="00E06A64" w:rsidRDefault="00AD33FF" w:rsidP="009C1460">
      <w:pPr>
        <w:pStyle w:val="BodyText"/>
        <w:numPr>
          <w:ilvl w:val="0"/>
          <w:numId w:val="17"/>
        </w:numPr>
        <w:tabs>
          <w:tab w:val="left" w:pos="1535"/>
          <w:tab w:val="left" w:pos="1536"/>
        </w:tabs>
        <w:ind w:right="444"/>
      </w:pPr>
      <w:r w:rsidRPr="00E06A64">
        <w:t>59% (21</w:t>
      </w:r>
      <w:r w:rsidR="004C5EEC">
        <w:t xml:space="preserve">,000) </w:t>
      </w:r>
      <w:r w:rsidRPr="00E06A64">
        <w:t>of overall enrolments were for provision below Level 2</w:t>
      </w:r>
      <w:r w:rsidR="00016704">
        <w:t>;</w:t>
      </w:r>
    </w:p>
    <w:p w14:paraId="59D3316C" w14:textId="5773A823" w:rsidR="00CB7C76" w:rsidRPr="00E06A64" w:rsidRDefault="00CB7C76" w:rsidP="009C1460">
      <w:pPr>
        <w:pStyle w:val="BodyText"/>
        <w:numPr>
          <w:ilvl w:val="0"/>
          <w:numId w:val="17"/>
        </w:numPr>
        <w:tabs>
          <w:tab w:val="left" w:pos="1535"/>
          <w:tab w:val="left" w:pos="1536"/>
        </w:tabs>
        <w:ind w:right="444"/>
      </w:pPr>
      <w:r w:rsidRPr="00E06A64">
        <w:t xml:space="preserve">76% </w:t>
      </w:r>
      <w:r w:rsidR="00AD33FF" w:rsidRPr="00E06A64">
        <w:t>(27</w:t>
      </w:r>
      <w:r w:rsidR="004C5EEC">
        <w:t>,000</w:t>
      </w:r>
      <w:r w:rsidR="00AD33FF" w:rsidRPr="00E06A64">
        <w:t xml:space="preserve">) </w:t>
      </w:r>
      <w:r w:rsidRPr="00E06A64">
        <w:t xml:space="preserve">of enrolments were AEB related with 24% </w:t>
      </w:r>
      <w:r w:rsidR="00AD33FF" w:rsidRPr="00E06A64">
        <w:t xml:space="preserve">(8.5k) </w:t>
      </w:r>
      <w:r w:rsidRPr="00E06A64">
        <w:t>being delivered as community learning type activity</w:t>
      </w:r>
      <w:r w:rsidR="00016704">
        <w:t>;</w:t>
      </w:r>
    </w:p>
    <w:p w14:paraId="2F56AA8F" w14:textId="7A153EF7" w:rsidR="00A27744" w:rsidRPr="00E06A64" w:rsidRDefault="00AD33FF" w:rsidP="009C1460">
      <w:pPr>
        <w:pStyle w:val="BodyText"/>
        <w:numPr>
          <w:ilvl w:val="0"/>
          <w:numId w:val="17"/>
        </w:numPr>
        <w:tabs>
          <w:tab w:val="left" w:pos="1535"/>
          <w:tab w:val="left" w:pos="1536"/>
        </w:tabs>
        <w:ind w:right="444"/>
      </w:pPr>
      <w:r w:rsidRPr="00E06A64">
        <w:t>45% (16</w:t>
      </w:r>
      <w:r w:rsidR="004C5EEC">
        <w:t>,000</w:t>
      </w:r>
      <w:r w:rsidRPr="00E06A64">
        <w:t>) of overall enrolments were in S</w:t>
      </w:r>
      <w:r w:rsidR="00FD3052">
        <w:t>ubject Sector Area (S</w:t>
      </w:r>
      <w:r w:rsidRPr="00E06A64">
        <w:t>SA</w:t>
      </w:r>
      <w:r w:rsidR="00FD3052">
        <w:t>)</w:t>
      </w:r>
      <w:r w:rsidRPr="00E06A64">
        <w:t xml:space="preserve"> 14 Preparation for Life and Work</w:t>
      </w:r>
      <w:r w:rsidR="000D3750">
        <w:t xml:space="preserve">.  </w:t>
      </w:r>
      <w:r w:rsidR="004C5EEC">
        <w:t>T</w:t>
      </w:r>
      <w:r w:rsidRPr="00E06A64">
        <w:t xml:space="preserve">his needs to move to supporting </w:t>
      </w:r>
      <w:r w:rsidR="009621A8" w:rsidRPr="00E06A64">
        <w:t xml:space="preserve">provision </w:t>
      </w:r>
      <w:r w:rsidR="00A27744" w:rsidRPr="00E06A64">
        <w:t xml:space="preserve">linked directly to </w:t>
      </w:r>
      <w:r w:rsidR="009621A8" w:rsidRPr="00E06A64">
        <w:t xml:space="preserve">local </w:t>
      </w:r>
      <w:r w:rsidR="00A27744" w:rsidRPr="00E06A64">
        <w:t>employment opportunities</w:t>
      </w:r>
      <w:r w:rsidR="00016704">
        <w:t>;</w:t>
      </w:r>
    </w:p>
    <w:p w14:paraId="51AF6611" w14:textId="5DB4EB21" w:rsidR="00F23EAE" w:rsidRDefault="000B58D9" w:rsidP="009C1460">
      <w:pPr>
        <w:pStyle w:val="BodyText"/>
        <w:numPr>
          <w:ilvl w:val="0"/>
          <w:numId w:val="17"/>
        </w:numPr>
        <w:tabs>
          <w:tab w:val="left" w:pos="1535"/>
          <w:tab w:val="left" w:pos="1536"/>
        </w:tabs>
        <w:ind w:right="444"/>
      </w:pPr>
      <w:r w:rsidRPr="00E06A64">
        <w:t xml:space="preserve">11.4 % of overall enrolments </w:t>
      </w:r>
      <w:r w:rsidR="00FD3052">
        <w:t>were for b</w:t>
      </w:r>
      <w:r w:rsidRPr="00E06A64">
        <w:t xml:space="preserve">asic English and </w:t>
      </w:r>
      <w:r w:rsidR="000D3750">
        <w:t>m</w:t>
      </w:r>
      <w:r w:rsidRPr="00E06A64">
        <w:t>aths</w:t>
      </w:r>
      <w:r w:rsidR="00E06A64">
        <w:t xml:space="preserve"> u</w:t>
      </w:r>
      <w:r w:rsidRPr="00E06A64">
        <w:t>p to and including Level 2</w:t>
      </w:r>
      <w:r w:rsidR="00016704">
        <w:t>;</w:t>
      </w:r>
    </w:p>
    <w:p w14:paraId="5DB6E557" w14:textId="30F64E69" w:rsidR="000B58D9" w:rsidRPr="00E06A64" w:rsidRDefault="000B58D9" w:rsidP="009C1460">
      <w:pPr>
        <w:pStyle w:val="BodyText"/>
        <w:numPr>
          <w:ilvl w:val="0"/>
          <w:numId w:val="17"/>
        </w:numPr>
        <w:tabs>
          <w:tab w:val="left" w:pos="1535"/>
          <w:tab w:val="left" w:pos="1536"/>
        </w:tabs>
        <w:ind w:right="444"/>
      </w:pPr>
      <w:r w:rsidRPr="00E06A64">
        <w:t xml:space="preserve">13% </w:t>
      </w:r>
      <w:r w:rsidR="000D3750">
        <w:t xml:space="preserve">of </w:t>
      </w:r>
      <w:r w:rsidRPr="00E06A64">
        <w:t>overall enrolments are engaged in E</w:t>
      </w:r>
      <w:r w:rsidR="004C5EEC">
        <w:t xml:space="preserve">nglish for Speakers of Other Languages (ESOL) </w:t>
      </w:r>
      <w:r w:rsidRPr="00E06A64">
        <w:t>provision</w:t>
      </w:r>
      <w:r w:rsidR="00016704">
        <w:t>;</w:t>
      </w:r>
    </w:p>
    <w:p w14:paraId="171DC97E" w14:textId="339D4A98" w:rsidR="00AD33FF" w:rsidRPr="00E06A64" w:rsidRDefault="00CC4A2C" w:rsidP="009C1460">
      <w:pPr>
        <w:pStyle w:val="BodyText"/>
        <w:numPr>
          <w:ilvl w:val="0"/>
          <w:numId w:val="17"/>
        </w:numPr>
        <w:tabs>
          <w:tab w:val="left" w:pos="1535"/>
          <w:tab w:val="left" w:pos="1536"/>
        </w:tabs>
        <w:ind w:right="444"/>
      </w:pPr>
      <w:r w:rsidRPr="00E06A64">
        <w:t xml:space="preserve">20% </w:t>
      </w:r>
      <w:r w:rsidR="00AD33FF" w:rsidRPr="00E06A64">
        <w:t>(</w:t>
      </w:r>
      <w:r w:rsidRPr="00E06A64">
        <w:t>7</w:t>
      </w:r>
      <w:r w:rsidR="004C5EEC">
        <w:t>000</w:t>
      </w:r>
      <w:r w:rsidR="00AD33FF" w:rsidRPr="00E06A64">
        <w:t xml:space="preserve">) of </w:t>
      </w:r>
      <w:r w:rsidR="00A27744" w:rsidRPr="00E06A64">
        <w:t>provision</w:t>
      </w:r>
      <w:r w:rsidR="004C5EEC">
        <w:t xml:space="preserve"> was</w:t>
      </w:r>
      <w:r w:rsidR="00A27744" w:rsidRPr="00E06A64">
        <w:t xml:space="preserve"> delivered to adults in work at Level 2</w:t>
      </w:r>
      <w:r w:rsidR="00016704">
        <w:t>;</w:t>
      </w:r>
      <w:r w:rsidR="00A27744" w:rsidRPr="00E06A64">
        <w:t xml:space="preserve"> </w:t>
      </w:r>
    </w:p>
    <w:p w14:paraId="2AD9F94E" w14:textId="1E40FA07" w:rsidR="00A27744" w:rsidRPr="00E06A64" w:rsidRDefault="00CC4A2C" w:rsidP="009C1460">
      <w:pPr>
        <w:pStyle w:val="BodyText"/>
        <w:numPr>
          <w:ilvl w:val="0"/>
          <w:numId w:val="17"/>
        </w:numPr>
        <w:tabs>
          <w:tab w:val="left" w:pos="1535"/>
          <w:tab w:val="left" w:pos="1536"/>
        </w:tabs>
        <w:ind w:right="444"/>
      </w:pPr>
      <w:r w:rsidRPr="00E06A64">
        <w:t>0.8% (285) of provision</w:t>
      </w:r>
      <w:r w:rsidR="004C5EEC">
        <w:t xml:space="preserve"> was delivered</w:t>
      </w:r>
      <w:r w:rsidRPr="00E06A64">
        <w:t xml:space="preserve"> at Level 3</w:t>
      </w:r>
      <w:r w:rsidR="00016704">
        <w:t>;</w:t>
      </w:r>
    </w:p>
    <w:p w14:paraId="0955D406" w14:textId="3DC49CBC" w:rsidR="009621A8" w:rsidRPr="00E06A64" w:rsidRDefault="009621A8" w:rsidP="009C1460">
      <w:pPr>
        <w:pStyle w:val="BodyText"/>
        <w:numPr>
          <w:ilvl w:val="0"/>
          <w:numId w:val="17"/>
        </w:numPr>
        <w:tabs>
          <w:tab w:val="left" w:pos="1535"/>
          <w:tab w:val="left" w:pos="1536"/>
        </w:tabs>
        <w:ind w:right="444"/>
      </w:pPr>
      <w:r w:rsidRPr="00E06A64">
        <w:t xml:space="preserve">16% of funding delivered </w:t>
      </w:r>
      <w:r w:rsidR="004C5EEC">
        <w:t xml:space="preserve">was </w:t>
      </w:r>
      <w:r w:rsidR="00A27744" w:rsidRPr="00E06A64">
        <w:t>provision for young adults aged 19 to 23</w:t>
      </w:r>
      <w:r w:rsidR="00016704">
        <w:t>;</w:t>
      </w:r>
    </w:p>
    <w:p w14:paraId="4D208F34" w14:textId="3ABDA8FF" w:rsidR="009621A8" w:rsidRPr="00E06A64" w:rsidRDefault="009621A8" w:rsidP="009C1460">
      <w:pPr>
        <w:pStyle w:val="BodyText"/>
        <w:numPr>
          <w:ilvl w:val="0"/>
          <w:numId w:val="17"/>
        </w:numPr>
        <w:tabs>
          <w:tab w:val="left" w:pos="1535"/>
          <w:tab w:val="left" w:pos="1536"/>
        </w:tabs>
        <w:ind w:right="444"/>
      </w:pPr>
      <w:r w:rsidRPr="00E06A64">
        <w:t>51% of funding supporting those aged 31-49</w:t>
      </w:r>
      <w:r w:rsidR="00016704">
        <w:t>;</w:t>
      </w:r>
    </w:p>
    <w:p w14:paraId="24776A10" w14:textId="19090A2B" w:rsidR="00933052" w:rsidRPr="00E06A64" w:rsidRDefault="009621A8" w:rsidP="009C1460">
      <w:pPr>
        <w:pStyle w:val="BodyText"/>
        <w:numPr>
          <w:ilvl w:val="0"/>
          <w:numId w:val="17"/>
        </w:numPr>
        <w:tabs>
          <w:tab w:val="left" w:pos="1535"/>
          <w:tab w:val="left" w:pos="1536"/>
        </w:tabs>
        <w:ind w:right="444"/>
      </w:pPr>
      <w:r w:rsidRPr="00E06A64">
        <w:t xml:space="preserve">33% of funding supporting those </w:t>
      </w:r>
      <w:r w:rsidR="00CC4A2C" w:rsidRPr="00E06A64">
        <w:t xml:space="preserve">aged </w:t>
      </w:r>
      <w:r w:rsidRPr="00E06A64">
        <w:t>over 50</w:t>
      </w:r>
      <w:r w:rsidR="00016704">
        <w:t>;</w:t>
      </w:r>
    </w:p>
    <w:p w14:paraId="4794D1C5" w14:textId="0AD7CAB2" w:rsidR="00CC4A2C" w:rsidRDefault="004148B9" w:rsidP="009C1460">
      <w:pPr>
        <w:pStyle w:val="BodyText"/>
        <w:numPr>
          <w:ilvl w:val="0"/>
          <w:numId w:val="17"/>
        </w:numPr>
        <w:tabs>
          <w:tab w:val="left" w:pos="1535"/>
          <w:tab w:val="left" w:pos="1536"/>
        </w:tabs>
        <w:ind w:right="444"/>
      </w:pPr>
      <w:r w:rsidRPr="00E06A64">
        <w:t xml:space="preserve">65% of AEB formula funded enrolments </w:t>
      </w:r>
      <w:r w:rsidR="004C5EEC">
        <w:t>were</w:t>
      </w:r>
      <w:r w:rsidRPr="00E06A64">
        <w:t xml:space="preserve"> </w:t>
      </w:r>
      <w:r w:rsidR="00CC4A2C" w:rsidRPr="00E06A64">
        <w:t>unemployed</w:t>
      </w:r>
      <w:r w:rsidR="00016704">
        <w:t>.</w:t>
      </w:r>
      <w:r w:rsidR="00CC4A2C" w:rsidRPr="00E06A64">
        <w:t xml:space="preserve"> </w:t>
      </w:r>
    </w:p>
    <w:p w14:paraId="39D308E7" w14:textId="77777777" w:rsidR="009C1460" w:rsidRPr="00E06A64" w:rsidRDefault="009C1460" w:rsidP="009C1460">
      <w:pPr>
        <w:pStyle w:val="BodyText"/>
        <w:tabs>
          <w:tab w:val="left" w:pos="1535"/>
          <w:tab w:val="left" w:pos="1536"/>
        </w:tabs>
        <w:ind w:left="720" w:right="444"/>
      </w:pPr>
    </w:p>
    <w:p w14:paraId="0A996656" w14:textId="1FEC7B88" w:rsidR="009C1460" w:rsidRPr="004C5EEC" w:rsidRDefault="00E732A5" w:rsidP="004C5EEC">
      <w:pPr>
        <w:pStyle w:val="ListParagraph"/>
        <w:numPr>
          <w:ilvl w:val="0"/>
          <w:numId w:val="2"/>
        </w:numPr>
        <w:autoSpaceDE w:val="0"/>
        <w:autoSpaceDN w:val="0"/>
        <w:adjustRightInd w:val="0"/>
        <w:spacing w:after="0" w:line="240" w:lineRule="auto"/>
        <w:rPr>
          <w:rFonts w:ascii="Arial" w:eastAsia="Times New Roman" w:hAnsi="Arial" w:cs="Arial"/>
          <w:b/>
          <w:bCs/>
          <w:sz w:val="24"/>
          <w:szCs w:val="24"/>
        </w:rPr>
      </w:pPr>
      <w:r w:rsidRPr="004C5EEC">
        <w:rPr>
          <w:rFonts w:ascii="Arial" w:eastAsia="Times New Roman" w:hAnsi="Arial" w:cs="Arial"/>
          <w:sz w:val="24"/>
          <w:szCs w:val="24"/>
        </w:rPr>
        <w:t xml:space="preserve">NTCA recognise the value and positive impact community learning can have on residents’ health and well-being.  </w:t>
      </w:r>
      <w:r w:rsidRPr="004C5EEC">
        <w:rPr>
          <w:rFonts w:ascii="Arial" w:hAnsi="Arial" w:cs="Arial"/>
          <w:sz w:val="24"/>
          <w:szCs w:val="24"/>
        </w:rPr>
        <w:t xml:space="preserve">NTCA </w:t>
      </w:r>
      <w:r w:rsidRPr="004C5EEC">
        <w:rPr>
          <w:rFonts w:ascii="Arial" w:eastAsia="Times New Roman" w:hAnsi="Arial" w:cs="Arial"/>
          <w:sz w:val="24"/>
          <w:szCs w:val="24"/>
        </w:rPr>
        <w:t xml:space="preserve">will </w:t>
      </w:r>
      <w:r w:rsidR="004C5EEC">
        <w:rPr>
          <w:rFonts w:ascii="Arial" w:eastAsia="Times New Roman" w:hAnsi="Arial" w:cs="Arial"/>
          <w:sz w:val="24"/>
          <w:szCs w:val="24"/>
        </w:rPr>
        <w:t xml:space="preserve">continue to </w:t>
      </w:r>
      <w:r w:rsidRPr="004C5EEC">
        <w:rPr>
          <w:rFonts w:ascii="Arial" w:eastAsia="Times New Roman" w:hAnsi="Arial" w:cs="Arial"/>
          <w:sz w:val="24"/>
          <w:szCs w:val="24"/>
        </w:rPr>
        <w:t>review</w:t>
      </w:r>
      <w:r w:rsidR="004C5EEC">
        <w:rPr>
          <w:rFonts w:ascii="Arial" w:eastAsia="Times New Roman" w:hAnsi="Arial" w:cs="Arial"/>
          <w:sz w:val="24"/>
          <w:szCs w:val="24"/>
        </w:rPr>
        <w:t xml:space="preserve"> </w:t>
      </w:r>
      <w:r w:rsidRPr="004C5EEC">
        <w:rPr>
          <w:rFonts w:ascii="Arial" w:eastAsia="Times New Roman" w:hAnsi="Arial" w:cs="Arial"/>
          <w:sz w:val="24"/>
          <w:szCs w:val="24"/>
        </w:rPr>
        <w:t xml:space="preserve">the Community Learning activity AEB supports and will work with </w:t>
      </w:r>
      <w:r w:rsidR="00F04F1C" w:rsidRPr="004C5EEC">
        <w:rPr>
          <w:rFonts w:ascii="Arial" w:eastAsia="Times New Roman" w:hAnsi="Arial" w:cs="Arial"/>
          <w:sz w:val="24"/>
          <w:szCs w:val="24"/>
        </w:rPr>
        <w:t>o</w:t>
      </w:r>
      <w:r w:rsidR="00AE5656" w:rsidRPr="004C5EEC">
        <w:rPr>
          <w:rFonts w:ascii="Arial" w:eastAsia="Times New Roman" w:hAnsi="Arial" w:cs="Arial"/>
          <w:sz w:val="24"/>
          <w:szCs w:val="24"/>
        </w:rPr>
        <w:t>rganisations</w:t>
      </w:r>
      <w:r w:rsidRPr="004C5EEC">
        <w:rPr>
          <w:rFonts w:ascii="Arial" w:eastAsia="Times New Roman" w:hAnsi="Arial" w:cs="Arial"/>
          <w:sz w:val="24"/>
          <w:szCs w:val="24"/>
        </w:rPr>
        <w:t xml:space="preserve"> to ensure the appropriate balance of investment occurs between economic skills development and social value.</w:t>
      </w:r>
    </w:p>
    <w:p w14:paraId="17BD2405" w14:textId="0052FBFA" w:rsidR="00E732A5" w:rsidRPr="00E923BA" w:rsidRDefault="00E732A5" w:rsidP="009C1460">
      <w:pPr>
        <w:pStyle w:val="Default"/>
        <w:ind w:left="360" w:right="566"/>
        <w:rPr>
          <w:rFonts w:eastAsia="Times New Roman"/>
          <w:b/>
          <w:bCs/>
        </w:rPr>
      </w:pPr>
      <w:r w:rsidRPr="00E923BA">
        <w:rPr>
          <w:rFonts w:eastAsia="Times New Roman"/>
        </w:rPr>
        <w:t xml:space="preserve">  </w:t>
      </w:r>
    </w:p>
    <w:p w14:paraId="11CBB24A" w14:textId="7DB5C1AF" w:rsidR="00E732A5" w:rsidRPr="004C5EEC" w:rsidRDefault="00E732A5" w:rsidP="004C5EEC">
      <w:pPr>
        <w:pStyle w:val="ListParagraph"/>
        <w:numPr>
          <w:ilvl w:val="0"/>
          <w:numId w:val="2"/>
        </w:numPr>
        <w:autoSpaceDE w:val="0"/>
        <w:autoSpaceDN w:val="0"/>
        <w:adjustRightInd w:val="0"/>
        <w:spacing w:after="0" w:line="240" w:lineRule="auto"/>
        <w:rPr>
          <w:rFonts w:ascii="Arial" w:hAnsi="Arial" w:cs="Arial"/>
          <w:b/>
          <w:bCs/>
          <w:sz w:val="24"/>
          <w:szCs w:val="24"/>
        </w:rPr>
      </w:pPr>
      <w:r w:rsidRPr="004C5EEC">
        <w:rPr>
          <w:rFonts w:ascii="Arial" w:hAnsi="Arial" w:cs="Arial"/>
          <w:sz w:val="24"/>
          <w:szCs w:val="24"/>
        </w:rPr>
        <w:t xml:space="preserve">Our expectation is that </w:t>
      </w:r>
      <w:r w:rsidR="00F04F1C" w:rsidRPr="004C5EEC">
        <w:rPr>
          <w:rFonts w:ascii="Arial" w:hAnsi="Arial" w:cs="Arial"/>
          <w:sz w:val="24"/>
          <w:szCs w:val="24"/>
        </w:rPr>
        <w:t>o</w:t>
      </w:r>
      <w:r w:rsidR="00AE5656" w:rsidRPr="004C5EEC">
        <w:rPr>
          <w:rFonts w:ascii="Arial" w:hAnsi="Arial" w:cs="Arial"/>
          <w:sz w:val="24"/>
          <w:szCs w:val="24"/>
        </w:rPr>
        <w:t>rganisations</w:t>
      </w:r>
      <w:r w:rsidRPr="004C5EEC">
        <w:rPr>
          <w:rFonts w:ascii="Arial" w:hAnsi="Arial" w:cs="Arial"/>
          <w:sz w:val="24"/>
          <w:szCs w:val="24"/>
        </w:rPr>
        <w:t xml:space="preserve"> deliver</w:t>
      </w:r>
      <w:r w:rsidR="00507194" w:rsidRPr="004C5EEC">
        <w:rPr>
          <w:rFonts w:ascii="Arial" w:hAnsi="Arial" w:cs="Arial"/>
          <w:sz w:val="24"/>
          <w:szCs w:val="24"/>
        </w:rPr>
        <w:t>ing</w:t>
      </w:r>
      <w:r w:rsidRPr="004C5EEC">
        <w:rPr>
          <w:rFonts w:ascii="Arial" w:hAnsi="Arial" w:cs="Arial"/>
          <w:sz w:val="24"/>
          <w:szCs w:val="24"/>
        </w:rPr>
        <w:t xml:space="preserve"> Community Learning activity</w:t>
      </w:r>
      <w:r w:rsidR="00507194" w:rsidRPr="004C5EEC">
        <w:rPr>
          <w:rFonts w:ascii="Arial" w:hAnsi="Arial" w:cs="Arial"/>
          <w:sz w:val="24"/>
          <w:szCs w:val="24"/>
        </w:rPr>
        <w:t xml:space="preserve"> will focus on </w:t>
      </w:r>
      <w:r w:rsidRPr="004C5EEC">
        <w:rPr>
          <w:rFonts w:ascii="Arial" w:hAnsi="Arial" w:cs="Arial"/>
          <w:sz w:val="24"/>
          <w:szCs w:val="24"/>
        </w:rPr>
        <w:t>engaging hard to reach learners, providing basic skills and progression to further learning and/or work. Key target groups for this are hidden NEETs</w:t>
      </w:r>
      <w:r w:rsidR="00016704">
        <w:rPr>
          <w:rFonts w:ascii="Arial" w:hAnsi="Arial" w:cs="Arial"/>
          <w:sz w:val="24"/>
          <w:szCs w:val="24"/>
        </w:rPr>
        <w:t xml:space="preserve"> (Not in employment, education or training)</w:t>
      </w:r>
      <w:r w:rsidRPr="004C5EEC">
        <w:rPr>
          <w:rFonts w:ascii="Arial" w:hAnsi="Arial" w:cs="Arial"/>
          <w:sz w:val="24"/>
          <w:szCs w:val="24"/>
        </w:rPr>
        <w:t>, the long-term unemployed and the economically inactive with significant barriers to work, such as physical or mental health conditions. This delivery should add value to, rather than duplicate, other services targeting these cohorts.</w:t>
      </w:r>
    </w:p>
    <w:p w14:paraId="6EB8CCE5" w14:textId="77777777" w:rsidR="009C1460" w:rsidRPr="00E923BA" w:rsidRDefault="009C1460" w:rsidP="009C1460">
      <w:pPr>
        <w:pStyle w:val="Default"/>
        <w:ind w:right="566"/>
        <w:rPr>
          <w:b/>
          <w:bCs/>
        </w:rPr>
      </w:pPr>
    </w:p>
    <w:p w14:paraId="5DC89C1D" w14:textId="3563D348" w:rsidR="00D73A8D" w:rsidRPr="00E923BA" w:rsidRDefault="00D73A8D" w:rsidP="009C1460">
      <w:pPr>
        <w:spacing w:after="0" w:line="240" w:lineRule="auto"/>
        <w:rPr>
          <w:rFonts w:ascii="Arial" w:eastAsia="Times New Roman" w:hAnsi="Arial" w:cs="Arial"/>
          <w:b/>
          <w:color w:val="000000"/>
          <w:sz w:val="24"/>
          <w:szCs w:val="24"/>
        </w:rPr>
      </w:pPr>
      <w:r w:rsidRPr="00E923BA">
        <w:rPr>
          <w:rFonts w:ascii="Arial" w:eastAsia="Times New Roman" w:hAnsi="Arial" w:cs="Arial"/>
          <w:b/>
          <w:color w:val="000000"/>
          <w:sz w:val="24"/>
          <w:szCs w:val="24"/>
        </w:rPr>
        <w:t>Nature, scale and pace of change under Devolution</w:t>
      </w:r>
    </w:p>
    <w:p w14:paraId="455E6878" w14:textId="77777777" w:rsidR="005C237B" w:rsidRPr="00E923BA" w:rsidRDefault="005C237B" w:rsidP="009C1460">
      <w:pPr>
        <w:pStyle w:val="BodyText"/>
        <w:ind w:left="352" w:right="571"/>
      </w:pPr>
    </w:p>
    <w:p w14:paraId="41C97442" w14:textId="3A118F16" w:rsidR="0033481E" w:rsidRPr="004C5EEC" w:rsidRDefault="00214EBE" w:rsidP="004C5EEC">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2020/21 </w:t>
      </w:r>
      <w:r w:rsidR="0033481E" w:rsidRPr="004C5EEC">
        <w:rPr>
          <w:rFonts w:ascii="Arial" w:hAnsi="Arial" w:cs="Arial"/>
          <w:sz w:val="24"/>
          <w:szCs w:val="24"/>
        </w:rPr>
        <w:t xml:space="preserve">NTCA will be working closely with </w:t>
      </w:r>
      <w:r w:rsidR="00F04F1C" w:rsidRPr="004C5EEC">
        <w:rPr>
          <w:rFonts w:ascii="Arial" w:hAnsi="Arial" w:cs="Arial"/>
          <w:sz w:val="24"/>
          <w:szCs w:val="24"/>
        </w:rPr>
        <w:t>o</w:t>
      </w:r>
      <w:r w:rsidR="00AE5656" w:rsidRPr="004C5EEC">
        <w:rPr>
          <w:rFonts w:ascii="Arial" w:hAnsi="Arial" w:cs="Arial"/>
          <w:sz w:val="24"/>
          <w:szCs w:val="24"/>
        </w:rPr>
        <w:t>rganisations</w:t>
      </w:r>
      <w:r w:rsidR="004C5EEC">
        <w:rPr>
          <w:rFonts w:ascii="Arial" w:hAnsi="Arial" w:cs="Arial"/>
          <w:sz w:val="24"/>
          <w:szCs w:val="24"/>
        </w:rPr>
        <w:t xml:space="preserve"> we commission with</w:t>
      </w:r>
      <w:r>
        <w:rPr>
          <w:rFonts w:ascii="Arial" w:hAnsi="Arial" w:cs="Arial"/>
          <w:sz w:val="24"/>
          <w:szCs w:val="24"/>
        </w:rPr>
        <w:t xml:space="preserve"> </w:t>
      </w:r>
      <w:r w:rsidR="008750E9" w:rsidRPr="004C5EEC">
        <w:rPr>
          <w:rFonts w:ascii="Arial" w:hAnsi="Arial" w:cs="Arial"/>
          <w:sz w:val="24"/>
          <w:szCs w:val="24"/>
        </w:rPr>
        <w:t xml:space="preserve">to </w:t>
      </w:r>
      <w:r w:rsidR="0033481E" w:rsidRPr="004C5EEC">
        <w:rPr>
          <w:rFonts w:ascii="Arial" w:hAnsi="Arial" w:cs="Arial"/>
          <w:sz w:val="24"/>
          <w:szCs w:val="24"/>
        </w:rPr>
        <w:t xml:space="preserve">focus on positive outcomes for individuals and tracking </w:t>
      </w:r>
      <w:r w:rsidR="00F85263" w:rsidRPr="004C5EEC">
        <w:rPr>
          <w:rFonts w:ascii="Arial" w:hAnsi="Arial" w:cs="Arial"/>
          <w:sz w:val="24"/>
          <w:szCs w:val="24"/>
        </w:rPr>
        <w:t>resident</w:t>
      </w:r>
      <w:r w:rsidR="0033481E" w:rsidRPr="004C5EEC">
        <w:rPr>
          <w:rFonts w:ascii="Arial" w:hAnsi="Arial" w:cs="Arial"/>
          <w:sz w:val="24"/>
          <w:szCs w:val="24"/>
        </w:rPr>
        <w:t xml:space="preserve"> progression</w:t>
      </w:r>
      <w:r w:rsidR="00FA0454">
        <w:rPr>
          <w:rFonts w:ascii="Arial" w:hAnsi="Arial" w:cs="Arial"/>
          <w:sz w:val="24"/>
          <w:szCs w:val="24"/>
        </w:rPr>
        <w:t>,</w:t>
      </w:r>
      <w:r w:rsidR="0033481E" w:rsidRPr="004C5EEC">
        <w:rPr>
          <w:rFonts w:ascii="Arial" w:hAnsi="Arial" w:cs="Arial"/>
          <w:sz w:val="24"/>
          <w:szCs w:val="24"/>
        </w:rPr>
        <w:t xml:space="preserve"> rather than simply measuring delivery and achievement of learning aims without understanding whether those achievements improve an individual’s employability and quality of life.</w:t>
      </w:r>
    </w:p>
    <w:p w14:paraId="207263BA" w14:textId="77777777" w:rsidR="00E93B0D" w:rsidRPr="00E923BA" w:rsidRDefault="00E93B0D" w:rsidP="009C1460">
      <w:pPr>
        <w:pStyle w:val="BodyText"/>
        <w:ind w:left="360" w:right="568"/>
      </w:pPr>
    </w:p>
    <w:p w14:paraId="3492E04A" w14:textId="452F13A6" w:rsidR="005C237B" w:rsidRPr="00214EBE" w:rsidRDefault="005C237B" w:rsidP="00214EBE">
      <w:pPr>
        <w:pStyle w:val="ListParagraph"/>
        <w:numPr>
          <w:ilvl w:val="0"/>
          <w:numId w:val="2"/>
        </w:numPr>
        <w:autoSpaceDE w:val="0"/>
        <w:autoSpaceDN w:val="0"/>
        <w:adjustRightInd w:val="0"/>
        <w:spacing w:after="0" w:line="240" w:lineRule="auto"/>
        <w:rPr>
          <w:rFonts w:ascii="Arial" w:hAnsi="Arial" w:cs="Arial"/>
          <w:sz w:val="24"/>
          <w:szCs w:val="24"/>
        </w:rPr>
      </w:pPr>
      <w:r w:rsidRPr="00214EBE">
        <w:rPr>
          <w:rFonts w:ascii="Arial" w:hAnsi="Arial" w:cs="Arial"/>
          <w:sz w:val="24"/>
          <w:szCs w:val="24"/>
        </w:rPr>
        <w:t xml:space="preserve">We see the </w:t>
      </w:r>
      <w:r w:rsidR="008750E9" w:rsidRPr="00214EBE">
        <w:rPr>
          <w:rFonts w:ascii="Arial" w:hAnsi="Arial" w:cs="Arial"/>
          <w:sz w:val="24"/>
          <w:szCs w:val="24"/>
        </w:rPr>
        <w:t xml:space="preserve">provision delivered by </w:t>
      </w:r>
      <w:r w:rsidRPr="00214EBE">
        <w:rPr>
          <w:rFonts w:ascii="Arial" w:hAnsi="Arial" w:cs="Arial"/>
          <w:sz w:val="24"/>
          <w:szCs w:val="24"/>
        </w:rPr>
        <w:t xml:space="preserve">devolved </w:t>
      </w:r>
      <w:r w:rsidR="008750E9" w:rsidRPr="00214EBE">
        <w:rPr>
          <w:rFonts w:ascii="Arial" w:hAnsi="Arial" w:cs="Arial"/>
          <w:sz w:val="24"/>
          <w:szCs w:val="24"/>
        </w:rPr>
        <w:t xml:space="preserve">funding </w:t>
      </w:r>
      <w:r w:rsidRPr="00214EBE">
        <w:rPr>
          <w:rFonts w:ascii="Arial" w:hAnsi="Arial" w:cs="Arial"/>
          <w:sz w:val="24"/>
          <w:szCs w:val="24"/>
        </w:rPr>
        <w:t xml:space="preserve">as a significant enabler of inclusive growth through the improvement of the qualification levels and skills of our residents. We recognise </w:t>
      </w:r>
      <w:r w:rsidR="00FA0454">
        <w:rPr>
          <w:rFonts w:ascii="Arial" w:hAnsi="Arial" w:cs="Arial"/>
          <w:sz w:val="24"/>
          <w:szCs w:val="24"/>
        </w:rPr>
        <w:t xml:space="preserve">that </w:t>
      </w:r>
      <w:r w:rsidRPr="00214EBE">
        <w:rPr>
          <w:rFonts w:ascii="Arial" w:hAnsi="Arial" w:cs="Arial"/>
          <w:sz w:val="24"/>
          <w:szCs w:val="24"/>
        </w:rPr>
        <w:t>this is only part of the picture and that there are many other routes through which skills and qualification</w:t>
      </w:r>
      <w:r w:rsidR="00FA0454">
        <w:rPr>
          <w:rFonts w:ascii="Arial" w:hAnsi="Arial" w:cs="Arial"/>
          <w:sz w:val="24"/>
          <w:szCs w:val="24"/>
        </w:rPr>
        <w:t>s</w:t>
      </w:r>
      <w:r w:rsidRPr="00214EBE">
        <w:rPr>
          <w:rFonts w:ascii="Arial" w:hAnsi="Arial" w:cs="Arial"/>
          <w:sz w:val="24"/>
          <w:szCs w:val="24"/>
        </w:rPr>
        <w:t xml:space="preserve"> are delivered, but it will enable us to:</w:t>
      </w:r>
    </w:p>
    <w:p w14:paraId="6D0EBD2C" w14:textId="77777777" w:rsidR="009C1460" w:rsidRDefault="009C1460" w:rsidP="009C1460">
      <w:pPr>
        <w:pStyle w:val="ListParagraph"/>
      </w:pPr>
    </w:p>
    <w:p w14:paraId="7D8EDF05" w14:textId="77777777" w:rsidR="009C1460" w:rsidRPr="00E923BA" w:rsidRDefault="009C1460" w:rsidP="009C1460">
      <w:pPr>
        <w:pStyle w:val="BodyText"/>
        <w:ind w:right="567"/>
      </w:pPr>
    </w:p>
    <w:p w14:paraId="54FEF3F8" w14:textId="35977842" w:rsidR="005C237B" w:rsidRPr="00E923BA" w:rsidRDefault="005C237B" w:rsidP="00FA0454">
      <w:pPr>
        <w:pStyle w:val="BodyText"/>
        <w:numPr>
          <w:ilvl w:val="0"/>
          <w:numId w:val="32"/>
        </w:numPr>
        <w:tabs>
          <w:tab w:val="left" w:pos="1066"/>
          <w:tab w:val="left" w:pos="1067"/>
        </w:tabs>
        <w:rPr>
          <w:rFonts w:eastAsiaTheme="minorHAnsi"/>
          <w:color w:val="000000"/>
          <w:lang w:eastAsia="en-US" w:bidi="ar-SA"/>
        </w:rPr>
      </w:pPr>
      <w:bookmarkStart w:id="5" w:name="_Hlk21419559"/>
      <w:r w:rsidRPr="00E923BA">
        <w:rPr>
          <w:rFonts w:eastAsiaTheme="minorHAnsi"/>
          <w:color w:val="000000"/>
          <w:lang w:eastAsia="en-US" w:bidi="ar-SA"/>
        </w:rPr>
        <w:t>Focus on delivering a step-change to improve basic, generic and transferable skills</w:t>
      </w:r>
      <w:r w:rsidR="000D3750">
        <w:rPr>
          <w:rFonts w:eastAsiaTheme="minorHAnsi"/>
          <w:color w:val="000000"/>
          <w:lang w:eastAsia="en-US" w:bidi="ar-SA"/>
        </w:rPr>
        <w:t>.</w:t>
      </w:r>
    </w:p>
    <w:p w14:paraId="53E24457" w14:textId="3F86C12E" w:rsidR="005C237B" w:rsidRPr="00E923BA" w:rsidRDefault="005C237B" w:rsidP="00FA0454">
      <w:pPr>
        <w:pStyle w:val="BodyText"/>
        <w:numPr>
          <w:ilvl w:val="0"/>
          <w:numId w:val="32"/>
        </w:numPr>
        <w:tabs>
          <w:tab w:val="left" w:pos="1066"/>
          <w:tab w:val="left" w:pos="1067"/>
        </w:tabs>
        <w:ind w:right="555"/>
        <w:rPr>
          <w:rFonts w:eastAsiaTheme="minorHAnsi"/>
          <w:color w:val="000000"/>
          <w:lang w:eastAsia="en-US" w:bidi="ar-SA"/>
        </w:rPr>
      </w:pPr>
      <w:r w:rsidRPr="00E923BA">
        <w:rPr>
          <w:rFonts w:eastAsiaTheme="minorHAnsi"/>
          <w:color w:val="000000"/>
          <w:lang w:eastAsia="en-US" w:bidi="ar-SA"/>
        </w:rPr>
        <w:t>Break new ground in a collaborative strategic partnership working with an absolute focus on ‘place’</w:t>
      </w:r>
      <w:r w:rsidR="000D3750">
        <w:rPr>
          <w:rFonts w:eastAsiaTheme="minorHAnsi"/>
          <w:color w:val="000000"/>
          <w:lang w:eastAsia="en-US" w:bidi="ar-SA"/>
        </w:rPr>
        <w:t>.</w:t>
      </w:r>
    </w:p>
    <w:p w14:paraId="2A64A6E2" w14:textId="3111C875" w:rsidR="005C237B" w:rsidRPr="00E923BA" w:rsidRDefault="005C237B" w:rsidP="00FA0454">
      <w:pPr>
        <w:pStyle w:val="BodyText"/>
        <w:numPr>
          <w:ilvl w:val="0"/>
          <w:numId w:val="32"/>
        </w:numPr>
        <w:tabs>
          <w:tab w:val="left" w:pos="1066"/>
          <w:tab w:val="left" w:pos="1067"/>
        </w:tabs>
        <w:rPr>
          <w:rFonts w:eastAsiaTheme="minorHAnsi"/>
          <w:color w:val="000000"/>
          <w:lang w:eastAsia="en-US" w:bidi="ar-SA"/>
        </w:rPr>
      </w:pPr>
      <w:r w:rsidRPr="00E923BA">
        <w:rPr>
          <w:rFonts w:eastAsiaTheme="minorHAnsi"/>
          <w:color w:val="000000"/>
          <w:lang w:eastAsia="en-US" w:bidi="ar-SA"/>
        </w:rPr>
        <w:t>Deliver a more responsive, accessible adult skills offer for residents and employers</w:t>
      </w:r>
      <w:r w:rsidR="00FA0454">
        <w:rPr>
          <w:rFonts w:eastAsiaTheme="minorHAnsi"/>
          <w:color w:val="000000"/>
          <w:lang w:eastAsia="en-US" w:bidi="ar-SA"/>
        </w:rPr>
        <w:t>;</w:t>
      </w:r>
    </w:p>
    <w:p w14:paraId="7262E771" w14:textId="3A3CF3DF" w:rsidR="005C237B" w:rsidRPr="00E923BA" w:rsidRDefault="005C237B" w:rsidP="00FA0454">
      <w:pPr>
        <w:pStyle w:val="BodyText"/>
        <w:numPr>
          <w:ilvl w:val="0"/>
          <w:numId w:val="32"/>
        </w:numPr>
        <w:tabs>
          <w:tab w:val="left" w:pos="1066"/>
          <w:tab w:val="left" w:pos="1067"/>
        </w:tabs>
        <w:ind w:right="572"/>
      </w:pPr>
      <w:r w:rsidRPr="00E923BA">
        <w:rPr>
          <w:rFonts w:eastAsiaTheme="minorHAnsi"/>
          <w:color w:val="000000"/>
          <w:lang w:eastAsia="en-US" w:bidi="ar-SA"/>
        </w:rPr>
        <w:t>Prepare the ground</w:t>
      </w:r>
      <w:r w:rsidRPr="00E923BA">
        <w:t xml:space="preserve"> for greater influence and new performance management while maintaining confidence and stability in the</w:t>
      </w:r>
      <w:r w:rsidRPr="00E923BA">
        <w:rPr>
          <w:spacing w:val="-10"/>
        </w:rPr>
        <w:t xml:space="preserve"> </w:t>
      </w:r>
      <w:r w:rsidRPr="00E923BA">
        <w:t>sector</w:t>
      </w:r>
      <w:r w:rsidR="000D3750">
        <w:t>.</w:t>
      </w:r>
    </w:p>
    <w:p w14:paraId="5755D4DB" w14:textId="0029EFA4" w:rsidR="005C237B" w:rsidRPr="00E923BA" w:rsidRDefault="005C237B" w:rsidP="00FA0454">
      <w:pPr>
        <w:pStyle w:val="BodyText"/>
        <w:numPr>
          <w:ilvl w:val="0"/>
          <w:numId w:val="32"/>
        </w:numPr>
        <w:ind w:right="277"/>
      </w:pPr>
      <w:r w:rsidRPr="00E923BA">
        <w:t>Establish protocols for joint working across all post-16 skills activity, bringing together planning, funding and regulation, regardless of whether funding is devolved or</w:t>
      </w:r>
      <w:r w:rsidRPr="00E923BA">
        <w:rPr>
          <w:spacing w:val="-17"/>
        </w:rPr>
        <w:t xml:space="preserve"> </w:t>
      </w:r>
      <w:r w:rsidRPr="00E923BA">
        <w:t>not.</w:t>
      </w:r>
    </w:p>
    <w:bookmarkEnd w:id="5"/>
    <w:p w14:paraId="19614BC8" w14:textId="77777777" w:rsidR="00E93B0D" w:rsidRPr="00E923BA" w:rsidRDefault="00E93B0D" w:rsidP="009C1460">
      <w:pPr>
        <w:pStyle w:val="BodyText"/>
        <w:ind w:left="357" w:right="567"/>
      </w:pPr>
    </w:p>
    <w:p w14:paraId="29F1F7EA" w14:textId="03DF73CA" w:rsidR="0034473B" w:rsidRPr="00214EBE" w:rsidRDefault="0034473B" w:rsidP="00214EBE">
      <w:pPr>
        <w:pStyle w:val="ListParagraph"/>
        <w:numPr>
          <w:ilvl w:val="0"/>
          <w:numId w:val="2"/>
        </w:numPr>
        <w:autoSpaceDE w:val="0"/>
        <w:autoSpaceDN w:val="0"/>
        <w:adjustRightInd w:val="0"/>
        <w:spacing w:after="0" w:line="240" w:lineRule="auto"/>
        <w:rPr>
          <w:rFonts w:ascii="Arial" w:hAnsi="Arial" w:cs="Arial"/>
          <w:sz w:val="24"/>
          <w:szCs w:val="24"/>
        </w:rPr>
      </w:pPr>
      <w:bookmarkStart w:id="6" w:name="_Hlk21419606"/>
      <w:r w:rsidRPr="00214EBE">
        <w:rPr>
          <w:rFonts w:ascii="Arial" w:hAnsi="Arial" w:cs="Arial"/>
          <w:sz w:val="24"/>
          <w:szCs w:val="24"/>
        </w:rPr>
        <w:t xml:space="preserve">NTCA will not make significant changes to funding policies in 2020/21 and will </w:t>
      </w:r>
      <w:r w:rsidRPr="00214EBE">
        <w:rPr>
          <w:rFonts w:ascii="Arial" w:eastAsia="Times New Roman" w:hAnsi="Arial" w:cs="Arial"/>
          <w:sz w:val="24"/>
          <w:szCs w:val="24"/>
        </w:rPr>
        <w:t xml:space="preserve">continue to deliver the statutory entitlements in line with national funding </w:t>
      </w:r>
      <w:r w:rsidR="00214EBE">
        <w:rPr>
          <w:rFonts w:ascii="Arial" w:eastAsia="Times New Roman" w:hAnsi="Arial" w:cs="Arial"/>
          <w:sz w:val="24"/>
          <w:szCs w:val="24"/>
        </w:rPr>
        <w:t>requirements:</w:t>
      </w:r>
      <w:r w:rsidRPr="00214EBE">
        <w:rPr>
          <w:rFonts w:ascii="Arial" w:eastAsia="Times New Roman" w:hAnsi="Arial" w:cs="Arial"/>
          <w:sz w:val="24"/>
          <w:szCs w:val="24"/>
        </w:rPr>
        <w:t xml:space="preserve"> </w:t>
      </w:r>
    </w:p>
    <w:p w14:paraId="1AD97436" w14:textId="234BEBCC" w:rsidR="0034473B" w:rsidRDefault="0034473B" w:rsidP="009C1460">
      <w:pPr>
        <w:pStyle w:val="BodyText"/>
        <w:ind w:right="567"/>
      </w:pPr>
    </w:p>
    <w:p w14:paraId="6465B7C2" w14:textId="126B1BEC" w:rsidR="0034473B" w:rsidRPr="00FA0454" w:rsidRDefault="0034473B" w:rsidP="00FA0454">
      <w:pPr>
        <w:pStyle w:val="ListParagraph"/>
        <w:numPr>
          <w:ilvl w:val="0"/>
          <w:numId w:val="33"/>
        </w:numPr>
        <w:autoSpaceDE w:val="0"/>
        <w:autoSpaceDN w:val="0"/>
        <w:adjustRightInd w:val="0"/>
        <w:spacing w:after="0" w:line="240" w:lineRule="auto"/>
        <w:ind w:right="280"/>
        <w:rPr>
          <w:rFonts w:ascii="Arial" w:hAnsi="Arial" w:cs="Arial"/>
          <w:color w:val="000000"/>
          <w:sz w:val="24"/>
          <w:szCs w:val="24"/>
        </w:rPr>
      </w:pPr>
      <w:r w:rsidRPr="00FA0454">
        <w:rPr>
          <w:rFonts w:ascii="Arial" w:hAnsi="Arial" w:cs="Arial"/>
          <w:color w:val="000000"/>
          <w:sz w:val="24"/>
          <w:szCs w:val="24"/>
        </w:rPr>
        <w:t xml:space="preserve">19 to </w:t>
      </w:r>
      <w:r w:rsidR="000D3750" w:rsidRPr="00FA0454">
        <w:rPr>
          <w:rFonts w:ascii="Arial" w:hAnsi="Arial" w:cs="Arial"/>
          <w:color w:val="000000"/>
          <w:sz w:val="24"/>
          <w:szCs w:val="24"/>
        </w:rPr>
        <w:t>23-year</w:t>
      </w:r>
      <w:r w:rsidR="000D3750">
        <w:rPr>
          <w:rFonts w:ascii="Arial" w:hAnsi="Arial" w:cs="Arial"/>
          <w:color w:val="000000"/>
          <w:sz w:val="24"/>
          <w:szCs w:val="24"/>
        </w:rPr>
        <w:t xml:space="preserve"> olds </w:t>
      </w:r>
      <w:r w:rsidRPr="00FA0454">
        <w:rPr>
          <w:rFonts w:ascii="Arial" w:hAnsi="Arial" w:cs="Arial"/>
          <w:color w:val="000000"/>
          <w:sz w:val="24"/>
          <w:szCs w:val="24"/>
        </w:rPr>
        <w:t xml:space="preserve">to be fully-funded if they study for a first qualification at </w:t>
      </w:r>
      <w:r w:rsidR="00FA0454">
        <w:rPr>
          <w:rFonts w:ascii="Arial" w:hAnsi="Arial" w:cs="Arial"/>
          <w:color w:val="000000"/>
          <w:sz w:val="24"/>
          <w:szCs w:val="24"/>
        </w:rPr>
        <w:t>L</w:t>
      </w:r>
      <w:r w:rsidRPr="00FA0454">
        <w:rPr>
          <w:rFonts w:ascii="Arial" w:hAnsi="Arial" w:cs="Arial"/>
          <w:color w:val="000000"/>
          <w:sz w:val="24"/>
          <w:szCs w:val="24"/>
        </w:rPr>
        <w:t xml:space="preserve">evel 2 or </w:t>
      </w:r>
      <w:r w:rsidR="00FA0454">
        <w:rPr>
          <w:rFonts w:ascii="Arial" w:hAnsi="Arial" w:cs="Arial"/>
          <w:color w:val="000000"/>
          <w:sz w:val="24"/>
          <w:szCs w:val="24"/>
        </w:rPr>
        <w:t>L</w:t>
      </w:r>
      <w:r w:rsidRPr="00FA0454">
        <w:rPr>
          <w:rFonts w:ascii="Arial" w:hAnsi="Arial" w:cs="Arial"/>
          <w:color w:val="000000"/>
          <w:sz w:val="24"/>
          <w:szCs w:val="24"/>
        </w:rPr>
        <w:t>evel 3</w:t>
      </w:r>
      <w:r w:rsidR="000D3750">
        <w:rPr>
          <w:rFonts w:ascii="Arial" w:hAnsi="Arial" w:cs="Arial"/>
          <w:color w:val="000000"/>
          <w:sz w:val="24"/>
          <w:szCs w:val="24"/>
        </w:rPr>
        <w:t>.</w:t>
      </w:r>
      <w:r w:rsidRPr="00FA0454">
        <w:rPr>
          <w:rFonts w:ascii="Arial" w:hAnsi="Arial" w:cs="Arial"/>
          <w:color w:val="000000"/>
          <w:sz w:val="24"/>
          <w:szCs w:val="24"/>
        </w:rPr>
        <w:t xml:space="preserve"> </w:t>
      </w:r>
    </w:p>
    <w:p w14:paraId="2AB1B94D" w14:textId="15D0465F" w:rsidR="0034473B" w:rsidRPr="00FA0454" w:rsidRDefault="000D3750" w:rsidP="00FA0454">
      <w:pPr>
        <w:pStyle w:val="ListParagraph"/>
        <w:numPr>
          <w:ilvl w:val="0"/>
          <w:numId w:val="3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Those aged </w:t>
      </w:r>
      <w:r w:rsidR="0034473B" w:rsidRPr="00FA0454">
        <w:rPr>
          <w:rFonts w:ascii="Arial" w:hAnsi="Arial" w:cs="Arial"/>
          <w:color w:val="000000"/>
          <w:sz w:val="24"/>
          <w:szCs w:val="24"/>
        </w:rPr>
        <w:t xml:space="preserve">19+, who have not previously attained a GCSE grade C or grade 4, or higher in English Language and </w:t>
      </w:r>
      <w:r>
        <w:rPr>
          <w:rFonts w:ascii="Arial" w:hAnsi="Arial" w:cs="Arial"/>
          <w:color w:val="000000"/>
          <w:sz w:val="24"/>
          <w:szCs w:val="24"/>
        </w:rPr>
        <w:t>m</w:t>
      </w:r>
      <w:r w:rsidR="0034473B" w:rsidRPr="00FA0454">
        <w:rPr>
          <w:rFonts w:ascii="Arial" w:hAnsi="Arial" w:cs="Arial"/>
          <w:color w:val="000000"/>
          <w:sz w:val="24"/>
          <w:szCs w:val="24"/>
        </w:rPr>
        <w:t xml:space="preserve">athematics, to be fully-funded if studying GCSE English Language or </w:t>
      </w:r>
      <w:r>
        <w:rPr>
          <w:rFonts w:ascii="Arial" w:hAnsi="Arial" w:cs="Arial"/>
          <w:color w:val="000000"/>
          <w:sz w:val="24"/>
          <w:szCs w:val="24"/>
        </w:rPr>
        <w:t>m</w:t>
      </w:r>
      <w:r w:rsidR="0034473B" w:rsidRPr="00FA0454">
        <w:rPr>
          <w:rFonts w:ascii="Arial" w:hAnsi="Arial" w:cs="Arial"/>
          <w:color w:val="000000"/>
          <w:sz w:val="24"/>
          <w:szCs w:val="24"/>
        </w:rPr>
        <w:t>athematics or one of the Stepping Stone qualifications</w:t>
      </w:r>
      <w:r w:rsidR="00FA0454" w:rsidRPr="00FA0454">
        <w:rPr>
          <w:rFonts w:ascii="Arial" w:hAnsi="Arial" w:cs="Arial"/>
          <w:color w:val="000000"/>
          <w:sz w:val="24"/>
          <w:szCs w:val="24"/>
        </w:rPr>
        <w:t>.</w:t>
      </w:r>
      <w:r w:rsidR="0034473B" w:rsidRPr="00FA0454">
        <w:rPr>
          <w:rFonts w:ascii="Arial" w:hAnsi="Arial" w:cs="Arial"/>
          <w:color w:val="000000"/>
          <w:sz w:val="24"/>
          <w:szCs w:val="24"/>
        </w:rPr>
        <w:t xml:space="preserve"> </w:t>
      </w:r>
    </w:p>
    <w:p w14:paraId="7F1E8FAB" w14:textId="77777777" w:rsidR="0034473B" w:rsidRPr="00D90CDC" w:rsidRDefault="0034473B" w:rsidP="009C1460">
      <w:pPr>
        <w:autoSpaceDE w:val="0"/>
        <w:autoSpaceDN w:val="0"/>
        <w:adjustRightInd w:val="0"/>
        <w:spacing w:after="0" w:line="240" w:lineRule="auto"/>
        <w:rPr>
          <w:rFonts w:ascii="Arial" w:hAnsi="Arial" w:cs="Arial"/>
          <w:color w:val="000000"/>
          <w:sz w:val="24"/>
          <w:szCs w:val="24"/>
        </w:rPr>
      </w:pPr>
    </w:p>
    <w:p w14:paraId="527A8503" w14:textId="77777777" w:rsidR="0034473B" w:rsidRPr="00B76FDA" w:rsidRDefault="0034473B" w:rsidP="00FA0454">
      <w:pPr>
        <w:pStyle w:val="Default"/>
      </w:pPr>
      <w:r w:rsidRPr="00D90CDC">
        <w:t xml:space="preserve">In addition, from Academic Year 2020/21, the Government will introduce a new statutory basic digital skills entitlement for adults aged 19+ who lack the essential digital skills to realise the benefits of modern technology. Funding for the entitlement will come from within the devolved Adult Education Budget. </w:t>
      </w:r>
      <w:r w:rsidRPr="00B76FDA">
        <w:t xml:space="preserve"> </w:t>
      </w:r>
    </w:p>
    <w:p w14:paraId="32A1C315" w14:textId="02C5CB88" w:rsidR="0034473B" w:rsidRDefault="0034473B" w:rsidP="009C1460">
      <w:pPr>
        <w:pStyle w:val="BodyText"/>
        <w:ind w:right="567"/>
      </w:pPr>
    </w:p>
    <w:p w14:paraId="72D5C37F" w14:textId="3CF4938B" w:rsidR="0034473B" w:rsidRDefault="0034473B" w:rsidP="009C1460">
      <w:pPr>
        <w:pStyle w:val="BodyText"/>
        <w:ind w:right="567"/>
      </w:pPr>
      <w:r>
        <w:t>Devolved AEB will continue to provide full funding for the following eligible learners:</w:t>
      </w:r>
    </w:p>
    <w:p w14:paraId="274AD700" w14:textId="77777777" w:rsidR="0034473B" w:rsidRDefault="0034473B" w:rsidP="009C1460">
      <w:pPr>
        <w:pStyle w:val="BodyText"/>
        <w:ind w:right="567"/>
      </w:pPr>
    </w:p>
    <w:p w14:paraId="6E1D48FF" w14:textId="4AE796FF" w:rsidR="0034473B" w:rsidRPr="00FA0454" w:rsidRDefault="0034473B" w:rsidP="00FA0454">
      <w:pPr>
        <w:pStyle w:val="ListParagraph"/>
        <w:numPr>
          <w:ilvl w:val="0"/>
          <w:numId w:val="34"/>
        </w:numPr>
        <w:spacing w:after="0" w:line="240" w:lineRule="auto"/>
        <w:rPr>
          <w:rFonts w:ascii="Arial" w:hAnsi="Arial" w:cs="Arial"/>
          <w:sz w:val="24"/>
          <w:szCs w:val="24"/>
        </w:rPr>
      </w:pPr>
      <w:r w:rsidRPr="00FA0454">
        <w:rPr>
          <w:rFonts w:ascii="Arial" w:hAnsi="Arial" w:cs="Arial"/>
          <w:sz w:val="24"/>
          <w:szCs w:val="24"/>
        </w:rPr>
        <w:t>24+ who are unemployed – if one or more of the following apply: Employment and Support Allowance; Universal Credit; Jobseekers Allowance including those receiving National Insurance Credits Only</w:t>
      </w:r>
      <w:r w:rsidR="000D3750">
        <w:rPr>
          <w:rFonts w:ascii="Arial" w:hAnsi="Arial" w:cs="Arial"/>
          <w:sz w:val="24"/>
          <w:szCs w:val="24"/>
        </w:rPr>
        <w:t>.</w:t>
      </w:r>
      <w:r w:rsidRPr="00FA0454">
        <w:rPr>
          <w:rFonts w:ascii="Arial" w:hAnsi="Arial" w:cs="Arial"/>
          <w:sz w:val="24"/>
          <w:szCs w:val="24"/>
        </w:rPr>
        <w:t xml:space="preserve"> </w:t>
      </w:r>
    </w:p>
    <w:p w14:paraId="6280E962" w14:textId="046E2FF8" w:rsidR="0034473B" w:rsidRPr="00FA0454" w:rsidRDefault="0034473B" w:rsidP="00FA0454">
      <w:pPr>
        <w:pStyle w:val="ListParagraph"/>
        <w:numPr>
          <w:ilvl w:val="0"/>
          <w:numId w:val="34"/>
        </w:numPr>
        <w:spacing w:after="0" w:line="240" w:lineRule="auto"/>
        <w:rPr>
          <w:rFonts w:ascii="Arial" w:hAnsi="Arial" w:cs="Arial"/>
          <w:sz w:val="24"/>
          <w:szCs w:val="24"/>
        </w:rPr>
      </w:pPr>
      <w:r w:rsidRPr="00FA0454">
        <w:rPr>
          <w:rFonts w:ascii="Arial" w:hAnsi="Arial" w:cs="Arial"/>
          <w:sz w:val="24"/>
          <w:szCs w:val="24"/>
        </w:rPr>
        <w:t xml:space="preserve">English for speakers of other languages (ESOL) </w:t>
      </w:r>
      <w:r w:rsidR="00FA0454" w:rsidRPr="00FA0454">
        <w:rPr>
          <w:rFonts w:ascii="Arial" w:hAnsi="Arial" w:cs="Arial"/>
          <w:sz w:val="24"/>
          <w:szCs w:val="24"/>
        </w:rPr>
        <w:t xml:space="preserve">for </w:t>
      </w:r>
      <w:r w:rsidRPr="00FA0454">
        <w:rPr>
          <w:rFonts w:ascii="Arial" w:hAnsi="Arial" w:cs="Arial"/>
          <w:sz w:val="24"/>
          <w:szCs w:val="24"/>
        </w:rPr>
        <w:t>unemployed</w:t>
      </w:r>
      <w:r w:rsidR="00FA0454" w:rsidRPr="00FA0454">
        <w:rPr>
          <w:rFonts w:ascii="Arial" w:hAnsi="Arial" w:cs="Arial"/>
          <w:sz w:val="24"/>
          <w:szCs w:val="24"/>
        </w:rPr>
        <w:t xml:space="preserve"> learners</w:t>
      </w:r>
      <w:r w:rsidR="000D3750">
        <w:rPr>
          <w:rFonts w:ascii="Arial" w:hAnsi="Arial" w:cs="Arial"/>
          <w:sz w:val="24"/>
          <w:szCs w:val="24"/>
        </w:rPr>
        <w:t>.</w:t>
      </w:r>
      <w:r w:rsidRPr="00FA0454">
        <w:rPr>
          <w:rFonts w:ascii="Arial" w:hAnsi="Arial" w:cs="Arial"/>
          <w:sz w:val="24"/>
          <w:szCs w:val="24"/>
        </w:rPr>
        <w:t xml:space="preserve"> </w:t>
      </w:r>
      <w:r w:rsidR="000D3750">
        <w:rPr>
          <w:rFonts w:ascii="Arial" w:hAnsi="Arial" w:cs="Arial"/>
          <w:sz w:val="24"/>
          <w:szCs w:val="24"/>
        </w:rPr>
        <w:t>W</w:t>
      </w:r>
      <w:r w:rsidR="00FA0454" w:rsidRPr="00FA0454">
        <w:rPr>
          <w:rFonts w:ascii="Arial" w:hAnsi="Arial" w:cs="Arial"/>
          <w:sz w:val="24"/>
          <w:szCs w:val="24"/>
        </w:rPr>
        <w:t>here a learner is employed</w:t>
      </w:r>
      <w:r w:rsidR="000D3750">
        <w:rPr>
          <w:rFonts w:ascii="Arial" w:hAnsi="Arial" w:cs="Arial"/>
          <w:sz w:val="24"/>
          <w:szCs w:val="24"/>
        </w:rPr>
        <w:t>,</w:t>
      </w:r>
      <w:r w:rsidR="00FA0454" w:rsidRPr="00FA0454">
        <w:rPr>
          <w:rFonts w:ascii="Arial" w:hAnsi="Arial" w:cs="Arial"/>
          <w:sz w:val="24"/>
          <w:szCs w:val="24"/>
        </w:rPr>
        <w:t xml:space="preserve"> provision will be </w:t>
      </w:r>
      <w:r w:rsidRPr="00FA0454">
        <w:rPr>
          <w:rFonts w:ascii="Arial" w:hAnsi="Arial" w:cs="Arial"/>
          <w:sz w:val="24"/>
          <w:szCs w:val="24"/>
        </w:rPr>
        <w:t>co-funded</w:t>
      </w:r>
      <w:r w:rsidR="000D3750">
        <w:rPr>
          <w:rFonts w:ascii="Arial" w:hAnsi="Arial" w:cs="Arial"/>
          <w:sz w:val="24"/>
          <w:szCs w:val="24"/>
        </w:rPr>
        <w:t>.</w:t>
      </w:r>
    </w:p>
    <w:p w14:paraId="719B15F4" w14:textId="47D95BFC" w:rsidR="00AE5656" w:rsidRPr="00FA0454" w:rsidRDefault="0034473B" w:rsidP="00FA0454">
      <w:pPr>
        <w:pStyle w:val="ListParagraph"/>
        <w:numPr>
          <w:ilvl w:val="0"/>
          <w:numId w:val="34"/>
        </w:numPr>
        <w:spacing w:after="0" w:line="240" w:lineRule="auto"/>
        <w:rPr>
          <w:rFonts w:ascii="Arial" w:hAnsi="Arial" w:cs="Arial"/>
          <w:sz w:val="24"/>
          <w:szCs w:val="24"/>
        </w:rPr>
      </w:pPr>
      <w:r w:rsidRPr="00FA0454">
        <w:rPr>
          <w:rFonts w:ascii="Arial" w:hAnsi="Arial" w:cs="Arial"/>
          <w:sz w:val="24"/>
          <w:szCs w:val="24"/>
        </w:rPr>
        <w:t>Learning aims up to and including Level 2 if the resident is unemployed and has already achieved a First Full Level 2 or above</w:t>
      </w:r>
      <w:r w:rsidR="000D3750">
        <w:rPr>
          <w:rFonts w:ascii="Arial" w:hAnsi="Arial" w:cs="Arial"/>
          <w:sz w:val="24"/>
          <w:szCs w:val="24"/>
        </w:rPr>
        <w:t>.</w:t>
      </w:r>
    </w:p>
    <w:p w14:paraId="7271017D" w14:textId="1D6732C6" w:rsidR="00AE5656" w:rsidRPr="00FA0454" w:rsidRDefault="0034473B" w:rsidP="00FA0454">
      <w:pPr>
        <w:pStyle w:val="ListParagraph"/>
        <w:numPr>
          <w:ilvl w:val="0"/>
          <w:numId w:val="34"/>
        </w:numPr>
        <w:spacing w:after="0" w:line="240" w:lineRule="auto"/>
        <w:rPr>
          <w:rFonts w:ascii="Arial" w:hAnsi="Arial" w:cs="Arial"/>
          <w:sz w:val="24"/>
          <w:szCs w:val="24"/>
        </w:rPr>
      </w:pPr>
      <w:r w:rsidRPr="00FA0454">
        <w:rPr>
          <w:rFonts w:ascii="Arial" w:hAnsi="Arial" w:cs="Arial"/>
          <w:sz w:val="24"/>
          <w:szCs w:val="24"/>
        </w:rPr>
        <w:t>NTCA intend to extend the Government’s Low Wage Pilot which was introduced in 2018/19 and provide full funding for adults who earn less than the ‘real’ livin</w:t>
      </w:r>
      <w:r w:rsidR="00AE5656" w:rsidRPr="00FA0454">
        <w:rPr>
          <w:rFonts w:ascii="Arial" w:hAnsi="Arial" w:cs="Arial"/>
          <w:sz w:val="24"/>
          <w:szCs w:val="24"/>
        </w:rPr>
        <w:t xml:space="preserve">g </w:t>
      </w:r>
      <w:r w:rsidRPr="00FA0454">
        <w:rPr>
          <w:rFonts w:ascii="Arial" w:hAnsi="Arial" w:cs="Arial"/>
          <w:sz w:val="24"/>
          <w:szCs w:val="24"/>
        </w:rPr>
        <w:t>wage</w:t>
      </w:r>
      <w:r w:rsidR="00FA0454" w:rsidRPr="00FA0454">
        <w:rPr>
          <w:rFonts w:ascii="Arial" w:hAnsi="Arial" w:cs="Arial"/>
          <w:sz w:val="24"/>
          <w:szCs w:val="24"/>
        </w:rPr>
        <w:t>.</w:t>
      </w:r>
      <w:r w:rsidR="00AE5656">
        <w:rPr>
          <w:rStyle w:val="FootnoteReference"/>
          <w:rFonts w:ascii="Arial" w:hAnsi="Arial" w:cs="Arial"/>
          <w:sz w:val="24"/>
          <w:szCs w:val="24"/>
        </w:rPr>
        <w:footnoteReference w:id="7"/>
      </w:r>
    </w:p>
    <w:p w14:paraId="4E00DBA7" w14:textId="77777777" w:rsidR="00214EBE" w:rsidRPr="00E923BA" w:rsidRDefault="00214EBE" w:rsidP="00214EBE">
      <w:pPr>
        <w:pStyle w:val="ListParagraph"/>
        <w:autoSpaceDE w:val="0"/>
        <w:autoSpaceDN w:val="0"/>
        <w:adjustRightInd w:val="0"/>
        <w:spacing w:after="0" w:line="240" w:lineRule="auto"/>
        <w:ind w:left="360"/>
      </w:pPr>
    </w:p>
    <w:bookmarkEnd w:id="6"/>
    <w:p w14:paraId="0A5B9201" w14:textId="37E43B4E" w:rsidR="00153096" w:rsidRDefault="00153096" w:rsidP="00FA0454">
      <w:pPr>
        <w:pStyle w:val="ListParagraph"/>
        <w:numPr>
          <w:ilvl w:val="0"/>
          <w:numId w:val="2"/>
        </w:numPr>
        <w:autoSpaceDE w:val="0"/>
        <w:autoSpaceDN w:val="0"/>
        <w:adjustRightInd w:val="0"/>
        <w:spacing w:after="0" w:line="240" w:lineRule="auto"/>
        <w:ind w:left="0"/>
        <w:rPr>
          <w:rFonts w:ascii="Arial" w:hAnsi="Arial" w:cs="Arial"/>
          <w:sz w:val="24"/>
          <w:szCs w:val="24"/>
        </w:rPr>
      </w:pPr>
      <w:r w:rsidRPr="00214EBE">
        <w:rPr>
          <w:rFonts w:ascii="Arial" w:hAnsi="Arial" w:cs="Arial"/>
          <w:sz w:val="24"/>
          <w:szCs w:val="24"/>
        </w:rPr>
        <w:t xml:space="preserve">Specific detail relating to </w:t>
      </w:r>
      <w:r w:rsidR="0033481E" w:rsidRPr="00214EBE">
        <w:rPr>
          <w:rFonts w:ascii="Arial" w:hAnsi="Arial" w:cs="Arial"/>
          <w:sz w:val="24"/>
          <w:szCs w:val="24"/>
        </w:rPr>
        <w:t>NTCA’s</w:t>
      </w:r>
      <w:r w:rsidRPr="00214EBE">
        <w:rPr>
          <w:rFonts w:ascii="Arial" w:hAnsi="Arial" w:cs="Arial"/>
          <w:sz w:val="24"/>
          <w:szCs w:val="24"/>
        </w:rPr>
        <w:t xml:space="preserve"> </w:t>
      </w:r>
      <w:r w:rsidR="00AA18C0" w:rsidRPr="00214EBE">
        <w:rPr>
          <w:rFonts w:ascii="Arial" w:hAnsi="Arial" w:cs="Arial"/>
          <w:sz w:val="24"/>
          <w:szCs w:val="24"/>
        </w:rPr>
        <w:t xml:space="preserve">funding and performance management arrangements </w:t>
      </w:r>
      <w:r w:rsidRPr="00214EBE">
        <w:rPr>
          <w:rFonts w:ascii="Arial" w:hAnsi="Arial" w:cs="Arial"/>
          <w:sz w:val="24"/>
          <w:szCs w:val="24"/>
        </w:rPr>
        <w:t xml:space="preserve">are detailed within the </w:t>
      </w:r>
      <w:r w:rsidR="00892477" w:rsidRPr="00214EBE">
        <w:rPr>
          <w:rFonts w:ascii="Arial" w:hAnsi="Arial" w:cs="Arial"/>
          <w:sz w:val="24"/>
          <w:szCs w:val="24"/>
        </w:rPr>
        <w:t xml:space="preserve">Draft </w:t>
      </w:r>
      <w:r w:rsidR="004148B9" w:rsidRPr="00214EBE">
        <w:rPr>
          <w:rFonts w:ascii="Arial" w:hAnsi="Arial" w:cs="Arial"/>
          <w:sz w:val="24"/>
          <w:szCs w:val="24"/>
        </w:rPr>
        <w:t xml:space="preserve">NTCA </w:t>
      </w:r>
      <w:r w:rsidRPr="00214EBE">
        <w:rPr>
          <w:rFonts w:ascii="Arial" w:hAnsi="Arial" w:cs="Arial"/>
          <w:sz w:val="24"/>
          <w:szCs w:val="24"/>
        </w:rPr>
        <w:t>Funding and Performance Management rules in A</w:t>
      </w:r>
      <w:r w:rsidR="00081420" w:rsidRPr="00214EBE">
        <w:rPr>
          <w:rFonts w:ascii="Arial" w:hAnsi="Arial" w:cs="Arial"/>
          <w:sz w:val="24"/>
          <w:szCs w:val="24"/>
        </w:rPr>
        <w:t>ppendix</w:t>
      </w:r>
      <w:r w:rsidRPr="00214EBE">
        <w:rPr>
          <w:rFonts w:ascii="Arial" w:hAnsi="Arial" w:cs="Arial"/>
          <w:sz w:val="24"/>
          <w:szCs w:val="24"/>
        </w:rPr>
        <w:t xml:space="preserve"> </w:t>
      </w:r>
      <w:r w:rsidR="00081420" w:rsidRPr="00214EBE">
        <w:rPr>
          <w:rFonts w:ascii="Arial" w:hAnsi="Arial" w:cs="Arial"/>
          <w:sz w:val="24"/>
          <w:szCs w:val="24"/>
        </w:rPr>
        <w:t>3 of the ITT documentation</w:t>
      </w:r>
      <w:r w:rsidRPr="00214EBE">
        <w:rPr>
          <w:rFonts w:ascii="Arial" w:hAnsi="Arial" w:cs="Arial"/>
          <w:sz w:val="24"/>
          <w:szCs w:val="24"/>
        </w:rPr>
        <w:t>.</w:t>
      </w:r>
    </w:p>
    <w:p w14:paraId="49C3E638" w14:textId="77777777" w:rsidR="00FA0454" w:rsidRPr="00214EBE" w:rsidRDefault="00FA0454" w:rsidP="00FA0454">
      <w:pPr>
        <w:pStyle w:val="ListParagraph"/>
        <w:autoSpaceDE w:val="0"/>
        <w:autoSpaceDN w:val="0"/>
        <w:adjustRightInd w:val="0"/>
        <w:spacing w:after="0" w:line="240" w:lineRule="auto"/>
        <w:ind w:left="0"/>
        <w:rPr>
          <w:rFonts w:ascii="Arial" w:hAnsi="Arial" w:cs="Arial"/>
          <w:sz w:val="24"/>
          <w:szCs w:val="24"/>
        </w:rPr>
      </w:pPr>
    </w:p>
    <w:p w14:paraId="5BD9EDC6" w14:textId="7B63D41F" w:rsidR="000620E7" w:rsidRDefault="000A24F5" w:rsidP="00FA0454">
      <w:pPr>
        <w:pStyle w:val="Default"/>
        <w:rPr>
          <w:b/>
        </w:rPr>
      </w:pPr>
      <w:r>
        <w:rPr>
          <w:b/>
        </w:rPr>
        <w:t xml:space="preserve">Contract </w:t>
      </w:r>
      <w:r w:rsidR="000620E7" w:rsidRPr="00E923BA">
        <w:rPr>
          <w:b/>
        </w:rPr>
        <w:t>duration</w:t>
      </w:r>
    </w:p>
    <w:p w14:paraId="3FCDAB0A" w14:textId="77777777" w:rsidR="00FA0454" w:rsidRPr="00E923BA" w:rsidRDefault="00FA0454" w:rsidP="00FA0454">
      <w:pPr>
        <w:pStyle w:val="Default"/>
        <w:rPr>
          <w:b/>
        </w:rPr>
      </w:pPr>
    </w:p>
    <w:p w14:paraId="49F84BEE" w14:textId="3301DBBF" w:rsidR="00ED095F" w:rsidRPr="00214EBE" w:rsidRDefault="000A24F5" w:rsidP="00FA0454">
      <w:pPr>
        <w:pStyle w:val="ListParagraph"/>
        <w:numPr>
          <w:ilvl w:val="0"/>
          <w:numId w:val="2"/>
        </w:numPr>
        <w:autoSpaceDE w:val="0"/>
        <w:autoSpaceDN w:val="0"/>
        <w:adjustRightInd w:val="0"/>
        <w:spacing w:after="0" w:line="240" w:lineRule="auto"/>
        <w:ind w:left="0"/>
        <w:rPr>
          <w:rFonts w:ascii="Arial" w:hAnsi="Arial" w:cs="Arial"/>
          <w:sz w:val="24"/>
          <w:szCs w:val="24"/>
        </w:rPr>
      </w:pPr>
      <w:r>
        <w:rPr>
          <w:rFonts w:ascii="Arial" w:hAnsi="Arial" w:cs="Arial"/>
          <w:sz w:val="24"/>
          <w:szCs w:val="24"/>
        </w:rPr>
        <w:t xml:space="preserve">Immediately on appointing Providers to the Framework, NTCA will directly award </w:t>
      </w:r>
      <w:r w:rsidR="000768B5">
        <w:rPr>
          <w:rFonts w:ascii="Arial" w:hAnsi="Arial" w:cs="Arial"/>
          <w:sz w:val="24"/>
          <w:szCs w:val="24"/>
        </w:rPr>
        <w:t xml:space="preserve">call off contracts </w:t>
      </w:r>
      <w:r w:rsidR="000768B5" w:rsidRPr="00214EBE">
        <w:rPr>
          <w:rFonts w:ascii="Arial" w:hAnsi="Arial" w:cs="Arial"/>
          <w:sz w:val="24"/>
          <w:szCs w:val="24"/>
        </w:rPr>
        <w:t>for</w:t>
      </w:r>
      <w:r w:rsidR="000620E7" w:rsidRPr="00214EBE">
        <w:rPr>
          <w:rFonts w:ascii="Arial" w:hAnsi="Arial" w:cs="Arial"/>
          <w:sz w:val="24"/>
          <w:szCs w:val="24"/>
        </w:rPr>
        <w:t xml:space="preserve"> the 12-month delivery period from 1</w:t>
      </w:r>
      <w:r w:rsidR="007D3C3F" w:rsidRPr="00214EBE">
        <w:rPr>
          <w:rFonts w:ascii="Arial" w:hAnsi="Arial" w:cs="Arial"/>
          <w:sz w:val="24"/>
          <w:szCs w:val="24"/>
          <w:vertAlign w:val="superscript"/>
        </w:rPr>
        <w:t>st</w:t>
      </w:r>
      <w:r w:rsidR="007D3C3F" w:rsidRPr="00214EBE">
        <w:rPr>
          <w:rFonts w:ascii="Arial" w:hAnsi="Arial" w:cs="Arial"/>
          <w:sz w:val="24"/>
          <w:szCs w:val="24"/>
        </w:rPr>
        <w:t xml:space="preserve"> </w:t>
      </w:r>
      <w:r w:rsidR="000620E7" w:rsidRPr="00214EBE">
        <w:rPr>
          <w:rFonts w:ascii="Arial" w:hAnsi="Arial" w:cs="Arial"/>
          <w:sz w:val="24"/>
          <w:szCs w:val="24"/>
        </w:rPr>
        <w:t>August 2020 to 31</w:t>
      </w:r>
      <w:r w:rsidR="007D3C3F" w:rsidRPr="00214EBE">
        <w:rPr>
          <w:rFonts w:ascii="Arial" w:hAnsi="Arial" w:cs="Arial"/>
          <w:sz w:val="24"/>
          <w:szCs w:val="24"/>
          <w:vertAlign w:val="superscript"/>
        </w:rPr>
        <w:t>st</w:t>
      </w:r>
      <w:r w:rsidR="007D3C3F" w:rsidRPr="00214EBE">
        <w:rPr>
          <w:rFonts w:ascii="Arial" w:hAnsi="Arial" w:cs="Arial"/>
          <w:sz w:val="24"/>
          <w:szCs w:val="24"/>
        </w:rPr>
        <w:t xml:space="preserve"> </w:t>
      </w:r>
      <w:r w:rsidR="000620E7" w:rsidRPr="00214EBE">
        <w:rPr>
          <w:rFonts w:ascii="Arial" w:hAnsi="Arial" w:cs="Arial"/>
          <w:sz w:val="24"/>
          <w:szCs w:val="24"/>
        </w:rPr>
        <w:t xml:space="preserve">July 2021. </w:t>
      </w:r>
      <w:r w:rsidR="000620E7" w:rsidRPr="00214EBE">
        <w:rPr>
          <w:rFonts w:ascii="Arial" w:hAnsi="Arial" w:cs="Arial"/>
          <w:color w:val="000000"/>
          <w:sz w:val="24"/>
          <w:szCs w:val="24"/>
        </w:rPr>
        <w:t xml:space="preserve">Thereafter, NTCA reserves the right to extend contracts on an </w:t>
      </w:r>
      <w:r w:rsidR="000620E7" w:rsidRPr="00214EBE">
        <w:rPr>
          <w:rFonts w:ascii="Arial" w:hAnsi="Arial" w:cs="Arial"/>
          <w:sz w:val="24"/>
          <w:szCs w:val="24"/>
        </w:rPr>
        <w:t>annual basis up to and including the 2022/23 funding year (i.e</w:t>
      </w:r>
      <w:r w:rsidR="00BF4024" w:rsidRPr="00214EBE">
        <w:rPr>
          <w:rFonts w:ascii="Arial" w:hAnsi="Arial" w:cs="Arial"/>
          <w:sz w:val="24"/>
          <w:szCs w:val="24"/>
        </w:rPr>
        <w:t>.</w:t>
      </w:r>
      <w:r w:rsidR="000620E7" w:rsidRPr="00214EBE">
        <w:rPr>
          <w:rFonts w:ascii="Arial" w:hAnsi="Arial" w:cs="Arial"/>
          <w:sz w:val="24"/>
          <w:szCs w:val="24"/>
        </w:rPr>
        <w:t xml:space="preserve"> a maximum period covering 3 years in total). </w:t>
      </w:r>
    </w:p>
    <w:p w14:paraId="08F56363" w14:textId="77777777" w:rsidR="00ED095F" w:rsidRPr="00214EBE" w:rsidRDefault="00ED095F" w:rsidP="00FA0454">
      <w:pPr>
        <w:pStyle w:val="BodyText"/>
      </w:pPr>
    </w:p>
    <w:p w14:paraId="5283AFB4" w14:textId="1EAFEDBC" w:rsidR="000620E7" w:rsidRPr="00214EBE" w:rsidRDefault="000620E7" w:rsidP="00FA0454">
      <w:pPr>
        <w:pStyle w:val="ListParagraph"/>
        <w:numPr>
          <w:ilvl w:val="0"/>
          <w:numId w:val="2"/>
        </w:numPr>
        <w:autoSpaceDE w:val="0"/>
        <w:autoSpaceDN w:val="0"/>
        <w:adjustRightInd w:val="0"/>
        <w:spacing w:after="0" w:line="240" w:lineRule="auto"/>
        <w:ind w:left="0"/>
        <w:rPr>
          <w:rFonts w:ascii="Arial" w:hAnsi="Arial" w:cs="Arial"/>
          <w:sz w:val="24"/>
          <w:szCs w:val="24"/>
        </w:rPr>
      </w:pPr>
      <w:r w:rsidRPr="00214EBE">
        <w:rPr>
          <w:rFonts w:ascii="Arial" w:hAnsi="Arial" w:cs="Arial"/>
          <w:sz w:val="24"/>
          <w:szCs w:val="24"/>
        </w:rPr>
        <w:t>Any contract extensions w</w:t>
      </w:r>
      <w:r w:rsidR="000D3750">
        <w:rPr>
          <w:rFonts w:ascii="Arial" w:hAnsi="Arial" w:cs="Arial"/>
          <w:sz w:val="24"/>
          <w:szCs w:val="24"/>
        </w:rPr>
        <w:t>ill</w:t>
      </w:r>
      <w:r w:rsidRPr="00214EBE">
        <w:rPr>
          <w:rFonts w:ascii="Arial" w:hAnsi="Arial" w:cs="Arial"/>
          <w:sz w:val="24"/>
          <w:szCs w:val="24"/>
        </w:rPr>
        <w:t xml:space="preserve"> be subject to funding availability, the </w:t>
      </w:r>
      <w:r w:rsidR="006E2AAB" w:rsidRPr="00214EBE">
        <w:rPr>
          <w:rFonts w:ascii="Arial" w:hAnsi="Arial" w:cs="Arial"/>
          <w:sz w:val="24"/>
          <w:szCs w:val="24"/>
        </w:rPr>
        <w:t>o</w:t>
      </w:r>
      <w:r w:rsidR="00AE5656" w:rsidRPr="00214EBE">
        <w:rPr>
          <w:rFonts w:ascii="Arial" w:hAnsi="Arial" w:cs="Arial"/>
          <w:sz w:val="24"/>
          <w:szCs w:val="24"/>
        </w:rPr>
        <w:t>rganisation</w:t>
      </w:r>
      <w:r w:rsidRPr="00214EBE">
        <w:rPr>
          <w:rFonts w:ascii="Arial" w:hAnsi="Arial" w:cs="Arial"/>
          <w:sz w:val="24"/>
          <w:szCs w:val="24"/>
        </w:rPr>
        <w:t>’s delivery and performance against the contract, and any emerging skills and/or funding policy (including any changes to the overall NTCA budget arising from the Spending Review or adjustments to the way in which NTCA’s allocation is calculated by central government). These longer</w:t>
      </w:r>
      <w:r w:rsidR="00BC00C0" w:rsidRPr="00214EBE">
        <w:rPr>
          <w:rFonts w:ascii="Arial" w:hAnsi="Arial" w:cs="Arial"/>
          <w:sz w:val="24"/>
          <w:szCs w:val="24"/>
        </w:rPr>
        <w:t>-</w:t>
      </w:r>
      <w:r w:rsidRPr="00214EBE">
        <w:rPr>
          <w:rFonts w:ascii="Arial" w:hAnsi="Arial" w:cs="Arial"/>
          <w:sz w:val="24"/>
          <w:szCs w:val="24"/>
        </w:rPr>
        <w:t xml:space="preserve">term contracts will enable </w:t>
      </w:r>
      <w:r w:rsidR="00F04F1C" w:rsidRPr="00214EBE">
        <w:rPr>
          <w:rFonts w:ascii="Arial" w:hAnsi="Arial" w:cs="Arial"/>
          <w:sz w:val="24"/>
          <w:szCs w:val="24"/>
        </w:rPr>
        <w:t>o</w:t>
      </w:r>
      <w:r w:rsidR="00AE5656" w:rsidRPr="00214EBE">
        <w:rPr>
          <w:rFonts w:ascii="Arial" w:hAnsi="Arial" w:cs="Arial"/>
          <w:sz w:val="24"/>
          <w:szCs w:val="24"/>
        </w:rPr>
        <w:t>rganisations</w:t>
      </w:r>
      <w:r w:rsidRPr="00214EBE">
        <w:rPr>
          <w:rFonts w:ascii="Arial" w:hAnsi="Arial" w:cs="Arial"/>
          <w:sz w:val="24"/>
          <w:szCs w:val="24"/>
        </w:rPr>
        <w:t xml:space="preserve"> to plan and build capacity with greater surety over the funding available to them. </w:t>
      </w:r>
    </w:p>
    <w:p w14:paraId="2B0EF806" w14:textId="77777777" w:rsidR="00053CA9" w:rsidRDefault="00053CA9" w:rsidP="00FA0454">
      <w:pPr>
        <w:pStyle w:val="ListParagraph"/>
        <w:spacing w:after="0" w:line="240" w:lineRule="auto"/>
      </w:pPr>
    </w:p>
    <w:p w14:paraId="636500A4" w14:textId="77777777" w:rsidR="00053CA9" w:rsidRDefault="00053CA9" w:rsidP="00FA0454">
      <w:pPr>
        <w:spacing w:after="0" w:line="240" w:lineRule="auto"/>
        <w:rPr>
          <w:rFonts w:ascii="Arial" w:hAnsi="Arial" w:cs="Arial"/>
          <w:b/>
          <w:sz w:val="24"/>
          <w:szCs w:val="24"/>
        </w:rPr>
      </w:pPr>
      <w:r>
        <w:rPr>
          <w:rFonts w:ascii="Arial" w:hAnsi="Arial" w:cs="Arial"/>
          <w:b/>
          <w:sz w:val="24"/>
          <w:szCs w:val="24"/>
        </w:rPr>
        <w:t>Approach to funding</w:t>
      </w:r>
    </w:p>
    <w:p w14:paraId="34D67510" w14:textId="77777777" w:rsidR="00053CA9" w:rsidRDefault="00053CA9" w:rsidP="00FA0454">
      <w:pPr>
        <w:spacing w:after="0" w:line="240" w:lineRule="auto"/>
        <w:rPr>
          <w:rFonts w:ascii="Arial" w:hAnsi="Arial" w:cs="Arial"/>
          <w:b/>
          <w:sz w:val="24"/>
          <w:szCs w:val="24"/>
        </w:rPr>
      </w:pPr>
    </w:p>
    <w:p w14:paraId="2255A65B" w14:textId="0872B9C9" w:rsidR="00053CA9" w:rsidRPr="00214EBE" w:rsidRDefault="00053CA9" w:rsidP="00FA0454">
      <w:pPr>
        <w:pStyle w:val="ListParagraph"/>
        <w:numPr>
          <w:ilvl w:val="0"/>
          <w:numId w:val="2"/>
        </w:numPr>
        <w:autoSpaceDE w:val="0"/>
        <w:autoSpaceDN w:val="0"/>
        <w:adjustRightInd w:val="0"/>
        <w:spacing w:after="0" w:line="240" w:lineRule="auto"/>
        <w:rPr>
          <w:rFonts w:ascii="Arial" w:hAnsi="Arial" w:cs="Arial"/>
          <w:sz w:val="24"/>
          <w:szCs w:val="24"/>
        </w:rPr>
      </w:pPr>
      <w:r w:rsidRPr="00214EBE">
        <w:rPr>
          <w:rFonts w:ascii="Arial" w:hAnsi="Arial" w:cs="Arial"/>
          <w:sz w:val="24"/>
          <w:szCs w:val="24"/>
        </w:rPr>
        <w:t xml:space="preserve">In 2020/21 NTCA is adopting the national approach to funding rates and formulas for </w:t>
      </w:r>
      <w:r w:rsidR="00214EBE">
        <w:rPr>
          <w:rFonts w:ascii="Arial" w:hAnsi="Arial" w:cs="Arial"/>
          <w:sz w:val="24"/>
          <w:szCs w:val="24"/>
        </w:rPr>
        <w:t>organisations that s</w:t>
      </w:r>
      <w:r w:rsidRPr="00214EBE">
        <w:rPr>
          <w:rFonts w:ascii="Arial" w:hAnsi="Arial" w:cs="Arial"/>
          <w:sz w:val="24"/>
          <w:szCs w:val="24"/>
        </w:rPr>
        <w:t xml:space="preserve">ecure a Contract for Services for Lot 1 (unemployed), and/or Lot 2 (employed). NTCA will only fund regulated or non-regulated AEB formula funded provision in Lot 1 and Lot 2. </w:t>
      </w:r>
    </w:p>
    <w:p w14:paraId="4ADBA5BC" w14:textId="77777777" w:rsidR="00053CA9" w:rsidRPr="00214EBE" w:rsidRDefault="00053CA9" w:rsidP="00FA0454">
      <w:pPr>
        <w:pStyle w:val="BodyText"/>
        <w:ind w:left="357" w:right="567"/>
      </w:pPr>
    </w:p>
    <w:p w14:paraId="6771EB5F" w14:textId="4B079EBD" w:rsidR="00053CA9" w:rsidRPr="00214EBE" w:rsidRDefault="00053CA9" w:rsidP="00FA0454">
      <w:pPr>
        <w:pStyle w:val="ListParagraph"/>
        <w:numPr>
          <w:ilvl w:val="0"/>
          <w:numId w:val="2"/>
        </w:numPr>
        <w:autoSpaceDE w:val="0"/>
        <w:autoSpaceDN w:val="0"/>
        <w:adjustRightInd w:val="0"/>
        <w:spacing w:after="0" w:line="240" w:lineRule="auto"/>
        <w:rPr>
          <w:rFonts w:ascii="Arial" w:hAnsi="Arial" w:cs="Arial"/>
          <w:sz w:val="24"/>
          <w:szCs w:val="24"/>
        </w:rPr>
      </w:pPr>
      <w:r w:rsidRPr="00214EBE">
        <w:rPr>
          <w:rFonts w:ascii="Arial" w:hAnsi="Arial" w:cs="Arial"/>
          <w:sz w:val="24"/>
          <w:szCs w:val="24"/>
        </w:rPr>
        <w:t>In 2020/21 NTCA will not pay more than the national annual funding cap of £4,400 per resident for provision procured through Lot 3 (innovati</w:t>
      </w:r>
      <w:r w:rsidR="00214EBE" w:rsidRPr="00214EBE">
        <w:rPr>
          <w:rFonts w:ascii="Arial" w:hAnsi="Arial" w:cs="Arial"/>
          <w:sz w:val="24"/>
          <w:szCs w:val="24"/>
        </w:rPr>
        <w:t>on</w:t>
      </w:r>
      <w:r w:rsidRPr="00214EBE">
        <w:rPr>
          <w:rFonts w:ascii="Arial" w:hAnsi="Arial" w:cs="Arial"/>
          <w:sz w:val="24"/>
          <w:szCs w:val="24"/>
        </w:rPr>
        <w:t>).</w:t>
      </w:r>
    </w:p>
    <w:p w14:paraId="18DB2B0B" w14:textId="77777777" w:rsidR="00053CA9" w:rsidRPr="00214EBE" w:rsidRDefault="00053CA9" w:rsidP="00FA0454">
      <w:pPr>
        <w:pStyle w:val="BodyText"/>
        <w:ind w:left="357" w:right="567"/>
      </w:pPr>
    </w:p>
    <w:p w14:paraId="266BA7D6" w14:textId="4546A416" w:rsidR="002C784D" w:rsidRPr="00E923BA" w:rsidRDefault="002C784D" w:rsidP="00FA0454">
      <w:pPr>
        <w:pStyle w:val="BodyText"/>
        <w:ind w:right="567"/>
        <w:jc w:val="both"/>
        <w:rPr>
          <w:b/>
          <w:bCs/>
        </w:rPr>
      </w:pPr>
      <w:r w:rsidRPr="00E923BA">
        <w:rPr>
          <w:b/>
          <w:bCs/>
        </w:rPr>
        <w:t>Commissioning Principles</w:t>
      </w:r>
    </w:p>
    <w:p w14:paraId="0DFD1DFE" w14:textId="77777777" w:rsidR="00E93B0D" w:rsidRPr="00543F4B" w:rsidRDefault="00E93B0D" w:rsidP="00ED095F">
      <w:pPr>
        <w:pStyle w:val="BodyText"/>
        <w:spacing w:before="1" w:line="259" w:lineRule="auto"/>
        <w:ind w:left="360" w:right="568"/>
      </w:pPr>
    </w:p>
    <w:p w14:paraId="56AABCA7" w14:textId="66798587" w:rsidR="000620E7" w:rsidRPr="00543F4B" w:rsidRDefault="000620E7" w:rsidP="00543F4B">
      <w:pPr>
        <w:pStyle w:val="ListParagraph"/>
        <w:numPr>
          <w:ilvl w:val="0"/>
          <w:numId w:val="2"/>
        </w:numPr>
        <w:autoSpaceDE w:val="0"/>
        <w:autoSpaceDN w:val="0"/>
        <w:adjustRightInd w:val="0"/>
        <w:spacing w:after="0" w:line="240" w:lineRule="auto"/>
        <w:rPr>
          <w:rFonts w:ascii="Arial" w:hAnsi="Arial" w:cs="Arial"/>
          <w:sz w:val="24"/>
          <w:szCs w:val="24"/>
        </w:rPr>
      </w:pPr>
      <w:r w:rsidRPr="00543F4B">
        <w:rPr>
          <w:rFonts w:ascii="Arial" w:hAnsi="Arial" w:cs="Arial"/>
          <w:sz w:val="24"/>
          <w:szCs w:val="24"/>
        </w:rPr>
        <w:t>The core set of commissioning principles will:</w:t>
      </w:r>
    </w:p>
    <w:p w14:paraId="5F048713" w14:textId="77777777" w:rsidR="009C1460" w:rsidRPr="00E923BA" w:rsidRDefault="009C1460" w:rsidP="009C1460">
      <w:pPr>
        <w:pStyle w:val="BodyText"/>
        <w:spacing w:before="1" w:line="259" w:lineRule="auto"/>
        <w:ind w:left="360" w:right="568"/>
      </w:pPr>
    </w:p>
    <w:p w14:paraId="761E1450" w14:textId="0F1802B1" w:rsidR="000620E7" w:rsidRPr="00E923BA" w:rsidRDefault="002C784D" w:rsidP="00ED095F">
      <w:pPr>
        <w:pStyle w:val="ListParagraph"/>
        <w:numPr>
          <w:ilvl w:val="1"/>
          <w:numId w:val="7"/>
        </w:numPr>
        <w:spacing w:after="0" w:line="240" w:lineRule="auto"/>
        <w:ind w:left="720"/>
        <w:rPr>
          <w:rFonts w:ascii="Arial" w:hAnsi="Arial" w:cs="Arial"/>
          <w:color w:val="000000"/>
          <w:sz w:val="24"/>
          <w:szCs w:val="24"/>
        </w:rPr>
      </w:pPr>
      <w:bookmarkStart w:id="7" w:name="_Hlk21419630"/>
      <w:r w:rsidRPr="00E923BA">
        <w:rPr>
          <w:rFonts w:ascii="Arial" w:hAnsi="Arial" w:cs="Arial"/>
          <w:color w:val="000000"/>
          <w:sz w:val="24"/>
          <w:szCs w:val="24"/>
        </w:rPr>
        <w:t>r</w:t>
      </w:r>
      <w:r w:rsidR="000620E7" w:rsidRPr="00E923BA">
        <w:rPr>
          <w:rFonts w:ascii="Arial" w:hAnsi="Arial" w:cs="Arial"/>
          <w:color w:val="000000"/>
          <w:sz w:val="24"/>
          <w:szCs w:val="24"/>
        </w:rPr>
        <w:t>eflect the different needs of our residents in different local communities within the NTCA</w:t>
      </w:r>
      <w:r w:rsidR="00FA0454">
        <w:rPr>
          <w:rFonts w:ascii="Arial" w:hAnsi="Arial" w:cs="Arial"/>
          <w:color w:val="000000"/>
          <w:sz w:val="24"/>
          <w:szCs w:val="24"/>
        </w:rPr>
        <w:t>;</w:t>
      </w:r>
    </w:p>
    <w:p w14:paraId="7AFE2EFB" w14:textId="272BF893" w:rsidR="000620E7" w:rsidRPr="00E923BA" w:rsidRDefault="002C784D" w:rsidP="00ED095F">
      <w:pPr>
        <w:pStyle w:val="ListParagraph"/>
        <w:numPr>
          <w:ilvl w:val="1"/>
          <w:numId w:val="7"/>
        </w:numPr>
        <w:spacing w:after="0" w:line="240" w:lineRule="auto"/>
        <w:ind w:left="720"/>
        <w:rPr>
          <w:rFonts w:ascii="Arial" w:hAnsi="Arial" w:cs="Arial"/>
          <w:color w:val="000000"/>
          <w:sz w:val="24"/>
          <w:szCs w:val="24"/>
        </w:rPr>
      </w:pPr>
      <w:r w:rsidRPr="00E923BA">
        <w:rPr>
          <w:rFonts w:ascii="Arial" w:hAnsi="Arial" w:cs="Arial"/>
          <w:color w:val="000000"/>
          <w:sz w:val="24"/>
          <w:szCs w:val="24"/>
        </w:rPr>
        <w:t>support o</w:t>
      </w:r>
      <w:r w:rsidR="000620E7" w:rsidRPr="00E923BA">
        <w:rPr>
          <w:rFonts w:ascii="Arial" w:hAnsi="Arial" w:cs="Arial"/>
          <w:color w:val="000000"/>
          <w:sz w:val="24"/>
          <w:szCs w:val="24"/>
        </w:rPr>
        <w:t>ngoing engagement with a range of stakeholders, building upon current relationships and developing new relationships</w:t>
      </w:r>
      <w:r w:rsidR="00FA0454">
        <w:rPr>
          <w:rFonts w:ascii="Arial" w:hAnsi="Arial" w:cs="Arial"/>
          <w:color w:val="000000"/>
          <w:sz w:val="24"/>
          <w:szCs w:val="24"/>
        </w:rPr>
        <w:t>;</w:t>
      </w:r>
    </w:p>
    <w:p w14:paraId="045D3F02" w14:textId="5CEBE2B0" w:rsidR="000620E7" w:rsidRPr="00E923BA" w:rsidRDefault="002C784D" w:rsidP="00ED095F">
      <w:pPr>
        <w:pStyle w:val="ListParagraph"/>
        <w:numPr>
          <w:ilvl w:val="1"/>
          <w:numId w:val="7"/>
        </w:numPr>
        <w:spacing w:after="0" w:line="240" w:lineRule="auto"/>
        <w:ind w:left="720"/>
        <w:rPr>
          <w:rFonts w:ascii="Arial" w:hAnsi="Arial" w:cs="Arial"/>
          <w:color w:val="000000"/>
          <w:sz w:val="24"/>
          <w:szCs w:val="24"/>
        </w:rPr>
      </w:pPr>
      <w:r w:rsidRPr="00E923BA">
        <w:rPr>
          <w:rFonts w:ascii="Arial" w:hAnsi="Arial" w:cs="Arial"/>
          <w:color w:val="000000"/>
          <w:sz w:val="24"/>
          <w:szCs w:val="24"/>
        </w:rPr>
        <w:t>p</w:t>
      </w:r>
      <w:r w:rsidR="000620E7" w:rsidRPr="00E923BA">
        <w:rPr>
          <w:rFonts w:ascii="Arial" w:hAnsi="Arial" w:cs="Arial"/>
          <w:color w:val="000000"/>
          <w:sz w:val="24"/>
          <w:szCs w:val="24"/>
        </w:rPr>
        <w:t xml:space="preserve">ut outcomes for </w:t>
      </w:r>
      <w:r w:rsidR="00F85263" w:rsidRPr="00E923BA">
        <w:rPr>
          <w:rFonts w:ascii="Arial" w:hAnsi="Arial" w:cs="Arial"/>
          <w:color w:val="000000"/>
          <w:sz w:val="24"/>
          <w:szCs w:val="24"/>
        </w:rPr>
        <w:t>resident</w:t>
      </w:r>
      <w:r w:rsidR="000620E7" w:rsidRPr="00E923BA">
        <w:rPr>
          <w:rFonts w:ascii="Arial" w:hAnsi="Arial" w:cs="Arial"/>
          <w:color w:val="000000"/>
          <w:sz w:val="24"/>
          <w:szCs w:val="24"/>
        </w:rPr>
        <w:t>s at the heart of the approach to commissioning</w:t>
      </w:r>
      <w:r w:rsidR="00FA0454">
        <w:rPr>
          <w:rFonts w:ascii="Arial" w:hAnsi="Arial" w:cs="Arial"/>
          <w:color w:val="000000"/>
          <w:sz w:val="24"/>
          <w:szCs w:val="24"/>
        </w:rPr>
        <w:t>;</w:t>
      </w:r>
    </w:p>
    <w:p w14:paraId="0846F1E4" w14:textId="40460215" w:rsidR="000620E7" w:rsidRPr="00E923BA" w:rsidRDefault="002C784D" w:rsidP="00ED095F">
      <w:pPr>
        <w:pStyle w:val="ListParagraph"/>
        <w:numPr>
          <w:ilvl w:val="1"/>
          <w:numId w:val="7"/>
        </w:numPr>
        <w:spacing w:after="0" w:line="240" w:lineRule="auto"/>
        <w:ind w:left="720"/>
        <w:rPr>
          <w:rFonts w:ascii="Arial" w:hAnsi="Arial" w:cs="Arial"/>
          <w:color w:val="000000"/>
          <w:sz w:val="24"/>
          <w:szCs w:val="24"/>
        </w:rPr>
      </w:pPr>
      <w:r w:rsidRPr="00E923BA">
        <w:rPr>
          <w:rFonts w:ascii="Arial" w:hAnsi="Arial" w:cs="Arial"/>
          <w:color w:val="000000"/>
          <w:sz w:val="24"/>
          <w:szCs w:val="24"/>
        </w:rPr>
        <w:t>m</w:t>
      </w:r>
      <w:r w:rsidR="000620E7" w:rsidRPr="00E923BA">
        <w:rPr>
          <w:rFonts w:ascii="Arial" w:hAnsi="Arial" w:cs="Arial"/>
          <w:color w:val="000000"/>
          <w:sz w:val="24"/>
          <w:szCs w:val="24"/>
        </w:rPr>
        <w:t xml:space="preserve">ap the fullest practical range of </w:t>
      </w:r>
      <w:r w:rsidR="00F04F1C">
        <w:rPr>
          <w:rFonts w:ascii="Arial" w:hAnsi="Arial" w:cs="Arial"/>
          <w:color w:val="000000"/>
          <w:sz w:val="24"/>
          <w:szCs w:val="24"/>
        </w:rPr>
        <w:t>o</w:t>
      </w:r>
      <w:r w:rsidR="00AE5656">
        <w:rPr>
          <w:rFonts w:ascii="Arial" w:hAnsi="Arial" w:cs="Arial"/>
          <w:color w:val="000000"/>
          <w:sz w:val="24"/>
          <w:szCs w:val="24"/>
        </w:rPr>
        <w:t>rganisations</w:t>
      </w:r>
      <w:r w:rsidR="000620E7" w:rsidRPr="00E923BA">
        <w:rPr>
          <w:rFonts w:ascii="Arial" w:hAnsi="Arial" w:cs="Arial"/>
          <w:color w:val="000000"/>
          <w:sz w:val="24"/>
          <w:szCs w:val="24"/>
        </w:rPr>
        <w:t xml:space="preserve"> with a view to understanding their current and potential </w:t>
      </w:r>
      <w:r w:rsidR="00953787">
        <w:rPr>
          <w:rFonts w:ascii="Arial" w:hAnsi="Arial" w:cs="Arial"/>
          <w:color w:val="000000"/>
          <w:sz w:val="24"/>
          <w:szCs w:val="24"/>
        </w:rPr>
        <w:t>for</w:t>
      </w:r>
      <w:r w:rsidR="000620E7" w:rsidRPr="00E923BA">
        <w:rPr>
          <w:rFonts w:ascii="Arial" w:hAnsi="Arial" w:cs="Arial"/>
          <w:color w:val="000000"/>
          <w:sz w:val="24"/>
          <w:szCs w:val="24"/>
        </w:rPr>
        <w:t xml:space="preserve"> delivering our strategic ambitions</w:t>
      </w:r>
      <w:r w:rsidR="00FA0454">
        <w:rPr>
          <w:rFonts w:ascii="Arial" w:hAnsi="Arial" w:cs="Arial"/>
          <w:color w:val="000000"/>
          <w:sz w:val="24"/>
          <w:szCs w:val="24"/>
        </w:rPr>
        <w:t>;</w:t>
      </w:r>
    </w:p>
    <w:p w14:paraId="24BA7A37" w14:textId="04958378" w:rsidR="000620E7" w:rsidRPr="00E923BA" w:rsidRDefault="002C784D" w:rsidP="00ED095F">
      <w:pPr>
        <w:pStyle w:val="ListParagraph"/>
        <w:numPr>
          <w:ilvl w:val="1"/>
          <w:numId w:val="7"/>
        </w:numPr>
        <w:spacing w:after="0" w:line="240" w:lineRule="auto"/>
        <w:ind w:left="720"/>
        <w:rPr>
          <w:rFonts w:ascii="Arial" w:hAnsi="Arial" w:cs="Arial"/>
          <w:color w:val="000000"/>
          <w:sz w:val="24"/>
          <w:szCs w:val="24"/>
        </w:rPr>
      </w:pPr>
      <w:r w:rsidRPr="00E923BA">
        <w:rPr>
          <w:rFonts w:ascii="Arial" w:hAnsi="Arial" w:cs="Arial"/>
          <w:color w:val="000000"/>
          <w:sz w:val="24"/>
          <w:szCs w:val="24"/>
        </w:rPr>
        <w:t>i</w:t>
      </w:r>
      <w:r w:rsidR="000620E7" w:rsidRPr="00E923BA">
        <w:rPr>
          <w:rFonts w:ascii="Arial" w:hAnsi="Arial" w:cs="Arial"/>
          <w:color w:val="000000"/>
          <w:sz w:val="24"/>
          <w:szCs w:val="24"/>
        </w:rPr>
        <w:t xml:space="preserve">nvest in the capacity of the </w:t>
      </w:r>
      <w:r w:rsidR="006E2AAB">
        <w:rPr>
          <w:rFonts w:ascii="Arial" w:hAnsi="Arial" w:cs="Arial"/>
          <w:color w:val="000000"/>
          <w:sz w:val="24"/>
          <w:szCs w:val="24"/>
        </w:rPr>
        <w:t>provider</w:t>
      </w:r>
      <w:r w:rsidR="000620E7" w:rsidRPr="00E923BA">
        <w:rPr>
          <w:rFonts w:ascii="Arial" w:hAnsi="Arial" w:cs="Arial"/>
          <w:color w:val="000000"/>
          <w:sz w:val="24"/>
          <w:szCs w:val="24"/>
        </w:rPr>
        <w:t xml:space="preserve"> base, particularly those working with hard-to-reach groups</w:t>
      </w:r>
      <w:r w:rsidR="00FA0454">
        <w:rPr>
          <w:rFonts w:ascii="Arial" w:hAnsi="Arial" w:cs="Arial"/>
          <w:color w:val="000000"/>
          <w:sz w:val="24"/>
          <w:szCs w:val="24"/>
        </w:rPr>
        <w:t>;</w:t>
      </w:r>
    </w:p>
    <w:p w14:paraId="20EF6746" w14:textId="76E13CC6" w:rsidR="000620E7" w:rsidRPr="00E923BA" w:rsidRDefault="00892477" w:rsidP="00ED095F">
      <w:pPr>
        <w:pStyle w:val="ListParagraph"/>
        <w:numPr>
          <w:ilvl w:val="1"/>
          <w:numId w:val="7"/>
        </w:numPr>
        <w:spacing w:after="0" w:line="240" w:lineRule="auto"/>
        <w:ind w:left="720"/>
        <w:rPr>
          <w:rFonts w:ascii="Arial" w:hAnsi="Arial" w:cs="Arial"/>
          <w:color w:val="000000"/>
          <w:sz w:val="24"/>
          <w:szCs w:val="24"/>
        </w:rPr>
      </w:pPr>
      <w:r w:rsidRPr="00E923BA">
        <w:rPr>
          <w:rFonts w:ascii="Arial" w:hAnsi="Arial" w:cs="Arial"/>
          <w:color w:val="000000"/>
          <w:sz w:val="24"/>
          <w:szCs w:val="24"/>
        </w:rPr>
        <w:t>e</w:t>
      </w:r>
      <w:r w:rsidR="000620E7" w:rsidRPr="00E923BA">
        <w:rPr>
          <w:rFonts w:ascii="Arial" w:hAnsi="Arial" w:cs="Arial"/>
          <w:color w:val="000000"/>
          <w:sz w:val="24"/>
          <w:szCs w:val="24"/>
        </w:rPr>
        <w:t>nsure procurement processes are transparent and fair, facilitating the involvement of the broadest range of suppliers, including sub-contracting and consortia building, where appropriate</w:t>
      </w:r>
      <w:r w:rsidR="00FA0454">
        <w:rPr>
          <w:rFonts w:ascii="Arial" w:hAnsi="Arial" w:cs="Arial"/>
          <w:color w:val="000000"/>
          <w:sz w:val="24"/>
          <w:szCs w:val="24"/>
        </w:rPr>
        <w:t>;</w:t>
      </w:r>
    </w:p>
    <w:p w14:paraId="1B59B35C" w14:textId="39E5823F" w:rsidR="000620E7" w:rsidRPr="00E923BA" w:rsidRDefault="00892477" w:rsidP="00ED095F">
      <w:pPr>
        <w:pStyle w:val="ListParagraph"/>
        <w:numPr>
          <w:ilvl w:val="1"/>
          <w:numId w:val="7"/>
        </w:numPr>
        <w:spacing w:after="0" w:line="240" w:lineRule="auto"/>
        <w:ind w:left="720"/>
        <w:rPr>
          <w:rFonts w:ascii="Arial" w:hAnsi="Arial" w:cs="Arial"/>
          <w:color w:val="000000"/>
          <w:sz w:val="24"/>
          <w:szCs w:val="24"/>
        </w:rPr>
      </w:pPr>
      <w:r w:rsidRPr="00E923BA">
        <w:rPr>
          <w:rFonts w:ascii="Arial" w:hAnsi="Arial" w:cs="Arial"/>
          <w:color w:val="000000"/>
          <w:sz w:val="24"/>
          <w:szCs w:val="24"/>
        </w:rPr>
        <w:t>e</w:t>
      </w:r>
      <w:r w:rsidR="000620E7" w:rsidRPr="00E923BA">
        <w:rPr>
          <w:rFonts w:ascii="Arial" w:hAnsi="Arial" w:cs="Arial"/>
          <w:color w:val="000000"/>
          <w:sz w:val="24"/>
          <w:szCs w:val="24"/>
        </w:rPr>
        <w:t xml:space="preserve">nable longer-term </w:t>
      </w:r>
      <w:r w:rsidR="00543F4B">
        <w:rPr>
          <w:rFonts w:ascii="Arial" w:hAnsi="Arial" w:cs="Arial"/>
          <w:color w:val="000000"/>
          <w:sz w:val="24"/>
          <w:szCs w:val="24"/>
        </w:rPr>
        <w:t xml:space="preserve">funding arrangements </w:t>
      </w:r>
      <w:r w:rsidR="000620E7" w:rsidRPr="00E923BA">
        <w:rPr>
          <w:rFonts w:ascii="Arial" w:hAnsi="Arial" w:cs="Arial"/>
          <w:color w:val="000000"/>
          <w:sz w:val="24"/>
          <w:szCs w:val="24"/>
        </w:rPr>
        <w:t xml:space="preserve">as </w:t>
      </w:r>
      <w:r w:rsidR="00543F4B">
        <w:rPr>
          <w:rFonts w:ascii="Arial" w:hAnsi="Arial" w:cs="Arial"/>
          <w:color w:val="000000"/>
          <w:sz w:val="24"/>
          <w:szCs w:val="24"/>
        </w:rPr>
        <w:t xml:space="preserve">a </w:t>
      </w:r>
      <w:r w:rsidR="000620E7" w:rsidRPr="00E923BA">
        <w:rPr>
          <w:rFonts w:ascii="Arial" w:hAnsi="Arial" w:cs="Arial"/>
          <w:color w:val="000000"/>
          <w:sz w:val="24"/>
          <w:szCs w:val="24"/>
        </w:rPr>
        <w:t>way</w:t>
      </w:r>
      <w:r w:rsidR="00543F4B">
        <w:rPr>
          <w:rFonts w:ascii="Arial" w:hAnsi="Arial" w:cs="Arial"/>
          <w:color w:val="000000"/>
          <w:sz w:val="24"/>
          <w:szCs w:val="24"/>
        </w:rPr>
        <w:t xml:space="preserve"> to </w:t>
      </w:r>
      <w:r w:rsidR="000620E7" w:rsidRPr="00E923BA">
        <w:rPr>
          <w:rFonts w:ascii="Arial" w:hAnsi="Arial" w:cs="Arial"/>
          <w:color w:val="000000"/>
          <w:sz w:val="24"/>
          <w:szCs w:val="24"/>
        </w:rPr>
        <w:t>achiev</w:t>
      </w:r>
      <w:r w:rsidR="00543F4B">
        <w:rPr>
          <w:rFonts w:ascii="Arial" w:hAnsi="Arial" w:cs="Arial"/>
          <w:color w:val="000000"/>
          <w:sz w:val="24"/>
          <w:szCs w:val="24"/>
        </w:rPr>
        <w:t>e greater</w:t>
      </w:r>
      <w:r w:rsidR="000620E7" w:rsidRPr="00E923BA">
        <w:rPr>
          <w:rFonts w:ascii="Arial" w:hAnsi="Arial" w:cs="Arial"/>
          <w:color w:val="000000"/>
          <w:sz w:val="24"/>
          <w:szCs w:val="24"/>
        </w:rPr>
        <w:t xml:space="preserve"> efficiency and effectiveness</w:t>
      </w:r>
      <w:r w:rsidR="00FA0454">
        <w:rPr>
          <w:rFonts w:ascii="Arial" w:hAnsi="Arial" w:cs="Arial"/>
          <w:color w:val="000000"/>
          <w:sz w:val="24"/>
          <w:szCs w:val="24"/>
        </w:rPr>
        <w:t>;</w:t>
      </w:r>
    </w:p>
    <w:p w14:paraId="7BBE4500" w14:textId="43233CFE" w:rsidR="000620E7" w:rsidRDefault="00892477" w:rsidP="00ED095F">
      <w:pPr>
        <w:pStyle w:val="ListParagraph"/>
        <w:numPr>
          <w:ilvl w:val="1"/>
          <w:numId w:val="7"/>
        </w:numPr>
        <w:spacing w:after="0" w:line="240" w:lineRule="auto"/>
        <w:ind w:left="720"/>
        <w:rPr>
          <w:rFonts w:ascii="Arial" w:hAnsi="Arial" w:cs="Arial"/>
          <w:color w:val="000000"/>
          <w:sz w:val="24"/>
          <w:szCs w:val="24"/>
        </w:rPr>
      </w:pPr>
      <w:r w:rsidRPr="00E923BA">
        <w:rPr>
          <w:rFonts w:ascii="Arial" w:hAnsi="Arial" w:cs="Arial"/>
          <w:color w:val="000000"/>
          <w:sz w:val="24"/>
          <w:szCs w:val="24"/>
        </w:rPr>
        <w:t>s</w:t>
      </w:r>
      <w:r w:rsidR="000620E7" w:rsidRPr="00E923BA">
        <w:rPr>
          <w:rFonts w:ascii="Arial" w:hAnsi="Arial" w:cs="Arial"/>
          <w:color w:val="000000"/>
          <w:sz w:val="24"/>
          <w:szCs w:val="24"/>
        </w:rPr>
        <w:t xml:space="preserve">eek </w:t>
      </w:r>
      <w:r w:rsidRPr="00E923BA">
        <w:rPr>
          <w:rFonts w:ascii="Arial" w:hAnsi="Arial" w:cs="Arial"/>
          <w:color w:val="000000"/>
          <w:sz w:val="24"/>
          <w:szCs w:val="24"/>
        </w:rPr>
        <w:t xml:space="preserve">on-going </w:t>
      </w:r>
      <w:r w:rsidR="000620E7" w:rsidRPr="00E923BA">
        <w:rPr>
          <w:rFonts w:ascii="Arial" w:hAnsi="Arial" w:cs="Arial"/>
          <w:color w:val="000000"/>
          <w:sz w:val="24"/>
          <w:szCs w:val="24"/>
        </w:rPr>
        <w:t xml:space="preserve">feedback from residents, communities, employers and </w:t>
      </w:r>
      <w:r w:rsidR="00F04F1C">
        <w:rPr>
          <w:rFonts w:ascii="Arial" w:hAnsi="Arial" w:cs="Arial"/>
          <w:color w:val="000000"/>
          <w:sz w:val="24"/>
          <w:szCs w:val="24"/>
        </w:rPr>
        <w:t>o</w:t>
      </w:r>
      <w:r w:rsidR="00AE5656">
        <w:rPr>
          <w:rFonts w:ascii="Arial" w:hAnsi="Arial" w:cs="Arial"/>
          <w:color w:val="000000"/>
          <w:sz w:val="24"/>
          <w:szCs w:val="24"/>
        </w:rPr>
        <w:t>rganisations</w:t>
      </w:r>
      <w:r w:rsidR="000620E7" w:rsidRPr="00E923BA">
        <w:rPr>
          <w:rFonts w:ascii="Arial" w:hAnsi="Arial" w:cs="Arial"/>
          <w:color w:val="000000"/>
          <w:sz w:val="24"/>
          <w:szCs w:val="24"/>
        </w:rPr>
        <w:t xml:space="preserve"> to inform the commissioning process to ensure it continues to meet local needs.</w:t>
      </w:r>
    </w:p>
    <w:bookmarkEnd w:id="7"/>
    <w:p w14:paraId="219C9E8E" w14:textId="77777777" w:rsidR="00543F4B" w:rsidRDefault="00543F4B" w:rsidP="009C1460">
      <w:pPr>
        <w:pStyle w:val="BodyText"/>
        <w:spacing w:before="1"/>
        <w:ind w:right="567"/>
        <w:jc w:val="both"/>
        <w:rPr>
          <w:b/>
          <w:bCs/>
        </w:rPr>
      </w:pPr>
    </w:p>
    <w:p w14:paraId="6CD3A01B" w14:textId="77777777" w:rsidR="00543F4B" w:rsidRDefault="00543F4B">
      <w:pPr>
        <w:rPr>
          <w:rFonts w:ascii="Arial" w:eastAsia="Arial" w:hAnsi="Arial" w:cs="Arial"/>
          <w:b/>
          <w:bCs/>
          <w:sz w:val="24"/>
          <w:szCs w:val="24"/>
          <w:lang w:eastAsia="en-GB" w:bidi="en-GB"/>
        </w:rPr>
      </w:pPr>
      <w:r>
        <w:rPr>
          <w:b/>
          <w:bCs/>
        </w:rPr>
        <w:br w:type="page"/>
      </w:r>
    </w:p>
    <w:p w14:paraId="2BB8FE3F" w14:textId="107B7F69" w:rsidR="00E722D4" w:rsidRPr="00E923BA" w:rsidRDefault="00E722D4" w:rsidP="009C1460">
      <w:pPr>
        <w:pStyle w:val="BodyText"/>
        <w:spacing w:before="1"/>
        <w:ind w:right="567"/>
        <w:jc w:val="both"/>
        <w:rPr>
          <w:b/>
          <w:bCs/>
        </w:rPr>
      </w:pPr>
      <w:r w:rsidRPr="00E923BA">
        <w:rPr>
          <w:b/>
          <w:bCs/>
        </w:rPr>
        <w:t>Procured Lots</w:t>
      </w:r>
    </w:p>
    <w:p w14:paraId="355F274B" w14:textId="77777777" w:rsidR="00E722D4" w:rsidRPr="00E923BA" w:rsidRDefault="00E722D4" w:rsidP="00E722D4">
      <w:pPr>
        <w:pStyle w:val="BodyText"/>
        <w:spacing w:before="1"/>
        <w:ind w:left="357" w:right="567"/>
        <w:jc w:val="both"/>
      </w:pPr>
    </w:p>
    <w:p w14:paraId="717E3342" w14:textId="41674EBC" w:rsidR="00507194" w:rsidRPr="00543F4B" w:rsidRDefault="00507194" w:rsidP="00543F4B">
      <w:pPr>
        <w:pStyle w:val="ListParagraph"/>
        <w:numPr>
          <w:ilvl w:val="0"/>
          <w:numId w:val="2"/>
        </w:numPr>
        <w:autoSpaceDE w:val="0"/>
        <w:autoSpaceDN w:val="0"/>
        <w:adjustRightInd w:val="0"/>
        <w:spacing w:after="0" w:line="240" w:lineRule="auto"/>
        <w:rPr>
          <w:rFonts w:ascii="Arial" w:hAnsi="Arial" w:cs="Arial"/>
          <w:sz w:val="24"/>
          <w:szCs w:val="24"/>
        </w:rPr>
      </w:pPr>
      <w:r w:rsidRPr="00543F4B">
        <w:rPr>
          <w:rFonts w:ascii="Arial" w:hAnsi="Arial" w:cs="Arial"/>
          <w:sz w:val="24"/>
          <w:szCs w:val="24"/>
        </w:rPr>
        <w:t>NTCA is starting to focus on the specific skills requirements of NTCA residents and businesses</w:t>
      </w:r>
      <w:r w:rsidR="00953787">
        <w:rPr>
          <w:rFonts w:ascii="Arial" w:hAnsi="Arial" w:cs="Arial"/>
          <w:sz w:val="24"/>
          <w:szCs w:val="24"/>
        </w:rPr>
        <w:t xml:space="preserve"> </w:t>
      </w:r>
      <w:r w:rsidRPr="00543F4B">
        <w:rPr>
          <w:rFonts w:ascii="Arial" w:hAnsi="Arial" w:cs="Arial"/>
          <w:sz w:val="24"/>
          <w:szCs w:val="24"/>
        </w:rPr>
        <w:t>to deliver the step change needed to deliver economic growth</w:t>
      </w:r>
      <w:r w:rsidR="00953787">
        <w:rPr>
          <w:rFonts w:ascii="Arial" w:hAnsi="Arial" w:cs="Arial"/>
          <w:sz w:val="24"/>
          <w:szCs w:val="24"/>
        </w:rPr>
        <w:t xml:space="preserve">.  Therefore, </w:t>
      </w:r>
      <w:r w:rsidRPr="00543F4B">
        <w:rPr>
          <w:rFonts w:ascii="Arial" w:hAnsi="Arial" w:cs="Arial"/>
          <w:sz w:val="24"/>
          <w:szCs w:val="24"/>
        </w:rPr>
        <w:t xml:space="preserve">the </w:t>
      </w:r>
      <w:r w:rsidR="00953787">
        <w:rPr>
          <w:rFonts w:ascii="Arial" w:hAnsi="Arial" w:cs="Arial"/>
          <w:sz w:val="24"/>
          <w:szCs w:val="24"/>
        </w:rPr>
        <w:t>p</w:t>
      </w:r>
      <w:r w:rsidR="00A1752C" w:rsidRPr="00543F4B">
        <w:rPr>
          <w:rFonts w:ascii="Arial" w:hAnsi="Arial" w:cs="Arial"/>
          <w:sz w:val="24"/>
          <w:szCs w:val="24"/>
        </w:rPr>
        <w:t xml:space="preserve">rocured activity </w:t>
      </w:r>
      <w:r w:rsidRPr="00543F4B">
        <w:rPr>
          <w:rFonts w:ascii="Arial" w:hAnsi="Arial" w:cs="Arial"/>
          <w:sz w:val="24"/>
          <w:szCs w:val="24"/>
        </w:rPr>
        <w:t xml:space="preserve">has been </w:t>
      </w:r>
      <w:r w:rsidR="00A1752C" w:rsidRPr="00543F4B">
        <w:rPr>
          <w:rFonts w:ascii="Arial" w:hAnsi="Arial" w:cs="Arial"/>
          <w:sz w:val="24"/>
          <w:szCs w:val="24"/>
        </w:rPr>
        <w:t xml:space="preserve">split into </w:t>
      </w:r>
      <w:r w:rsidR="00B4721B" w:rsidRPr="00543F4B">
        <w:rPr>
          <w:rFonts w:ascii="Arial" w:hAnsi="Arial" w:cs="Arial"/>
          <w:sz w:val="24"/>
          <w:szCs w:val="24"/>
        </w:rPr>
        <w:t xml:space="preserve">3 </w:t>
      </w:r>
      <w:r w:rsidR="00A1752C" w:rsidRPr="00543F4B">
        <w:rPr>
          <w:rFonts w:ascii="Arial" w:hAnsi="Arial" w:cs="Arial"/>
          <w:sz w:val="24"/>
          <w:szCs w:val="24"/>
        </w:rPr>
        <w:t>Lots</w:t>
      </w:r>
      <w:r w:rsidRPr="00543F4B">
        <w:rPr>
          <w:rFonts w:ascii="Arial" w:hAnsi="Arial" w:cs="Arial"/>
          <w:sz w:val="24"/>
          <w:szCs w:val="24"/>
        </w:rPr>
        <w:t>:</w:t>
      </w:r>
    </w:p>
    <w:p w14:paraId="2F9A1324" w14:textId="77777777" w:rsidR="00B377C9" w:rsidRDefault="00B377C9" w:rsidP="00ED095F">
      <w:pPr>
        <w:pStyle w:val="BodyText"/>
        <w:spacing w:before="1"/>
        <w:ind w:left="360" w:right="567"/>
      </w:pPr>
    </w:p>
    <w:p w14:paraId="680608DF" w14:textId="76753CD6" w:rsidR="00507194" w:rsidRDefault="00507194" w:rsidP="00953787">
      <w:pPr>
        <w:pStyle w:val="BodyText"/>
        <w:numPr>
          <w:ilvl w:val="0"/>
          <w:numId w:val="35"/>
        </w:numPr>
        <w:spacing w:before="1"/>
        <w:ind w:right="567"/>
      </w:pPr>
      <w:r>
        <w:t>Lot 1 for the unemployed</w:t>
      </w:r>
      <w:r w:rsidR="000D3750">
        <w:t>.</w:t>
      </w:r>
    </w:p>
    <w:p w14:paraId="097A6367" w14:textId="0AABE7EA" w:rsidR="00507194" w:rsidRDefault="00507194" w:rsidP="00953787">
      <w:pPr>
        <w:pStyle w:val="BodyText"/>
        <w:numPr>
          <w:ilvl w:val="0"/>
          <w:numId w:val="35"/>
        </w:numPr>
        <w:spacing w:before="1"/>
        <w:ind w:right="567"/>
      </w:pPr>
      <w:r>
        <w:t>Lot 2 for the employed</w:t>
      </w:r>
      <w:r w:rsidR="000D3750">
        <w:t>.</w:t>
      </w:r>
    </w:p>
    <w:p w14:paraId="6088FC1E" w14:textId="7FECAD62" w:rsidR="00507194" w:rsidRDefault="00507194" w:rsidP="00953787">
      <w:pPr>
        <w:pStyle w:val="BodyText"/>
        <w:numPr>
          <w:ilvl w:val="0"/>
          <w:numId w:val="35"/>
        </w:numPr>
        <w:spacing w:before="1"/>
        <w:ind w:right="567"/>
      </w:pPr>
      <w:r>
        <w:t xml:space="preserve">Lot 3 </w:t>
      </w:r>
      <w:r w:rsidR="00543F4B">
        <w:t>innovation</w:t>
      </w:r>
      <w:r w:rsidR="000D3750">
        <w:t>.</w:t>
      </w:r>
    </w:p>
    <w:p w14:paraId="2B140A0D" w14:textId="6E63D7BC" w:rsidR="00507194" w:rsidRDefault="00507194" w:rsidP="00ED095F">
      <w:pPr>
        <w:pStyle w:val="BodyText"/>
        <w:spacing w:before="1"/>
        <w:ind w:left="502" w:right="567"/>
      </w:pPr>
    </w:p>
    <w:p w14:paraId="3C1AA4F2" w14:textId="55802754" w:rsidR="00543F4B" w:rsidRPr="00543F4B" w:rsidRDefault="00F04F1C" w:rsidP="00543F4B">
      <w:pPr>
        <w:pStyle w:val="ListParagraph"/>
        <w:numPr>
          <w:ilvl w:val="0"/>
          <w:numId w:val="2"/>
        </w:numPr>
        <w:autoSpaceDE w:val="0"/>
        <w:autoSpaceDN w:val="0"/>
        <w:adjustRightInd w:val="0"/>
        <w:spacing w:after="0" w:line="240" w:lineRule="auto"/>
        <w:rPr>
          <w:rFonts w:ascii="Arial" w:hAnsi="Arial" w:cs="Arial"/>
          <w:sz w:val="24"/>
          <w:szCs w:val="24"/>
        </w:rPr>
      </w:pPr>
      <w:r w:rsidRPr="00543F4B">
        <w:rPr>
          <w:rFonts w:ascii="Arial" w:hAnsi="Arial" w:cs="Arial"/>
          <w:sz w:val="24"/>
          <w:szCs w:val="24"/>
        </w:rPr>
        <w:t>O</w:t>
      </w:r>
      <w:r w:rsidR="00AE5656" w:rsidRPr="00543F4B">
        <w:rPr>
          <w:rFonts w:ascii="Arial" w:hAnsi="Arial" w:cs="Arial"/>
          <w:sz w:val="24"/>
          <w:szCs w:val="24"/>
        </w:rPr>
        <w:t>rganisations</w:t>
      </w:r>
      <w:r w:rsidR="00A1752C" w:rsidRPr="00543F4B">
        <w:rPr>
          <w:rFonts w:ascii="Arial" w:hAnsi="Arial" w:cs="Arial"/>
          <w:sz w:val="24"/>
          <w:szCs w:val="24"/>
        </w:rPr>
        <w:t xml:space="preserve"> can choose which Lot they want to bid into and can bid for </w:t>
      </w:r>
      <w:r w:rsidR="006C2C2A" w:rsidRPr="00543F4B">
        <w:rPr>
          <w:rFonts w:ascii="Arial" w:hAnsi="Arial" w:cs="Arial"/>
          <w:sz w:val="24"/>
          <w:szCs w:val="24"/>
        </w:rPr>
        <w:t xml:space="preserve">more than one </w:t>
      </w:r>
      <w:r w:rsidR="00A1752C" w:rsidRPr="00543F4B">
        <w:rPr>
          <w:rFonts w:ascii="Arial" w:hAnsi="Arial" w:cs="Arial"/>
          <w:sz w:val="24"/>
          <w:szCs w:val="24"/>
        </w:rPr>
        <w:t>Lot</w:t>
      </w:r>
      <w:r w:rsidR="00543F4B">
        <w:rPr>
          <w:rFonts w:ascii="Arial" w:hAnsi="Arial" w:cs="Arial"/>
          <w:sz w:val="24"/>
          <w:szCs w:val="24"/>
        </w:rPr>
        <w:t>.</w:t>
      </w:r>
      <w:r w:rsidR="00A1752C" w:rsidRPr="00543F4B">
        <w:rPr>
          <w:rFonts w:ascii="Arial" w:hAnsi="Arial" w:cs="Arial"/>
          <w:sz w:val="24"/>
          <w:szCs w:val="24"/>
        </w:rPr>
        <w:t xml:space="preserve"> </w:t>
      </w:r>
      <w:r w:rsidR="00AE5656" w:rsidRPr="00543F4B">
        <w:rPr>
          <w:rFonts w:ascii="Arial" w:hAnsi="Arial" w:cs="Arial"/>
          <w:sz w:val="24"/>
          <w:szCs w:val="24"/>
        </w:rPr>
        <w:t>Organisations</w:t>
      </w:r>
      <w:r w:rsidR="00D85730" w:rsidRPr="00543F4B">
        <w:rPr>
          <w:rFonts w:ascii="Arial" w:hAnsi="Arial" w:cs="Arial"/>
          <w:sz w:val="24"/>
          <w:szCs w:val="24"/>
        </w:rPr>
        <w:t xml:space="preserve"> must be able </w:t>
      </w:r>
      <w:r w:rsidR="00A1752C" w:rsidRPr="00543F4B">
        <w:rPr>
          <w:rFonts w:ascii="Arial" w:hAnsi="Arial" w:cs="Arial"/>
          <w:sz w:val="24"/>
          <w:szCs w:val="24"/>
        </w:rPr>
        <w:t xml:space="preserve">to demonstrate the financial capacity and capability to deliver the total value of the Lot(s) they bid for. </w:t>
      </w:r>
    </w:p>
    <w:p w14:paraId="7E4E0AC8" w14:textId="77777777" w:rsidR="00543F4B" w:rsidRPr="00543F4B" w:rsidRDefault="00543F4B" w:rsidP="00543F4B">
      <w:pPr>
        <w:pStyle w:val="ListParagraph"/>
        <w:autoSpaceDE w:val="0"/>
        <w:autoSpaceDN w:val="0"/>
        <w:adjustRightInd w:val="0"/>
        <w:spacing w:after="0" w:line="240" w:lineRule="auto"/>
        <w:ind w:left="360"/>
        <w:rPr>
          <w:rFonts w:ascii="Arial" w:hAnsi="Arial" w:cs="Arial"/>
          <w:sz w:val="24"/>
          <w:szCs w:val="24"/>
        </w:rPr>
      </w:pPr>
    </w:p>
    <w:p w14:paraId="768037D2" w14:textId="13B3A71D" w:rsidR="00A1752C" w:rsidRPr="00543F4B" w:rsidRDefault="00F04F1C" w:rsidP="00543F4B">
      <w:pPr>
        <w:pStyle w:val="ListParagraph"/>
        <w:numPr>
          <w:ilvl w:val="0"/>
          <w:numId w:val="2"/>
        </w:numPr>
        <w:autoSpaceDE w:val="0"/>
        <w:autoSpaceDN w:val="0"/>
        <w:adjustRightInd w:val="0"/>
        <w:spacing w:after="0" w:line="240" w:lineRule="auto"/>
        <w:rPr>
          <w:rFonts w:ascii="Arial" w:hAnsi="Arial" w:cs="Arial"/>
          <w:sz w:val="24"/>
          <w:szCs w:val="24"/>
        </w:rPr>
      </w:pPr>
      <w:r w:rsidRPr="00543F4B">
        <w:rPr>
          <w:rFonts w:ascii="Arial" w:hAnsi="Arial" w:cs="Arial"/>
          <w:sz w:val="24"/>
          <w:szCs w:val="24"/>
        </w:rPr>
        <w:t>O</w:t>
      </w:r>
      <w:r w:rsidR="00AE5656" w:rsidRPr="00543F4B">
        <w:rPr>
          <w:rFonts w:ascii="Arial" w:hAnsi="Arial" w:cs="Arial"/>
          <w:sz w:val="24"/>
          <w:szCs w:val="24"/>
        </w:rPr>
        <w:t>rganisations</w:t>
      </w:r>
      <w:r w:rsidR="004148B9" w:rsidRPr="00543F4B">
        <w:rPr>
          <w:rFonts w:ascii="Arial" w:hAnsi="Arial" w:cs="Arial"/>
          <w:sz w:val="24"/>
          <w:szCs w:val="24"/>
        </w:rPr>
        <w:t xml:space="preserve"> are only required to submit a single tender, but they must complete each of the individual scored questions relating to each Lot they are bidding for. </w:t>
      </w:r>
    </w:p>
    <w:p w14:paraId="689D3D9C" w14:textId="77777777" w:rsidR="006C2C2A" w:rsidRPr="00543F4B" w:rsidRDefault="006C2C2A" w:rsidP="00ED095F">
      <w:pPr>
        <w:pStyle w:val="BodyText"/>
        <w:spacing w:before="1"/>
        <w:ind w:left="357" w:right="567"/>
      </w:pPr>
    </w:p>
    <w:p w14:paraId="1948B1E1" w14:textId="6A48EA9D" w:rsidR="006C2C2A" w:rsidRPr="00424DA4" w:rsidRDefault="00A1752C" w:rsidP="00424DA4">
      <w:pPr>
        <w:pStyle w:val="ListParagraph"/>
        <w:numPr>
          <w:ilvl w:val="0"/>
          <w:numId w:val="2"/>
        </w:numPr>
        <w:autoSpaceDE w:val="0"/>
        <w:autoSpaceDN w:val="0"/>
        <w:adjustRightInd w:val="0"/>
        <w:spacing w:after="0" w:line="240" w:lineRule="auto"/>
      </w:pPr>
      <w:r w:rsidRPr="00424DA4">
        <w:rPr>
          <w:rFonts w:ascii="Arial" w:hAnsi="Arial" w:cs="Arial"/>
          <w:sz w:val="24"/>
          <w:szCs w:val="24"/>
        </w:rPr>
        <w:t xml:space="preserve">For </w:t>
      </w:r>
      <w:r w:rsidR="00D85730" w:rsidRPr="00424DA4">
        <w:rPr>
          <w:rFonts w:ascii="Arial" w:hAnsi="Arial" w:cs="Arial"/>
          <w:sz w:val="24"/>
          <w:szCs w:val="24"/>
        </w:rPr>
        <w:t xml:space="preserve">each </w:t>
      </w:r>
      <w:r w:rsidRPr="00424DA4">
        <w:rPr>
          <w:rFonts w:ascii="Arial" w:hAnsi="Arial" w:cs="Arial"/>
          <w:sz w:val="24"/>
          <w:szCs w:val="24"/>
        </w:rPr>
        <w:t>Lot</w:t>
      </w:r>
      <w:r w:rsidR="00953787">
        <w:rPr>
          <w:rFonts w:ascii="Arial" w:hAnsi="Arial" w:cs="Arial"/>
          <w:sz w:val="24"/>
          <w:szCs w:val="24"/>
        </w:rPr>
        <w:t>,</w:t>
      </w:r>
      <w:r w:rsidR="00424DA4" w:rsidRPr="00424DA4">
        <w:rPr>
          <w:rFonts w:ascii="Arial" w:hAnsi="Arial" w:cs="Arial"/>
          <w:sz w:val="24"/>
          <w:szCs w:val="24"/>
        </w:rPr>
        <w:t xml:space="preserve"> </w:t>
      </w:r>
      <w:r w:rsidR="00F04F1C" w:rsidRPr="00424DA4">
        <w:rPr>
          <w:rFonts w:ascii="Arial" w:hAnsi="Arial" w:cs="Arial"/>
          <w:sz w:val="24"/>
          <w:szCs w:val="24"/>
        </w:rPr>
        <w:t>o</w:t>
      </w:r>
      <w:r w:rsidR="00AE5656" w:rsidRPr="00424DA4">
        <w:rPr>
          <w:rFonts w:ascii="Arial" w:hAnsi="Arial" w:cs="Arial"/>
          <w:sz w:val="24"/>
          <w:szCs w:val="24"/>
        </w:rPr>
        <w:t>rganisations</w:t>
      </w:r>
      <w:r w:rsidRPr="00424DA4">
        <w:rPr>
          <w:rFonts w:ascii="Arial" w:hAnsi="Arial" w:cs="Arial"/>
          <w:sz w:val="24"/>
          <w:szCs w:val="24"/>
        </w:rPr>
        <w:t xml:space="preserve"> will be expected to outline the anticipated number of </w:t>
      </w:r>
      <w:r w:rsidR="00F85263" w:rsidRPr="00424DA4">
        <w:rPr>
          <w:rFonts w:ascii="Arial" w:hAnsi="Arial" w:cs="Arial"/>
          <w:sz w:val="24"/>
          <w:szCs w:val="24"/>
        </w:rPr>
        <w:t>resident</w:t>
      </w:r>
      <w:r w:rsidRPr="00424DA4">
        <w:rPr>
          <w:rFonts w:ascii="Arial" w:hAnsi="Arial" w:cs="Arial"/>
          <w:sz w:val="24"/>
          <w:szCs w:val="24"/>
        </w:rPr>
        <w:t xml:space="preserve">s and expected outcomes. </w:t>
      </w:r>
      <w:r w:rsidR="00AE5656" w:rsidRPr="00424DA4">
        <w:rPr>
          <w:rFonts w:ascii="Arial" w:hAnsi="Arial" w:cs="Arial"/>
          <w:sz w:val="24"/>
          <w:szCs w:val="24"/>
        </w:rPr>
        <w:t>Organisations</w:t>
      </w:r>
      <w:r w:rsidRPr="00424DA4">
        <w:rPr>
          <w:rFonts w:ascii="Arial" w:hAnsi="Arial" w:cs="Arial"/>
          <w:sz w:val="24"/>
          <w:szCs w:val="24"/>
        </w:rPr>
        <w:t xml:space="preserve"> should also outline how they will work with employers and link provision to local economic need</w:t>
      </w:r>
      <w:r w:rsidR="00424DA4" w:rsidRPr="00424DA4">
        <w:rPr>
          <w:rFonts w:ascii="Arial" w:hAnsi="Arial" w:cs="Arial"/>
          <w:sz w:val="24"/>
          <w:szCs w:val="24"/>
        </w:rPr>
        <w:t xml:space="preserve">. </w:t>
      </w:r>
      <w:r w:rsidRPr="00424DA4">
        <w:rPr>
          <w:rFonts w:ascii="Arial" w:hAnsi="Arial" w:cs="Arial"/>
          <w:sz w:val="24"/>
          <w:szCs w:val="24"/>
        </w:rPr>
        <w:t xml:space="preserve"> </w:t>
      </w:r>
    </w:p>
    <w:p w14:paraId="6DFE3156" w14:textId="77777777" w:rsidR="00424DA4" w:rsidRDefault="00424DA4" w:rsidP="00424DA4">
      <w:pPr>
        <w:pStyle w:val="ListParagraph"/>
      </w:pPr>
    </w:p>
    <w:p w14:paraId="03C2F92C" w14:textId="77777777" w:rsidR="00E93B0D" w:rsidRPr="00E923BA" w:rsidRDefault="00E93B0D" w:rsidP="00ED095F">
      <w:pPr>
        <w:pStyle w:val="BodyText"/>
        <w:spacing w:before="1"/>
        <w:ind w:left="357" w:right="567"/>
      </w:pPr>
    </w:p>
    <w:p w14:paraId="33E66D9F" w14:textId="093FBF98" w:rsidR="00D85730" w:rsidRPr="00424DA4" w:rsidRDefault="00E93B0D" w:rsidP="00424DA4">
      <w:pPr>
        <w:pStyle w:val="ListParagraph"/>
        <w:numPr>
          <w:ilvl w:val="0"/>
          <w:numId w:val="2"/>
        </w:numPr>
        <w:autoSpaceDE w:val="0"/>
        <w:autoSpaceDN w:val="0"/>
        <w:adjustRightInd w:val="0"/>
        <w:spacing w:after="0" w:line="240" w:lineRule="auto"/>
        <w:rPr>
          <w:rFonts w:ascii="Arial" w:hAnsi="Arial" w:cs="Arial"/>
          <w:sz w:val="24"/>
          <w:szCs w:val="24"/>
        </w:rPr>
      </w:pPr>
      <w:r w:rsidRPr="00424DA4">
        <w:rPr>
          <w:rFonts w:ascii="Arial" w:hAnsi="Arial" w:cs="Arial"/>
          <w:sz w:val="24"/>
          <w:szCs w:val="24"/>
        </w:rPr>
        <w:t xml:space="preserve">Contracts awarded </w:t>
      </w:r>
      <w:r w:rsidR="000620E7" w:rsidRPr="00424DA4">
        <w:rPr>
          <w:rFonts w:ascii="Arial" w:hAnsi="Arial" w:cs="Arial"/>
          <w:sz w:val="24"/>
          <w:szCs w:val="24"/>
        </w:rPr>
        <w:t xml:space="preserve">as a result of this procurement </w:t>
      </w:r>
      <w:r w:rsidR="00230D01" w:rsidRPr="00424DA4">
        <w:rPr>
          <w:rFonts w:ascii="Arial" w:hAnsi="Arial" w:cs="Arial"/>
          <w:sz w:val="24"/>
          <w:szCs w:val="24"/>
        </w:rPr>
        <w:t>process</w:t>
      </w:r>
      <w:r w:rsidR="000620E7" w:rsidRPr="00424DA4">
        <w:rPr>
          <w:rFonts w:ascii="Arial" w:hAnsi="Arial" w:cs="Arial"/>
          <w:sz w:val="24"/>
          <w:szCs w:val="24"/>
        </w:rPr>
        <w:t xml:space="preserve"> can only be used to support NTCA residents and to deliver provision as set out in the NTCA Funding and Performance Management Rules (FPMR), a draft of which has been issued as part of this ITT</w:t>
      </w:r>
      <w:r w:rsidR="000D2EF2" w:rsidRPr="00424DA4">
        <w:rPr>
          <w:rFonts w:ascii="Arial" w:hAnsi="Arial" w:cs="Arial"/>
          <w:sz w:val="24"/>
          <w:szCs w:val="24"/>
        </w:rPr>
        <w:t>.</w:t>
      </w:r>
      <w:r w:rsidR="000620E7" w:rsidRPr="00424DA4">
        <w:rPr>
          <w:rFonts w:ascii="Arial" w:hAnsi="Arial" w:cs="Arial"/>
          <w:sz w:val="24"/>
          <w:szCs w:val="24"/>
        </w:rPr>
        <w:t xml:space="preserve"> It is important that </w:t>
      </w:r>
      <w:r w:rsidR="00F04F1C" w:rsidRPr="00424DA4">
        <w:rPr>
          <w:rFonts w:ascii="Arial" w:hAnsi="Arial" w:cs="Arial"/>
          <w:sz w:val="24"/>
          <w:szCs w:val="24"/>
        </w:rPr>
        <w:t>o</w:t>
      </w:r>
      <w:r w:rsidR="00AE5656" w:rsidRPr="00424DA4">
        <w:rPr>
          <w:rFonts w:ascii="Arial" w:hAnsi="Arial" w:cs="Arial"/>
          <w:sz w:val="24"/>
          <w:szCs w:val="24"/>
        </w:rPr>
        <w:t>rganisations</w:t>
      </w:r>
      <w:r w:rsidR="000620E7" w:rsidRPr="00424DA4">
        <w:rPr>
          <w:rFonts w:ascii="Arial" w:hAnsi="Arial" w:cs="Arial"/>
          <w:sz w:val="24"/>
          <w:szCs w:val="24"/>
        </w:rPr>
        <w:t xml:space="preserve"> read and understand the FPMR as well as all the other supporting documentation published before submitting a tender proposal</w:t>
      </w:r>
      <w:r w:rsidR="00230D01" w:rsidRPr="00424DA4">
        <w:rPr>
          <w:rFonts w:ascii="Arial" w:hAnsi="Arial" w:cs="Arial"/>
          <w:sz w:val="24"/>
          <w:szCs w:val="24"/>
        </w:rPr>
        <w:t xml:space="preserve">. </w:t>
      </w:r>
    </w:p>
    <w:p w14:paraId="0ADFD526" w14:textId="77777777" w:rsidR="00E923BA" w:rsidRPr="00424DA4" w:rsidRDefault="00E923BA" w:rsidP="00E923BA">
      <w:pPr>
        <w:pStyle w:val="ListParagraph"/>
        <w:rPr>
          <w:rFonts w:ascii="Arial" w:hAnsi="Arial" w:cs="Arial"/>
          <w:sz w:val="24"/>
          <w:szCs w:val="24"/>
        </w:rPr>
      </w:pPr>
    </w:p>
    <w:p w14:paraId="5C718A9F" w14:textId="77777777" w:rsidR="00E923BA" w:rsidRPr="00E923BA" w:rsidRDefault="00E923BA" w:rsidP="00E923BA">
      <w:pPr>
        <w:pStyle w:val="BodyText"/>
        <w:spacing w:before="1"/>
        <w:ind w:left="357" w:right="567"/>
        <w:jc w:val="both"/>
      </w:pPr>
    </w:p>
    <w:tbl>
      <w:tblPr>
        <w:tblStyle w:val="TableGrid"/>
        <w:tblW w:w="9918" w:type="dxa"/>
        <w:jc w:val="center"/>
        <w:tblLook w:val="04A0" w:firstRow="1" w:lastRow="0" w:firstColumn="1" w:lastColumn="0" w:noHBand="0" w:noVBand="1"/>
      </w:tblPr>
      <w:tblGrid>
        <w:gridCol w:w="9918"/>
      </w:tblGrid>
      <w:tr w:rsidR="0070283C" w:rsidRPr="00E923BA" w14:paraId="30147108" w14:textId="77777777" w:rsidTr="00A80E5B">
        <w:trPr>
          <w:trHeight w:val="8501"/>
          <w:jc w:val="center"/>
        </w:trPr>
        <w:tc>
          <w:tcPr>
            <w:tcW w:w="9918" w:type="dxa"/>
            <w:shd w:val="clear" w:color="auto" w:fill="BDD6EE" w:themeFill="accent1" w:themeFillTint="66"/>
          </w:tcPr>
          <w:p w14:paraId="079C0ADC" w14:textId="46164127" w:rsidR="0070283C" w:rsidRPr="00E923BA" w:rsidRDefault="0070283C" w:rsidP="00EF04C8">
            <w:pPr>
              <w:pStyle w:val="Default"/>
              <w:spacing w:beforeLines="120" w:before="288" w:afterLines="120" w:after="288"/>
              <w:jc w:val="both"/>
              <w:rPr>
                <w:b/>
                <w:sz w:val="20"/>
                <w:szCs w:val="20"/>
              </w:rPr>
            </w:pPr>
            <w:r w:rsidRPr="00E923BA">
              <w:rPr>
                <w:b/>
                <w:sz w:val="20"/>
                <w:szCs w:val="20"/>
              </w:rPr>
              <w:t xml:space="preserve">Lot 1 – </w:t>
            </w:r>
            <w:r w:rsidR="0040623A" w:rsidRPr="00E923BA">
              <w:rPr>
                <w:b/>
                <w:sz w:val="20"/>
                <w:szCs w:val="20"/>
              </w:rPr>
              <w:t>Unemployed</w:t>
            </w:r>
          </w:p>
          <w:p w14:paraId="2EC50D04" w14:textId="4EA4DF2B" w:rsidR="0040623A" w:rsidRPr="00E923BA" w:rsidRDefault="0040623A" w:rsidP="00EF04C8">
            <w:pPr>
              <w:pStyle w:val="Default"/>
              <w:spacing w:beforeLines="120" w:before="288" w:afterLines="120" w:after="288"/>
              <w:jc w:val="both"/>
              <w:rPr>
                <w:sz w:val="20"/>
                <w:szCs w:val="20"/>
              </w:rPr>
            </w:pPr>
            <w:r w:rsidRPr="00E923BA">
              <w:rPr>
                <w:sz w:val="20"/>
                <w:szCs w:val="20"/>
              </w:rPr>
              <w:t>The provision should be accessible to key target groups e.g. 19-24 NEETs,</w:t>
            </w:r>
            <w:r w:rsidR="004A5EF5" w:rsidRPr="00E923BA">
              <w:rPr>
                <w:sz w:val="20"/>
                <w:szCs w:val="20"/>
              </w:rPr>
              <w:t xml:space="preserve"> over 50 year </w:t>
            </w:r>
            <w:proofErr w:type="spellStart"/>
            <w:r w:rsidR="004A5EF5" w:rsidRPr="00E923BA">
              <w:rPr>
                <w:sz w:val="20"/>
                <w:szCs w:val="20"/>
              </w:rPr>
              <w:t>olds</w:t>
            </w:r>
            <w:proofErr w:type="spellEnd"/>
            <w:r w:rsidR="004A5EF5" w:rsidRPr="00E923BA">
              <w:rPr>
                <w:sz w:val="20"/>
                <w:szCs w:val="20"/>
              </w:rPr>
              <w:t xml:space="preserve">, </w:t>
            </w:r>
            <w:r w:rsidRPr="00E923BA">
              <w:rPr>
                <w:sz w:val="20"/>
                <w:szCs w:val="20"/>
              </w:rPr>
              <w:t>the long-term unemployed and the economically inactive with significant barriers to work, such as physical or mental health conditions. This delivery should add value to, rather than duplicate</w:t>
            </w:r>
            <w:r w:rsidR="00F1115A" w:rsidRPr="00E923BA">
              <w:rPr>
                <w:sz w:val="20"/>
                <w:szCs w:val="20"/>
              </w:rPr>
              <w:t xml:space="preserve"> </w:t>
            </w:r>
            <w:r w:rsidRPr="00E923BA">
              <w:rPr>
                <w:sz w:val="20"/>
                <w:szCs w:val="20"/>
              </w:rPr>
              <w:t>other services targeting these</w:t>
            </w:r>
            <w:r w:rsidRPr="00E923BA">
              <w:rPr>
                <w:spacing w:val="-4"/>
                <w:sz w:val="20"/>
                <w:szCs w:val="20"/>
              </w:rPr>
              <w:t xml:space="preserve"> </w:t>
            </w:r>
            <w:r w:rsidRPr="00E923BA">
              <w:rPr>
                <w:sz w:val="20"/>
                <w:szCs w:val="20"/>
              </w:rPr>
              <w:t>cohorts.</w:t>
            </w:r>
          </w:p>
          <w:p w14:paraId="27A96EA5" w14:textId="5F1CF89D" w:rsidR="006174C4" w:rsidRPr="00E923BA" w:rsidRDefault="004F2457" w:rsidP="006174C4">
            <w:pPr>
              <w:pStyle w:val="BodyText"/>
              <w:spacing w:before="1"/>
              <w:ind w:right="567"/>
              <w:jc w:val="both"/>
              <w:rPr>
                <w:sz w:val="20"/>
                <w:szCs w:val="20"/>
              </w:rPr>
            </w:pPr>
            <w:r w:rsidRPr="00E923BA">
              <w:rPr>
                <w:sz w:val="20"/>
                <w:szCs w:val="20"/>
              </w:rPr>
              <w:t xml:space="preserve">The bid should </w:t>
            </w:r>
            <w:r w:rsidR="00D207F2" w:rsidRPr="00E923BA">
              <w:rPr>
                <w:sz w:val="20"/>
                <w:szCs w:val="20"/>
              </w:rPr>
              <w:t xml:space="preserve">include </w:t>
            </w:r>
            <w:r w:rsidRPr="00E923BA">
              <w:rPr>
                <w:sz w:val="20"/>
                <w:szCs w:val="20"/>
              </w:rPr>
              <w:t xml:space="preserve">access to skills from </w:t>
            </w:r>
            <w:r w:rsidR="00953787">
              <w:rPr>
                <w:sz w:val="20"/>
                <w:szCs w:val="20"/>
              </w:rPr>
              <w:t>E</w:t>
            </w:r>
            <w:r w:rsidRPr="00E923BA">
              <w:rPr>
                <w:sz w:val="20"/>
                <w:szCs w:val="20"/>
              </w:rPr>
              <w:t xml:space="preserve">ntry </w:t>
            </w:r>
            <w:r w:rsidR="00953787">
              <w:rPr>
                <w:sz w:val="20"/>
                <w:szCs w:val="20"/>
              </w:rPr>
              <w:t>L</w:t>
            </w:r>
            <w:r w:rsidRPr="00E923BA">
              <w:rPr>
                <w:sz w:val="20"/>
                <w:szCs w:val="20"/>
              </w:rPr>
              <w:t>evel up to Level 3</w:t>
            </w:r>
            <w:r w:rsidR="00F1115A" w:rsidRPr="00E923BA">
              <w:rPr>
                <w:sz w:val="20"/>
                <w:szCs w:val="20"/>
              </w:rPr>
              <w:t>. T</w:t>
            </w:r>
            <w:r w:rsidR="00DB46E4" w:rsidRPr="00E923BA">
              <w:rPr>
                <w:sz w:val="20"/>
                <w:szCs w:val="20"/>
              </w:rPr>
              <w:t xml:space="preserve">his </w:t>
            </w:r>
            <w:r w:rsidRPr="00E923BA">
              <w:rPr>
                <w:sz w:val="20"/>
                <w:szCs w:val="20"/>
              </w:rPr>
              <w:t xml:space="preserve">can include </w:t>
            </w:r>
            <w:r w:rsidR="0040623A" w:rsidRPr="00E923BA">
              <w:rPr>
                <w:sz w:val="20"/>
                <w:szCs w:val="20"/>
              </w:rPr>
              <w:t>l</w:t>
            </w:r>
            <w:r w:rsidRPr="00E923BA">
              <w:rPr>
                <w:sz w:val="20"/>
                <w:szCs w:val="20"/>
              </w:rPr>
              <w:t xml:space="preserve">egal entitlements; </w:t>
            </w:r>
            <w:r w:rsidR="00DB3CF1" w:rsidRPr="00E923BA">
              <w:rPr>
                <w:sz w:val="20"/>
                <w:szCs w:val="20"/>
              </w:rPr>
              <w:t>stat</w:t>
            </w:r>
            <w:r w:rsidR="00B9342E" w:rsidRPr="00E923BA">
              <w:rPr>
                <w:sz w:val="20"/>
                <w:szCs w:val="20"/>
              </w:rPr>
              <w:t xml:space="preserve">utory English, </w:t>
            </w:r>
            <w:proofErr w:type="spellStart"/>
            <w:r w:rsidR="00B9342E" w:rsidRPr="00E923BA">
              <w:rPr>
                <w:sz w:val="20"/>
                <w:szCs w:val="20"/>
              </w:rPr>
              <w:t>maths</w:t>
            </w:r>
            <w:proofErr w:type="spellEnd"/>
            <w:r w:rsidR="00B9342E" w:rsidRPr="00E923BA">
              <w:rPr>
                <w:sz w:val="20"/>
                <w:szCs w:val="20"/>
              </w:rPr>
              <w:t xml:space="preserve"> and digital provision </w:t>
            </w:r>
            <w:r w:rsidRPr="00E923BA">
              <w:rPr>
                <w:sz w:val="20"/>
                <w:szCs w:val="20"/>
              </w:rPr>
              <w:t xml:space="preserve">and </w:t>
            </w:r>
            <w:r w:rsidR="006174C4" w:rsidRPr="00E923BA">
              <w:rPr>
                <w:sz w:val="20"/>
                <w:szCs w:val="20"/>
              </w:rPr>
              <w:t>l</w:t>
            </w:r>
            <w:r w:rsidRPr="00E923BA">
              <w:rPr>
                <w:sz w:val="20"/>
                <w:szCs w:val="20"/>
              </w:rPr>
              <w:t xml:space="preserve">earner support. </w:t>
            </w:r>
            <w:r w:rsidR="00E722D4" w:rsidRPr="00E923BA">
              <w:rPr>
                <w:sz w:val="20"/>
                <w:szCs w:val="20"/>
              </w:rPr>
              <w:t xml:space="preserve">This provision should focus on supporting </w:t>
            </w:r>
            <w:r w:rsidR="00A7192A" w:rsidRPr="00E923BA">
              <w:rPr>
                <w:sz w:val="20"/>
                <w:szCs w:val="20"/>
              </w:rPr>
              <w:t xml:space="preserve">residents to </w:t>
            </w:r>
            <w:r w:rsidRPr="00E923BA">
              <w:rPr>
                <w:sz w:val="20"/>
                <w:szCs w:val="20"/>
              </w:rPr>
              <w:t>re-engage, progress and achieve a successful sustainable outcome which could be further learning or employment</w:t>
            </w:r>
            <w:r w:rsidR="009D4A21" w:rsidRPr="00E923BA">
              <w:rPr>
                <w:sz w:val="20"/>
                <w:szCs w:val="20"/>
              </w:rPr>
              <w:t xml:space="preserve"> linked to job opportunities in the area.  </w:t>
            </w:r>
          </w:p>
          <w:p w14:paraId="44BE955B" w14:textId="77777777" w:rsidR="006174C4" w:rsidRPr="00E923BA" w:rsidRDefault="006174C4" w:rsidP="006174C4">
            <w:pPr>
              <w:pStyle w:val="BodyText"/>
              <w:spacing w:before="1"/>
              <w:ind w:right="567"/>
              <w:jc w:val="both"/>
              <w:rPr>
                <w:sz w:val="20"/>
                <w:szCs w:val="20"/>
              </w:rPr>
            </w:pPr>
          </w:p>
          <w:p w14:paraId="212960DC" w14:textId="11B93DD2" w:rsidR="00E06A64" w:rsidRDefault="00AE5656" w:rsidP="006174C4">
            <w:pPr>
              <w:pStyle w:val="BodyText"/>
              <w:spacing w:before="1"/>
              <w:ind w:right="567"/>
              <w:jc w:val="both"/>
              <w:rPr>
                <w:sz w:val="20"/>
                <w:szCs w:val="20"/>
              </w:rPr>
            </w:pPr>
            <w:r>
              <w:rPr>
                <w:sz w:val="20"/>
                <w:szCs w:val="20"/>
              </w:rPr>
              <w:t>Organisations</w:t>
            </w:r>
            <w:r w:rsidR="006174C4" w:rsidRPr="00E923BA">
              <w:rPr>
                <w:sz w:val="20"/>
                <w:szCs w:val="20"/>
              </w:rPr>
              <w:t xml:space="preserve"> should outline how they will work collaboratively with key stakeholder</w:t>
            </w:r>
            <w:r w:rsidR="001C054E" w:rsidRPr="00E923BA">
              <w:rPr>
                <w:sz w:val="20"/>
                <w:szCs w:val="20"/>
              </w:rPr>
              <w:t>s</w:t>
            </w:r>
            <w:r w:rsidR="006174C4" w:rsidRPr="00E923BA">
              <w:rPr>
                <w:sz w:val="20"/>
                <w:szCs w:val="20"/>
              </w:rPr>
              <w:t xml:space="preserve"> to secure better outcome</w:t>
            </w:r>
            <w:r w:rsidR="001C054E" w:rsidRPr="00E923BA">
              <w:rPr>
                <w:sz w:val="20"/>
                <w:szCs w:val="20"/>
              </w:rPr>
              <w:t>s</w:t>
            </w:r>
            <w:r w:rsidR="006174C4" w:rsidRPr="00E923BA">
              <w:rPr>
                <w:sz w:val="20"/>
                <w:szCs w:val="20"/>
              </w:rPr>
              <w:t xml:space="preserve"> </w:t>
            </w:r>
            <w:r w:rsidR="00C55A83">
              <w:rPr>
                <w:sz w:val="20"/>
                <w:szCs w:val="20"/>
              </w:rPr>
              <w:t xml:space="preserve">for residents.  </w:t>
            </w:r>
          </w:p>
          <w:p w14:paraId="7AB4B7CD" w14:textId="46DF3BF2" w:rsidR="006174C4" w:rsidRPr="00E923BA" w:rsidRDefault="00E06A64" w:rsidP="006174C4">
            <w:pPr>
              <w:pStyle w:val="BodyText"/>
              <w:spacing w:before="1"/>
              <w:ind w:right="567"/>
              <w:jc w:val="both"/>
              <w:rPr>
                <w:sz w:val="20"/>
                <w:szCs w:val="20"/>
              </w:rPr>
            </w:pPr>
            <w:r w:rsidRPr="00E923BA" w:rsidDel="00E06A64">
              <w:rPr>
                <w:sz w:val="20"/>
                <w:szCs w:val="20"/>
              </w:rPr>
              <w:t xml:space="preserve"> </w:t>
            </w:r>
          </w:p>
          <w:p w14:paraId="01A3E3C9" w14:textId="2C52EF4C" w:rsidR="00E722D4" w:rsidRPr="00E923BA" w:rsidRDefault="00464926" w:rsidP="00E06A64">
            <w:pPr>
              <w:pStyle w:val="BodyText"/>
              <w:spacing w:before="1"/>
              <w:ind w:right="567"/>
              <w:jc w:val="both"/>
              <w:rPr>
                <w:sz w:val="20"/>
                <w:szCs w:val="20"/>
              </w:rPr>
            </w:pPr>
            <w:r w:rsidRPr="00E923BA">
              <w:rPr>
                <w:sz w:val="20"/>
                <w:szCs w:val="20"/>
              </w:rPr>
              <w:t xml:space="preserve">The needs of this cohort can be complex and challenging, so provision could </w:t>
            </w:r>
            <w:r w:rsidR="002D7C4B" w:rsidRPr="00E923BA">
              <w:rPr>
                <w:sz w:val="20"/>
                <w:szCs w:val="20"/>
              </w:rPr>
              <w:t>include</w:t>
            </w:r>
            <w:r w:rsidRPr="00E923BA">
              <w:rPr>
                <w:sz w:val="20"/>
                <w:szCs w:val="20"/>
              </w:rPr>
              <w:t xml:space="preserve"> but is not limited to:</w:t>
            </w:r>
          </w:p>
          <w:p w14:paraId="76E4A77A" w14:textId="09F3BC95" w:rsidR="00464926" w:rsidRPr="00E923BA" w:rsidRDefault="00464926" w:rsidP="0034473B">
            <w:pPr>
              <w:pStyle w:val="Default"/>
              <w:numPr>
                <w:ilvl w:val="0"/>
                <w:numId w:val="10"/>
              </w:numPr>
              <w:spacing w:beforeLines="120" w:before="288" w:afterLines="120" w:after="288"/>
              <w:jc w:val="both"/>
              <w:rPr>
                <w:sz w:val="20"/>
                <w:szCs w:val="20"/>
              </w:rPr>
            </w:pPr>
            <w:r w:rsidRPr="00E923BA">
              <w:rPr>
                <w:sz w:val="20"/>
                <w:szCs w:val="20"/>
              </w:rPr>
              <w:t xml:space="preserve">A personal assessment based on their strengths, needs and career aspirations </w:t>
            </w:r>
          </w:p>
          <w:p w14:paraId="6ECE883E" w14:textId="1058C7CD" w:rsidR="00464926" w:rsidRPr="00E923BA" w:rsidRDefault="00464926" w:rsidP="0034473B">
            <w:pPr>
              <w:pStyle w:val="Default"/>
              <w:numPr>
                <w:ilvl w:val="0"/>
                <w:numId w:val="10"/>
              </w:numPr>
              <w:spacing w:beforeLines="120" w:before="288" w:afterLines="120" w:after="288"/>
              <w:jc w:val="both"/>
              <w:rPr>
                <w:sz w:val="20"/>
                <w:szCs w:val="20"/>
              </w:rPr>
            </w:pPr>
            <w:r w:rsidRPr="00E923BA">
              <w:rPr>
                <w:sz w:val="20"/>
                <w:szCs w:val="20"/>
              </w:rPr>
              <w:t>An agreed personal plan with agreed outcomes and clear progression measures</w:t>
            </w:r>
          </w:p>
          <w:p w14:paraId="3BDC3540" w14:textId="19DB2B3A" w:rsidR="00464926" w:rsidRPr="00E923BA" w:rsidRDefault="00314744" w:rsidP="0034473B">
            <w:pPr>
              <w:pStyle w:val="Default"/>
              <w:numPr>
                <w:ilvl w:val="0"/>
                <w:numId w:val="10"/>
              </w:numPr>
              <w:spacing w:beforeLines="120" w:before="288" w:afterLines="120" w:after="288"/>
              <w:jc w:val="both"/>
              <w:rPr>
                <w:sz w:val="20"/>
                <w:szCs w:val="20"/>
              </w:rPr>
            </w:pPr>
            <w:r w:rsidRPr="00E923BA">
              <w:rPr>
                <w:sz w:val="20"/>
                <w:szCs w:val="20"/>
              </w:rPr>
              <w:t>Flexible and accessible</w:t>
            </w:r>
            <w:r w:rsidR="00464926" w:rsidRPr="00E923BA">
              <w:rPr>
                <w:sz w:val="20"/>
                <w:szCs w:val="20"/>
              </w:rPr>
              <w:t xml:space="preserve"> </w:t>
            </w:r>
            <w:proofErr w:type="spellStart"/>
            <w:r w:rsidRPr="00E923BA">
              <w:rPr>
                <w:sz w:val="20"/>
                <w:szCs w:val="20"/>
              </w:rPr>
              <w:t>programmes</w:t>
            </w:r>
            <w:proofErr w:type="spellEnd"/>
          </w:p>
          <w:p w14:paraId="1BB304AA" w14:textId="5C9AFB34" w:rsidR="00464926" w:rsidRPr="00E923BA" w:rsidRDefault="00464926" w:rsidP="0034473B">
            <w:pPr>
              <w:pStyle w:val="Default"/>
              <w:numPr>
                <w:ilvl w:val="0"/>
                <w:numId w:val="10"/>
              </w:numPr>
              <w:spacing w:beforeLines="120" w:before="288" w:afterLines="120" w:after="288"/>
              <w:jc w:val="both"/>
              <w:rPr>
                <w:sz w:val="20"/>
                <w:szCs w:val="20"/>
              </w:rPr>
            </w:pPr>
            <w:r w:rsidRPr="00E923BA">
              <w:rPr>
                <w:sz w:val="20"/>
                <w:szCs w:val="20"/>
              </w:rPr>
              <w:t xml:space="preserve"> Access to a “single professional” who will advocate and challenge them</w:t>
            </w:r>
          </w:p>
          <w:p w14:paraId="6FAC48A5" w14:textId="265713A4" w:rsidR="00464926" w:rsidRPr="00E923BA" w:rsidRDefault="00464926" w:rsidP="0034473B">
            <w:pPr>
              <w:pStyle w:val="Default"/>
              <w:numPr>
                <w:ilvl w:val="0"/>
                <w:numId w:val="10"/>
              </w:numPr>
              <w:spacing w:beforeLines="120" w:before="288" w:afterLines="120" w:after="288"/>
              <w:jc w:val="both"/>
              <w:rPr>
                <w:sz w:val="20"/>
                <w:szCs w:val="20"/>
              </w:rPr>
            </w:pPr>
            <w:r w:rsidRPr="00E923BA">
              <w:rPr>
                <w:sz w:val="20"/>
                <w:szCs w:val="20"/>
              </w:rPr>
              <w:t>Assessing the need for any financial support to enable them to engage, continue in learning and achieve</w:t>
            </w:r>
          </w:p>
          <w:p w14:paraId="38FF2AA9" w14:textId="5275A820" w:rsidR="0070283C" w:rsidRPr="00E06A64" w:rsidRDefault="00464926" w:rsidP="0034473B">
            <w:pPr>
              <w:pStyle w:val="Default"/>
              <w:numPr>
                <w:ilvl w:val="0"/>
                <w:numId w:val="10"/>
              </w:numPr>
              <w:spacing w:beforeLines="120" w:before="288" w:afterLines="120" w:after="288"/>
              <w:jc w:val="both"/>
              <w:rPr>
                <w:sz w:val="20"/>
                <w:szCs w:val="20"/>
              </w:rPr>
            </w:pPr>
            <w:r w:rsidRPr="00E923BA">
              <w:rPr>
                <w:sz w:val="20"/>
                <w:szCs w:val="20"/>
              </w:rPr>
              <w:t xml:space="preserve">Strong networks which meet the needs of the </w:t>
            </w:r>
            <w:r w:rsidR="0040623A" w:rsidRPr="00E923BA">
              <w:rPr>
                <w:sz w:val="20"/>
                <w:szCs w:val="20"/>
              </w:rPr>
              <w:t>residents</w:t>
            </w:r>
            <w:r w:rsidRPr="00E923BA">
              <w:rPr>
                <w:sz w:val="20"/>
                <w:szCs w:val="20"/>
              </w:rPr>
              <w:t xml:space="preserve"> that could be work experience, housing, access to appropriate professionals e.g. mental health</w:t>
            </w:r>
          </w:p>
        </w:tc>
      </w:tr>
      <w:tr w:rsidR="00446E1E" w:rsidRPr="00E923BA" w14:paraId="63F4A3A2" w14:textId="77777777" w:rsidTr="00A80E5B">
        <w:trPr>
          <w:trHeight w:val="1550"/>
          <w:jc w:val="center"/>
        </w:trPr>
        <w:tc>
          <w:tcPr>
            <w:tcW w:w="9918" w:type="dxa"/>
            <w:shd w:val="clear" w:color="auto" w:fill="BDD6EE" w:themeFill="accent1" w:themeFillTint="66"/>
          </w:tcPr>
          <w:p w14:paraId="7F6A8B0B" w14:textId="2E4D3F56" w:rsidR="00446E1E" w:rsidRPr="00E923BA" w:rsidRDefault="00446E1E" w:rsidP="00446E1E">
            <w:pPr>
              <w:pStyle w:val="Default"/>
              <w:spacing w:beforeLines="120" w:before="288" w:afterLines="120" w:after="288"/>
              <w:rPr>
                <w:sz w:val="20"/>
                <w:szCs w:val="20"/>
              </w:rPr>
            </w:pPr>
            <w:r w:rsidRPr="00E923BA">
              <w:rPr>
                <w:sz w:val="20"/>
                <w:szCs w:val="20"/>
              </w:rPr>
              <w:t>Indicative Lot value: £2 million per year</w:t>
            </w:r>
          </w:p>
          <w:p w14:paraId="6483A1A7" w14:textId="63DE584E" w:rsidR="00ED243C" w:rsidRPr="00E923BA" w:rsidRDefault="00ED243C" w:rsidP="00ED243C">
            <w:pPr>
              <w:autoSpaceDE w:val="0"/>
              <w:autoSpaceDN w:val="0"/>
              <w:adjustRightInd w:val="0"/>
              <w:spacing w:beforeLines="120" w:before="288" w:afterLines="120" w:after="288"/>
              <w:rPr>
                <w:rFonts w:ascii="Arial" w:hAnsi="Arial" w:cs="Arial"/>
                <w:color w:val="000000"/>
                <w:sz w:val="20"/>
                <w:szCs w:val="20"/>
                <w:lang w:val="en-GB"/>
              </w:rPr>
            </w:pPr>
            <w:r w:rsidRPr="00E923BA">
              <w:rPr>
                <w:rFonts w:ascii="Arial" w:hAnsi="Arial" w:cs="Arial"/>
                <w:color w:val="000000"/>
                <w:sz w:val="20"/>
                <w:szCs w:val="20"/>
                <w:lang w:val="en-GB"/>
              </w:rPr>
              <w:t xml:space="preserve">Geography: No geographical requirement (but must </w:t>
            </w:r>
            <w:r w:rsidR="004F2088">
              <w:rPr>
                <w:rFonts w:ascii="Arial" w:hAnsi="Arial" w:cs="Arial"/>
                <w:color w:val="000000"/>
                <w:sz w:val="20"/>
                <w:szCs w:val="20"/>
                <w:lang w:val="en-GB"/>
              </w:rPr>
              <w:t>be accessible to all NTCA</w:t>
            </w:r>
            <w:r w:rsidRPr="00E923BA">
              <w:rPr>
                <w:rFonts w:ascii="Arial" w:hAnsi="Arial" w:cs="Arial"/>
                <w:color w:val="000000"/>
                <w:sz w:val="20"/>
                <w:szCs w:val="20"/>
                <w:lang w:val="en-GB"/>
              </w:rPr>
              <w:t xml:space="preserve"> residents) </w:t>
            </w:r>
          </w:p>
          <w:p w14:paraId="6FB727BA" w14:textId="77777777" w:rsidR="00446E1E" w:rsidRDefault="00446E1E" w:rsidP="00446E1E">
            <w:pPr>
              <w:pStyle w:val="Default"/>
              <w:spacing w:beforeLines="120" w:before="288" w:afterLines="120" w:after="288"/>
              <w:jc w:val="both"/>
              <w:rPr>
                <w:sz w:val="20"/>
                <w:szCs w:val="20"/>
              </w:rPr>
            </w:pPr>
            <w:r w:rsidRPr="00E923BA">
              <w:rPr>
                <w:sz w:val="20"/>
                <w:szCs w:val="20"/>
              </w:rPr>
              <w:t>Contract Values: Min £50,000 to max £500,000</w:t>
            </w:r>
          </w:p>
          <w:p w14:paraId="3DCC5C10" w14:textId="095D5472" w:rsidR="003F7B0A" w:rsidRPr="00E923BA" w:rsidRDefault="003F7B0A" w:rsidP="00446E1E">
            <w:pPr>
              <w:pStyle w:val="Default"/>
              <w:spacing w:beforeLines="120" w:before="288" w:afterLines="120" w:after="288"/>
              <w:jc w:val="both"/>
              <w:rPr>
                <w:b/>
                <w:sz w:val="20"/>
                <w:szCs w:val="20"/>
              </w:rPr>
            </w:pPr>
            <w:r>
              <w:rPr>
                <w:b/>
                <w:sz w:val="20"/>
                <w:szCs w:val="20"/>
              </w:rPr>
              <w:t>National Funding Rates Apply</w:t>
            </w:r>
          </w:p>
        </w:tc>
      </w:tr>
    </w:tbl>
    <w:p w14:paraId="14DC506D" w14:textId="51948DE1" w:rsidR="004E7743" w:rsidRDefault="004E7743">
      <w:pPr>
        <w:rPr>
          <w:rFonts w:ascii="Arial" w:hAnsi="Arial" w:cs="Arial"/>
          <w:b/>
          <w:color w:val="000000"/>
          <w:sz w:val="24"/>
          <w:szCs w:val="24"/>
        </w:rPr>
      </w:pPr>
    </w:p>
    <w:p w14:paraId="4B13DCA2" w14:textId="114E5276" w:rsidR="003F7B0A" w:rsidRDefault="003F7B0A">
      <w:pPr>
        <w:rPr>
          <w:rFonts w:ascii="Arial" w:hAnsi="Arial" w:cs="Arial"/>
          <w:b/>
          <w:color w:val="000000"/>
          <w:sz w:val="24"/>
          <w:szCs w:val="24"/>
        </w:rPr>
      </w:pPr>
    </w:p>
    <w:p w14:paraId="04BE406D" w14:textId="11BA5AFC" w:rsidR="00B377C9" w:rsidRDefault="00B377C9">
      <w:pPr>
        <w:rPr>
          <w:rFonts w:ascii="Arial" w:hAnsi="Arial" w:cs="Arial"/>
          <w:b/>
          <w:color w:val="000000"/>
          <w:sz w:val="24"/>
          <w:szCs w:val="24"/>
        </w:rPr>
      </w:pPr>
    </w:p>
    <w:p w14:paraId="354130AB" w14:textId="20F4CFAA" w:rsidR="00B377C9" w:rsidRDefault="00B377C9">
      <w:pPr>
        <w:rPr>
          <w:rFonts w:ascii="Arial" w:hAnsi="Arial" w:cs="Arial"/>
          <w:b/>
          <w:color w:val="000000"/>
          <w:sz w:val="24"/>
          <w:szCs w:val="24"/>
        </w:rPr>
      </w:pPr>
    </w:p>
    <w:p w14:paraId="6ACF616E" w14:textId="30D9AD67" w:rsidR="00B377C9" w:rsidRDefault="00B377C9">
      <w:pPr>
        <w:rPr>
          <w:rFonts w:ascii="Arial" w:hAnsi="Arial" w:cs="Arial"/>
          <w:b/>
          <w:color w:val="000000"/>
          <w:sz w:val="24"/>
          <w:szCs w:val="24"/>
        </w:rPr>
      </w:pPr>
    </w:p>
    <w:p w14:paraId="29DE0663" w14:textId="45A7BFC2" w:rsidR="00B377C9" w:rsidRDefault="00B377C9">
      <w:pPr>
        <w:rPr>
          <w:rFonts w:ascii="Arial" w:hAnsi="Arial" w:cs="Arial"/>
          <w:b/>
          <w:color w:val="000000"/>
          <w:sz w:val="24"/>
          <w:szCs w:val="24"/>
        </w:rPr>
      </w:pPr>
    </w:p>
    <w:p w14:paraId="4F744D5E" w14:textId="3BC8EB76" w:rsidR="00B377C9" w:rsidRDefault="00B377C9">
      <w:pPr>
        <w:rPr>
          <w:rFonts w:ascii="Arial" w:hAnsi="Arial" w:cs="Arial"/>
          <w:b/>
          <w:color w:val="000000"/>
          <w:sz w:val="24"/>
          <w:szCs w:val="24"/>
        </w:rPr>
      </w:pPr>
    </w:p>
    <w:p w14:paraId="487CC73C" w14:textId="77777777" w:rsidR="00B377C9" w:rsidRPr="00E923BA" w:rsidRDefault="00B377C9">
      <w:pPr>
        <w:rPr>
          <w:rFonts w:ascii="Arial" w:hAnsi="Arial" w:cs="Arial"/>
          <w:b/>
          <w:color w:val="000000"/>
          <w:sz w:val="24"/>
          <w:szCs w:val="24"/>
        </w:rPr>
      </w:pPr>
    </w:p>
    <w:tbl>
      <w:tblPr>
        <w:tblStyle w:val="TableGrid"/>
        <w:tblpPr w:leftFromText="180" w:rightFromText="180" w:vertAnchor="text" w:horzAnchor="margin" w:tblpXSpec="center" w:tblpY="-482"/>
        <w:tblW w:w="10060" w:type="dxa"/>
        <w:tblLook w:val="04A0" w:firstRow="1" w:lastRow="0" w:firstColumn="1" w:lastColumn="0" w:noHBand="0" w:noVBand="1"/>
      </w:tblPr>
      <w:tblGrid>
        <w:gridCol w:w="10060"/>
      </w:tblGrid>
      <w:tr w:rsidR="003F7B0A" w:rsidRPr="00E923BA" w14:paraId="7FAE98B4" w14:textId="77777777" w:rsidTr="00B377C9">
        <w:tc>
          <w:tcPr>
            <w:tcW w:w="10060" w:type="dxa"/>
            <w:shd w:val="clear" w:color="auto" w:fill="BDD6EE" w:themeFill="accent1" w:themeFillTint="66"/>
          </w:tcPr>
          <w:p w14:paraId="0C89DA9A" w14:textId="77777777" w:rsidR="003F7B0A" w:rsidRPr="00E923BA" w:rsidRDefault="003F7B0A" w:rsidP="003F7B0A">
            <w:pPr>
              <w:pStyle w:val="Default"/>
              <w:spacing w:beforeLines="120" w:before="288" w:afterLines="120" w:after="288"/>
              <w:jc w:val="both"/>
              <w:rPr>
                <w:b/>
                <w:bCs/>
                <w:sz w:val="20"/>
                <w:szCs w:val="20"/>
              </w:rPr>
            </w:pPr>
            <w:r w:rsidRPr="00E923BA">
              <w:rPr>
                <w:b/>
                <w:bCs/>
                <w:sz w:val="20"/>
                <w:szCs w:val="20"/>
              </w:rPr>
              <w:t xml:space="preserve">Lot 2 – Employed </w:t>
            </w:r>
          </w:p>
          <w:p w14:paraId="1F940F27" w14:textId="33A2524B" w:rsidR="003F7B0A" w:rsidRPr="00E923BA" w:rsidRDefault="003F7B0A" w:rsidP="003F7B0A">
            <w:pPr>
              <w:pStyle w:val="BodyText"/>
              <w:spacing w:before="1"/>
              <w:ind w:right="567"/>
              <w:jc w:val="both"/>
              <w:rPr>
                <w:sz w:val="20"/>
                <w:szCs w:val="20"/>
              </w:rPr>
            </w:pPr>
            <w:r w:rsidRPr="00E923BA">
              <w:rPr>
                <w:sz w:val="20"/>
                <w:szCs w:val="20"/>
              </w:rPr>
              <w:t>NTCA w</w:t>
            </w:r>
            <w:r w:rsidR="001F5502">
              <w:rPr>
                <w:sz w:val="20"/>
                <w:szCs w:val="20"/>
              </w:rPr>
              <w:t>ants</w:t>
            </w:r>
            <w:r w:rsidRPr="00E923BA">
              <w:rPr>
                <w:sz w:val="20"/>
                <w:szCs w:val="20"/>
              </w:rPr>
              <w:t xml:space="preserve"> to see more </w:t>
            </w:r>
            <w:r w:rsidR="00953787">
              <w:rPr>
                <w:sz w:val="20"/>
                <w:szCs w:val="20"/>
              </w:rPr>
              <w:t xml:space="preserve">of </w:t>
            </w:r>
            <w:r w:rsidRPr="00E923BA">
              <w:rPr>
                <w:sz w:val="20"/>
                <w:szCs w:val="20"/>
              </w:rPr>
              <w:t xml:space="preserve">its </w:t>
            </w:r>
            <w:r w:rsidRPr="00E923BA">
              <w:rPr>
                <w:bCs/>
                <w:sz w:val="20"/>
                <w:szCs w:val="20"/>
              </w:rPr>
              <w:t>employed</w:t>
            </w:r>
            <w:r w:rsidRPr="00E923BA">
              <w:rPr>
                <w:sz w:val="20"/>
                <w:szCs w:val="20"/>
              </w:rPr>
              <w:t xml:space="preserve"> residents (of all ages) progress</w:t>
            </w:r>
            <w:r w:rsidR="00953787">
              <w:rPr>
                <w:sz w:val="20"/>
                <w:szCs w:val="20"/>
              </w:rPr>
              <w:t>ing</w:t>
            </w:r>
            <w:r w:rsidRPr="00E923BA">
              <w:rPr>
                <w:sz w:val="20"/>
                <w:szCs w:val="20"/>
              </w:rPr>
              <w:t xml:space="preserve"> in employment. NTCA would like to see </w:t>
            </w:r>
            <w:r w:rsidR="00F04F1C">
              <w:rPr>
                <w:sz w:val="20"/>
                <w:szCs w:val="20"/>
              </w:rPr>
              <w:t>o</w:t>
            </w:r>
            <w:r w:rsidR="00AE5656">
              <w:rPr>
                <w:sz w:val="20"/>
                <w:szCs w:val="20"/>
              </w:rPr>
              <w:t>rganisations</w:t>
            </w:r>
            <w:r w:rsidRPr="00E923BA">
              <w:rPr>
                <w:sz w:val="20"/>
                <w:szCs w:val="20"/>
              </w:rPr>
              <w:t xml:space="preserve"> focus on a curriculum which delivers a </w:t>
            </w:r>
            <w:proofErr w:type="spellStart"/>
            <w:r w:rsidRPr="00E923BA">
              <w:rPr>
                <w:sz w:val="20"/>
                <w:szCs w:val="20"/>
              </w:rPr>
              <w:t>programme</w:t>
            </w:r>
            <w:proofErr w:type="spellEnd"/>
            <w:r w:rsidRPr="00E923BA">
              <w:rPr>
                <w:sz w:val="20"/>
                <w:szCs w:val="20"/>
              </w:rPr>
              <w:t xml:space="preserve"> based on the progression needs of individual residents</w:t>
            </w:r>
            <w:r w:rsidR="00953787">
              <w:rPr>
                <w:sz w:val="20"/>
                <w:szCs w:val="20"/>
              </w:rPr>
              <w:t>,</w:t>
            </w:r>
            <w:r w:rsidR="00B9667D">
              <w:rPr>
                <w:sz w:val="20"/>
                <w:szCs w:val="20"/>
              </w:rPr>
              <w:t xml:space="preserve"> </w:t>
            </w:r>
            <w:r w:rsidRPr="00E923BA">
              <w:rPr>
                <w:sz w:val="20"/>
                <w:szCs w:val="20"/>
              </w:rPr>
              <w:t xml:space="preserve">clearly linked to the employment opportunities available in the area, including the NTCA growth sectors. </w:t>
            </w:r>
          </w:p>
          <w:p w14:paraId="0E161068" w14:textId="77777777" w:rsidR="003F7B0A" w:rsidRPr="00E923BA" w:rsidRDefault="003F7B0A" w:rsidP="003F7B0A">
            <w:pPr>
              <w:pStyle w:val="BodyText"/>
              <w:spacing w:before="1"/>
              <w:ind w:right="567"/>
              <w:jc w:val="both"/>
              <w:rPr>
                <w:sz w:val="20"/>
                <w:szCs w:val="20"/>
              </w:rPr>
            </w:pPr>
          </w:p>
          <w:p w14:paraId="7F8012F6" w14:textId="344920E8" w:rsidR="003F7B0A" w:rsidRPr="00E923BA" w:rsidRDefault="003F7B0A" w:rsidP="003F7B0A">
            <w:pPr>
              <w:pStyle w:val="BodyText"/>
              <w:spacing w:before="1"/>
              <w:ind w:right="567"/>
              <w:jc w:val="both"/>
              <w:rPr>
                <w:sz w:val="20"/>
                <w:szCs w:val="20"/>
              </w:rPr>
            </w:pPr>
            <w:r w:rsidRPr="00E923BA">
              <w:rPr>
                <w:sz w:val="20"/>
                <w:szCs w:val="20"/>
              </w:rPr>
              <w:t xml:space="preserve">NTCA want to see greater numbers of </w:t>
            </w:r>
            <w:r w:rsidR="00B9667D">
              <w:rPr>
                <w:sz w:val="20"/>
                <w:szCs w:val="20"/>
              </w:rPr>
              <w:t xml:space="preserve">employed </w:t>
            </w:r>
            <w:r w:rsidRPr="00E923BA">
              <w:rPr>
                <w:sz w:val="20"/>
                <w:szCs w:val="20"/>
              </w:rPr>
              <w:t xml:space="preserve">residents gaining functional and basic skills, and those </w:t>
            </w:r>
            <w:r w:rsidR="00424DA4">
              <w:rPr>
                <w:sz w:val="20"/>
                <w:szCs w:val="20"/>
              </w:rPr>
              <w:t xml:space="preserve">achieving </w:t>
            </w:r>
            <w:r w:rsidRPr="00E923BA">
              <w:rPr>
                <w:sz w:val="20"/>
                <w:szCs w:val="20"/>
              </w:rPr>
              <w:t xml:space="preserve">Full Level 2 and Level 3 provision in our growth sectors. </w:t>
            </w:r>
          </w:p>
          <w:p w14:paraId="6F645582" w14:textId="77777777" w:rsidR="003F7B0A" w:rsidRPr="00E923BA" w:rsidRDefault="003F7B0A" w:rsidP="003F7B0A">
            <w:pPr>
              <w:pStyle w:val="BodyText"/>
              <w:spacing w:before="1" w:line="259" w:lineRule="auto"/>
              <w:ind w:left="352" w:right="572"/>
              <w:jc w:val="both"/>
              <w:rPr>
                <w:sz w:val="20"/>
                <w:szCs w:val="20"/>
              </w:rPr>
            </w:pPr>
          </w:p>
          <w:p w14:paraId="77315D06" w14:textId="1937A36F" w:rsidR="003F7B0A" w:rsidRPr="00E923BA" w:rsidRDefault="003D4C33" w:rsidP="003F7B0A">
            <w:pPr>
              <w:pStyle w:val="BodyText"/>
              <w:spacing w:before="1" w:line="259" w:lineRule="auto"/>
              <w:ind w:right="572"/>
              <w:jc w:val="both"/>
              <w:rPr>
                <w:sz w:val="20"/>
                <w:szCs w:val="20"/>
              </w:rPr>
            </w:pPr>
            <w:r>
              <w:rPr>
                <w:sz w:val="20"/>
                <w:szCs w:val="20"/>
              </w:rPr>
              <w:t>A</w:t>
            </w:r>
            <w:r w:rsidR="00CF5132" w:rsidRPr="00CF5132">
              <w:rPr>
                <w:sz w:val="20"/>
                <w:szCs w:val="20"/>
              </w:rPr>
              <w:t>s people live and work longer, they will require lifelong learning and training</w:t>
            </w:r>
            <w:r w:rsidR="00424DA4">
              <w:rPr>
                <w:sz w:val="20"/>
                <w:szCs w:val="20"/>
              </w:rPr>
              <w:t xml:space="preserve">. </w:t>
            </w:r>
            <w:r>
              <w:rPr>
                <w:sz w:val="20"/>
                <w:szCs w:val="20"/>
              </w:rPr>
              <w:t xml:space="preserve"> </w:t>
            </w:r>
            <w:r w:rsidR="00424DA4">
              <w:rPr>
                <w:sz w:val="20"/>
                <w:szCs w:val="20"/>
              </w:rPr>
              <w:t>C</w:t>
            </w:r>
            <w:r w:rsidR="00CF5132" w:rsidRPr="00CF5132">
              <w:rPr>
                <w:sz w:val="20"/>
                <w:szCs w:val="20"/>
              </w:rPr>
              <w:t>onsideration and emphasis will need to be placed on ensuring the availability of age appropriate work, including training for new tasks, managing job transitions and leadership challenges.</w:t>
            </w:r>
            <w:r>
              <w:rPr>
                <w:sz w:val="20"/>
                <w:szCs w:val="20"/>
              </w:rPr>
              <w:t xml:space="preserve"> </w:t>
            </w:r>
          </w:p>
          <w:p w14:paraId="3BCAB8AC" w14:textId="51FF2BE5" w:rsidR="003F7B0A" w:rsidRPr="00E923BA" w:rsidRDefault="00AE5656" w:rsidP="003F7B0A">
            <w:pPr>
              <w:pStyle w:val="Default"/>
              <w:spacing w:beforeLines="120" w:before="288" w:afterLines="120" w:after="288"/>
              <w:jc w:val="both"/>
              <w:rPr>
                <w:rFonts w:eastAsia="Arial"/>
                <w:color w:val="auto"/>
                <w:sz w:val="20"/>
                <w:szCs w:val="20"/>
                <w:lang w:eastAsia="en-GB" w:bidi="en-GB"/>
              </w:rPr>
            </w:pPr>
            <w:r>
              <w:rPr>
                <w:rFonts w:eastAsia="Arial"/>
                <w:color w:val="auto"/>
                <w:sz w:val="20"/>
                <w:szCs w:val="20"/>
                <w:lang w:eastAsia="en-GB" w:bidi="en-GB"/>
              </w:rPr>
              <w:t>Organisations</w:t>
            </w:r>
            <w:r w:rsidR="003F7B0A" w:rsidRPr="00E923BA">
              <w:rPr>
                <w:rFonts w:eastAsia="Arial"/>
                <w:color w:val="auto"/>
                <w:sz w:val="20"/>
                <w:szCs w:val="20"/>
                <w:lang w:eastAsia="en-GB" w:bidi="en-GB"/>
              </w:rPr>
              <w:t xml:space="preserve"> should set out whether the</w:t>
            </w:r>
            <w:r w:rsidR="00474842">
              <w:rPr>
                <w:rFonts w:eastAsia="Arial"/>
                <w:color w:val="auto"/>
                <w:sz w:val="20"/>
                <w:szCs w:val="20"/>
                <w:lang w:eastAsia="en-GB" w:bidi="en-GB"/>
              </w:rPr>
              <w:t>ir</w:t>
            </w:r>
            <w:r w:rsidR="003F7B0A" w:rsidRPr="00E923BA">
              <w:rPr>
                <w:rFonts w:eastAsia="Arial"/>
                <w:color w:val="auto"/>
                <w:sz w:val="20"/>
                <w:szCs w:val="20"/>
                <w:lang w:eastAsia="en-GB" w:bidi="en-GB"/>
              </w:rPr>
              <w:t xml:space="preserve"> activity support</w:t>
            </w:r>
            <w:r w:rsidR="00474842">
              <w:rPr>
                <w:rFonts w:eastAsia="Arial"/>
                <w:color w:val="auto"/>
                <w:sz w:val="20"/>
                <w:szCs w:val="20"/>
                <w:lang w:eastAsia="en-GB" w:bidi="en-GB"/>
              </w:rPr>
              <w:t>s</w:t>
            </w:r>
            <w:r w:rsidR="003F7B0A" w:rsidRPr="00E923BA">
              <w:rPr>
                <w:rFonts w:eastAsia="Arial"/>
                <w:color w:val="auto"/>
                <w:sz w:val="20"/>
                <w:szCs w:val="20"/>
                <w:lang w:eastAsia="en-GB" w:bidi="en-GB"/>
              </w:rPr>
              <w:t xml:space="preserve"> options a. or b. or both.</w:t>
            </w:r>
          </w:p>
          <w:p w14:paraId="6B1B844F" w14:textId="5A673C9B" w:rsidR="003F7B0A" w:rsidRDefault="003F7B0A" w:rsidP="00474842">
            <w:pPr>
              <w:pStyle w:val="BodyText"/>
              <w:numPr>
                <w:ilvl w:val="0"/>
                <w:numId w:val="25"/>
              </w:numPr>
              <w:ind w:right="564"/>
              <w:jc w:val="both"/>
              <w:rPr>
                <w:sz w:val="20"/>
                <w:szCs w:val="20"/>
              </w:rPr>
            </w:pPr>
            <w:r w:rsidRPr="00E923BA">
              <w:rPr>
                <w:b/>
                <w:bCs/>
                <w:sz w:val="20"/>
                <w:szCs w:val="20"/>
              </w:rPr>
              <w:t>Low paid low skilled</w:t>
            </w:r>
            <w:r w:rsidRPr="00E923BA">
              <w:rPr>
                <w:sz w:val="20"/>
                <w:szCs w:val="20"/>
              </w:rPr>
              <w:t xml:space="preserve"> - NTCA earnings are below the national average and real earnings across the NTCA area have declined over the past five years. There are high levels of in-work poverty, with 23% of the workforce earning less than the ‘real’ living wage. Employers report a lack of proficiency within the workforce (skills gaps) in service and </w:t>
            </w:r>
            <w:proofErr w:type="spellStart"/>
            <w:r w:rsidRPr="00E923BA">
              <w:rPr>
                <w:sz w:val="20"/>
                <w:szCs w:val="20"/>
              </w:rPr>
              <w:t>labour-intensive</w:t>
            </w:r>
            <w:proofErr w:type="spellEnd"/>
            <w:r w:rsidRPr="00E923BA">
              <w:rPr>
                <w:sz w:val="20"/>
                <w:szCs w:val="20"/>
              </w:rPr>
              <w:t xml:space="preserve"> occupations. The gaps identified were basic and generic skills including English, </w:t>
            </w:r>
            <w:proofErr w:type="spellStart"/>
            <w:r w:rsidRPr="00E923BA">
              <w:rPr>
                <w:sz w:val="20"/>
                <w:szCs w:val="20"/>
              </w:rPr>
              <w:t>maths</w:t>
            </w:r>
            <w:proofErr w:type="spellEnd"/>
            <w:r w:rsidRPr="00E923BA">
              <w:rPr>
                <w:sz w:val="20"/>
                <w:szCs w:val="20"/>
              </w:rPr>
              <w:t xml:space="preserve"> and digital skills which underpin progression in employment.</w:t>
            </w:r>
          </w:p>
          <w:p w14:paraId="458CEB89" w14:textId="77777777" w:rsidR="00474842" w:rsidRDefault="00474842" w:rsidP="00474842">
            <w:pPr>
              <w:pStyle w:val="BodyText"/>
              <w:ind w:left="720" w:right="564"/>
              <w:jc w:val="both"/>
              <w:rPr>
                <w:sz w:val="20"/>
                <w:szCs w:val="20"/>
              </w:rPr>
            </w:pPr>
          </w:p>
          <w:p w14:paraId="556DDDC8" w14:textId="72E235B8" w:rsidR="00474842" w:rsidRPr="00474842" w:rsidRDefault="003F7B0A" w:rsidP="00474842">
            <w:pPr>
              <w:pStyle w:val="BodyText"/>
              <w:numPr>
                <w:ilvl w:val="0"/>
                <w:numId w:val="25"/>
              </w:numPr>
              <w:ind w:right="564"/>
              <w:jc w:val="both"/>
              <w:rPr>
                <w:sz w:val="20"/>
                <w:szCs w:val="20"/>
              </w:rPr>
            </w:pPr>
            <w:r w:rsidRPr="00474842">
              <w:rPr>
                <w:b/>
                <w:bCs/>
                <w:sz w:val="20"/>
                <w:szCs w:val="20"/>
              </w:rPr>
              <w:t>Increasing Level 2 and Level 3 qualifications</w:t>
            </w:r>
            <w:r w:rsidRPr="00474842">
              <w:rPr>
                <w:sz w:val="20"/>
                <w:szCs w:val="20"/>
              </w:rPr>
              <w:t xml:space="preserve"> - which address the skills gaps in our growth sectors.</w:t>
            </w:r>
          </w:p>
          <w:p w14:paraId="072A7BB4" w14:textId="6B33BB8B" w:rsidR="003F7B0A" w:rsidRPr="00E923BA" w:rsidRDefault="003F7B0A" w:rsidP="00474842">
            <w:pPr>
              <w:pStyle w:val="Default"/>
              <w:spacing w:beforeLines="120" w:before="288" w:afterLines="120" w:after="288"/>
              <w:jc w:val="both"/>
              <w:rPr>
                <w:rFonts w:eastAsia="Arial"/>
                <w:color w:val="auto"/>
                <w:sz w:val="20"/>
                <w:szCs w:val="20"/>
                <w:lang w:eastAsia="en-GB" w:bidi="en-GB"/>
              </w:rPr>
            </w:pPr>
            <w:r w:rsidRPr="00E923BA">
              <w:rPr>
                <w:rFonts w:eastAsia="Arial"/>
                <w:color w:val="auto"/>
                <w:sz w:val="20"/>
                <w:szCs w:val="20"/>
                <w:lang w:eastAsia="en-GB" w:bidi="en-GB"/>
              </w:rPr>
              <w:t xml:space="preserve">We would expect bids to include but not be limited to </w:t>
            </w:r>
          </w:p>
          <w:p w14:paraId="03D84D69" w14:textId="77777777" w:rsidR="003F7B0A" w:rsidRPr="00E923BA" w:rsidRDefault="003F7B0A" w:rsidP="0034473B">
            <w:pPr>
              <w:pStyle w:val="ListParagraph"/>
              <w:numPr>
                <w:ilvl w:val="0"/>
                <w:numId w:val="11"/>
              </w:numPr>
              <w:rPr>
                <w:rFonts w:ascii="Arial" w:hAnsi="Arial" w:cs="Arial"/>
                <w:b/>
                <w:bCs/>
                <w:sz w:val="20"/>
                <w:szCs w:val="20"/>
                <w:lang w:eastAsia="en-GB" w:bidi="en-GB"/>
              </w:rPr>
            </w:pPr>
            <w:r w:rsidRPr="00E923BA">
              <w:rPr>
                <w:rFonts w:ascii="Arial" w:hAnsi="Arial" w:cs="Arial"/>
                <w:sz w:val="20"/>
                <w:szCs w:val="20"/>
                <w:lang w:eastAsia="en-GB" w:bidi="en-GB"/>
              </w:rPr>
              <w:t xml:space="preserve">robust initial assessment and learning plan based on skills, experience and/or qualifications </w:t>
            </w:r>
          </w:p>
          <w:p w14:paraId="1C1E5E48" w14:textId="77777777" w:rsidR="003F7B0A" w:rsidRPr="00E923BA" w:rsidRDefault="003F7B0A" w:rsidP="0034473B">
            <w:pPr>
              <w:pStyle w:val="ListParagraph"/>
              <w:numPr>
                <w:ilvl w:val="0"/>
                <w:numId w:val="11"/>
              </w:numPr>
              <w:rPr>
                <w:rFonts w:ascii="Arial" w:hAnsi="Arial" w:cs="Arial"/>
                <w:sz w:val="20"/>
                <w:szCs w:val="20"/>
                <w:lang w:eastAsia="en-GB" w:bidi="en-GB"/>
              </w:rPr>
            </w:pPr>
            <w:r w:rsidRPr="00E923BA">
              <w:rPr>
                <w:rFonts w:ascii="Arial" w:hAnsi="Arial" w:cs="Arial"/>
                <w:sz w:val="20"/>
                <w:szCs w:val="20"/>
                <w:lang w:eastAsia="en-GB" w:bidi="en-GB"/>
              </w:rPr>
              <w:t xml:space="preserve">relevant information, advice and guidance on in work progression and career opportunities </w:t>
            </w:r>
          </w:p>
          <w:p w14:paraId="5413BF48" w14:textId="77777777" w:rsidR="003F7B0A" w:rsidRPr="00E923BA" w:rsidRDefault="003F7B0A" w:rsidP="0034473B">
            <w:pPr>
              <w:pStyle w:val="ListParagraph"/>
              <w:numPr>
                <w:ilvl w:val="0"/>
                <w:numId w:val="11"/>
              </w:numPr>
              <w:rPr>
                <w:rFonts w:ascii="Arial" w:hAnsi="Arial" w:cs="Arial"/>
                <w:sz w:val="20"/>
                <w:szCs w:val="20"/>
                <w:lang w:eastAsia="en-GB" w:bidi="en-GB"/>
              </w:rPr>
            </w:pPr>
            <w:r w:rsidRPr="00E923BA">
              <w:rPr>
                <w:rFonts w:ascii="Arial" w:hAnsi="Arial" w:cs="Arial"/>
                <w:sz w:val="20"/>
                <w:szCs w:val="20"/>
                <w:lang w:eastAsia="en-GB" w:bidi="en-GB"/>
              </w:rPr>
              <w:t xml:space="preserve">flexible and accessible delivery models </w:t>
            </w:r>
          </w:p>
          <w:p w14:paraId="149DFFCE" w14:textId="77777777" w:rsidR="003F7B0A" w:rsidRPr="00E923BA" w:rsidRDefault="003F7B0A" w:rsidP="0034473B">
            <w:pPr>
              <w:pStyle w:val="ListParagraph"/>
              <w:numPr>
                <w:ilvl w:val="0"/>
                <w:numId w:val="11"/>
              </w:numPr>
              <w:rPr>
                <w:rFonts w:ascii="Arial" w:hAnsi="Arial" w:cs="Arial"/>
                <w:sz w:val="20"/>
                <w:szCs w:val="20"/>
                <w:lang w:eastAsia="en-GB" w:bidi="en-GB"/>
              </w:rPr>
            </w:pPr>
            <w:r w:rsidRPr="00E923BA">
              <w:rPr>
                <w:rFonts w:ascii="Arial" w:hAnsi="Arial" w:cs="Arial"/>
                <w:sz w:val="20"/>
                <w:szCs w:val="20"/>
                <w:lang w:eastAsia="en-GB" w:bidi="en-GB"/>
              </w:rPr>
              <w:t xml:space="preserve">greater engagement of employers in design and delivery </w:t>
            </w:r>
          </w:p>
          <w:p w14:paraId="7E7B8571" w14:textId="753BD58B" w:rsidR="005E652B" w:rsidRDefault="003F7B0A" w:rsidP="00897344">
            <w:pPr>
              <w:pStyle w:val="ListParagraph"/>
              <w:numPr>
                <w:ilvl w:val="0"/>
                <w:numId w:val="11"/>
              </w:numPr>
              <w:rPr>
                <w:rFonts w:ascii="Arial" w:hAnsi="Arial" w:cs="Arial"/>
                <w:sz w:val="20"/>
                <w:szCs w:val="20"/>
                <w:lang w:eastAsia="en-GB" w:bidi="en-GB"/>
              </w:rPr>
            </w:pPr>
            <w:r w:rsidRPr="005E652B">
              <w:rPr>
                <w:rFonts w:ascii="Arial" w:hAnsi="Arial" w:cs="Arial"/>
                <w:sz w:val="20"/>
                <w:szCs w:val="20"/>
                <w:lang w:eastAsia="en-GB" w:bidi="en-GB"/>
              </w:rPr>
              <w:t xml:space="preserve">English, </w:t>
            </w:r>
            <w:proofErr w:type="spellStart"/>
            <w:r w:rsidRPr="005E652B">
              <w:rPr>
                <w:rFonts w:ascii="Arial" w:hAnsi="Arial" w:cs="Arial"/>
                <w:sz w:val="20"/>
                <w:szCs w:val="20"/>
                <w:lang w:eastAsia="en-GB" w:bidi="en-GB"/>
              </w:rPr>
              <w:t>maths</w:t>
            </w:r>
            <w:proofErr w:type="spellEnd"/>
            <w:r w:rsidRPr="005E652B">
              <w:rPr>
                <w:rFonts w:ascii="Arial" w:hAnsi="Arial" w:cs="Arial"/>
                <w:sz w:val="20"/>
                <w:szCs w:val="20"/>
                <w:lang w:eastAsia="en-GB" w:bidi="en-GB"/>
              </w:rPr>
              <w:t xml:space="preserve"> and digital skills should be embedded and relevant to the </w:t>
            </w:r>
            <w:r w:rsidR="005E652B" w:rsidRPr="005E652B">
              <w:rPr>
                <w:rFonts w:ascii="Arial" w:hAnsi="Arial" w:cs="Arial"/>
                <w:sz w:val="20"/>
                <w:szCs w:val="20"/>
                <w:lang w:eastAsia="en-GB" w:bidi="en-GB"/>
              </w:rPr>
              <w:t>Sector</w:t>
            </w:r>
          </w:p>
          <w:p w14:paraId="5537DA75" w14:textId="0AB936E4" w:rsidR="003F7B0A" w:rsidRPr="005E652B" w:rsidRDefault="003F7B0A" w:rsidP="00897344">
            <w:pPr>
              <w:pStyle w:val="ListParagraph"/>
              <w:numPr>
                <w:ilvl w:val="0"/>
                <w:numId w:val="11"/>
              </w:numPr>
              <w:rPr>
                <w:rFonts w:ascii="Arial" w:hAnsi="Arial" w:cs="Arial"/>
                <w:sz w:val="20"/>
                <w:szCs w:val="20"/>
                <w:lang w:eastAsia="en-GB" w:bidi="en-GB"/>
              </w:rPr>
            </w:pPr>
            <w:r w:rsidRPr="005E652B">
              <w:rPr>
                <w:rFonts w:ascii="Arial" w:hAnsi="Arial" w:cs="Arial"/>
                <w:sz w:val="20"/>
                <w:szCs w:val="20"/>
                <w:lang w:eastAsia="en-GB" w:bidi="en-GB"/>
              </w:rPr>
              <w:t xml:space="preserve">Evaluation of success should be more than the qualification outcome </w:t>
            </w:r>
          </w:p>
          <w:p w14:paraId="43A3D852" w14:textId="77777777" w:rsidR="003F7B0A" w:rsidRPr="00E923BA" w:rsidRDefault="003F7B0A" w:rsidP="0034473B">
            <w:pPr>
              <w:pStyle w:val="ListParagraph"/>
              <w:numPr>
                <w:ilvl w:val="0"/>
                <w:numId w:val="11"/>
              </w:numPr>
              <w:rPr>
                <w:rFonts w:ascii="Arial" w:hAnsi="Arial" w:cs="Arial"/>
                <w:sz w:val="20"/>
                <w:szCs w:val="20"/>
                <w:lang w:eastAsia="en-GB" w:bidi="en-GB"/>
              </w:rPr>
            </w:pPr>
            <w:r w:rsidRPr="00E923BA">
              <w:rPr>
                <w:rFonts w:ascii="Arial" w:hAnsi="Arial" w:cs="Arial"/>
                <w:sz w:val="20"/>
                <w:szCs w:val="20"/>
                <w:lang w:eastAsia="en-GB" w:bidi="en-GB"/>
              </w:rPr>
              <w:t xml:space="preserve">Have clear pathways of progression </w:t>
            </w:r>
          </w:p>
        </w:tc>
      </w:tr>
      <w:tr w:rsidR="003F7B0A" w:rsidRPr="00E923BA" w14:paraId="66E4BEC9" w14:textId="77777777" w:rsidTr="00B377C9">
        <w:tc>
          <w:tcPr>
            <w:tcW w:w="10060" w:type="dxa"/>
            <w:shd w:val="clear" w:color="auto" w:fill="BDD6EE" w:themeFill="accent1" w:themeFillTint="66"/>
          </w:tcPr>
          <w:p w14:paraId="68252634" w14:textId="77777777" w:rsidR="003F7B0A" w:rsidRPr="00E923BA" w:rsidRDefault="003F7B0A" w:rsidP="003F7B0A">
            <w:pPr>
              <w:pStyle w:val="Default"/>
              <w:spacing w:beforeLines="120" w:before="288" w:afterLines="120" w:after="288"/>
              <w:rPr>
                <w:sz w:val="20"/>
                <w:szCs w:val="20"/>
              </w:rPr>
            </w:pPr>
            <w:r w:rsidRPr="00E923BA">
              <w:rPr>
                <w:sz w:val="20"/>
                <w:szCs w:val="20"/>
              </w:rPr>
              <w:t xml:space="preserve">Indicative Lot value: £4 million per year </w:t>
            </w:r>
          </w:p>
          <w:p w14:paraId="44E95E12" w14:textId="77777777" w:rsidR="004F2088" w:rsidRPr="00E923BA" w:rsidRDefault="003F7B0A" w:rsidP="004F2088">
            <w:pPr>
              <w:autoSpaceDE w:val="0"/>
              <w:autoSpaceDN w:val="0"/>
              <w:adjustRightInd w:val="0"/>
              <w:spacing w:beforeLines="120" w:before="288" w:afterLines="120" w:after="288"/>
              <w:rPr>
                <w:rFonts w:ascii="Arial" w:hAnsi="Arial" w:cs="Arial"/>
                <w:color w:val="000000"/>
                <w:sz w:val="20"/>
                <w:szCs w:val="20"/>
                <w:lang w:val="en-GB"/>
              </w:rPr>
            </w:pPr>
            <w:r w:rsidRPr="00E923BA">
              <w:rPr>
                <w:rFonts w:ascii="Arial" w:hAnsi="Arial" w:cs="Arial"/>
                <w:color w:val="000000"/>
                <w:sz w:val="20"/>
                <w:szCs w:val="20"/>
                <w:lang w:val="en-GB"/>
              </w:rPr>
              <w:t>Geography: No geographical requirement</w:t>
            </w:r>
            <w:r w:rsidR="004F2088">
              <w:rPr>
                <w:rFonts w:ascii="Arial" w:hAnsi="Arial" w:cs="Arial"/>
                <w:color w:val="000000"/>
                <w:sz w:val="20"/>
                <w:szCs w:val="20"/>
                <w:lang w:val="en-GB"/>
              </w:rPr>
              <w:t xml:space="preserve"> </w:t>
            </w:r>
            <w:r w:rsidR="004F2088" w:rsidRPr="00E923BA">
              <w:rPr>
                <w:rFonts w:ascii="Arial" w:hAnsi="Arial" w:cs="Arial"/>
                <w:color w:val="000000"/>
                <w:sz w:val="20"/>
                <w:szCs w:val="20"/>
                <w:lang w:val="en-GB"/>
              </w:rPr>
              <w:t xml:space="preserve">(but must </w:t>
            </w:r>
            <w:r w:rsidR="004F2088">
              <w:rPr>
                <w:rFonts w:ascii="Arial" w:hAnsi="Arial" w:cs="Arial"/>
                <w:color w:val="000000"/>
                <w:sz w:val="20"/>
                <w:szCs w:val="20"/>
                <w:lang w:val="en-GB"/>
              </w:rPr>
              <w:t>be accessible to all NTCA</w:t>
            </w:r>
            <w:r w:rsidR="004F2088" w:rsidRPr="00E923BA">
              <w:rPr>
                <w:rFonts w:ascii="Arial" w:hAnsi="Arial" w:cs="Arial"/>
                <w:color w:val="000000"/>
                <w:sz w:val="20"/>
                <w:szCs w:val="20"/>
                <w:lang w:val="en-GB"/>
              </w:rPr>
              <w:t xml:space="preserve"> residents) </w:t>
            </w:r>
          </w:p>
          <w:p w14:paraId="3E8644CC" w14:textId="5872A9AB" w:rsidR="003F7B0A" w:rsidRPr="00770E58" w:rsidRDefault="003F7B0A" w:rsidP="004F2088">
            <w:pPr>
              <w:autoSpaceDE w:val="0"/>
              <w:autoSpaceDN w:val="0"/>
              <w:adjustRightInd w:val="0"/>
              <w:spacing w:beforeLines="120" w:before="288" w:afterLines="120" w:after="288"/>
              <w:rPr>
                <w:rFonts w:ascii="Arial" w:hAnsi="Arial" w:cs="Arial"/>
                <w:sz w:val="20"/>
                <w:szCs w:val="20"/>
              </w:rPr>
            </w:pPr>
            <w:r w:rsidRPr="003A1FAA">
              <w:rPr>
                <w:rFonts w:ascii="Arial" w:hAnsi="Arial" w:cs="Arial"/>
                <w:color w:val="000000"/>
                <w:sz w:val="20"/>
                <w:szCs w:val="20"/>
                <w:lang w:val="en-GB"/>
              </w:rPr>
              <w:t xml:space="preserve"> </w:t>
            </w:r>
            <w:r w:rsidRPr="00770E58">
              <w:rPr>
                <w:rFonts w:ascii="Arial" w:hAnsi="Arial" w:cs="Arial"/>
                <w:sz w:val="20"/>
                <w:szCs w:val="20"/>
              </w:rPr>
              <w:t>Contract Values: Min £100,000 to max £1,000,000</w:t>
            </w:r>
          </w:p>
          <w:p w14:paraId="0F41B5B6" w14:textId="6F5BA4C1" w:rsidR="003F7B0A" w:rsidRPr="00E923BA" w:rsidRDefault="003F7B0A" w:rsidP="003F7B0A">
            <w:pPr>
              <w:pStyle w:val="Default"/>
              <w:spacing w:beforeLines="120" w:before="288" w:afterLines="120" w:after="288"/>
              <w:jc w:val="both"/>
              <w:rPr>
                <w:sz w:val="20"/>
                <w:szCs w:val="20"/>
              </w:rPr>
            </w:pPr>
            <w:r>
              <w:rPr>
                <w:b/>
                <w:sz w:val="20"/>
                <w:szCs w:val="20"/>
              </w:rPr>
              <w:t>National Funding Rates Apply</w:t>
            </w:r>
          </w:p>
        </w:tc>
      </w:tr>
    </w:tbl>
    <w:p w14:paraId="421A176C" w14:textId="7BD75F36" w:rsidR="0070283C" w:rsidRPr="00E923BA" w:rsidRDefault="0070283C" w:rsidP="00EF04C8">
      <w:pPr>
        <w:pStyle w:val="Default"/>
        <w:spacing w:beforeLines="120" w:before="288" w:afterLines="120" w:after="288"/>
        <w:jc w:val="both"/>
        <w:rPr>
          <w:b/>
        </w:rPr>
      </w:pPr>
    </w:p>
    <w:p w14:paraId="106C8DC9" w14:textId="5E8D62DE" w:rsidR="00A80E5B" w:rsidRDefault="00A80E5B" w:rsidP="00EF04C8">
      <w:pPr>
        <w:pStyle w:val="Default"/>
        <w:spacing w:beforeLines="120" w:before="288" w:afterLines="120" w:after="288"/>
        <w:jc w:val="both"/>
        <w:rPr>
          <w:b/>
        </w:rPr>
      </w:pPr>
    </w:p>
    <w:p w14:paraId="2A56067D" w14:textId="0BF1AEB4" w:rsidR="003F7B0A" w:rsidRDefault="003F7B0A" w:rsidP="00EF04C8">
      <w:pPr>
        <w:pStyle w:val="Default"/>
        <w:spacing w:beforeLines="120" w:before="288" w:afterLines="120" w:after="288"/>
        <w:jc w:val="both"/>
        <w:rPr>
          <w:b/>
          <w:sz w:val="20"/>
          <w:szCs w:val="20"/>
        </w:rPr>
      </w:pPr>
    </w:p>
    <w:tbl>
      <w:tblPr>
        <w:tblStyle w:val="TableGrid"/>
        <w:tblpPr w:leftFromText="180" w:rightFromText="180" w:vertAnchor="text" w:horzAnchor="margin" w:tblpXSpec="center" w:tblpY="-482"/>
        <w:tblW w:w="10060" w:type="dxa"/>
        <w:tblLook w:val="04A0" w:firstRow="1" w:lastRow="0" w:firstColumn="1" w:lastColumn="0" w:noHBand="0" w:noVBand="1"/>
      </w:tblPr>
      <w:tblGrid>
        <w:gridCol w:w="10060"/>
      </w:tblGrid>
      <w:tr w:rsidR="00AA18C0" w:rsidRPr="00E923BA" w14:paraId="5DB15E28" w14:textId="77777777" w:rsidTr="00B377C9">
        <w:tc>
          <w:tcPr>
            <w:tcW w:w="10060" w:type="dxa"/>
            <w:shd w:val="clear" w:color="auto" w:fill="BDD6EE" w:themeFill="accent1" w:themeFillTint="66"/>
          </w:tcPr>
          <w:p w14:paraId="3C80561B" w14:textId="32182950" w:rsidR="00AA18C0" w:rsidRPr="00E923BA" w:rsidRDefault="00AA18C0" w:rsidP="00AA18C0">
            <w:pPr>
              <w:autoSpaceDE w:val="0"/>
              <w:autoSpaceDN w:val="0"/>
              <w:adjustRightInd w:val="0"/>
              <w:spacing w:beforeLines="120" w:before="288" w:afterLines="120" w:after="288"/>
              <w:jc w:val="both"/>
              <w:rPr>
                <w:rFonts w:ascii="Arial" w:hAnsi="Arial" w:cs="Arial"/>
                <w:b/>
                <w:color w:val="000000"/>
                <w:sz w:val="20"/>
                <w:szCs w:val="20"/>
                <w:lang w:val="en-GB"/>
              </w:rPr>
            </w:pPr>
            <w:r w:rsidRPr="00E923BA">
              <w:rPr>
                <w:rFonts w:ascii="Arial" w:hAnsi="Arial" w:cs="Arial"/>
                <w:b/>
                <w:color w:val="000000"/>
                <w:sz w:val="20"/>
                <w:szCs w:val="20"/>
                <w:lang w:val="en-GB"/>
              </w:rPr>
              <w:t>Lot 3 – Innova</w:t>
            </w:r>
            <w:r w:rsidR="00424DA4">
              <w:rPr>
                <w:rFonts w:ascii="Arial" w:hAnsi="Arial" w:cs="Arial"/>
                <w:b/>
                <w:color w:val="000000"/>
                <w:sz w:val="20"/>
                <w:szCs w:val="20"/>
                <w:lang w:val="en-GB"/>
              </w:rPr>
              <w:t>tion</w:t>
            </w:r>
          </w:p>
          <w:p w14:paraId="04BB4A09" w14:textId="15197065" w:rsidR="00AA18C0" w:rsidRPr="00AA18C0" w:rsidRDefault="00AA18C0" w:rsidP="00AA18C0">
            <w:pPr>
              <w:autoSpaceDE w:val="0"/>
              <w:autoSpaceDN w:val="0"/>
              <w:adjustRightInd w:val="0"/>
              <w:spacing w:beforeLines="120" w:before="288" w:afterLines="120" w:after="288"/>
              <w:jc w:val="both"/>
              <w:rPr>
                <w:rFonts w:ascii="Arial" w:eastAsia="Arial" w:hAnsi="Arial" w:cs="Arial"/>
                <w:sz w:val="20"/>
                <w:szCs w:val="20"/>
                <w:lang w:val="en-GB" w:eastAsia="en-GB" w:bidi="en-GB"/>
              </w:rPr>
            </w:pPr>
            <w:r w:rsidRPr="00AA18C0">
              <w:rPr>
                <w:rFonts w:ascii="Arial" w:eastAsia="Arial" w:hAnsi="Arial" w:cs="Arial"/>
                <w:sz w:val="20"/>
                <w:szCs w:val="20"/>
                <w:lang w:val="en-GB" w:eastAsia="en-GB" w:bidi="en-GB"/>
              </w:rPr>
              <w:t xml:space="preserve">NTCA support the use of innovation and this Lot will enable organisations to deliver highly responsive provision that is targeted and specific to a range of residents’ needs which require more flexibility and intensity than which is currently available through the core AEB provision. </w:t>
            </w:r>
          </w:p>
          <w:p w14:paraId="65C28687" w14:textId="08205830" w:rsidR="00AA18C0" w:rsidRDefault="00AA18C0" w:rsidP="00AA18C0">
            <w:pPr>
              <w:widowControl w:val="0"/>
              <w:autoSpaceDE w:val="0"/>
              <w:autoSpaceDN w:val="0"/>
              <w:ind w:right="563"/>
              <w:jc w:val="both"/>
              <w:rPr>
                <w:rFonts w:ascii="Arial" w:hAnsi="Arial" w:cs="Arial"/>
                <w:color w:val="000000"/>
                <w:sz w:val="20"/>
                <w:szCs w:val="20"/>
                <w:lang w:val="en-GB"/>
              </w:rPr>
            </w:pPr>
            <w:r>
              <w:rPr>
                <w:rFonts w:ascii="Arial" w:eastAsia="Arial" w:hAnsi="Arial" w:cs="Arial"/>
                <w:color w:val="000000"/>
                <w:sz w:val="20"/>
                <w:szCs w:val="20"/>
                <w:lang w:val="en-GB" w:eastAsia="en-GB" w:bidi="en-GB"/>
              </w:rPr>
              <w:t>Organisations</w:t>
            </w:r>
            <w:r w:rsidRPr="00E923BA">
              <w:rPr>
                <w:rFonts w:ascii="Arial" w:eastAsia="Arial" w:hAnsi="Arial" w:cs="Arial"/>
                <w:color w:val="000000"/>
                <w:sz w:val="20"/>
                <w:szCs w:val="20"/>
                <w:lang w:val="en-GB" w:eastAsia="en-GB" w:bidi="en-GB"/>
              </w:rPr>
              <w:t xml:space="preserve"> can take the opportunity to bid for </w:t>
            </w:r>
            <w:r w:rsidRPr="00E923BA">
              <w:rPr>
                <w:rFonts w:ascii="Arial" w:hAnsi="Arial" w:cs="Arial"/>
                <w:color w:val="000000"/>
                <w:sz w:val="20"/>
                <w:szCs w:val="20"/>
                <w:lang w:val="en-GB"/>
              </w:rPr>
              <w:t>pilot activity and ‘test and learn’ projects which could include niche provision, new delivery models, and scaling up existing activity for cohorts of priority residents in any employment sector.</w:t>
            </w:r>
          </w:p>
          <w:p w14:paraId="5BE3DF89" w14:textId="50036A27" w:rsidR="00AA18C0" w:rsidRDefault="00AA18C0" w:rsidP="00AA18C0">
            <w:pPr>
              <w:widowControl w:val="0"/>
              <w:autoSpaceDE w:val="0"/>
              <w:autoSpaceDN w:val="0"/>
              <w:ind w:right="563"/>
              <w:jc w:val="both"/>
              <w:rPr>
                <w:rFonts w:ascii="Arial" w:hAnsi="Arial" w:cs="Arial"/>
                <w:color w:val="000000"/>
                <w:sz w:val="20"/>
                <w:szCs w:val="20"/>
                <w:lang w:val="en-GB"/>
              </w:rPr>
            </w:pPr>
          </w:p>
          <w:p w14:paraId="7CF09D43" w14:textId="77777777" w:rsidR="00AA18C0" w:rsidRPr="00E923BA" w:rsidRDefault="00AA18C0" w:rsidP="00AA18C0">
            <w:pPr>
              <w:autoSpaceDE w:val="0"/>
              <w:autoSpaceDN w:val="0"/>
              <w:adjustRightInd w:val="0"/>
              <w:spacing w:beforeLines="120" w:before="288" w:afterLines="120" w:after="288"/>
              <w:jc w:val="both"/>
              <w:rPr>
                <w:rFonts w:ascii="Arial" w:hAnsi="Arial" w:cs="Arial"/>
                <w:sz w:val="20"/>
                <w:szCs w:val="20"/>
                <w:lang w:val="en-GB"/>
              </w:rPr>
            </w:pPr>
            <w:r w:rsidRPr="00E923BA">
              <w:rPr>
                <w:rFonts w:ascii="Arial" w:hAnsi="Arial" w:cs="Arial"/>
                <w:bCs/>
                <w:sz w:val="20"/>
                <w:szCs w:val="20"/>
                <w:lang w:val="en-GB"/>
              </w:rPr>
              <w:t xml:space="preserve">This provision should </w:t>
            </w:r>
            <w:r w:rsidRPr="00E923BA">
              <w:rPr>
                <w:rFonts w:ascii="Arial" w:hAnsi="Arial" w:cs="Arial"/>
                <w:sz w:val="20"/>
                <w:szCs w:val="20"/>
                <w:lang w:val="en-GB"/>
              </w:rPr>
              <w:t>support residents who are disadvantaged in some way or who disproportionately face barriers to engage, or to continue and progress in learning or employment. This could include but is not limited to:</w:t>
            </w:r>
          </w:p>
          <w:p w14:paraId="35CE180A" w14:textId="77777777" w:rsidR="00AA18C0" w:rsidRPr="00E923BA" w:rsidRDefault="00AA18C0" w:rsidP="00AA18C0">
            <w:pPr>
              <w:pStyle w:val="ListParagraph"/>
              <w:numPr>
                <w:ilvl w:val="0"/>
                <w:numId w:val="14"/>
              </w:numPr>
              <w:autoSpaceDE w:val="0"/>
              <w:autoSpaceDN w:val="0"/>
              <w:adjustRightInd w:val="0"/>
              <w:spacing w:beforeLines="120" w:before="288" w:afterLines="120" w:after="288"/>
              <w:jc w:val="both"/>
              <w:rPr>
                <w:rFonts w:ascii="Arial" w:hAnsi="Arial" w:cs="Arial"/>
                <w:sz w:val="20"/>
                <w:szCs w:val="20"/>
                <w:lang w:val="en-GB"/>
              </w:rPr>
            </w:pPr>
            <w:r w:rsidRPr="00E923BA">
              <w:rPr>
                <w:rFonts w:ascii="Arial" w:hAnsi="Arial" w:cs="Arial"/>
                <w:sz w:val="20"/>
                <w:szCs w:val="20"/>
                <w:lang w:val="en-GB"/>
              </w:rPr>
              <w:t xml:space="preserve">Care leavers </w:t>
            </w:r>
          </w:p>
          <w:p w14:paraId="3E7D057C" w14:textId="77777777" w:rsidR="00AA18C0" w:rsidRPr="00E923BA" w:rsidRDefault="00AA18C0" w:rsidP="00AA18C0">
            <w:pPr>
              <w:pStyle w:val="ListParagraph"/>
              <w:numPr>
                <w:ilvl w:val="0"/>
                <w:numId w:val="12"/>
              </w:numPr>
              <w:rPr>
                <w:rFonts w:ascii="Arial" w:hAnsi="Arial" w:cs="Arial"/>
                <w:sz w:val="20"/>
                <w:szCs w:val="20"/>
                <w:lang w:val="en-GB"/>
              </w:rPr>
            </w:pPr>
            <w:r w:rsidRPr="00E923BA">
              <w:rPr>
                <w:rFonts w:ascii="Arial" w:hAnsi="Arial" w:cs="Arial"/>
                <w:sz w:val="20"/>
                <w:szCs w:val="20"/>
                <w:lang w:val="en-GB"/>
              </w:rPr>
              <w:t>Homeless residents</w:t>
            </w:r>
          </w:p>
          <w:p w14:paraId="5D483552" w14:textId="77777777" w:rsidR="00AA18C0" w:rsidRPr="00E923BA" w:rsidRDefault="00AA18C0" w:rsidP="00AA18C0">
            <w:pPr>
              <w:pStyle w:val="ListParagraph"/>
              <w:numPr>
                <w:ilvl w:val="0"/>
                <w:numId w:val="12"/>
              </w:numPr>
              <w:rPr>
                <w:rFonts w:ascii="Arial" w:hAnsi="Arial" w:cs="Arial"/>
                <w:sz w:val="20"/>
                <w:szCs w:val="20"/>
                <w:lang w:val="en-GB"/>
              </w:rPr>
            </w:pPr>
            <w:r w:rsidRPr="00E923BA">
              <w:rPr>
                <w:rFonts w:ascii="Arial" w:hAnsi="Arial" w:cs="Arial"/>
                <w:sz w:val="20"/>
                <w:szCs w:val="20"/>
                <w:lang w:val="en-GB"/>
              </w:rPr>
              <w:t xml:space="preserve">Residents with special educational needs and disabilities </w:t>
            </w:r>
          </w:p>
          <w:p w14:paraId="36326B5F" w14:textId="77777777" w:rsidR="00AA18C0" w:rsidRPr="00E923BA" w:rsidRDefault="00AA18C0" w:rsidP="00AA18C0">
            <w:pPr>
              <w:pStyle w:val="ListParagraph"/>
              <w:numPr>
                <w:ilvl w:val="0"/>
                <w:numId w:val="12"/>
              </w:numPr>
              <w:rPr>
                <w:rFonts w:ascii="Arial" w:hAnsi="Arial" w:cs="Arial"/>
                <w:sz w:val="20"/>
                <w:szCs w:val="20"/>
                <w:lang w:val="en-GB"/>
              </w:rPr>
            </w:pPr>
            <w:r w:rsidRPr="00E923BA">
              <w:rPr>
                <w:rFonts w:ascii="Arial" w:hAnsi="Arial" w:cs="Arial"/>
                <w:sz w:val="20"/>
                <w:szCs w:val="20"/>
                <w:lang w:val="en-GB"/>
              </w:rPr>
              <w:t>Ex-offenders</w:t>
            </w:r>
          </w:p>
          <w:p w14:paraId="474DFA85" w14:textId="77777777" w:rsidR="00AA18C0" w:rsidRPr="00E923BA" w:rsidRDefault="00AA18C0" w:rsidP="00AA18C0">
            <w:pPr>
              <w:pStyle w:val="ListParagraph"/>
              <w:numPr>
                <w:ilvl w:val="0"/>
                <w:numId w:val="12"/>
              </w:numPr>
              <w:rPr>
                <w:rFonts w:ascii="Arial" w:hAnsi="Arial" w:cs="Arial"/>
                <w:sz w:val="20"/>
                <w:szCs w:val="20"/>
                <w:lang w:val="en-GB"/>
              </w:rPr>
            </w:pPr>
            <w:r w:rsidRPr="00E923BA">
              <w:rPr>
                <w:rFonts w:ascii="Arial" w:hAnsi="Arial" w:cs="Arial"/>
                <w:sz w:val="20"/>
                <w:szCs w:val="20"/>
                <w:lang w:val="en-GB"/>
              </w:rPr>
              <w:t xml:space="preserve">Residents Not in Education Employment or Training </w:t>
            </w:r>
          </w:p>
          <w:p w14:paraId="1590A672" w14:textId="77777777" w:rsidR="00AA18C0" w:rsidRPr="00E923BA" w:rsidRDefault="00AA18C0" w:rsidP="00AA18C0">
            <w:pPr>
              <w:pStyle w:val="ListParagraph"/>
              <w:numPr>
                <w:ilvl w:val="0"/>
                <w:numId w:val="12"/>
              </w:numPr>
              <w:rPr>
                <w:rFonts w:ascii="Arial" w:hAnsi="Arial" w:cs="Arial"/>
                <w:sz w:val="20"/>
                <w:szCs w:val="20"/>
                <w:lang w:val="en-GB"/>
              </w:rPr>
            </w:pPr>
            <w:r w:rsidRPr="00E923BA">
              <w:rPr>
                <w:rFonts w:ascii="Arial" w:hAnsi="Arial" w:cs="Arial"/>
                <w:sz w:val="20"/>
                <w:szCs w:val="20"/>
                <w:lang w:val="en-GB"/>
              </w:rPr>
              <w:t xml:space="preserve">Residents from BAME backgrounds </w:t>
            </w:r>
          </w:p>
          <w:p w14:paraId="694E2CFE" w14:textId="77777777" w:rsidR="00AA18C0" w:rsidRPr="00E923BA" w:rsidRDefault="00AA18C0" w:rsidP="00AA18C0">
            <w:pPr>
              <w:pStyle w:val="ListParagraph"/>
              <w:numPr>
                <w:ilvl w:val="0"/>
                <w:numId w:val="12"/>
              </w:numPr>
              <w:rPr>
                <w:rFonts w:ascii="Arial" w:hAnsi="Arial" w:cs="Arial"/>
                <w:sz w:val="20"/>
                <w:szCs w:val="20"/>
                <w:lang w:val="en-GB"/>
              </w:rPr>
            </w:pPr>
            <w:r w:rsidRPr="00E923BA">
              <w:rPr>
                <w:rFonts w:ascii="Arial" w:hAnsi="Arial" w:cs="Arial"/>
                <w:sz w:val="20"/>
                <w:szCs w:val="20"/>
                <w:lang w:val="en-GB"/>
              </w:rPr>
              <w:t xml:space="preserve">Residents aged over 50 </w:t>
            </w:r>
          </w:p>
          <w:p w14:paraId="2E0C3CC6" w14:textId="7720F459" w:rsidR="00AA18C0" w:rsidRPr="00AA18C0" w:rsidRDefault="00AA18C0" w:rsidP="00AA18C0">
            <w:pPr>
              <w:pStyle w:val="ListParagraph"/>
              <w:widowControl w:val="0"/>
              <w:numPr>
                <w:ilvl w:val="0"/>
                <w:numId w:val="12"/>
              </w:numPr>
              <w:autoSpaceDE w:val="0"/>
              <w:autoSpaceDN w:val="0"/>
              <w:ind w:right="563"/>
              <w:jc w:val="both"/>
              <w:rPr>
                <w:rFonts w:ascii="Arial" w:hAnsi="Arial" w:cs="Arial"/>
                <w:color w:val="000000"/>
                <w:sz w:val="20"/>
                <w:szCs w:val="20"/>
                <w:lang w:val="en-GB"/>
              </w:rPr>
            </w:pPr>
            <w:r w:rsidRPr="00AA18C0">
              <w:rPr>
                <w:rFonts w:ascii="Arial" w:hAnsi="Arial" w:cs="Arial"/>
                <w:sz w:val="20"/>
                <w:szCs w:val="20"/>
                <w:lang w:val="en-GB"/>
              </w:rPr>
              <w:t>Residents impacted by sudden changes in the employment/ business landscape.</w:t>
            </w:r>
          </w:p>
          <w:p w14:paraId="0301233C" w14:textId="797A58C9" w:rsidR="00AA18C0" w:rsidRPr="00E923BA" w:rsidRDefault="00AA18C0" w:rsidP="00AA18C0">
            <w:pPr>
              <w:pStyle w:val="ListParagraph"/>
              <w:rPr>
                <w:rFonts w:ascii="Arial" w:hAnsi="Arial" w:cs="Arial"/>
                <w:sz w:val="20"/>
                <w:szCs w:val="20"/>
                <w:lang w:eastAsia="en-GB" w:bidi="en-GB"/>
              </w:rPr>
            </w:pPr>
          </w:p>
        </w:tc>
      </w:tr>
      <w:tr w:rsidR="00AA18C0" w:rsidRPr="00E923BA" w14:paraId="3D9E3595" w14:textId="77777777" w:rsidTr="00B377C9">
        <w:tc>
          <w:tcPr>
            <w:tcW w:w="10060" w:type="dxa"/>
            <w:shd w:val="clear" w:color="auto" w:fill="BDD6EE" w:themeFill="accent1" w:themeFillTint="66"/>
          </w:tcPr>
          <w:p w14:paraId="148A46E7" w14:textId="77777777" w:rsidR="00AA18C0" w:rsidRPr="00E923BA" w:rsidRDefault="00AA18C0" w:rsidP="00AA18C0">
            <w:pPr>
              <w:rPr>
                <w:rFonts w:ascii="Arial" w:hAnsi="Arial" w:cs="Arial"/>
                <w:sz w:val="20"/>
                <w:szCs w:val="20"/>
                <w:lang w:val="en-GB"/>
              </w:rPr>
            </w:pPr>
            <w:r w:rsidRPr="00E923BA">
              <w:rPr>
                <w:sz w:val="20"/>
                <w:szCs w:val="20"/>
              </w:rPr>
              <w:t xml:space="preserve">Indicative Lot value: </w:t>
            </w:r>
            <w:r w:rsidRPr="00E923BA">
              <w:rPr>
                <w:rFonts w:ascii="Arial" w:hAnsi="Arial" w:cs="Arial"/>
                <w:sz w:val="20"/>
                <w:szCs w:val="20"/>
                <w:lang w:val="en-GB"/>
              </w:rPr>
              <w:t xml:space="preserve">£600k </w:t>
            </w:r>
          </w:p>
          <w:p w14:paraId="63335999" w14:textId="4E3E04C4" w:rsidR="00AA18C0" w:rsidRPr="00E923BA" w:rsidRDefault="00AA18C0" w:rsidP="00827A74">
            <w:pPr>
              <w:autoSpaceDE w:val="0"/>
              <w:autoSpaceDN w:val="0"/>
              <w:adjustRightInd w:val="0"/>
              <w:spacing w:beforeLines="120" w:before="288" w:afterLines="120" w:after="288"/>
              <w:rPr>
                <w:rFonts w:ascii="Arial" w:hAnsi="Arial" w:cs="Arial"/>
                <w:color w:val="000000"/>
                <w:sz w:val="20"/>
                <w:szCs w:val="20"/>
                <w:lang w:val="en-GB"/>
              </w:rPr>
            </w:pPr>
            <w:r w:rsidRPr="00E923BA">
              <w:rPr>
                <w:rFonts w:ascii="Arial" w:hAnsi="Arial" w:cs="Arial"/>
                <w:color w:val="000000"/>
                <w:sz w:val="20"/>
                <w:szCs w:val="20"/>
                <w:lang w:val="en-GB"/>
              </w:rPr>
              <w:t>Geography: No geographical requirement</w:t>
            </w:r>
            <w:r>
              <w:rPr>
                <w:rFonts w:ascii="Arial" w:hAnsi="Arial" w:cs="Arial"/>
                <w:color w:val="000000"/>
                <w:sz w:val="20"/>
                <w:szCs w:val="20"/>
                <w:lang w:val="en-GB"/>
              </w:rPr>
              <w:t xml:space="preserve"> </w:t>
            </w:r>
          </w:p>
          <w:p w14:paraId="0DF0B6E1" w14:textId="74AB9E82" w:rsidR="00B377C9" w:rsidRPr="001D7405" w:rsidRDefault="00AA18C0" w:rsidP="00B377C9">
            <w:pPr>
              <w:autoSpaceDE w:val="0"/>
              <w:autoSpaceDN w:val="0"/>
              <w:adjustRightInd w:val="0"/>
              <w:spacing w:beforeLines="120" w:before="288" w:afterLines="120" w:after="288"/>
              <w:jc w:val="both"/>
              <w:rPr>
                <w:rFonts w:ascii="Arial" w:hAnsi="Arial" w:cs="Arial"/>
                <w:sz w:val="20"/>
                <w:szCs w:val="20"/>
                <w:lang w:val="en-GB"/>
              </w:rPr>
            </w:pPr>
            <w:r w:rsidRPr="00E923BA">
              <w:rPr>
                <w:rFonts w:ascii="Arial" w:hAnsi="Arial" w:cs="Arial"/>
                <w:color w:val="000000"/>
                <w:sz w:val="20"/>
                <w:szCs w:val="20"/>
                <w:lang w:val="en-GB"/>
              </w:rPr>
              <w:t xml:space="preserve"> </w:t>
            </w:r>
            <w:r w:rsidRPr="00770E58">
              <w:rPr>
                <w:rFonts w:ascii="Arial" w:hAnsi="Arial" w:cs="Arial"/>
                <w:sz w:val="20"/>
                <w:szCs w:val="20"/>
              </w:rPr>
              <w:t xml:space="preserve">Contract Values: </w:t>
            </w:r>
            <w:r w:rsidR="00B377C9" w:rsidRPr="003A1FAA">
              <w:rPr>
                <w:rFonts w:ascii="Arial" w:hAnsi="Arial" w:cs="Arial"/>
                <w:sz w:val="20"/>
                <w:szCs w:val="20"/>
                <w:lang w:val="en-GB"/>
              </w:rPr>
              <w:t xml:space="preserve"> min £25k max £1</w:t>
            </w:r>
            <w:r w:rsidR="00424BF7" w:rsidRPr="003A1FAA">
              <w:rPr>
                <w:rFonts w:ascii="Arial" w:hAnsi="Arial" w:cs="Arial"/>
                <w:sz w:val="20"/>
                <w:szCs w:val="20"/>
                <w:lang w:val="en-GB"/>
              </w:rPr>
              <w:t>50</w:t>
            </w:r>
            <w:r w:rsidR="00B377C9" w:rsidRPr="001D7405">
              <w:rPr>
                <w:rFonts w:ascii="Arial" w:hAnsi="Arial" w:cs="Arial"/>
                <w:sz w:val="20"/>
                <w:szCs w:val="20"/>
                <w:lang w:val="en-GB"/>
              </w:rPr>
              <w:t>k</w:t>
            </w:r>
          </w:p>
          <w:p w14:paraId="7A80E355" w14:textId="04E84AE2" w:rsidR="00AA18C0" w:rsidRPr="00B377C9" w:rsidRDefault="00B377C9" w:rsidP="00B377C9">
            <w:pPr>
              <w:autoSpaceDE w:val="0"/>
              <w:autoSpaceDN w:val="0"/>
              <w:adjustRightInd w:val="0"/>
              <w:spacing w:beforeLines="120" w:before="288" w:afterLines="120" w:after="288"/>
              <w:rPr>
                <w:b/>
                <w:sz w:val="20"/>
                <w:szCs w:val="20"/>
              </w:rPr>
            </w:pPr>
            <w:r w:rsidRPr="00B377C9">
              <w:rPr>
                <w:b/>
              </w:rPr>
              <w:t>National annual funding cap of £4,400 per resident</w:t>
            </w:r>
          </w:p>
        </w:tc>
      </w:tr>
    </w:tbl>
    <w:p w14:paraId="7B5BCF66" w14:textId="77777777" w:rsidR="003F7B0A" w:rsidRDefault="003F7B0A" w:rsidP="003F7B0A">
      <w:pPr>
        <w:pStyle w:val="BodyText"/>
        <w:spacing w:before="1"/>
        <w:ind w:right="567"/>
        <w:jc w:val="both"/>
      </w:pPr>
    </w:p>
    <w:p w14:paraId="42825413" w14:textId="77777777" w:rsidR="009C1460" w:rsidRPr="00E923BA" w:rsidRDefault="009C1460" w:rsidP="009C1460">
      <w:pPr>
        <w:pStyle w:val="Default"/>
      </w:pPr>
    </w:p>
    <w:p w14:paraId="5B245E5D" w14:textId="786781C5" w:rsidR="009C1460" w:rsidRDefault="00DF2FCD" w:rsidP="009C1460">
      <w:pPr>
        <w:pStyle w:val="Default"/>
        <w:rPr>
          <w:b/>
          <w:bCs/>
        </w:rPr>
      </w:pPr>
      <w:r w:rsidRPr="00E923BA">
        <w:rPr>
          <w:b/>
          <w:bCs/>
        </w:rPr>
        <w:t>Social Value</w:t>
      </w:r>
    </w:p>
    <w:p w14:paraId="35EA4E04" w14:textId="77777777" w:rsidR="009C1460" w:rsidRPr="00E923BA" w:rsidRDefault="009C1460" w:rsidP="009C1460">
      <w:pPr>
        <w:pStyle w:val="Default"/>
        <w:rPr>
          <w:b/>
          <w:bCs/>
        </w:rPr>
      </w:pPr>
    </w:p>
    <w:p w14:paraId="53D8A13B" w14:textId="6CD70661" w:rsidR="00424DA4" w:rsidRDefault="00031D5D" w:rsidP="00424DA4">
      <w:pPr>
        <w:pStyle w:val="ListParagraph"/>
        <w:numPr>
          <w:ilvl w:val="0"/>
          <w:numId w:val="2"/>
        </w:numPr>
        <w:autoSpaceDE w:val="0"/>
        <w:autoSpaceDN w:val="0"/>
        <w:adjustRightInd w:val="0"/>
        <w:spacing w:after="0" w:line="240" w:lineRule="auto"/>
        <w:rPr>
          <w:rFonts w:ascii="Arial" w:hAnsi="Arial" w:cs="Arial"/>
          <w:sz w:val="24"/>
          <w:szCs w:val="24"/>
        </w:rPr>
      </w:pPr>
      <w:r w:rsidRPr="00424DA4">
        <w:rPr>
          <w:rFonts w:ascii="Arial" w:hAnsi="Arial" w:cs="Arial"/>
          <w:sz w:val="24"/>
          <w:szCs w:val="24"/>
        </w:rPr>
        <w:t xml:space="preserve">The Public Services (Social Value) Act 2012 came into force on 31st January 2013. It is now a legal obligation for local authorities and other public bodies to consider the social good that could come from the procurement of services before they embark upon it. The aim of the Act is not to alter the commissioning and procurement processes, but to ensure that, as part of these processes, </w:t>
      </w:r>
      <w:r w:rsidR="00424DA4">
        <w:rPr>
          <w:rFonts w:ascii="Arial" w:hAnsi="Arial" w:cs="Arial"/>
          <w:sz w:val="24"/>
          <w:szCs w:val="24"/>
        </w:rPr>
        <w:t xml:space="preserve">local authorities </w:t>
      </w:r>
      <w:r w:rsidR="00424DA4" w:rsidRPr="00424DA4">
        <w:rPr>
          <w:rFonts w:ascii="Arial" w:hAnsi="Arial" w:cs="Arial"/>
          <w:sz w:val="24"/>
          <w:szCs w:val="24"/>
        </w:rPr>
        <w:t>consider</w:t>
      </w:r>
      <w:r w:rsidRPr="00424DA4">
        <w:rPr>
          <w:rFonts w:ascii="Arial" w:hAnsi="Arial" w:cs="Arial"/>
          <w:sz w:val="24"/>
          <w:szCs w:val="24"/>
        </w:rPr>
        <w:t xml:space="preserve"> the wider impact of the services delivery.</w:t>
      </w:r>
    </w:p>
    <w:p w14:paraId="0BADF690" w14:textId="77777777" w:rsidR="00424DA4" w:rsidRDefault="00424DA4" w:rsidP="00424DA4">
      <w:pPr>
        <w:pStyle w:val="ListParagraph"/>
        <w:autoSpaceDE w:val="0"/>
        <w:autoSpaceDN w:val="0"/>
        <w:adjustRightInd w:val="0"/>
        <w:spacing w:after="0" w:line="240" w:lineRule="auto"/>
        <w:ind w:left="360"/>
        <w:rPr>
          <w:rFonts w:ascii="Arial" w:hAnsi="Arial" w:cs="Arial"/>
          <w:sz w:val="24"/>
          <w:szCs w:val="24"/>
        </w:rPr>
      </w:pPr>
    </w:p>
    <w:p w14:paraId="5AAE7196" w14:textId="50DA6988" w:rsidR="00031D5D" w:rsidRPr="00424DA4" w:rsidRDefault="00031D5D" w:rsidP="00424DA4">
      <w:pPr>
        <w:pStyle w:val="ListParagraph"/>
        <w:numPr>
          <w:ilvl w:val="0"/>
          <w:numId w:val="2"/>
        </w:numPr>
        <w:autoSpaceDE w:val="0"/>
        <w:autoSpaceDN w:val="0"/>
        <w:adjustRightInd w:val="0"/>
        <w:spacing w:after="0" w:line="240" w:lineRule="auto"/>
        <w:rPr>
          <w:rFonts w:ascii="Arial" w:hAnsi="Arial" w:cs="Arial"/>
          <w:sz w:val="24"/>
          <w:szCs w:val="24"/>
        </w:rPr>
      </w:pPr>
      <w:r w:rsidRPr="00424DA4">
        <w:rPr>
          <w:rFonts w:ascii="Arial" w:hAnsi="Arial" w:cs="Arial"/>
          <w:sz w:val="24"/>
          <w:szCs w:val="24"/>
        </w:rPr>
        <w:t xml:space="preserve">The </w:t>
      </w:r>
      <w:r w:rsidR="00424DA4">
        <w:rPr>
          <w:rFonts w:ascii="Arial" w:hAnsi="Arial" w:cs="Arial"/>
          <w:sz w:val="24"/>
          <w:szCs w:val="24"/>
        </w:rPr>
        <w:t>A</w:t>
      </w:r>
      <w:r w:rsidRPr="00424DA4">
        <w:rPr>
          <w:rFonts w:ascii="Arial" w:hAnsi="Arial" w:cs="Arial"/>
          <w:sz w:val="24"/>
          <w:szCs w:val="24"/>
        </w:rPr>
        <w:t>ct does not define what is meant by ‘social value’. Therefore</w:t>
      </w:r>
      <w:r w:rsidR="003423C4" w:rsidRPr="00424DA4">
        <w:rPr>
          <w:rFonts w:ascii="Arial" w:hAnsi="Arial" w:cs="Arial"/>
          <w:sz w:val="24"/>
          <w:szCs w:val="24"/>
        </w:rPr>
        <w:t>,</w:t>
      </w:r>
      <w:r w:rsidRPr="00424DA4">
        <w:rPr>
          <w:rFonts w:ascii="Arial" w:hAnsi="Arial" w:cs="Arial"/>
          <w:sz w:val="24"/>
          <w:szCs w:val="24"/>
        </w:rPr>
        <w:t xml:space="preserve"> the</w:t>
      </w:r>
      <w:r w:rsidR="00AE714B">
        <w:rPr>
          <w:rFonts w:ascii="Arial" w:hAnsi="Arial" w:cs="Arial"/>
          <w:sz w:val="24"/>
          <w:szCs w:val="24"/>
        </w:rPr>
        <w:t xml:space="preserve"> NTCA</w:t>
      </w:r>
      <w:r w:rsidRPr="00424DA4">
        <w:rPr>
          <w:rFonts w:ascii="Arial" w:hAnsi="Arial" w:cs="Arial"/>
          <w:sz w:val="24"/>
          <w:szCs w:val="24"/>
        </w:rPr>
        <w:t xml:space="preserve"> has adopted the definition of social value as set out by the Sustainable Procurement Taskforce, defined as: </w:t>
      </w:r>
      <w:r w:rsidR="00FE6E28" w:rsidRPr="00424DA4">
        <w:rPr>
          <w:rFonts w:ascii="Arial" w:hAnsi="Arial" w:cs="Arial"/>
          <w:sz w:val="24"/>
          <w:szCs w:val="24"/>
        </w:rPr>
        <w:t>“</w:t>
      </w:r>
      <w:r w:rsidRPr="00424DA4">
        <w:rPr>
          <w:rFonts w:ascii="Arial" w:hAnsi="Arial" w:cs="Arial"/>
          <w:sz w:val="24"/>
          <w:szCs w:val="24"/>
        </w:rPr>
        <w:t xml:space="preserve">A process whereby </w:t>
      </w:r>
      <w:r w:rsidR="00AE5656" w:rsidRPr="00424DA4">
        <w:rPr>
          <w:rFonts w:ascii="Arial" w:hAnsi="Arial" w:cs="Arial"/>
          <w:sz w:val="24"/>
          <w:szCs w:val="24"/>
        </w:rPr>
        <w:t>organisations</w:t>
      </w:r>
      <w:r w:rsidRPr="00424DA4">
        <w:rPr>
          <w:rFonts w:ascii="Arial" w:hAnsi="Arial" w:cs="Arial"/>
          <w:sz w:val="24"/>
          <w:szCs w:val="24"/>
        </w:rPr>
        <w:t xml:space="preserve"> meet their needs for goods, services, works and utilities in a way that achieves value for money on a whole life basis in terms of generating benefits not only to the </w:t>
      </w:r>
      <w:r w:rsidR="00AE5656" w:rsidRPr="00424DA4">
        <w:rPr>
          <w:rFonts w:ascii="Arial" w:hAnsi="Arial" w:cs="Arial"/>
          <w:sz w:val="24"/>
          <w:szCs w:val="24"/>
        </w:rPr>
        <w:t>organisation</w:t>
      </w:r>
      <w:r w:rsidRPr="00424DA4">
        <w:rPr>
          <w:rFonts w:ascii="Arial" w:hAnsi="Arial" w:cs="Arial"/>
          <w:sz w:val="24"/>
          <w:szCs w:val="24"/>
        </w:rPr>
        <w:t>, but also to society and economy, whilst minimising damage to the environment”</w:t>
      </w:r>
      <w:r w:rsidR="009C1460" w:rsidRPr="00424DA4">
        <w:rPr>
          <w:rFonts w:ascii="Arial" w:hAnsi="Arial" w:cs="Arial"/>
          <w:sz w:val="24"/>
          <w:szCs w:val="24"/>
        </w:rPr>
        <w:t>.</w:t>
      </w:r>
    </w:p>
    <w:p w14:paraId="21C262B9" w14:textId="77777777" w:rsidR="009C1460" w:rsidRPr="000A24F5" w:rsidRDefault="009C1460" w:rsidP="009C1460">
      <w:pPr>
        <w:pStyle w:val="Default"/>
      </w:pPr>
    </w:p>
    <w:p w14:paraId="71485D5B" w14:textId="1D7D9ABA" w:rsidR="00031D5D" w:rsidRPr="000A24F5" w:rsidRDefault="00DF2FCD" w:rsidP="00424DA4">
      <w:pPr>
        <w:pStyle w:val="ListParagraph"/>
        <w:numPr>
          <w:ilvl w:val="0"/>
          <w:numId w:val="2"/>
        </w:numPr>
        <w:autoSpaceDE w:val="0"/>
        <w:autoSpaceDN w:val="0"/>
        <w:adjustRightInd w:val="0"/>
        <w:spacing w:after="0" w:line="240" w:lineRule="auto"/>
        <w:rPr>
          <w:rFonts w:ascii="Arial" w:hAnsi="Arial" w:cs="Arial"/>
          <w:sz w:val="24"/>
          <w:szCs w:val="24"/>
        </w:rPr>
      </w:pPr>
      <w:r w:rsidRPr="000A24F5">
        <w:rPr>
          <w:rFonts w:ascii="Arial" w:hAnsi="Arial" w:cs="Arial"/>
          <w:sz w:val="24"/>
          <w:szCs w:val="24"/>
        </w:rPr>
        <w:t xml:space="preserve">NTCA </w:t>
      </w:r>
      <w:r w:rsidR="00031D5D" w:rsidRPr="000A24F5">
        <w:rPr>
          <w:rFonts w:ascii="Arial" w:hAnsi="Arial" w:cs="Arial"/>
          <w:sz w:val="24"/>
          <w:szCs w:val="24"/>
        </w:rPr>
        <w:t>places great importance on the contribution to Social Value that this</w:t>
      </w:r>
      <w:r w:rsidR="003423C4" w:rsidRPr="000A24F5">
        <w:rPr>
          <w:rFonts w:ascii="Arial" w:hAnsi="Arial" w:cs="Arial"/>
          <w:sz w:val="24"/>
          <w:szCs w:val="24"/>
        </w:rPr>
        <w:t xml:space="preserve"> procurement process</w:t>
      </w:r>
      <w:r w:rsidR="00031D5D" w:rsidRPr="000A24F5">
        <w:rPr>
          <w:rFonts w:ascii="Arial" w:hAnsi="Arial" w:cs="Arial"/>
          <w:sz w:val="24"/>
          <w:szCs w:val="24"/>
        </w:rPr>
        <w:t xml:space="preserve"> can make above and beyond the expectation of delivery for the purpose of the contract. Hence it has been determined that the Social Value question set out with</w:t>
      </w:r>
      <w:r w:rsidR="005D6887" w:rsidRPr="000A24F5">
        <w:rPr>
          <w:rFonts w:ascii="Arial" w:hAnsi="Arial" w:cs="Arial"/>
          <w:sz w:val="24"/>
          <w:szCs w:val="24"/>
        </w:rPr>
        <w:t xml:space="preserve">in the ITT response will form </w:t>
      </w:r>
      <w:r w:rsidR="005C6C32" w:rsidRPr="000A24F5">
        <w:rPr>
          <w:rFonts w:ascii="Arial" w:hAnsi="Arial" w:cs="Arial"/>
          <w:sz w:val="24"/>
          <w:szCs w:val="24"/>
        </w:rPr>
        <w:t>10</w:t>
      </w:r>
      <w:r w:rsidR="00031D5D" w:rsidRPr="000A24F5">
        <w:rPr>
          <w:rFonts w:ascii="Arial" w:hAnsi="Arial" w:cs="Arial"/>
          <w:sz w:val="24"/>
          <w:szCs w:val="24"/>
        </w:rPr>
        <w:t>% of the scoring criteria.</w:t>
      </w:r>
    </w:p>
    <w:p w14:paraId="76A59D78" w14:textId="77777777" w:rsidR="009C1460" w:rsidRPr="000A24F5" w:rsidRDefault="009C1460" w:rsidP="009C1460">
      <w:pPr>
        <w:pStyle w:val="Default"/>
      </w:pPr>
    </w:p>
    <w:p w14:paraId="636C56EF" w14:textId="7A0AC9D3" w:rsidR="009C1460" w:rsidRPr="000A24F5" w:rsidRDefault="00303AF0" w:rsidP="000A24F5">
      <w:pPr>
        <w:pStyle w:val="ListParagraph"/>
        <w:numPr>
          <w:ilvl w:val="0"/>
          <w:numId w:val="2"/>
        </w:numPr>
        <w:autoSpaceDE w:val="0"/>
        <w:autoSpaceDN w:val="0"/>
        <w:adjustRightInd w:val="0"/>
        <w:spacing w:after="0" w:line="240" w:lineRule="auto"/>
        <w:rPr>
          <w:rFonts w:ascii="Arial" w:hAnsi="Arial" w:cs="Arial"/>
          <w:sz w:val="24"/>
          <w:szCs w:val="24"/>
        </w:rPr>
      </w:pPr>
      <w:r w:rsidRPr="000A24F5">
        <w:rPr>
          <w:rFonts w:ascii="Arial" w:hAnsi="Arial" w:cs="Arial"/>
          <w:sz w:val="24"/>
          <w:szCs w:val="24"/>
        </w:rPr>
        <w:t xml:space="preserve">Successful </w:t>
      </w:r>
      <w:r w:rsidR="00F04F1C" w:rsidRPr="000A24F5">
        <w:rPr>
          <w:rFonts w:ascii="Arial" w:hAnsi="Arial" w:cs="Arial"/>
          <w:sz w:val="24"/>
          <w:szCs w:val="24"/>
        </w:rPr>
        <w:t>o</w:t>
      </w:r>
      <w:r w:rsidR="00AE5656" w:rsidRPr="000A24F5">
        <w:rPr>
          <w:rFonts w:ascii="Arial" w:hAnsi="Arial" w:cs="Arial"/>
          <w:sz w:val="24"/>
          <w:szCs w:val="24"/>
        </w:rPr>
        <w:t>rganisations</w:t>
      </w:r>
      <w:r w:rsidRPr="000A24F5">
        <w:rPr>
          <w:rFonts w:ascii="Arial" w:hAnsi="Arial" w:cs="Arial"/>
          <w:sz w:val="24"/>
          <w:szCs w:val="24"/>
        </w:rPr>
        <w:t xml:space="preserve"> will be required to provide an annual update on their responses to the Social Value question</w:t>
      </w:r>
      <w:r w:rsidR="00A96E4C" w:rsidRPr="000A24F5">
        <w:rPr>
          <w:rFonts w:ascii="Arial" w:hAnsi="Arial" w:cs="Arial"/>
          <w:sz w:val="24"/>
          <w:szCs w:val="24"/>
        </w:rPr>
        <w:t xml:space="preserve">. </w:t>
      </w:r>
      <w:r w:rsidRPr="000A24F5">
        <w:rPr>
          <w:rFonts w:ascii="Arial" w:hAnsi="Arial" w:cs="Arial"/>
          <w:sz w:val="24"/>
          <w:szCs w:val="24"/>
        </w:rPr>
        <w:t xml:space="preserve"> </w:t>
      </w:r>
    </w:p>
    <w:p w14:paraId="4363D288" w14:textId="77777777" w:rsidR="00A96E4C" w:rsidRPr="00A96E4C" w:rsidRDefault="00A96E4C" w:rsidP="00A96E4C">
      <w:pPr>
        <w:pStyle w:val="Default"/>
        <w:rPr>
          <w:color w:val="auto"/>
        </w:rPr>
      </w:pPr>
    </w:p>
    <w:p w14:paraId="515992D5" w14:textId="77AEBABC" w:rsidR="00303AF0" w:rsidRPr="000A24F5" w:rsidRDefault="00303AF0" w:rsidP="000A24F5">
      <w:pPr>
        <w:pStyle w:val="ListParagraph"/>
        <w:numPr>
          <w:ilvl w:val="0"/>
          <w:numId w:val="2"/>
        </w:numPr>
        <w:autoSpaceDE w:val="0"/>
        <w:autoSpaceDN w:val="0"/>
        <w:adjustRightInd w:val="0"/>
        <w:spacing w:after="0" w:line="240" w:lineRule="auto"/>
        <w:rPr>
          <w:rFonts w:ascii="Arial" w:hAnsi="Arial" w:cs="Arial"/>
          <w:sz w:val="24"/>
          <w:szCs w:val="24"/>
        </w:rPr>
      </w:pPr>
      <w:r w:rsidRPr="000A24F5">
        <w:rPr>
          <w:rFonts w:ascii="Arial" w:hAnsi="Arial" w:cs="Arial"/>
          <w:sz w:val="24"/>
          <w:szCs w:val="24"/>
        </w:rPr>
        <w:t xml:space="preserve">Further information about Social Value can be found </w:t>
      </w:r>
      <w:r w:rsidR="000A24F5">
        <w:rPr>
          <w:rFonts w:ascii="Arial" w:hAnsi="Arial" w:cs="Arial"/>
          <w:sz w:val="24"/>
          <w:szCs w:val="24"/>
        </w:rPr>
        <w:t>at</w:t>
      </w:r>
      <w:r w:rsidRPr="000A24F5">
        <w:rPr>
          <w:rFonts w:ascii="Arial" w:hAnsi="Arial" w:cs="Arial"/>
          <w:sz w:val="24"/>
          <w:szCs w:val="24"/>
        </w:rPr>
        <w:t>:</w:t>
      </w:r>
    </w:p>
    <w:p w14:paraId="5B960464" w14:textId="77777777" w:rsidR="000A24F5" w:rsidRPr="000A24F5" w:rsidRDefault="000A24F5" w:rsidP="000A24F5">
      <w:pPr>
        <w:autoSpaceDE w:val="0"/>
        <w:autoSpaceDN w:val="0"/>
        <w:adjustRightInd w:val="0"/>
        <w:spacing w:after="0" w:line="240" w:lineRule="auto"/>
        <w:rPr>
          <w:rFonts w:ascii="Arial" w:hAnsi="Arial" w:cs="Arial"/>
          <w:sz w:val="24"/>
          <w:szCs w:val="24"/>
        </w:rPr>
      </w:pPr>
    </w:p>
    <w:p w14:paraId="1F683237" w14:textId="388D0A3C" w:rsidR="000A24F5" w:rsidRPr="000A24F5" w:rsidRDefault="005E325F" w:rsidP="000A24F5">
      <w:pPr>
        <w:pStyle w:val="ListParagraph"/>
        <w:numPr>
          <w:ilvl w:val="0"/>
          <w:numId w:val="15"/>
        </w:numPr>
        <w:tabs>
          <w:tab w:val="left" w:pos="0"/>
        </w:tabs>
        <w:spacing w:after="0" w:line="240" w:lineRule="auto"/>
        <w:rPr>
          <w:rFonts w:ascii="Arial" w:hAnsi="Arial" w:cs="Arial"/>
          <w:sz w:val="24"/>
          <w:szCs w:val="24"/>
        </w:rPr>
      </w:pPr>
      <w:hyperlink r:id="rId16" w:history="1">
        <w:r w:rsidR="00E923BA" w:rsidRPr="00E923BA">
          <w:rPr>
            <w:rFonts w:ascii="Arial" w:hAnsi="Arial" w:cs="Arial"/>
            <w:sz w:val="24"/>
            <w:szCs w:val="24"/>
          </w:rPr>
          <w:t>Social Value Act 2012</w:t>
        </w:r>
      </w:hyperlink>
    </w:p>
    <w:p w14:paraId="17506A32" w14:textId="77777777" w:rsidR="00E923BA" w:rsidRPr="00E923BA" w:rsidRDefault="005E325F" w:rsidP="009C1460">
      <w:pPr>
        <w:pStyle w:val="ListParagraph"/>
        <w:numPr>
          <w:ilvl w:val="0"/>
          <w:numId w:val="15"/>
        </w:numPr>
        <w:tabs>
          <w:tab w:val="left" w:pos="0"/>
        </w:tabs>
        <w:spacing w:after="0" w:line="240" w:lineRule="auto"/>
        <w:rPr>
          <w:rFonts w:ascii="Arial" w:hAnsi="Arial" w:cs="Arial"/>
          <w:sz w:val="24"/>
          <w:szCs w:val="24"/>
        </w:rPr>
      </w:pPr>
      <w:hyperlink r:id="rId17" w:history="1">
        <w:r w:rsidR="00E923BA" w:rsidRPr="00E923BA">
          <w:rPr>
            <w:rFonts w:ascii="Arial" w:hAnsi="Arial" w:cs="Arial"/>
            <w:sz w:val="24"/>
            <w:szCs w:val="24"/>
          </w:rPr>
          <w:t>Social Value information (GOV.UK)</w:t>
        </w:r>
      </w:hyperlink>
    </w:p>
    <w:p w14:paraId="0306CE51" w14:textId="77777777" w:rsidR="00E923BA" w:rsidRPr="00E923BA" w:rsidRDefault="005E325F" w:rsidP="009C1460">
      <w:pPr>
        <w:pStyle w:val="ListParagraph"/>
        <w:numPr>
          <w:ilvl w:val="0"/>
          <w:numId w:val="15"/>
        </w:numPr>
        <w:tabs>
          <w:tab w:val="left" w:pos="0"/>
        </w:tabs>
        <w:spacing w:after="0" w:line="240" w:lineRule="auto"/>
        <w:rPr>
          <w:rFonts w:ascii="Arial" w:hAnsi="Arial" w:cs="Arial"/>
          <w:sz w:val="24"/>
          <w:szCs w:val="24"/>
        </w:rPr>
      </w:pPr>
      <w:hyperlink r:id="rId18" w:history="1">
        <w:r w:rsidR="00E923BA" w:rsidRPr="00E923BA">
          <w:rPr>
            <w:rFonts w:ascii="Arial" w:hAnsi="Arial" w:cs="Arial"/>
            <w:sz w:val="24"/>
            <w:szCs w:val="24"/>
          </w:rPr>
          <w:t>Commissioning for Social Value</w:t>
        </w:r>
      </w:hyperlink>
      <w:r w:rsidR="00E923BA" w:rsidRPr="00E923BA">
        <w:rPr>
          <w:rFonts w:ascii="Arial" w:hAnsi="Arial" w:cs="Arial"/>
          <w:sz w:val="24"/>
          <w:szCs w:val="24"/>
        </w:rPr>
        <w:t xml:space="preserve">   </w:t>
      </w:r>
    </w:p>
    <w:p w14:paraId="3725BE36" w14:textId="4174B5FC" w:rsidR="00E923BA" w:rsidRDefault="005E325F" w:rsidP="009C1460">
      <w:pPr>
        <w:pStyle w:val="ListParagraph"/>
        <w:numPr>
          <w:ilvl w:val="0"/>
          <w:numId w:val="15"/>
        </w:numPr>
        <w:tabs>
          <w:tab w:val="left" w:pos="0"/>
        </w:tabs>
        <w:spacing w:after="0" w:line="240" w:lineRule="auto"/>
        <w:rPr>
          <w:rFonts w:ascii="Arial" w:hAnsi="Arial" w:cs="Arial"/>
          <w:sz w:val="24"/>
          <w:szCs w:val="24"/>
        </w:rPr>
      </w:pPr>
      <w:hyperlink r:id="rId19" w:history="1">
        <w:r w:rsidR="00E923BA" w:rsidRPr="00E923BA">
          <w:rPr>
            <w:rFonts w:ascii="Arial" w:hAnsi="Arial" w:cs="Arial"/>
            <w:sz w:val="24"/>
            <w:szCs w:val="24"/>
          </w:rPr>
          <w:t>Public Services (social Value) Act 2012 – An introductory guide for commissioners and policymakers</w:t>
        </w:r>
      </w:hyperlink>
    </w:p>
    <w:p w14:paraId="35766402" w14:textId="0D95FB80" w:rsidR="00E12C1B" w:rsidRDefault="00E12C1B" w:rsidP="00E12C1B">
      <w:pPr>
        <w:tabs>
          <w:tab w:val="left" w:pos="0"/>
        </w:tabs>
        <w:spacing w:after="0" w:line="240" w:lineRule="auto"/>
        <w:rPr>
          <w:rFonts w:ascii="Arial" w:hAnsi="Arial" w:cs="Arial"/>
          <w:sz w:val="24"/>
          <w:szCs w:val="24"/>
        </w:rPr>
      </w:pPr>
    </w:p>
    <w:p w14:paraId="4DDE21C2" w14:textId="619802D4" w:rsidR="00E12C1B" w:rsidRPr="00E12C1B" w:rsidRDefault="00E12C1B" w:rsidP="00E12C1B">
      <w:pPr>
        <w:tabs>
          <w:tab w:val="left" w:pos="0"/>
        </w:tabs>
        <w:spacing w:after="0" w:line="240" w:lineRule="auto"/>
        <w:rPr>
          <w:rFonts w:ascii="Arial" w:hAnsi="Arial" w:cs="Arial"/>
          <w:b/>
          <w:sz w:val="24"/>
          <w:szCs w:val="24"/>
        </w:rPr>
      </w:pPr>
      <w:r w:rsidRPr="00E12C1B">
        <w:rPr>
          <w:rFonts w:ascii="Arial" w:hAnsi="Arial" w:cs="Arial"/>
          <w:b/>
          <w:sz w:val="24"/>
          <w:szCs w:val="24"/>
        </w:rPr>
        <w:t>Final Evaluation Score</w:t>
      </w:r>
    </w:p>
    <w:p w14:paraId="0B183BD5" w14:textId="03007A3E" w:rsidR="00ED095F" w:rsidRDefault="00ED095F" w:rsidP="00ED095F">
      <w:pPr>
        <w:tabs>
          <w:tab w:val="left" w:pos="0"/>
        </w:tabs>
        <w:spacing w:after="0" w:line="240" w:lineRule="auto"/>
        <w:rPr>
          <w:rFonts w:ascii="Arial" w:hAnsi="Arial" w:cs="Arial"/>
          <w:sz w:val="24"/>
          <w:szCs w:val="24"/>
        </w:rPr>
      </w:pPr>
    </w:p>
    <w:p w14:paraId="038DB6FA" w14:textId="56684C91" w:rsidR="00E12C1B" w:rsidRPr="000A24F5" w:rsidRDefault="00E12C1B" w:rsidP="000A24F5">
      <w:pPr>
        <w:pStyle w:val="ListParagraph"/>
        <w:numPr>
          <w:ilvl w:val="0"/>
          <w:numId w:val="2"/>
        </w:numPr>
        <w:autoSpaceDE w:val="0"/>
        <w:autoSpaceDN w:val="0"/>
        <w:adjustRightInd w:val="0"/>
        <w:spacing w:after="0" w:line="240" w:lineRule="auto"/>
        <w:rPr>
          <w:rFonts w:ascii="Arial" w:hAnsi="Arial" w:cs="Arial"/>
          <w:sz w:val="24"/>
          <w:szCs w:val="24"/>
          <w:lang w:eastAsia="en-GB"/>
        </w:rPr>
      </w:pPr>
      <w:r w:rsidRPr="000A24F5">
        <w:rPr>
          <w:rFonts w:ascii="Arial" w:hAnsi="Arial" w:cs="Arial"/>
          <w:sz w:val="24"/>
          <w:szCs w:val="24"/>
          <w:lang w:eastAsia="en-GB"/>
        </w:rPr>
        <w:t xml:space="preserve">The final weighted score obtained by each bidder for Sections 8.3 and 8.4 </w:t>
      </w:r>
      <w:r w:rsidR="000A24F5">
        <w:rPr>
          <w:rFonts w:ascii="Arial" w:hAnsi="Arial" w:cs="Arial"/>
          <w:sz w:val="24"/>
          <w:szCs w:val="24"/>
          <w:lang w:eastAsia="en-GB"/>
        </w:rPr>
        <w:t xml:space="preserve">of the Standard Selection Questionnaire </w:t>
      </w:r>
      <w:r w:rsidRPr="000A24F5">
        <w:rPr>
          <w:rFonts w:ascii="Arial" w:hAnsi="Arial" w:cs="Arial"/>
          <w:sz w:val="24"/>
          <w:szCs w:val="24"/>
          <w:lang w:eastAsia="en-GB"/>
        </w:rPr>
        <w:t>will become the bidder's overall Final Evaluation Score. Bidders will be ranked in respect of their evaluation score from highest to lowest for each Lot.</w:t>
      </w:r>
    </w:p>
    <w:p w14:paraId="4CD25A72" w14:textId="77777777" w:rsidR="00E12C1B" w:rsidRPr="000A24F5" w:rsidRDefault="00E12C1B" w:rsidP="00E12C1B">
      <w:pPr>
        <w:pStyle w:val="ListParagraph"/>
        <w:spacing w:after="0" w:line="240" w:lineRule="auto"/>
        <w:ind w:left="360"/>
        <w:rPr>
          <w:rFonts w:ascii="Arial" w:hAnsi="Arial" w:cs="Arial"/>
          <w:sz w:val="24"/>
          <w:szCs w:val="24"/>
          <w:lang w:eastAsia="en-GB"/>
        </w:rPr>
      </w:pPr>
    </w:p>
    <w:p w14:paraId="0C7E6873" w14:textId="660F723A" w:rsidR="00ED095F" w:rsidRPr="000A24F5" w:rsidRDefault="00ED095F" w:rsidP="000A24F5">
      <w:pPr>
        <w:pStyle w:val="ListParagraph"/>
        <w:numPr>
          <w:ilvl w:val="0"/>
          <w:numId w:val="2"/>
        </w:numPr>
        <w:autoSpaceDE w:val="0"/>
        <w:autoSpaceDN w:val="0"/>
        <w:adjustRightInd w:val="0"/>
        <w:spacing w:after="0" w:line="240" w:lineRule="auto"/>
        <w:rPr>
          <w:rFonts w:ascii="Arial" w:hAnsi="Arial" w:cs="Arial"/>
          <w:sz w:val="24"/>
          <w:szCs w:val="24"/>
        </w:rPr>
      </w:pPr>
      <w:r w:rsidRPr="000A24F5">
        <w:rPr>
          <w:rFonts w:ascii="Arial" w:hAnsi="Arial" w:cs="Arial"/>
          <w:sz w:val="24"/>
          <w:szCs w:val="24"/>
        </w:rPr>
        <w:t>In relation to the evaluation of the Funding and Delivery Schedule in Section 8.2 of the Standard Selection Questionnaire</w:t>
      </w:r>
      <w:r w:rsidR="000D3750">
        <w:rPr>
          <w:rFonts w:ascii="Arial" w:hAnsi="Arial" w:cs="Arial"/>
          <w:sz w:val="24"/>
          <w:szCs w:val="24"/>
        </w:rPr>
        <w:t>,</w:t>
      </w:r>
      <w:r w:rsidRPr="000A24F5">
        <w:rPr>
          <w:rFonts w:ascii="Arial" w:hAnsi="Arial" w:cs="Arial"/>
          <w:sz w:val="24"/>
          <w:szCs w:val="24"/>
        </w:rPr>
        <w:t xml:space="preserve"> the higher </w:t>
      </w:r>
      <w:r w:rsidR="000D3750">
        <w:rPr>
          <w:rFonts w:ascii="Arial" w:hAnsi="Arial" w:cs="Arial"/>
          <w:sz w:val="24"/>
          <w:szCs w:val="24"/>
        </w:rPr>
        <w:t xml:space="preserve">percentage </w:t>
      </w:r>
      <w:r w:rsidRPr="000A24F5">
        <w:rPr>
          <w:rFonts w:ascii="Arial" w:hAnsi="Arial" w:cs="Arial"/>
          <w:sz w:val="24"/>
          <w:szCs w:val="24"/>
        </w:rPr>
        <w:t>of enrolments in English, maths and digital skills up to Level 2 and in the following Sector Subject Areas (SSAs)</w:t>
      </w:r>
      <w:r w:rsidR="000D3750">
        <w:rPr>
          <w:rFonts w:ascii="Arial" w:hAnsi="Arial" w:cs="Arial"/>
          <w:sz w:val="24"/>
          <w:szCs w:val="24"/>
        </w:rPr>
        <w:t>,</w:t>
      </w:r>
      <w:r w:rsidRPr="000A24F5">
        <w:rPr>
          <w:rFonts w:ascii="Arial" w:hAnsi="Arial" w:cs="Arial"/>
          <w:sz w:val="24"/>
          <w:szCs w:val="24"/>
        </w:rPr>
        <w:t xml:space="preserve"> the higher the score awarded:</w:t>
      </w:r>
    </w:p>
    <w:p w14:paraId="6879AF4F" w14:textId="77777777" w:rsidR="00ED095F" w:rsidRPr="00E12C1B" w:rsidRDefault="00ED095F" w:rsidP="00ED095F">
      <w:pPr>
        <w:pStyle w:val="BodyText"/>
        <w:spacing w:before="1" w:line="259" w:lineRule="auto"/>
        <w:ind w:right="568"/>
      </w:pPr>
      <w:r w:rsidRPr="00E12C1B">
        <w:t xml:space="preserve"> </w:t>
      </w:r>
    </w:p>
    <w:p w14:paraId="1F4757FF" w14:textId="6EC46CBA" w:rsidR="00ED095F" w:rsidRPr="00E12C1B" w:rsidRDefault="00ED095F" w:rsidP="00953787">
      <w:pPr>
        <w:pStyle w:val="BodyText"/>
        <w:numPr>
          <w:ilvl w:val="0"/>
          <w:numId w:val="36"/>
        </w:numPr>
        <w:spacing w:before="1" w:line="259" w:lineRule="auto"/>
        <w:ind w:right="568"/>
      </w:pPr>
      <w:r w:rsidRPr="00E12C1B">
        <w:t>1 - Health, Public Services and Care</w:t>
      </w:r>
      <w:r w:rsidR="000D3750">
        <w:t>.</w:t>
      </w:r>
      <w:r w:rsidRPr="00E12C1B">
        <w:t xml:space="preserve"> </w:t>
      </w:r>
    </w:p>
    <w:p w14:paraId="0F079381" w14:textId="008C1EEC" w:rsidR="00ED095F" w:rsidRPr="00E12C1B" w:rsidRDefault="00ED095F" w:rsidP="00953787">
      <w:pPr>
        <w:pStyle w:val="BodyText"/>
        <w:numPr>
          <w:ilvl w:val="0"/>
          <w:numId w:val="36"/>
        </w:numPr>
        <w:spacing w:before="1" w:line="259" w:lineRule="auto"/>
        <w:ind w:right="568"/>
      </w:pPr>
      <w:r w:rsidRPr="00E12C1B">
        <w:t>4 - Engineering and Manufacturing Technologies</w:t>
      </w:r>
      <w:r w:rsidR="000D3750">
        <w:t>.</w:t>
      </w:r>
    </w:p>
    <w:p w14:paraId="30B26261" w14:textId="1A8B073F" w:rsidR="00ED095F" w:rsidRPr="00E12C1B" w:rsidRDefault="00ED095F" w:rsidP="00953787">
      <w:pPr>
        <w:pStyle w:val="BodyText"/>
        <w:numPr>
          <w:ilvl w:val="0"/>
          <w:numId w:val="36"/>
        </w:numPr>
        <w:spacing w:before="1" w:line="259" w:lineRule="auto"/>
        <w:ind w:right="568"/>
      </w:pPr>
      <w:r w:rsidRPr="00E12C1B">
        <w:t>6 - Information and Communication Technology</w:t>
      </w:r>
      <w:r w:rsidR="000D3750">
        <w:t>.</w:t>
      </w:r>
    </w:p>
    <w:p w14:paraId="4674E4A7" w14:textId="62A1C89D" w:rsidR="00ED095F" w:rsidRPr="00E12C1B" w:rsidRDefault="00ED095F" w:rsidP="00953787">
      <w:pPr>
        <w:pStyle w:val="BodyText"/>
        <w:numPr>
          <w:ilvl w:val="0"/>
          <w:numId w:val="36"/>
        </w:numPr>
        <w:spacing w:before="1" w:line="259" w:lineRule="auto"/>
        <w:ind w:right="568"/>
      </w:pPr>
      <w:r w:rsidRPr="00E12C1B">
        <w:t>8 - Leisure, Travel and Tourism</w:t>
      </w:r>
      <w:r w:rsidR="000D3750">
        <w:t>.</w:t>
      </w:r>
    </w:p>
    <w:p w14:paraId="0D74A41A" w14:textId="739A145F" w:rsidR="00ED095F" w:rsidRPr="00E12C1B" w:rsidRDefault="00ED095F" w:rsidP="00953787">
      <w:pPr>
        <w:pStyle w:val="BodyText"/>
        <w:numPr>
          <w:ilvl w:val="0"/>
          <w:numId w:val="36"/>
        </w:numPr>
        <w:spacing w:before="1" w:line="259" w:lineRule="auto"/>
        <w:ind w:right="568"/>
      </w:pPr>
      <w:r w:rsidRPr="00E12C1B">
        <w:t>15 - Business, Administration Finance and Law</w:t>
      </w:r>
      <w:r w:rsidR="000D3750">
        <w:t>.</w:t>
      </w:r>
    </w:p>
    <w:p w14:paraId="2D7D8495" w14:textId="143D0A7F" w:rsidR="00E12C1B" w:rsidRPr="000A24F5" w:rsidRDefault="00E923BA" w:rsidP="00E12C1B">
      <w:pPr>
        <w:spacing w:after="0" w:line="240" w:lineRule="auto"/>
        <w:ind w:left="505"/>
        <w:rPr>
          <w:rFonts w:ascii="Arial" w:hAnsi="Arial" w:cs="Arial"/>
          <w:sz w:val="24"/>
          <w:szCs w:val="24"/>
          <w:lang w:eastAsia="en-GB"/>
        </w:rPr>
      </w:pPr>
      <w:r>
        <w:t xml:space="preserve"> </w:t>
      </w:r>
    </w:p>
    <w:p w14:paraId="5832D482" w14:textId="50628A5C" w:rsidR="00E12C1B" w:rsidRPr="000A24F5" w:rsidRDefault="00E12C1B" w:rsidP="000A24F5">
      <w:pPr>
        <w:pStyle w:val="ListParagraph"/>
        <w:numPr>
          <w:ilvl w:val="0"/>
          <w:numId w:val="2"/>
        </w:numPr>
        <w:autoSpaceDE w:val="0"/>
        <w:autoSpaceDN w:val="0"/>
        <w:adjustRightInd w:val="0"/>
        <w:spacing w:after="0" w:line="240" w:lineRule="auto"/>
        <w:rPr>
          <w:rFonts w:ascii="Arial" w:hAnsi="Arial" w:cs="Arial"/>
          <w:sz w:val="24"/>
          <w:szCs w:val="24"/>
        </w:rPr>
      </w:pPr>
      <w:r w:rsidRPr="000A24F5">
        <w:rPr>
          <w:rFonts w:ascii="Arial" w:hAnsi="Arial" w:cs="Arial"/>
          <w:sz w:val="24"/>
          <w:szCs w:val="24"/>
          <w:lang w:eastAsia="en-GB"/>
        </w:rPr>
        <w:t>Bidders that score 60% or above within the scored questions in Section 8</w:t>
      </w:r>
      <w:r w:rsidR="000A24F5">
        <w:rPr>
          <w:rFonts w:ascii="Arial" w:hAnsi="Arial" w:cs="Arial"/>
          <w:sz w:val="24"/>
          <w:szCs w:val="24"/>
          <w:lang w:eastAsia="en-GB"/>
        </w:rPr>
        <w:t xml:space="preserve"> of the Standard Selection Questionnaire</w:t>
      </w:r>
      <w:r w:rsidRPr="000A24F5">
        <w:rPr>
          <w:rFonts w:ascii="Arial" w:hAnsi="Arial" w:cs="Arial"/>
          <w:sz w:val="24"/>
          <w:szCs w:val="24"/>
          <w:lang w:eastAsia="en-GB"/>
        </w:rPr>
        <w:t xml:space="preserve"> will be placed on the Framework but this does guarantee them a contract award.</w:t>
      </w:r>
    </w:p>
    <w:p w14:paraId="6DFF32DE" w14:textId="0D24CF56" w:rsidR="009A3C62" w:rsidRPr="00E12C1B" w:rsidRDefault="00E12C1B" w:rsidP="00E12C1B">
      <w:pPr>
        <w:pStyle w:val="Default"/>
        <w:ind w:left="505"/>
        <w:jc w:val="both"/>
        <w:rPr>
          <w:color w:val="auto"/>
        </w:rPr>
      </w:pPr>
      <w:r w:rsidRPr="00E923BA">
        <w:rPr>
          <w:lang w:eastAsia="en-GB"/>
        </w:rPr>
        <w:t xml:space="preserve">  </w:t>
      </w:r>
    </w:p>
    <w:p w14:paraId="78B0C233" w14:textId="2EB129E7" w:rsidR="00E12C1B" w:rsidRDefault="00E12C1B" w:rsidP="00E12C1B">
      <w:pPr>
        <w:pStyle w:val="Default"/>
        <w:jc w:val="both"/>
        <w:rPr>
          <w:b/>
          <w:lang w:eastAsia="en-GB"/>
        </w:rPr>
      </w:pPr>
      <w:r w:rsidRPr="00E12C1B">
        <w:rPr>
          <w:b/>
          <w:lang w:eastAsia="en-GB"/>
        </w:rPr>
        <w:t>Award</w:t>
      </w:r>
      <w:r w:rsidR="003001CC">
        <w:rPr>
          <w:b/>
          <w:lang w:eastAsia="en-GB"/>
        </w:rPr>
        <w:t xml:space="preserve"> Procedures</w:t>
      </w:r>
    </w:p>
    <w:p w14:paraId="61DFF9FC" w14:textId="68861F92" w:rsidR="003001CC" w:rsidRPr="000768B5" w:rsidRDefault="003001CC" w:rsidP="00E12C1B">
      <w:pPr>
        <w:pStyle w:val="Default"/>
        <w:jc w:val="both"/>
        <w:rPr>
          <w:b/>
          <w:lang w:eastAsia="en-GB"/>
        </w:rPr>
      </w:pPr>
    </w:p>
    <w:p w14:paraId="4EE11CF0" w14:textId="77777777" w:rsidR="003001CC" w:rsidRPr="000768B5" w:rsidRDefault="003001CC" w:rsidP="000768B5">
      <w:pPr>
        <w:pStyle w:val="ListParagraph"/>
        <w:numPr>
          <w:ilvl w:val="0"/>
          <w:numId w:val="2"/>
        </w:numPr>
        <w:autoSpaceDE w:val="0"/>
        <w:autoSpaceDN w:val="0"/>
        <w:adjustRightInd w:val="0"/>
        <w:spacing w:after="0" w:line="240" w:lineRule="auto"/>
        <w:rPr>
          <w:rFonts w:ascii="Arial" w:hAnsi="Arial" w:cs="Arial"/>
          <w:sz w:val="24"/>
          <w:szCs w:val="24"/>
        </w:rPr>
      </w:pPr>
      <w:r w:rsidRPr="000768B5">
        <w:rPr>
          <w:rFonts w:ascii="Arial" w:hAnsi="Arial" w:cs="Arial"/>
          <w:sz w:val="24"/>
          <w:szCs w:val="24"/>
          <w:lang w:eastAsia="en-GB"/>
        </w:rPr>
        <w:t>Immediately</w:t>
      </w:r>
      <w:r w:rsidRPr="000768B5">
        <w:rPr>
          <w:rFonts w:ascii="Arial" w:hAnsi="Arial" w:cs="Arial"/>
          <w:sz w:val="24"/>
          <w:szCs w:val="24"/>
        </w:rPr>
        <w:t xml:space="preserve"> on appointing Providers to the Framework, the NTCA will directly award Call-Off Contracts.  The direct awards will be made in order from those ranked with the highest evaluation score to the lowest until the budget has been fully allocated within each of the three Lots.  This means that not all Providers appointed to the Framework may be awarded Call-Off Contracts.  </w:t>
      </w:r>
    </w:p>
    <w:p w14:paraId="3394DBC1" w14:textId="4D0834DF" w:rsidR="003001CC" w:rsidRPr="000768B5" w:rsidRDefault="003001CC" w:rsidP="003001CC">
      <w:pPr>
        <w:pStyle w:val="Default"/>
        <w:ind w:left="505"/>
        <w:jc w:val="both"/>
      </w:pPr>
      <w:r w:rsidRPr="000768B5">
        <w:t xml:space="preserve">     </w:t>
      </w:r>
    </w:p>
    <w:p w14:paraId="70BF3EC5" w14:textId="790C873B" w:rsidR="003001CC" w:rsidRPr="000768B5" w:rsidRDefault="003001CC" w:rsidP="000768B5">
      <w:pPr>
        <w:pStyle w:val="ListParagraph"/>
        <w:numPr>
          <w:ilvl w:val="0"/>
          <w:numId w:val="2"/>
        </w:numPr>
        <w:autoSpaceDE w:val="0"/>
        <w:autoSpaceDN w:val="0"/>
        <w:adjustRightInd w:val="0"/>
        <w:spacing w:after="0" w:line="240" w:lineRule="auto"/>
        <w:rPr>
          <w:rFonts w:ascii="Arial" w:hAnsi="Arial" w:cs="Arial"/>
          <w:sz w:val="24"/>
          <w:szCs w:val="24"/>
        </w:rPr>
      </w:pPr>
      <w:r w:rsidRPr="000768B5">
        <w:rPr>
          <w:rFonts w:ascii="Arial" w:hAnsi="Arial" w:cs="Arial"/>
          <w:sz w:val="24"/>
          <w:szCs w:val="24"/>
        </w:rPr>
        <w:t>Where two or more Providers in a Lot have identical scores and the NTCA budget will not allow for all of those Providers to be awarded Call-Off Contracts for the full extent of their Tender submission, the NTCA reserves the right to use the following tie break methodology:</w:t>
      </w:r>
    </w:p>
    <w:p w14:paraId="77F09B00" w14:textId="77777777" w:rsidR="003001CC" w:rsidRDefault="003001CC" w:rsidP="003001CC">
      <w:pPr>
        <w:pStyle w:val="Default"/>
        <w:ind w:left="505"/>
        <w:jc w:val="both"/>
      </w:pPr>
    </w:p>
    <w:p w14:paraId="73D80C97" w14:textId="312973DD" w:rsidR="003001CC" w:rsidRPr="0027581B" w:rsidRDefault="003001CC" w:rsidP="00D45F9B">
      <w:pPr>
        <w:pStyle w:val="Level3"/>
        <w:numPr>
          <w:ilvl w:val="0"/>
          <w:numId w:val="37"/>
        </w:numPr>
        <w:spacing w:after="0"/>
        <w:jc w:val="left"/>
        <w:outlineLvl w:val="9"/>
        <w:rPr>
          <w:sz w:val="24"/>
          <w:szCs w:val="24"/>
        </w:rPr>
      </w:pPr>
      <w:r w:rsidRPr="0027581B">
        <w:rPr>
          <w:sz w:val="24"/>
          <w:szCs w:val="24"/>
        </w:rPr>
        <w:t>The</w:t>
      </w:r>
      <w:r>
        <w:rPr>
          <w:sz w:val="24"/>
          <w:szCs w:val="24"/>
        </w:rPr>
        <w:t xml:space="preserve"> percentage score awarded for</w:t>
      </w:r>
      <w:r w:rsidRPr="0027581B">
        <w:rPr>
          <w:sz w:val="24"/>
          <w:szCs w:val="24"/>
        </w:rPr>
        <w:t xml:space="preserve"> Lot Specific </w:t>
      </w:r>
      <w:r>
        <w:rPr>
          <w:sz w:val="24"/>
          <w:szCs w:val="24"/>
        </w:rPr>
        <w:t>q</w:t>
      </w:r>
      <w:r w:rsidRPr="0027581B">
        <w:rPr>
          <w:sz w:val="24"/>
          <w:szCs w:val="24"/>
        </w:rPr>
        <w:t>uestion (</w:t>
      </w:r>
      <w:r w:rsidRPr="0027581B">
        <w:rPr>
          <w:b/>
          <w:sz w:val="24"/>
          <w:szCs w:val="24"/>
        </w:rPr>
        <w:t>Lot 1</w:t>
      </w:r>
      <w:r w:rsidRPr="0027581B">
        <w:rPr>
          <w:sz w:val="24"/>
          <w:szCs w:val="24"/>
        </w:rPr>
        <w:t xml:space="preserve">, question 8.3 g; </w:t>
      </w:r>
      <w:r w:rsidRPr="0027581B">
        <w:rPr>
          <w:b/>
          <w:sz w:val="24"/>
          <w:szCs w:val="24"/>
        </w:rPr>
        <w:t>Lot 2</w:t>
      </w:r>
      <w:r w:rsidRPr="0027581B">
        <w:rPr>
          <w:sz w:val="24"/>
          <w:szCs w:val="24"/>
        </w:rPr>
        <w:t xml:space="preserve">, Question 8.3h, </w:t>
      </w:r>
      <w:r w:rsidRPr="0027581B">
        <w:rPr>
          <w:b/>
          <w:sz w:val="24"/>
          <w:szCs w:val="24"/>
        </w:rPr>
        <w:t>Lot 3</w:t>
      </w:r>
      <w:r w:rsidRPr="0027581B">
        <w:rPr>
          <w:sz w:val="24"/>
          <w:szCs w:val="24"/>
        </w:rPr>
        <w:t>, Question 8.3i) will be used as the first tie break determinative score</w:t>
      </w:r>
      <w:r w:rsidR="000D3750">
        <w:rPr>
          <w:sz w:val="24"/>
          <w:szCs w:val="24"/>
        </w:rPr>
        <w:t>.</w:t>
      </w:r>
    </w:p>
    <w:p w14:paraId="4267F4F7" w14:textId="4B3E205F" w:rsidR="003001CC" w:rsidRDefault="003001CC" w:rsidP="00D45F9B">
      <w:pPr>
        <w:pStyle w:val="Level3"/>
        <w:numPr>
          <w:ilvl w:val="0"/>
          <w:numId w:val="37"/>
        </w:numPr>
        <w:spacing w:after="0"/>
        <w:jc w:val="left"/>
        <w:outlineLvl w:val="9"/>
        <w:rPr>
          <w:sz w:val="24"/>
          <w:szCs w:val="24"/>
        </w:rPr>
      </w:pPr>
      <w:r>
        <w:rPr>
          <w:sz w:val="24"/>
          <w:szCs w:val="24"/>
        </w:rPr>
        <w:t>The percentage score awarded for the Outcomes and Impact question (</w:t>
      </w:r>
      <w:r w:rsidRPr="0027581B">
        <w:rPr>
          <w:b/>
          <w:sz w:val="24"/>
          <w:szCs w:val="24"/>
        </w:rPr>
        <w:t>Lots 1, 2 and 3</w:t>
      </w:r>
      <w:r>
        <w:rPr>
          <w:sz w:val="24"/>
          <w:szCs w:val="24"/>
        </w:rPr>
        <w:t>, question 8.3d) will be used as the second tie break determinative score</w:t>
      </w:r>
      <w:r w:rsidR="000D3750">
        <w:rPr>
          <w:sz w:val="24"/>
          <w:szCs w:val="24"/>
        </w:rPr>
        <w:t>.</w:t>
      </w:r>
    </w:p>
    <w:p w14:paraId="292D882A" w14:textId="487A44F0" w:rsidR="003001CC" w:rsidRDefault="003001CC" w:rsidP="00D45F9B">
      <w:pPr>
        <w:pStyle w:val="Level3"/>
        <w:numPr>
          <w:ilvl w:val="0"/>
          <w:numId w:val="37"/>
        </w:numPr>
        <w:spacing w:after="0"/>
        <w:jc w:val="left"/>
        <w:outlineLvl w:val="9"/>
        <w:rPr>
          <w:sz w:val="24"/>
          <w:szCs w:val="24"/>
        </w:rPr>
      </w:pPr>
      <w:r>
        <w:rPr>
          <w:sz w:val="24"/>
          <w:szCs w:val="24"/>
        </w:rPr>
        <w:t>The percentage score awarded for the Delivery Model question (</w:t>
      </w:r>
      <w:r w:rsidRPr="0027581B">
        <w:rPr>
          <w:b/>
          <w:sz w:val="24"/>
          <w:szCs w:val="24"/>
        </w:rPr>
        <w:t>Lots 1, 2 and 3</w:t>
      </w:r>
      <w:r>
        <w:rPr>
          <w:sz w:val="24"/>
          <w:szCs w:val="24"/>
        </w:rPr>
        <w:t xml:space="preserve">, </w:t>
      </w:r>
      <w:r w:rsidRPr="000768B5">
        <w:rPr>
          <w:sz w:val="24"/>
          <w:szCs w:val="24"/>
        </w:rPr>
        <w:t>question</w:t>
      </w:r>
      <w:r w:rsidR="00953787">
        <w:rPr>
          <w:sz w:val="24"/>
          <w:szCs w:val="24"/>
        </w:rPr>
        <w:t xml:space="preserve"> </w:t>
      </w:r>
      <w:r w:rsidRPr="000768B5">
        <w:rPr>
          <w:sz w:val="24"/>
          <w:szCs w:val="24"/>
        </w:rPr>
        <w:t>8.3a) will be used as the third tie break determinative score</w:t>
      </w:r>
      <w:r w:rsidR="000D3750">
        <w:rPr>
          <w:sz w:val="24"/>
          <w:szCs w:val="24"/>
        </w:rPr>
        <w:t>.</w:t>
      </w:r>
    </w:p>
    <w:p w14:paraId="60E077D2" w14:textId="77777777" w:rsidR="00953787" w:rsidRPr="000768B5" w:rsidRDefault="00953787" w:rsidP="00953787">
      <w:pPr>
        <w:pStyle w:val="Level3"/>
        <w:numPr>
          <w:ilvl w:val="0"/>
          <w:numId w:val="0"/>
        </w:numPr>
        <w:spacing w:after="0"/>
        <w:jc w:val="left"/>
        <w:outlineLvl w:val="9"/>
        <w:rPr>
          <w:sz w:val="24"/>
          <w:szCs w:val="24"/>
        </w:rPr>
      </w:pPr>
    </w:p>
    <w:p w14:paraId="52CD8454" w14:textId="01DEF305" w:rsidR="003001CC" w:rsidRPr="000768B5" w:rsidRDefault="003001CC" w:rsidP="000768B5">
      <w:pPr>
        <w:pStyle w:val="ListParagraph"/>
        <w:numPr>
          <w:ilvl w:val="0"/>
          <w:numId w:val="2"/>
        </w:numPr>
        <w:autoSpaceDE w:val="0"/>
        <w:autoSpaceDN w:val="0"/>
        <w:adjustRightInd w:val="0"/>
        <w:spacing w:after="0" w:line="240" w:lineRule="auto"/>
        <w:rPr>
          <w:rFonts w:ascii="Arial" w:hAnsi="Arial" w:cs="Arial"/>
          <w:sz w:val="24"/>
          <w:szCs w:val="24"/>
        </w:rPr>
      </w:pPr>
      <w:r w:rsidRPr="000768B5">
        <w:rPr>
          <w:rFonts w:ascii="Arial" w:hAnsi="Arial" w:cs="Arial"/>
          <w:sz w:val="24"/>
          <w:szCs w:val="24"/>
        </w:rPr>
        <w:t xml:space="preserve">In the event that the tie break methodology detailed </w:t>
      </w:r>
      <w:r w:rsidR="00D45F9B">
        <w:rPr>
          <w:rFonts w:ascii="Arial" w:hAnsi="Arial" w:cs="Arial"/>
          <w:sz w:val="24"/>
          <w:szCs w:val="24"/>
        </w:rPr>
        <w:t>above d</w:t>
      </w:r>
      <w:r w:rsidRPr="000768B5">
        <w:rPr>
          <w:rFonts w:ascii="Arial" w:hAnsi="Arial" w:cs="Arial"/>
          <w:sz w:val="24"/>
          <w:szCs w:val="24"/>
        </w:rPr>
        <w:t>oes not resolve the tie, the Quality and Assurance Arrangements question (</w:t>
      </w:r>
      <w:r w:rsidRPr="000768B5">
        <w:rPr>
          <w:rFonts w:ascii="Arial" w:hAnsi="Arial" w:cs="Arial"/>
          <w:b/>
          <w:sz w:val="24"/>
          <w:szCs w:val="24"/>
        </w:rPr>
        <w:t>Lots 1, 2 and 3</w:t>
      </w:r>
      <w:r w:rsidRPr="000768B5">
        <w:rPr>
          <w:rFonts w:ascii="Arial" w:hAnsi="Arial" w:cs="Arial"/>
          <w:sz w:val="24"/>
          <w:szCs w:val="24"/>
        </w:rPr>
        <w:t>, question 8.3e) will be used as the determinative score.</w:t>
      </w:r>
    </w:p>
    <w:p w14:paraId="34855699" w14:textId="77777777" w:rsidR="00E12C1B" w:rsidRPr="000768B5" w:rsidRDefault="00E12C1B" w:rsidP="003001CC">
      <w:pPr>
        <w:pStyle w:val="Default"/>
        <w:jc w:val="both"/>
        <w:rPr>
          <w:b/>
          <w:color w:val="auto"/>
        </w:rPr>
      </w:pPr>
    </w:p>
    <w:p w14:paraId="1F3F2758" w14:textId="4AE5936A" w:rsidR="000B118A" w:rsidRPr="000768B5" w:rsidRDefault="000B118A" w:rsidP="000768B5">
      <w:pPr>
        <w:pStyle w:val="ListParagraph"/>
        <w:numPr>
          <w:ilvl w:val="0"/>
          <w:numId w:val="2"/>
        </w:numPr>
        <w:autoSpaceDE w:val="0"/>
        <w:autoSpaceDN w:val="0"/>
        <w:adjustRightInd w:val="0"/>
        <w:spacing w:after="0" w:line="240" w:lineRule="auto"/>
        <w:rPr>
          <w:rFonts w:ascii="Arial" w:hAnsi="Arial" w:cs="Arial"/>
          <w:sz w:val="24"/>
          <w:szCs w:val="24"/>
        </w:rPr>
      </w:pPr>
      <w:r w:rsidRPr="000768B5">
        <w:rPr>
          <w:rFonts w:ascii="Arial" w:hAnsi="Arial" w:cs="Arial"/>
          <w:sz w:val="24"/>
          <w:szCs w:val="24"/>
        </w:rPr>
        <w:t>The</w:t>
      </w:r>
      <w:r w:rsidRPr="000768B5">
        <w:rPr>
          <w:rFonts w:ascii="Arial" w:hAnsi="Arial" w:cs="Arial"/>
          <w:sz w:val="24"/>
          <w:szCs w:val="24"/>
          <w:lang w:eastAsia="en-GB"/>
        </w:rPr>
        <w:t xml:space="preserve"> Award will be subject to the following for each bidder</w:t>
      </w:r>
      <w:r w:rsidR="00D45F9B">
        <w:rPr>
          <w:rFonts w:ascii="Arial" w:hAnsi="Arial" w:cs="Arial"/>
          <w:sz w:val="24"/>
          <w:szCs w:val="24"/>
          <w:lang w:eastAsia="en-GB"/>
        </w:rPr>
        <w:t>:</w:t>
      </w:r>
    </w:p>
    <w:p w14:paraId="54D50D18" w14:textId="77777777" w:rsidR="000B118A" w:rsidRPr="000768B5" w:rsidRDefault="000B118A" w:rsidP="000B118A">
      <w:pPr>
        <w:pStyle w:val="ListParagraph"/>
        <w:ind w:left="709"/>
        <w:rPr>
          <w:rFonts w:ascii="Arial" w:hAnsi="Arial" w:cs="Arial"/>
          <w:sz w:val="24"/>
          <w:szCs w:val="24"/>
          <w:lang w:eastAsia="en-GB"/>
        </w:rPr>
      </w:pPr>
    </w:p>
    <w:p w14:paraId="0C643F6B" w14:textId="254D94D6" w:rsidR="000B118A" w:rsidRPr="00365F09" w:rsidRDefault="000B118A" w:rsidP="0034473B">
      <w:pPr>
        <w:pStyle w:val="ListParagraph"/>
        <w:numPr>
          <w:ilvl w:val="0"/>
          <w:numId w:val="18"/>
        </w:numPr>
        <w:spacing w:after="0" w:line="240" w:lineRule="auto"/>
        <w:rPr>
          <w:rFonts w:ascii="Arial" w:hAnsi="Arial" w:cs="Arial"/>
          <w:sz w:val="24"/>
          <w:szCs w:val="24"/>
          <w:lang w:eastAsia="en-GB"/>
        </w:rPr>
      </w:pPr>
      <w:r w:rsidRPr="00365F09">
        <w:rPr>
          <w:rFonts w:ascii="Arial" w:hAnsi="Arial" w:cs="Arial"/>
          <w:sz w:val="24"/>
          <w:szCs w:val="24"/>
          <w:lang w:eastAsia="en-GB"/>
        </w:rPr>
        <w:t>Completion of the statutory ten-day standstill period</w:t>
      </w:r>
      <w:r w:rsidR="000D3750">
        <w:rPr>
          <w:rFonts w:ascii="Arial" w:hAnsi="Arial" w:cs="Arial"/>
          <w:sz w:val="24"/>
          <w:szCs w:val="24"/>
          <w:lang w:eastAsia="en-GB"/>
        </w:rPr>
        <w:t>.</w:t>
      </w:r>
      <w:r w:rsidRPr="00365F09">
        <w:rPr>
          <w:rFonts w:ascii="Arial" w:hAnsi="Arial" w:cs="Arial"/>
          <w:sz w:val="24"/>
          <w:szCs w:val="24"/>
          <w:lang w:eastAsia="en-GB"/>
        </w:rPr>
        <w:t xml:space="preserve"> </w:t>
      </w:r>
    </w:p>
    <w:p w14:paraId="7CE19C59" w14:textId="7A580964" w:rsidR="000B118A" w:rsidRDefault="000B118A" w:rsidP="0034473B">
      <w:pPr>
        <w:pStyle w:val="ListParagraph"/>
        <w:numPr>
          <w:ilvl w:val="0"/>
          <w:numId w:val="18"/>
        </w:numPr>
        <w:spacing w:after="0" w:line="240" w:lineRule="auto"/>
        <w:rPr>
          <w:rFonts w:ascii="Arial" w:hAnsi="Arial" w:cs="Arial"/>
          <w:sz w:val="24"/>
          <w:szCs w:val="24"/>
          <w:lang w:eastAsia="en-GB"/>
        </w:rPr>
      </w:pPr>
      <w:r w:rsidRPr="00365F09">
        <w:rPr>
          <w:rFonts w:ascii="Arial" w:hAnsi="Arial" w:cs="Arial"/>
          <w:sz w:val="24"/>
          <w:szCs w:val="24"/>
          <w:lang w:eastAsia="en-GB"/>
        </w:rPr>
        <w:t>Confirmation of the bidder’s status in relation to the information provided in Part 1, Part 2, or Part 3, where required.</w:t>
      </w:r>
    </w:p>
    <w:p w14:paraId="1E6D2B0E" w14:textId="617A0318" w:rsidR="00E12C1B" w:rsidRDefault="00E12C1B" w:rsidP="00E12C1B">
      <w:pPr>
        <w:spacing w:after="0" w:line="240" w:lineRule="auto"/>
        <w:rPr>
          <w:rFonts w:ascii="Arial" w:hAnsi="Arial" w:cs="Arial"/>
          <w:sz w:val="24"/>
          <w:szCs w:val="24"/>
          <w:lang w:eastAsia="en-GB"/>
        </w:rPr>
      </w:pPr>
    </w:p>
    <w:p w14:paraId="20D5A0CA" w14:textId="459F7955" w:rsidR="00E12C1B" w:rsidRDefault="000768B5" w:rsidP="00E12C1B">
      <w:pPr>
        <w:spacing w:after="0" w:line="240" w:lineRule="auto"/>
        <w:rPr>
          <w:rFonts w:ascii="Arial" w:hAnsi="Arial" w:cs="Arial"/>
          <w:b/>
          <w:sz w:val="24"/>
          <w:szCs w:val="24"/>
          <w:lang w:eastAsia="en-GB"/>
        </w:rPr>
      </w:pPr>
      <w:r>
        <w:rPr>
          <w:rFonts w:ascii="Arial" w:hAnsi="Arial" w:cs="Arial"/>
          <w:b/>
          <w:sz w:val="24"/>
          <w:szCs w:val="24"/>
          <w:lang w:eastAsia="en-GB"/>
        </w:rPr>
        <w:t>Delivery and Funding Schedule</w:t>
      </w:r>
    </w:p>
    <w:p w14:paraId="11FE9277" w14:textId="77777777" w:rsidR="000768B5" w:rsidRPr="00E12C1B" w:rsidRDefault="000768B5" w:rsidP="00E12C1B">
      <w:pPr>
        <w:spacing w:after="0" w:line="240" w:lineRule="auto"/>
        <w:rPr>
          <w:rFonts w:ascii="Arial" w:hAnsi="Arial" w:cs="Arial"/>
          <w:b/>
          <w:sz w:val="24"/>
          <w:szCs w:val="24"/>
          <w:lang w:eastAsia="en-GB"/>
        </w:rPr>
      </w:pPr>
    </w:p>
    <w:p w14:paraId="50900B50" w14:textId="0B3E3ED6" w:rsidR="003B79DA" w:rsidRPr="000768B5" w:rsidRDefault="00D27B73" w:rsidP="00D45F9B">
      <w:pPr>
        <w:pStyle w:val="ListParagraph"/>
        <w:numPr>
          <w:ilvl w:val="0"/>
          <w:numId w:val="2"/>
        </w:numPr>
        <w:autoSpaceDE w:val="0"/>
        <w:autoSpaceDN w:val="0"/>
        <w:adjustRightInd w:val="0"/>
        <w:spacing w:after="0" w:line="240" w:lineRule="auto"/>
        <w:rPr>
          <w:rFonts w:ascii="Arial" w:hAnsi="Arial" w:cs="Arial"/>
          <w:sz w:val="24"/>
          <w:szCs w:val="24"/>
        </w:rPr>
      </w:pPr>
      <w:bookmarkStart w:id="8" w:name="_Hlk23513246"/>
      <w:r w:rsidRPr="000768B5">
        <w:rPr>
          <w:rFonts w:ascii="Arial" w:hAnsi="Arial" w:cs="Arial"/>
          <w:sz w:val="24"/>
          <w:szCs w:val="24"/>
        </w:rPr>
        <w:t>It is essential that</w:t>
      </w:r>
      <w:r w:rsidR="003018CB" w:rsidRPr="000768B5">
        <w:rPr>
          <w:rFonts w:ascii="Arial" w:hAnsi="Arial" w:cs="Arial"/>
          <w:sz w:val="24"/>
          <w:szCs w:val="24"/>
        </w:rPr>
        <w:t xml:space="preserve"> </w:t>
      </w:r>
      <w:r w:rsidR="00F04F1C" w:rsidRPr="000768B5">
        <w:rPr>
          <w:rFonts w:ascii="Arial" w:hAnsi="Arial" w:cs="Arial"/>
          <w:sz w:val="24"/>
          <w:szCs w:val="24"/>
        </w:rPr>
        <w:t>o</w:t>
      </w:r>
      <w:r w:rsidR="00AE5656" w:rsidRPr="000768B5">
        <w:rPr>
          <w:rFonts w:ascii="Arial" w:hAnsi="Arial" w:cs="Arial"/>
          <w:sz w:val="24"/>
          <w:szCs w:val="24"/>
        </w:rPr>
        <w:t>rganisations</w:t>
      </w:r>
      <w:r w:rsidRPr="000768B5">
        <w:rPr>
          <w:rFonts w:ascii="Arial" w:hAnsi="Arial" w:cs="Arial"/>
          <w:sz w:val="24"/>
          <w:szCs w:val="24"/>
        </w:rPr>
        <w:t xml:space="preserve"> understand the importance that NTCA place upon the Delivery and Funding Schedule</w:t>
      </w:r>
      <w:r w:rsidR="000768B5" w:rsidRPr="000768B5">
        <w:rPr>
          <w:rFonts w:ascii="Arial" w:hAnsi="Arial" w:cs="Arial"/>
          <w:sz w:val="24"/>
          <w:szCs w:val="24"/>
        </w:rPr>
        <w:t xml:space="preserve"> (Part 5 of the ITT)</w:t>
      </w:r>
      <w:r w:rsidRPr="000768B5">
        <w:rPr>
          <w:rFonts w:ascii="Arial" w:hAnsi="Arial" w:cs="Arial"/>
          <w:sz w:val="24"/>
          <w:szCs w:val="24"/>
        </w:rPr>
        <w:t>.</w:t>
      </w:r>
      <w:r w:rsidR="00D45F9B">
        <w:rPr>
          <w:rFonts w:ascii="Arial" w:hAnsi="Arial" w:cs="Arial"/>
          <w:sz w:val="24"/>
          <w:szCs w:val="24"/>
        </w:rPr>
        <w:t xml:space="preserve">  </w:t>
      </w:r>
      <w:r w:rsidR="003B79DA" w:rsidRPr="000768B5">
        <w:rPr>
          <w:rFonts w:ascii="Arial" w:hAnsi="Arial" w:cs="Arial"/>
          <w:sz w:val="24"/>
          <w:szCs w:val="24"/>
        </w:rPr>
        <w:t xml:space="preserve">Key information which </w:t>
      </w:r>
      <w:r w:rsidR="00F04F1C" w:rsidRPr="000768B5">
        <w:rPr>
          <w:rFonts w:ascii="Arial" w:hAnsi="Arial" w:cs="Arial"/>
          <w:sz w:val="24"/>
          <w:szCs w:val="24"/>
        </w:rPr>
        <w:t>o</w:t>
      </w:r>
      <w:r w:rsidR="00AE5656" w:rsidRPr="000768B5">
        <w:rPr>
          <w:rFonts w:ascii="Arial" w:hAnsi="Arial" w:cs="Arial"/>
          <w:sz w:val="24"/>
          <w:szCs w:val="24"/>
        </w:rPr>
        <w:t>rganisations</w:t>
      </w:r>
      <w:r w:rsidR="003B79DA" w:rsidRPr="000768B5">
        <w:rPr>
          <w:rFonts w:ascii="Arial" w:hAnsi="Arial" w:cs="Arial"/>
          <w:sz w:val="24"/>
          <w:szCs w:val="24"/>
        </w:rPr>
        <w:t xml:space="preserve"> will be required to report</w:t>
      </w:r>
      <w:r w:rsidR="000768B5">
        <w:rPr>
          <w:rFonts w:ascii="Arial" w:hAnsi="Arial" w:cs="Arial"/>
          <w:sz w:val="24"/>
          <w:szCs w:val="24"/>
        </w:rPr>
        <w:t xml:space="preserve"> on </w:t>
      </w:r>
      <w:r w:rsidR="003B79DA" w:rsidRPr="000768B5">
        <w:rPr>
          <w:rFonts w:ascii="Arial" w:hAnsi="Arial" w:cs="Arial"/>
          <w:sz w:val="24"/>
          <w:szCs w:val="24"/>
        </w:rPr>
        <w:t>are as follows:</w:t>
      </w:r>
    </w:p>
    <w:bookmarkEnd w:id="8"/>
    <w:p w14:paraId="7EE05280" w14:textId="77777777" w:rsidR="000768B5" w:rsidRPr="00E923BA" w:rsidRDefault="000768B5" w:rsidP="00D45F9B">
      <w:pPr>
        <w:pStyle w:val="ListParagraph"/>
        <w:autoSpaceDE w:val="0"/>
        <w:autoSpaceDN w:val="0"/>
        <w:adjustRightInd w:val="0"/>
        <w:spacing w:after="0" w:line="240" w:lineRule="auto"/>
        <w:ind w:left="360"/>
      </w:pPr>
    </w:p>
    <w:p w14:paraId="18CB44D9" w14:textId="2C538C11" w:rsidR="003B79DA" w:rsidRPr="00E923BA" w:rsidRDefault="00A80E5B" w:rsidP="00D45F9B">
      <w:pPr>
        <w:pStyle w:val="Default"/>
        <w:numPr>
          <w:ilvl w:val="0"/>
          <w:numId w:val="38"/>
        </w:numPr>
        <w:jc w:val="both"/>
      </w:pPr>
      <w:r w:rsidRPr="00E923BA">
        <w:t>No of Enrolments</w:t>
      </w:r>
      <w:r w:rsidR="000D3750">
        <w:t>.</w:t>
      </w:r>
    </w:p>
    <w:p w14:paraId="7CD3217F" w14:textId="1C31361B" w:rsidR="00A80E5B" w:rsidRPr="00E923BA" w:rsidRDefault="00A80E5B" w:rsidP="00D45F9B">
      <w:pPr>
        <w:pStyle w:val="Default"/>
        <w:numPr>
          <w:ilvl w:val="0"/>
          <w:numId w:val="38"/>
        </w:numPr>
        <w:jc w:val="both"/>
      </w:pPr>
      <w:r w:rsidRPr="00E923BA">
        <w:t>No of Enrolments by Subject Sector Area</w:t>
      </w:r>
      <w:r w:rsidR="000D3750">
        <w:t>.</w:t>
      </w:r>
    </w:p>
    <w:p w14:paraId="618AAB22" w14:textId="26F559B1" w:rsidR="00A80E5B" w:rsidRPr="00E923BA" w:rsidRDefault="00A80E5B" w:rsidP="00D45F9B">
      <w:pPr>
        <w:pStyle w:val="Default"/>
        <w:numPr>
          <w:ilvl w:val="0"/>
          <w:numId w:val="38"/>
        </w:numPr>
        <w:jc w:val="both"/>
      </w:pPr>
      <w:r w:rsidRPr="00E923BA">
        <w:t>No of Enrolments by level and type of provision</w:t>
      </w:r>
      <w:r w:rsidR="000D3750">
        <w:t>.</w:t>
      </w:r>
    </w:p>
    <w:p w14:paraId="642A8ECA" w14:textId="2D7E9167" w:rsidR="003B79DA" w:rsidRPr="00E923BA" w:rsidRDefault="00A80E5B" w:rsidP="00D45F9B">
      <w:pPr>
        <w:pStyle w:val="Default"/>
        <w:numPr>
          <w:ilvl w:val="0"/>
          <w:numId w:val="38"/>
        </w:numPr>
        <w:jc w:val="both"/>
      </w:pPr>
      <w:r w:rsidRPr="00E923BA">
        <w:t>No</w:t>
      </w:r>
      <w:r w:rsidR="003B79DA" w:rsidRPr="00E923BA">
        <w:t xml:space="preserve"> of residents </w:t>
      </w:r>
      <w:r w:rsidR="003E70E0" w:rsidRPr="00E923BA">
        <w:t>employed (split with low wages) or unemployed</w:t>
      </w:r>
      <w:r w:rsidR="000D3750">
        <w:t>.</w:t>
      </w:r>
    </w:p>
    <w:p w14:paraId="470B837B" w14:textId="6B9CD570" w:rsidR="00A80E5B" w:rsidRPr="00E923BA" w:rsidRDefault="00A80E5B" w:rsidP="00D45F9B">
      <w:pPr>
        <w:pStyle w:val="Default"/>
        <w:numPr>
          <w:ilvl w:val="0"/>
          <w:numId w:val="38"/>
        </w:numPr>
        <w:jc w:val="both"/>
      </w:pPr>
      <w:r w:rsidRPr="00E923BA">
        <w:t>No of residents retained on their programme of learning</w:t>
      </w:r>
      <w:r w:rsidR="000D3750">
        <w:t>.</w:t>
      </w:r>
    </w:p>
    <w:p w14:paraId="776A6760" w14:textId="7AB50C4A" w:rsidR="003E70E0" w:rsidRPr="00E923BA" w:rsidRDefault="00A80E5B" w:rsidP="00D45F9B">
      <w:pPr>
        <w:pStyle w:val="Default"/>
        <w:numPr>
          <w:ilvl w:val="0"/>
          <w:numId w:val="38"/>
        </w:numPr>
        <w:jc w:val="both"/>
      </w:pPr>
      <w:r w:rsidRPr="00E923BA">
        <w:t>No</w:t>
      </w:r>
      <w:r w:rsidR="003E70E0" w:rsidRPr="00E923BA">
        <w:t xml:space="preserve"> of residents </w:t>
      </w:r>
      <w:r w:rsidRPr="00E923BA">
        <w:t>achieving</w:t>
      </w:r>
      <w:r w:rsidR="003E70E0" w:rsidRPr="00E923BA">
        <w:t xml:space="preserve"> their programme of learning</w:t>
      </w:r>
      <w:r w:rsidR="000D3750">
        <w:t>.</w:t>
      </w:r>
    </w:p>
    <w:p w14:paraId="7FF06B32" w14:textId="0EA57496" w:rsidR="003E70E0" w:rsidRPr="00E923BA" w:rsidRDefault="00A80E5B" w:rsidP="00D45F9B">
      <w:pPr>
        <w:pStyle w:val="Default"/>
        <w:numPr>
          <w:ilvl w:val="0"/>
          <w:numId w:val="38"/>
        </w:numPr>
        <w:jc w:val="both"/>
      </w:pPr>
      <w:r w:rsidRPr="00E923BA">
        <w:t>No</w:t>
      </w:r>
      <w:r w:rsidR="003E70E0" w:rsidRPr="00E923BA">
        <w:t xml:space="preserve"> of residents progressing into employment / </w:t>
      </w:r>
      <w:r w:rsidR="009E6AE8" w:rsidRPr="00E923BA">
        <w:t>self-employment</w:t>
      </w:r>
      <w:r w:rsidR="000D3750">
        <w:t>.</w:t>
      </w:r>
    </w:p>
    <w:p w14:paraId="290FA86E" w14:textId="7C766226" w:rsidR="003E70E0" w:rsidRPr="00E923BA" w:rsidRDefault="00A80E5B" w:rsidP="00D45F9B">
      <w:pPr>
        <w:pStyle w:val="Default"/>
        <w:numPr>
          <w:ilvl w:val="0"/>
          <w:numId w:val="38"/>
        </w:numPr>
        <w:jc w:val="both"/>
      </w:pPr>
      <w:r w:rsidRPr="00E923BA">
        <w:t>No</w:t>
      </w:r>
      <w:r w:rsidR="003E70E0" w:rsidRPr="00E923BA">
        <w:t xml:space="preserve"> of residents progressing on to further education</w:t>
      </w:r>
      <w:r w:rsidR="000D3750">
        <w:t>.</w:t>
      </w:r>
    </w:p>
    <w:p w14:paraId="21329830" w14:textId="77777777" w:rsidR="00D45F9B" w:rsidRDefault="00D45F9B" w:rsidP="00D45F9B">
      <w:pPr>
        <w:widowControl w:val="0"/>
        <w:spacing w:after="0" w:line="240" w:lineRule="auto"/>
        <w:jc w:val="both"/>
        <w:rPr>
          <w:rFonts w:ascii="Arial" w:hAnsi="Arial" w:cs="Arial"/>
          <w:b/>
          <w:bCs/>
          <w:color w:val="000000"/>
          <w:sz w:val="24"/>
          <w:szCs w:val="24"/>
        </w:rPr>
      </w:pPr>
    </w:p>
    <w:p w14:paraId="11373996" w14:textId="520D80E1" w:rsidR="001D103C" w:rsidRDefault="001D103C" w:rsidP="00D45F9B">
      <w:pPr>
        <w:widowControl w:val="0"/>
        <w:spacing w:after="0" w:line="240" w:lineRule="auto"/>
        <w:jc w:val="both"/>
        <w:rPr>
          <w:rFonts w:ascii="Arial" w:hAnsi="Arial" w:cs="Arial"/>
          <w:b/>
          <w:bCs/>
          <w:color w:val="000000"/>
          <w:sz w:val="24"/>
          <w:szCs w:val="24"/>
        </w:rPr>
      </w:pPr>
      <w:r w:rsidRPr="00E923BA">
        <w:rPr>
          <w:rFonts w:ascii="Arial" w:hAnsi="Arial" w:cs="Arial"/>
          <w:b/>
          <w:bCs/>
          <w:color w:val="000000"/>
          <w:sz w:val="24"/>
          <w:szCs w:val="24"/>
        </w:rPr>
        <w:t>Consortia and Sub-Contracting</w:t>
      </w:r>
    </w:p>
    <w:p w14:paraId="6B160E21" w14:textId="77777777" w:rsidR="00D45F9B" w:rsidRPr="00E923BA" w:rsidRDefault="00D45F9B" w:rsidP="00D45F9B">
      <w:pPr>
        <w:widowControl w:val="0"/>
        <w:spacing w:after="0" w:line="240" w:lineRule="auto"/>
        <w:jc w:val="both"/>
        <w:rPr>
          <w:rFonts w:ascii="Arial" w:hAnsi="Arial" w:cs="Arial"/>
          <w:b/>
          <w:bCs/>
          <w:color w:val="000000"/>
          <w:sz w:val="24"/>
          <w:szCs w:val="24"/>
        </w:rPr>
      </w:pPr>
    </w:p>
    <w:p w14:paraId="0B29E34A" w14:textId="472A8DCD" w:rsidR="00DB3939" w:rsidRDefault="001D103C" w:rsidP="000768B5">
      <w:pPr>
        <w:pStyle w:val="ListParagraph"/>
        <w:numPr>
          <w:ilvl w:val="0"/>
          <w:numId w:val="2"/>
        </w:numPr>
        <w:autoSpaceDE w:val="0"/>
        <w:autoSpaceDN w:val="0"/>
        <w:adjustRightInd w:val="0"/>
        <w:spacing w:after="0" w:line="240" w:lineRule="auto"/>
        <w:rPr>
          <w:rFonts w:ascii="Arial" w:hAnsi="Arial" w:cs="Arial"/>
          <w:sz w:val="24"/>
          <w:szCs w:val="24"/>
        </w:rPr>
      </w:pPr>
      <w:r w:rsidRPr="000768B5">
        <w:rPr>
          <w:rFonts w:ascii="Arial" w:hAnsi="Arial" w:cs="Arial"/>
          <w:sz w:val="24"/>
          <w:szCs w:val="24"/>
        </w:rPr>
        <w:t xml:space="preserve">Where multiple </w:t>
      </w:r>
      <w:r w:rsidR="00AE5656" w:rsidRPr="000768B5">
        <w:rPr>
          <w:rFonts w:ascii="Arial" w:hAnsi="Arial" w:cs="Arial"/>
          <w:sz w:val="24"/>
          <w:szCs w:val="24"/>
        </w:rPr>
        <w:t>organisations</w:t>
      </w:r>
      <w:r w:rsidRPr="000768B5">
        <w:rPr>
          <w:rFonts w:ascii="Arial" w:hAnsi="Arial" w:cs="Arial"/>
          <w:sz w:val="24"/>
          <w:szCs w:val="24"/>
        </w:rPr>
        <w:t xml:space="preserve"> form a </w:t>
      </w:r>
      <w:r w:rsidR="000D3750" w:rsidRPr="000768B5">
        <w:rPr>
          <w:rFonts w:ascii="Arial" w:hAnsi="Arial" w:cs="Arial"/>
          <w:sz w:val="24"/>
          <w:szCs w:val="24"/>
        </w:rPr>
        <w:t>consortium</w:t>
      </w:r>
      <w:r w:rsidRPr="000768B5">
        <w:rPr>
          <w:rFonts w:ascii="Arial" w:hAnsi="Arial" w:cs="Arial"/>
          <w:sz w:val="24"/>
          <w:szCs w:val="24"/>
        </w:rPr>
        <w:t xml:space="preserve">, </w:t>
      </w:r>
      <w:r w:rsidR="0049677F" w:rsidRPr="000768B5">
        <w:rPr>
          <w:rFonts w:ascii="Arial" w:hAnsi="Arial" w:cs="Arial"/>
          <w:sz w:val="24"/>
          <w:szCs w:val="24"/>
        </w:rPr>
        <w:t>it</w:t>
      </w:r>
      <w:r w:rsidRPr="000768B5">
        <w:rPr>
          <w:rFonts w:ascii="Arial" w:hAnsi="Arial" w:cs="Arial"/>
          <w:sz w:val="24"/>
          <w:szCs w:val="24"/>
        </w:rPr>
        <w:t xml:space="preserve"> (where relevant acting through its lead member) will be required to provide full details of the contractual and management arrangements that the members will use to ensure delivery of a joined-up, coherent and efficient service. </w:t>
      </w:r>
    </w:p>
    <w:p w14:paraId="6CAF1026" w14:textId="77777777" w:rsidR="000768B5" w:rsidRDefault="000768B5" w:rsidP="000768B5">
      <w:pPr>
        <w:pStyle w:val="ListParagraph"/>
        <w:autoSpaceDE w:val="0"/>
        <w:autoSpaceDN w:val="0"/>
        <w:adjustRightInd w:val="0"/>
        <w:spacing w:after="0" w:line="240" w:lineRule="auto"/>
        <w:ind w:left="360"/>
        <w:rPr>
          <w:rFonts w:ascii="Arial" w:hAnsi="Arial" w:cs="Arial"/>
          <w:sz w:val="24"/>
          <w:szCs w:val="24"/>
        </w:rPr>
      </w:pPr>
    </w:p>
    <w:p w14:paraId="0EA8EA77" w14:textId="550C67DB" w:rsidR="001D103C" w:rsidRDefault="001D103C" w:rsidP="000768B5">
      <w:pPr>
        <w:pStyle w:val="ListParagraph"/>
        <w:numPr>
          <w:ilvl w:val="0"/>
          <w:numId w:val="2"/>
        </w:numPr>
        <w:autoSpaceDE w:val="0"/>
        <w:autoSpaceDN w:val="0"/>
        <w:adjustRightInd w:val="0"/>
        <w:spacing w:after="0" w:line="240" w:lineRule="auto"/>
        <w:rPr>
          <w:rFonts w:ascii="Arial" w:hAnsi="Arial" w:cs="Arial"/>
          <w:sz w:val="24"/>
          <w:szCs w:val="24"/>
        </w:rPr>
      </w:pPr>
      <w:r w:rsidRPr="000768B5">
        <w:rPr>
          <w:rFonts w:ascii="Arial" w:hAnsi="Arial" w:cs="Arial"/>
          <w:sz w:val="24"/>
          <w:szCs w:val="24"/>
        </w:rPr>
        <w:t xml:space="preserve">The proposals should include how members have addressed and plan to mitigate the delivery risks of multiple partners providing a single service. </w:t>
      </w:r>
      <w:r w:rsidR="00AE5656" w:rsidRPr="000768B5">
        <w:rPr>
          <w:rFonts w:ascii="Arial" w:hAnsi="Arial" w:cs="Arial"/>
          <w:sz w:val="24"/>
          <w:szCs w:val="24"/>
        </w:rPr>
        <w:t>Organisations</w:t>
      </w:r>
      <w:r w:rsidRPr="000768B5">
        <w:rPr>
          <w:rFonts w:ascii="Arial" w:hAnsi="Arial" w:cs="Arial"/>
          <w:sz w:val="24"/>
          <w:szCs w:val="24"/>
        </w:rPr>
        <w:t xml:space="preserve"> should clearly set out how they propose to remedy underperformance by </w:t>
      </w:r>
      <w:r w:rsidR="00AE5656" w:rsidRPr="000768B5">
        <w:rPr>
          <w:rFonts w:ascii="Arial" w:hAnsi="Arial" w:cs="Arial"/>
          <w:sz w:val="24"/>
          <w:szCs w:val="24"/>
        </w:rPr>
        <w:t>organisations</w:t>
      </w:r>
      <w:r w:rsidRPr="000768B5">
        <w:rPr>
          <w:rFonts w:ascii="Arial" w:hAnsi="Arial" w:cs="Arial"/>
          <w:sz w:val="24"/>
          <w:szCs w:val="24"/>
        </w:rPr>
        <w:t xml:space="preserve"> within the consortium, and to detail how they will ensure that the systems and recording procedures are in place for the </w:t>
      </w:r>
      <w:r w:rsidR="00DB3939" w:rsidRPr="000768B5">
        <w:rPr>
          <w:rFonts w:ascii="Arial" w:hAnsi="Arial" w:cs="Arial"/>
          <w:sz w:val="24"/>
          <w:szCs w:val="24"/>
        </w:rPr>
        <w:t>NTCA</w:t>
      </w:r>
      <w:r w:rsidRPr="000768B5">
        <w:rPr>
          <w:rFonts w:ascii="Arial" w:hAnsi="Arial" w:cs="Arial"/>
          <w:sz w:val="24"/>
          <w:szCs w:val="24"/>
        </w:rPr>
        <w:t xml:space="preserve"> to access </w:t>
      </w:r>
      <w:r w:rsidR="00C25833" w:rsidRPr="000768B5">
        <w:rPr>
          <w:rFonts w:ascii="Arial" w:hAnsi="Arial" w:cs="Arial"/>
          <w:sz w:val="24"/>
          <w:szCs w:val="24"/>
        </w:rPr>
        <w:t>records and</w:t>
      </w:r>
      <w:r w:rsidRPr="000768B5">
        <w:rPr>
          <w:rFonts w:ascii="Arial" w:hAnsi="Arial" w:cs="Arial"/>
          <w:sz w:val="24"/>
          <w:szCs w:val="24"/>
        </w:rPr>
        <w:t xml:space="preserve"> monitor and audit all the consortium’s members’ activities and delivery as if they were each a prime contractor. </w:t>
      </w:r>
    </w:p>
    <w:p w14:paraId="57F921A3" w14:textId="77777777" w:rsidR="000768B5" w:rsidRPr="001D55A6" w:rsidRDefault="000768B5" w:rsidP="000768B5">
      <w:pPr>
        <w:autoSpaceDE w:val="0"/>
        <w:autoSpaceDN w:val="0"/>
        <w:adjustRightInd w:val="0"/>
        <w:spacing w:after="0" w:line="240" w:lineRule="auto"/>
        <w:rPr>
          <w:rFonts w:ascii="Arial" w:hAnsi="Arial" w:cs="Arial"/>
          <w:sz w:val="24"/>
          <w:szCs w:val="24"/>
        </w:rPr>
      </w:pPr>
    </w:p>
    <w:p w14:paraId="013788D6" w14:textId="4C31ADC9" w:rsidR="001D103C" w:rsidRPr="001D55A6" w:rsidRDefault="001D103C" w:rsidP="000768B5">
      <w:pPr>
        <w:pStyle w:val="ListParagraph"/>
        <w:numPr>
          <w:ilvl w:val="0"/>
          <w:numId w:val="2"/>
        </w:numPr>
        <w:autoSpaceDE w:val="0"/>
        <w:autoSpaceDN w:val="0"/>
        <w:adjustRightInd w:val="0"/>
        <w:spacing w:after="0" w:line="240" w:lineRule="auto"/>
        <w:rPr>
          <w:rFonts w:ascii="Arial" w:hAnsi="Arial" w:cs="Arial"/>
          <w:sz w:val="24"/>
          <w:szCs w:val="24"/>
        </w:rPr>
      </w:pPr>
      <w:r w:rsidRPr="001D55A6">
        <w:rPr>
          <w:rFonts w:ascii="Arial" w:hAnsi="Arial" w:cs="Arial"/>
          <w:sz w:val="24"/>
          <w:szCs w:val="24"/>
        </w:rPr>
        <w:t xml:space="preserve">If a consortia bid was to be successful, the consortium will be required to establish a single entity with which the </w:t>
      </w:r>
      <w:r w:rsidR="00DB3939" w:rsidRPr="001D55A6">
        <w:rPr>
          <w:rFonts w:ascii="Arial" w:hAnsi="Arial" w:cs="Arial"/>
          <w:sz w:val="24"/>
          <w:szCs w:val="24"/>
        </w:rPr>
        <w:t>NT</w:t>
      </w:r>
      <w:r w:rsidR="008131D4" w:rsidRPr="001D55A6">
        <w:rPr>
          <w:rFonts w:ascii="Arial" w:hAnsi="Arial" w:cs="Arial"/>
          <w:sz w:val="24"/>
          <w:szCs w:val="24"/>
        </w:rPr>
        <w:t>CA</w:t>
      </w:r>
      <w:r w:rsidRPr="001D55A6">
        <w:rPr>
          <w:rFonts w:ascii="Arial" w:hAnsi="Arial" w:cs="Arial"/>
          <w:sz w:val="24"/>
          <w:szCs w:val="24"/>
        </w:rPr>
        <w:t xml:space="preserve"> will contract. Guarantees from the consortium members will be </w:t>
      </w:r>
      <w:r w:rsidR="003423C4" w:rsidRPr="001D55A6">
        <w:rPr>
          <w:rFonts w:ascii="Arial" w:hAnsi="Arial" w:cs="Arial"/>
          <w:sz w:val="24"/>
          <w:szCs w:val="24"/>
        </w:rPr>
        <w:t xml:space="preserve">required to ensure successful </w:t>
      </w:r>
      <w:r w:rsidRPr="001D55A6">
        <w:rPr>
          <w:rFonts w:ascii="Arial" w:hAnsi="Arial" w:cs="Arial"/>
          <w:sz w:val="24"/>
          <w:szCs w:val="24"/>
        </w:rPr>
        <w:t xml:space="preserve">performance of the </w:t>
      </w:r>
      <w:r w:rsidR="003423C4" w:rsidRPr="001D55A6">
        <w:rPr>
          <w:rFonts w:ascii="Arial" w:hAnsi="Arial" w:cs="Arial"/>
          <w:sz w:val="24"/>
          <w:szCs w:val="24"/>
        </w:rPr>
        <w:t>contract</w:t>
      </w:r>
      <w:r w:rsidRPr="001D55A6">
        <w:rPr>
          <w:rFonts w:ascii="Arial" w:hAnsi="Arial" w:cs="Arial"/>
          <w:sz w:val="24"/>
          <w:szCs w:val="24"/>
        </w:rPr>
        <w:t xml:space="preserve">. </w:t>
      </w:r>
    </w:p>
    <w:p w14:paraId="28E4D741" w14:textId="77777777" w:rsidR="000768B5" w:rsidRPr="001D55A6" w:rsidRDefault="000768B5" w:rsidP="000768B5">
      <w:pPr>
        <w:autoSpaceDE w:val="0"/>
        <w:autoSpaceDN w:val="0"/>
        <w:adjustRightInd w:val="0"/>
        <w:spacing w:after="0" w:line="240" w:lineRule="auto"/>
        <w:rPr>
          <w:rFonts w:ascii="Arial" w:hAnsi="Arial" w:cs="Arial"/>
          <w:sz w:val="24"/>
          <w:szCs w:val="24"/>
        </w:rPr>
      </w:pPr>
    </w:p>
    <w:p w14:paraId="4A8936A9" w14:textId="00D7E13D" w:rsidR="001D103C" w:rsidRPr="001D55A6" w:rsidRDefault="001D103C" w:rsidP="000768B5">
      <w:pPr>
        <w:pStyle w:val="ListParagraph"/>
        <w:numPr>
          <w:ilvl w:val="0"/>
          <w:numId w:val="2"/>
        </w:numPr>
        <w:autoSpaceDE w:val="0"/>
        <w:autoSpaceDN w:val="0"/>
        <w:adjustRightInd w:val="0"/>
        <w:spacing w:after="0" w:line="240" w:lineRule="auto"/>
        <w:rPr>
          <w:rFonts w:ascii="Arial" w:hAnsi="Arial" w:cs="Arial"/>
          <w:sz w:val="24"/>
          <w:szCs w:val="24"/>
        </w:rPr>
      </w:pPr>
      <w:r w:rsidRPr="001D55A6">
        <w:rPr>
          <w:rFonts w:ascii="Arial" w:hAnsi="Arial" w:cs="Arial"/>
          <w:sz w:val="24"/>
          <w:szCs w:val="24"/>
        </w:rPr>
        <w:t xml:space="preserve">Where </w:t>
      </w:r>
      <w:r w:rsidR="00F04F1C" w:rsidRPr="001D55A6">
        <w:rPr>
          <w:rFonts w:ascii="Arial" w:hAnsi="Arial" w:cs="Arial"/>
          <w:sz w:val="24"/>
          <w:szCs w:val="24"/>
        </w:rPr>
        <w:t>o</w:t>
      </w:r>
      <w:r w:rsidR="00AE5656" w:rsidRPr="001D55A6">
        <w:rPr>
          <w:rFonts w:ascii="Arial" w:hAnsi="Arial" w:cs="Arial"/>
          <w:sz w:val="24"/>
          <w:szCs w:val="24"/>
        </w:rPr>
        <w:t>rganisations</w:t>
      </w:r>
      <w:r w:rsidRPr="001D55A6">
        <w:rPr>
          <w:rFonts w:ascii="Arial" w:hAnsi="Arial" w:cs="Arial"/>
          <w:sz w:val="24"/>
          <w:szCs w:val="24"/>
        </w:rPr>
        <w:t xml:space="preserve"> include sub-contracting </w:t>
      </w:r>
      <w:r w:rsidR="00AB496D">
        <w:rPr>
          <w:rFonts w:ascii="Arial" w:hAnsi="Arial" w:cs="Arial"/>
          <w:sz w:val="24"/>
          <w:szCs w:val="24"/>
        </w:rPr>
        <w:t xml:space="preserve">arrangements </w:t>
      </w:r>
      <w:r w:rsidR="00AA1A5C" w:rsidRPr="001D55A6">
        <w:rPr>
          <w:rFonts w:ascii="Arial" w:hAnsi="Arial" w:cs="Arial"/>
          <w:sz w:val="24"/>
          <w:szCs w:val="24"/>
        </w:rPr>
        <w:t xml:space="preserve">in their proposal </w:t>
      </w:r>
      <w:r w:rsidR="00AA1A5C">
        <w:rPr>
          <w:rFonts w:ascii="Arial" w:hAnsi="Arial" w:cs="Arial"/>
          <w:sz w:val="24"/>
          <w:szCs w:val="24"/>
        </w:rPr>
        <w:t>and</w:t>
      </w:r>
      <w:r w:rsidR="000D3750">
        <w:rPr>
          <w:rFonts w:ascii="Arial" w:hAnsi="Arial" w:cs="Arial"/>
          <w:sz w:val="24"/>
          <w:szCs w:val="24"/>
        </w:rPr>
        <w:t xml:space="preserve"> </w:t>
      </w:r>
      <w:r w:rsidRPr="001D55A6">
        <w:rPr>
          <w:rFonts w:ascii="Arial" w:hAnsi="Arial" w:cs="Arial"/>
          <w:sz w:val="24"/>
          <w:szCs w:val="24"/>
        </w:rPr>
        <w:t xml:space="preserve">where they have a contractual commitment at the point of submitting their </w:t>
      </w:r>
      <w:r w:rsidR="009E6AE8" w:rsidRPr="001D55A6">
        <w:rPr>
          <w:rFonts w:ascii="Arial" w:hAnsi="Arial" w:cs="Arial"/>
          <w:sz w:val="24"/>
          <w:szCs w:val="24"/>
        </w:rPr>
        <w:t>tender,</w:t>
      </w:r>
      <w:r w:rsidRPr="001D55A6">
        <w:rPr>
          <w:rFonts w:ascii="Arial" w:hAnsi="Arial" w:cs="Arial"/>
          <w:sz w:val="24"/>
          <w:szCs w:val="24"/>
        </w:rPr>
        <w:t xml:space="preserve"> they should provide the following:</w:t>
      </w:r>
    </w:p>
    <w:p w14:paraId="1C31BF8E" w14:textId="77777777" w:rsidR="000768B5" w:rsidRPr="00E923BA" w:rsidRDefault="000768B5" w:rsidP="000768B5">
      <w:pPr>
        <w:autoSpaceDE w:val="0"/>
        <w:autoSpaceDN w:val="0"/>
        <w:adjustRightInd w:val="0"/>
        <w:spacing w:after="0" w:line="240" w:lineRule="auto"/>
      </w:pPr>
    </w:p>
    <w:p w14:paraId="596F4282" w14:textId="77777777" w:rsidR="002003A9" w:rsidRPr="00E923BA" w:rsidRDefault="002003A9" w:rsidP="002003A9">
      <w:pPr>
        <w:pStyle w:val="Default"/>
        <w:numPr>
          <w:ilvl w:val="0"/>
          <w:numId w:val="3"/>
        </w:numPr>
        <w:jc w:val="both"/>
      </w:pPr>
      <w:r w:rsidRPr="00E923BA">
        <w:t>How sub-contractor</w:t>
      </w:r>
      <w:r>
        <w:t>(</w:t>
      </w:r>
      <w:r w:rsidRPr="00E923BA">
        <w:t>s</w:t>
      </w:r>
      <w:r>
        <w:t>)</w:t>
      </w:r>
      <w:r w:rsidRPr="00E923BA">
        <w:t xml:space="preserve"> w</w:t>
      </w:r>
      <w:r>
        <w:t>ere</w:t>
      </w:r>
      <w:r w:rsidRPr="00E923BA">
        <w:t xml:space="preserve"> selected and why they represented the best value solution to the delivery of the Service</w:t>
      </w:r>
      <w:r>
        <w:t>;</w:t>
      </w:r>
    </w:p>
    <w:p w14:paraId="3D5B8F88" w14:textId="7B549E68" w:rsidR="001D103C" w:rsidRPr="00E923BA" w:rsidRDefault="001D103C" w:rsidP="0034473B">
      <w:pPr>
        <w:pStyle w:val="Default"/>
        <w:numPr>
          <w:ilvl w:val="0"/>
          <w:numId w:val="3"/>
        </w:numPr>
        <w:jc w:val="both"/>
      </w:pPr>
      <w:r w:rsidRPr="00E923BA">
        <w:t xml:space="preserve">Details of the role </w:t>
      </w:r>
      <w:r w:rsidR="001D55A6">
        <w:t xml:space="preserve">of </w:t>
      </w:r>
      <w:r w:rsidRPr="00E923BA">
        <w:t>the sub-contractor</w:t>
      </w:r>
      <w:r w:rsidR="001D55A6">
        <w:t>(</w:t>
      </w:r>
      <w:r w:rsidRPr="00E923BA">
        <w:t>s</w:t>
      </w:r>
      <w:r w:rsidR="001D55A6">
        <w:t>)</w:t>
      </w:r>
      <w:r w:rsidRPr="00E923BA">
        <w:t xml:space="preserve"> and the services they will provide in the delivery of the contract</w:t>
      </w:r>
      <w:r w:rsidR="00D45F9B">
        <w:t>;</w:t>
      </w:r>
    </w:p>
    <w:p w14:paraId="59C30B2E" w14:textId="368CD9E0" w:rsidR="001D103C" w:rsidRPr="00E923BA" w:rsidRDefault="001D103C" w:rsidP="0034473B">
      <w:pPr>
        <w:pStyle w:val="Default"/>
        <w:numPr>
          <w:ilvl w:val="0"/>
          <w:numId w:val="3"/>
        </w:numPr>
        <w:jc w:val="both"/>
      </w:pPr>
      <w:r w:rsidRPr="00E923BA">
        <w:t xml:space="preserve">The percentage value of the contract </w:t>
      </w:r>
      <w:r w:rsidR="003423C4" w:rsidRPr="00E923BA">
        <w:t xml:space="preserve">to be </w:t>
      </w:r>
      <w:r w:rsidRPr="00E923BA">
        <w:t>allocated to the sub-contractor</w:t>
      </w:r>
      <w:r w:rsidR="002003A9">
        <w:t>(</w:t>
      </w:r>
      <w:r w:rsidRPr="00E923BA">
        <w:t>s</w:t>
      </w:r>
      <w:r w:rsidR="002003A9">
        <w:t>)</w:t>
      </w:r>
      <w:r w:rsidR="00D45F9B">
        <w:t>;</w:t>
      </w:r>
    </w:p>
    <w:p w14:paraId="3891D732" w14:textId="3DDE248A" w:rsidR="002003A9" w:rsidRDefault="001D103C" w:rsidP="004D6BCE">
      <w:pPr>
        <w:pStyle w:val="Default"/>
        <w:numPr>
          <w:ilvl w:val="0"/>
          <w:numId w:val="3"/>
        </w:numPr>
        <w:jc w:val="both"/>
      </w:pPr>
      <w:r w:rsidRPr="00E923BA">
        <w:t xml:space="preserve">Details of </w:t>
      </w:r>
      <w:r w:rsidR="002003A9">
        <w:t xml:space="preserve">the approach to supply chain management.  This should also include the capacity and capability they will bring to this contract to support our residents.  </w:t>
      </w:r>
    </w:p>
    <w:p w14:paraId="7A3020B3" w14:textId="77777777" w:rsidR="004D6BCE" w:rsidRPr="001D55A6" w:rsidRDefault="004D6BCE" w:rsidP="00600B2A">
      <w:pPr>
        <w:pStyle w:val="Default"/>
        <w:ind w:left="720"/>
        <w:jc w:val="both"/>
      </w:pPr>
    </w:p>
    <w:p w14:paraId="587B26D5" w14:textId="77777777" w:rsidR="00D45F9B" w:rsidRDefault="00AE5656" w:rsidP="00D45F9B">
      <w:pPr>
        <w:pStyle w:val="ListParagraph"/>
        <w:numPr>
          <w:ilvl w:val="0"/>
          <w:numId w:val="2"/>
        </w:numPr>
        <w:autoSpaceDE w:val="0"/>
        <w:autoSpaceDN w:val="0"/>
        <w:adjustRightInd w:val="0"/>
        <w:spacing w:after="0" w:line="240" w:lineRule="auto"/>
        <w:rPr>
          <w:rFonts w:ascii="Arial" w:hAnsi="Arial" w:cs="Arial"/>
          <w:sz w:val="24"/>
          <w:szCs w:val="24"/>
        </w:rPr>
      </w:pPr>
      <w:r w:rsidRPr="001D55A6">
        <w:rPr>
          <w:rFonts w:ascii="Arial" w:hAnsi="Arial" w:cs="Arial"/>
          <w:sz w:val="24"/>
          <w:szCs w:val="24"/>
        </w:rPr>
        <w:t>Organisations</w:t>
      </w:r>
      <w:r w:rsidR="001D103C" w:rsidRPr="001D55A6">
        <w:rPr>
          <w:rFonts w:ascii="Arial" w:hAnsi="Arial" w:cs="Arial"/>
          <w:sz w:val="24"/>
          <w:szCs w:val="24"/>
        </w:rPr>
        <w:t xml:space="preserve"> will need to give the </w:t>
      </w:r>
      <w:r w:rsidR="00DB3939" w:rsidRPr="001D55A6">
        <w:rPr>
          <w:rFonts w:ascii="Arial" w:hAnsi="Arial" w:cs="Arial"/>
          <w:sz w:val="24"/>
          <w:szCs w:val="24"/>
        </w:rPr>
        <w:t>NT</w:t>
      </w:r>
      <w:r w:rsidR="003423C4" w:rsidRPr="001D55A6">
        <w:rPr>
          <w:rFonts w:ascii="Arial" w:hAnsi="Arial" w:cs="Arial"/>
          <w:sz w:val="24"/>
          <w:szCs w:val="24"/>
        </w:rPr>
        <w:t>CA</w:t>
      </w:r>
      <w:r w:rsidR="001D103C" w:rsidRPr="001D55A6">
        <w:rPr>
          <w:rFonts w:ascii="Arial" w:hAnsi="Arial" w:cs="Arial"/>
          <w:sz w:val="24"/>
          <w:szCs w:val="24"/>
        </w:rPr>
        <w:t xml:space="preserve"> the confidence, and provide details and evidence, that all systems and processes for managing sub-contractor performance are robust, provide a clear audit trail of evidence and ensure that their supply chain is delivering in accordance with the overall contractual obligations.</w:t>
      </w:r>
      <w:r w:rsidR="00D45F9B">
        <w:rPr>
          <w:rFonts w:ascii="Arial" w:hAnsi="Arial" w:cs="Arial"/>
          <w:sz w:val="24"/>
          <w:szCs w:val="24"/>
        </w:rPr>
        <w:t xml:space="preserve">  </w:t>
      </w:r>
    </w:p>
    <w:p w14:paraId="5CAC04A5" w14:textId="77777777" w:rsidR="00D45F9B" w:rsidRDefault="00D45F9B" w:rsidP="00D45F9B">
      <w:pPr>
        <w:pStyle w:val="ListParagraph"/>
        <w:autoSpaceDE w:val="0"/>
        <w:autoSpaceDN w:val="0"/>
        <w:adjustRightInd w:val="0"/>
        <w:spacing w:after="0" w:line="240" w:lineRule="auto"/>
        <w:ind w:left="360"/>
        <w:rPr>
          <w:rFonts w:ascii="Arial" w:hAnsi="Arial" w:cs="Arial"/>
          <w:sz w:val="24"/>
          <w:szCs w:val="24"/>
        </w:rPr>
      </w:pPr>
    </w:p>
    <w:p w14:paraId="18BE2091" w14:textId="4B9FB7A8" w:rsidR="00C5769A" w:rsidRDefault="001D103C" w:rsidP="00D45F9B">
      <w:pPr>
        <w:pStyle w:val="ListParagraph"/>
        <w:numPr>
          <w:ilvl w:val="0"/>
          <w:numId w:val="2"/>
        </w:numPr>
        <w:autoSpaceDE w:val="0"/>
        <w:autoSpaceDN w:val="0"/>
        <w:adjustRightInd w:val="0"/>
        <w:spacing w:after="0" w:line="240" w:lineRule="auto"/>
        <w:rPr>
          <w:rFonts w:ascii="Arial" w:hAnsi="Arial" w:cs="Arial"/>
          <w:sz w:val="24"/>
          <w:szCs w:val="24"/>
        </w:rPr>
      </w:pPr>
      <w:r w:rsidRPr="001D55A6">
        <w:rPr>
          <w:rFonts w:ascii="Arial" w:hAnsi="Arial" w:cs="Arial"/>
          <w:sz w:val="24"/>
          <w:szCs w:val="24"/>
        </w:rPr>
        <w:t xml:space="preserve">The </w:t>
      </w:r>
      <w:r w:rsidR="006E2AAB" w:rsidRPr="001D55A6">
        <w:rPr>
          <w:rFonts w:ascii="Arial" w:hAnsi="Arial" w:cs="Arial"/>
          <w:sz w:val="24"/>
          <w:szCs w:val="24"/>
        </w:rPr>
        <w:t>o</w:t>
      </w:r>
      <w:r w:rsidR="00AE5656" w:rsidRPr="001D55A6">
        <w:rPr>
          <w:rFonts w:ascii="Arial" w:hAnsi="Arial" w:cs="Arial"/>
          <w:sz w:val="24"/>
          <w:szCs w:val="24"/>
        </w:rPr>
        <w:t>rganisation</w:t>
      </w:r>
      <w:r w:rsidRPr="001D55A6">
        <w:rPr>
          <w:rFonts w:ascii="Arial" w:hAnsi="Arial" w:cs="Arial"/>
          <w:sz w:val="24"/>
          <w:szCs w:val="24"/>
        </w:rPr>
        <w:t xml:space="preserve"> must impose on their sub-contractors a binding requirement to comply with all contractual obligations with regard to performance, reporting, the retention and management of information, data and records and those relating to </w:t>
      </w:r>
      <w:r w:rsidR="00DB3939" w:rsidRPr="001D55A6">
        <w:rPr>
          <w:rFonts w:ascii="Arial" w:hAnsi="Arial" w:cs="Arial"/>
          <w:sz w:val="24"/>
          <w:szCs w:val="24"/>
        </w:rPr>
        <w:t>but not limited to performance, v</w:t>
      </w:r>
      <w:r w:rsidRPr="001D55A6">
        <w:rPr>
          <w:rFonts w:ascii="Arial" w:hAnsi="Arial" w:cs="Arial"/>
          <w:sz w:val="24"/>
          <w:szCs w:val="24"/>
        </w:rPr>
        <w:t>alues and standards.</w:t>
      </w:r>
    </w:p>
    <w:p w14:paraId="3FBD5F0A" w14:textId="77777777" w:rsidR="00994F9A" w:rsidRPr="00994F9A" w:rsidRDefault="00994F9A" w:rsidP="00994F9A">
      <w:pPr>
        <w:pStyle w:val="ListParagraph"/>
        <w:rPr>
          <w:rFonts w:ascii="Arial" w:hAnsi="Arial" w:cs="Arial"/>
          <w:sz w:val="24"/>
          <w:szCs w:val="24"/>
        </w:rPr>
      </w:pPr>
    </w:p>
    <w:p w14:paraId="7393775A" w14:textId="0E159F49" w:rsidR="004D6BCE" w:rsidRPr="00994F9A" w:rsidRDefault="00994F9A" w:rsidP="00994F9A">
      <w:pPr>
        <w:pStyle w:val="ListParagraph"/>
        <w:numPr>
          <w:ilvl w:val="0"/>
          <w:numId w:val="2"/>
        </w:numPr>
        <w:autoSpaceDE w:val="0"/>
        <w:autoSpaceDN w:val="0"/>
        <w:adjustRightInd w:val="0"/>
        <w:spacing w:after="0" w:line="240" w:lineRule="auto"/>
        <w:rPr>
          <w:rFonts w:ascii="Arial" w:hAnsi="Arial" w:cs="Arial"/>
          <w:sz w:val="24"/>
          <w:szCs w:val="24"/>
        </w:rPr>
      </w:pPr>
      <w:r w:rsidRPr="00994F9A">
        <w:rPr>
          <w:rFonts w:ascii="Arial" w:hAnsi="Arial" w:cs="Arial"/>
          <w:sz w:val="24"/>
          <w:szCs w:val="24"/>
        </w:rPr>
        <w:t xml:space="preserve">Where there is no contractual arrangement in place with sub-contractors, organisations will need to give NTCA the confidence that substantive conversations have taken place with prospective subcontractors and that those sub-contractors have not provisionally or otherwise offered their Services to other organisations which may mean that they will be unable to fulfil those commitments at award.   </w:t>
      </w:r>
    </w:p>
    <w:p w14:paraId="4B865FBB" w14:textId="34E0AAD8" w:rsidR="00D45F9B" w:rsidRPr="004D6BCE" w:rsidRDefault="00D45F9B" w:rsidP="004D6BCE">
      <w:pPr>
        <w:autoSpaceDE w:val="0"/>
        <w:autoSpaceDN w:val="0"/>
        <w:adjustRightInd w:val="0"/>
        <w:spacing w:after="0" w:line="240" w:lineRule="auto"/>
        <w:rPr>
          <w:rFonts w:ascii="Arial" w:hAnsi="Arial" w:cs="Arial"/>
          <w:sz w:val="24"/>
          <w:szCs w:val="24"/>
        </w:rPr>
      </w:pPr>
    </w:p>
    <w:p w14:paraId="3B5A3F78" w14:textId="2324AF5B" w:rsidR="00721941" w:rsidRDefault="00721941" w:rsidP="00D45F9B">
      <w:pPr>
        <w:pStyle w:val="Default"/>
        <w:jc w:val="both"/>
        <w:rPr>
          <w:b/>
          <w:bCs/>
        </w:rPr>
      </w:pPr>
      <w:r w:rsidRPr="00E923BA">
        <w:rPr>
          <w:b/>
          <w:bCs/>
        </w:rPr>
        <w:t xml:space="preserve">Health and Safety </w:t>
      </w:r>
    </w:p>
    <w:p w14:paraId="51680027" w14:textId="77777777" w:rsidR="00D45F9B" w:rsidRPr="00E923BA" w:rsidRDefault="00D45F9B" w:rsidP="00D45F9B">
      <w:pPr>
        <w:pStyle w:val="Default"/>
        <w:jc w:val="both"/>
        <w:rPr>
          <w:b/>
          <w:bCs/>
        </w:rPr>
      </w:pPr>
    </w:p>
    <w:p w14:paraId="0B5FEF03" w14:textId="22A2A4C6" w:rsidR="00AA180E" w:rsidRPr="001D55A6" w:rsidRDefault="00AA180E" w:rsidP="00D45F9B">
      <w:pPr>
        <w:pStyle w:val="ListParagraph"/>
        <w:numPr>
          <w:ilvl w:val="0"/>
          <w:numId w:val="2"/>
        </w:numPr>
        <w:autoSpaceDE w:val="0"/>
        <w:autoSpaceDN w:val="0"/>
        <w:adjustRightInd w:val="0"/>
        <w:spacing w:after="0" w:line="240" w:lineRule="auto"/>
        <w:rPr>
          <w:rFonts w:ascii="Arial" w:hAnsi="Arial" w:cs="Arial"/>
          <w:sz w:val="24"/>
          <w:szCs w:val="24"/>
        </w:rPr>
      </w:pPr>
      <w:r w:rsidRPr="001D55A6">
        <w:rPr>
          <w:rFonts w:ascii="Arial" w:hAnsi="Arial" w:cs="Arial"/>
          <w:sz w:val="24"/>
          <w:szCs w:val="24"/>
        </w:rPr>
        <w:t>Organisations must comply with all health and safety legislation and Health and Safety Executive working regulations, adopt and maintain safe operating systems of work and appropriate safety policies in order to protect the health and safety of provider personnel, learners and all other persons</w:t>
      </w:r>
      <w:r w:rsidR="000D3750">
        <w:rPr>
          <w:rFonts w:ascii="Arial" w:hAnsi="Arial" w:cs="Arial"/>
          <w:sz w:val="24"/>
          <w:szCs w:val="24"/>
        </w:rPr>
        <w:t>,</w:t>
      </w:r>
      <w:r w:rsidRPr="001D55A6">
        <w:rPr>
          <w:rFonts w:ascii="Arial" w:hAnsi="Arial" w:cs="Arial"/>
          <w:sz w:val="24"/>
          <w:szCs w:val="24"/>
        </w:rPr>
        <w:t xml:space="preserve"> including members of the public.</w:t>
      </w:r>
      <w:r w:rsidR="00D45F9B">
        <w:rPr>
          <w:rFonts w:ascii="Arial" w:hAnsi="Arial" w:cs="Arial"/>
          <w:sz w:val="24"/>
          <w:szCs w:val="24"/>
        </w:rPr>
        <w:t xml:space="preserve">  S</w:t>
      </w:r>
      <w:r w:rsidRPr="001D55A6">
        <w:rPr>
          <w:rFonts w:ascii="Arial" w:hAnsi="Arial" w:cs="Arial"/>
          <w:sz w:val="24"/>
          <w:szCs w:val="24"/>
        </w:rPr>
        <w:t>ervices must be delivered in safe, healthy and supportive environments, which meet the needs of learners.</w:t>
      </w:r>
    </w:p>
    <w:p w14:paraId="4CA07206" w14:textId="77777777" w:rsidR="00C25833" w:rsidRPr="001D55A6" w:rsidRDefault="00C25833" w:rsidP="00D45F9B">
      <w:pPr>
        <w:pStyle w:val="Default"/>
        <w:ind w:left="357"/>
      </w:pPr>
    </w:p>
    <w:p w14:paraId="6C379084" w14:textId="76A11083" w:rsidR="005A28FD" w:rsidRPr="001D55A6" w:rsidRDefault="00AE5656" w:rsidP="00D45F9B">
      <w:pPr>
        <w:pStyle w:val="ListParagraph"/>
        <w:numPr>
          <w:ilvl w:val="0"/>
          <w:numId w:val="2"/>
        </w:numPr>
        <w:autoSpaceDE w:val="0"/>
        <w:autoSpaceDN w:val="0"/>
        <w:adjustRightInd w:val="0"/>
        <w:spacing w:after="0" w:line="240" w:lineRule="auto"/>
        <w:rPr>
          <w:rFonts w:ascii="Arial" w:hAnsi="Arial" w:cs="Arial"/>
          <w:sz w:val="24"/>
          <w:szCs w:val="24"/>
        </w:rPr>
      </w:pPr>
      <w:r w:rsidRPr="001D55A6">
        <w:rPr>
          <w:rFonts w:ascii="Arial" w:hAnsi="Arial" w:cs="Arial"/>
          <w:sz w:val="24"/>
          <w:szCs w:val="24"/>
        </w:rPr>
        <w:t>Organisations</w:t>
      </w:r>
      <w:r w:rsidR="00721941" w:rsidRPr="001D55A6">
        <w:rPr>
          <w:rFonts w:ascii="Arial" w:hAnsi="Arial" w:cs="Arial"/>
          <w:sz w:val="24"/>
          <w:szCs w:val="24"/>
        </w:rPr>
        <w:t xml:space="preserve"> must provide </w:t>
      </w:r>
      <w:r w:rsidR="005A28FD" w:rsidRPr="001D55A6">
        <w:rPr>
          <w:rFonts w:ascii="Arial" w:hAnsi="Arial" w:cs="Arial"/>
          <w:sz w:val="24"/>
          <w:szCs w:val="24"/>
        </w:rPr>
        <w:t>information to NTCA as and when specifically requested to give assurance that adequate arrangements exist for the health, safety and welfare of participants supported by this contract.</w:t>
      </w:r>
      <w:r w:rsidR="00D45F9B">
        <w:rPr>
          <w:rFonts w:ascii="Arial" w:hAnsi="Arial" w:cs="Arial"/>
          <w:sz w:val="24"/>
          <w:szCs w:val="24"/>
        </w:rPr>
        <w:t xml:space="preserve">  T</w:t>
      </w:r>
      <w:r w:rsidR="00721941" w:rsidRPr="001D55A6">
        <w:rPr>
          <w:rFonts w:ascii="Arial" w:hAnsi="Arial" w:cs="Arial"/>
          <w:sz w:val="24"/>
          <w:szCs w:val="24"/>
        </w:rPr>
        <w:t>his must include details of health and safety assessments, work-place risk assessments, accident recording and reporting, how health and safety will be communicated to all relevant parties and the names of the key staff responsible</w:t>
      </w:r>
      <w:r w:rsidR="00C44541" w:rsidRPr="001D55A6">
        <w:rPr>
          <w:rFonts w:ascii="Arial" w:hAnsi="Arial" w:cs="Arial"/>
          <w:sz w:val="24"/>
          <w:szCs w:val="24"/>
        </w:rPr>
        <w:t>.</w:t>
      </w:r>
      <w:r w:rsidR="005A28FD" w:rsidRPr="001D55A6">
        <w:rPr>
          <w:rFonts w:ascii="Arial" w:hAnsi="Arial" w:cs="Arial"/>
          <w:sz w:val="24"/>
          <w:szCs w:val="24"/>
        </w:rPr>
        <w:t xml:space="preserve"> </w:t>
      </w:r>
      <w:r w:rsidR="00C25833" w:rsidRPr="001D55A6">
        <w:rPr>
          <w:rFonts w:ascii="Arial" w:hAnsi="Arial" w:cs="Arial"/>
          <w:sz w:val="24"/>
          <w:szCs w:val="24"/>
        </w:rPr>
        <w:t xml:space="preserve">Organisations must only use persons competent to investigate/assess Learner incidents with a view to identifying the causes of any incident and lessons to be learned. </w:t>
      </w:r>
    </w:p>
    <w:p w14:paraId="27C39B91" w14:textId="77777777" w:rsidR="00C25833" w:rsidRDefault="00C25833" w:rsidP="00D45F9B">
      <w:pPr>
        <w:pStyle w:val="Default"/>
      </w:pPr>
    </w:p>
    <w:p w14:paraId="400EC0CA" w14:textId="0F57A3CF" w:rsidR="00C25833" w:rsidRPr="000768B5" w:rsidRDefault="00C25833" w:rsidP="00D45F9B">
      <w:pPr>
        <w:pStyle w:val="ListParagraph"/>
        <w:numPr>
          <w:ilvl w:val="0"/>
          <w:numId w:val="2"/>
        </w:numPr>
        <w:autoSpaceDE w:val="0"/>
        <w:autoSpaceDN w:val="0"/>
        <w:adjustRightInd w:val="0"/>
        <w:spacing w:after="0" w:line="240" w:lineRule="auto"/>
        <w:rPr>
          <w:rFonts w:ascii="Arial" w:hAnsi="Arial" w:cs="Arial"/>
          <w:sz w:val="24"/>
          <w:szCs w:val="24"/>
        </w:rPr>
      </w:pPr>
      <w:r w:rsidRPr="000768B5">
        <w:rPr>
          <w:rFonts w:ascii="Arial" w:hAnsi="Arial" w:cs="Arial"/>
          <w:sz w:val="24"/>
          <w:szCs w:val="24"/>
        </w:rPr>
        <w:t xml:space="preserve">Organisations must ensure that NTCA is informed of any Health &amp; Safety incident subject to </w:t>
      </w:r>
      <w:r w:rsidR="001D55A6" w:rsidRPr="001D55A6">
        <w:rPr>
          <w:rFonts w:ascii="Arial" w:hAnsi="Arial" w:cs="Arial"/>
          <w:bCs/>
          <w:sz w:val="24"/>
          <w:szCs w:val="24"/>
          <w:shd w:val="clear" w:color="auto" w:fill="FFFFFF"/>
        </w:rPr>
        <w:t>Reporting of Injuries, Diseases and Dangerous Occurrences Regulations</w:t>
      </w:r>
      <w:r w:rsidR="001D55A6">
        <w:rPr>
          <w:rFonts w:ascii="Arial" w:hAnsi="Arial" w:cs="Arial"/>
          <w:sz w:val="24"/>
          <w:szCs w:val="24"/>
        </w:rPr>
        <w:t xml:space="preserve"> (</w:t>
      </w:r>
      <w:r w:rsidRPr="000768B5">
        <w:rPr>
          <w:rFonts w:ascii="Arial" w:hAnsi="Arial" w:cs="Arial"/>
          <w:sz w:val="24"/>
          <w:szCs w:val="24"/>
        </w:rPr>
        <w:t>RIDDOR</w:t>
      </w:r>
      <w:r w:rsidR="001D55A6">
        <w:rPr>
          <w:rFonts w:ascii="Arial" w:hAnsi="Arial" w:cs="Arial"/>
          <w:sz w:val="24"/>
          <w:szCs w:val="24"/>
        </w:rPr>
        <w:t>)</w:t>
      </w:r>
      <w:r w:rsidRPr="000768B5">
        <w:rPr>
          <w:rFonts w:ascii="Arial" w:hAnsi="Arial" w:cs="Arial"/>
          <w:sz w:val="24"/>
          <w:szCs w:val="24"/>
        </w:rPr>
        <w:t xml:space="preserve"> and reportable to the ESFA.</w:t>
      </w:r>
      <w:r w:rsidR="00D45F9B">
        <w:rPr>
          <w:rFonts w:ascii="Arial" w:hAnsi="Arial" w:cs="Arial"/>
          <w:sz w:val="24"/>
          <w:szCs w:val="24"/>
        </w:rPr>
        <w:t xml:space="preserve">  </w:t>
      </w:r>
      <w:r w:rsidRPr="000768B5">
        <w:rPr>
          <w:rFonts w:ascii="Arial" w:hAnsi="Arial" w:cs="Arial"/>
          <w:sz w:val="24"/>
          <w:szCs w:val="24"/>
        </w:rPr>
        <w:t xml:space="preserve">NTCA will implement relevant reporting procedures in these cases. </w:t>
      </w:r>
    </w:p>
    <w:p w14:paraId="1106D7CF" w14:textId="77777777" w:rsidR="00C25833" w:rsidRPr="00C25833" w:rsidRDefault="00C25833" w:rsidP="00D45F9B">
      <w:pPr>
        <w:pStyle w:val="ListParagraph"/>
        <w:spacing w:after="0" w:line="240" w:lineRule="auto"/>
        <w:rPr>
          <w:rFonts w:ascii="Arial" w:hAnsi="Arial" w:cs="Arial"/>
          <w:sz w:val="24"/>
          <w:szCs w:val="24"/>
        </w:rPr>
      </w:pPr>
    </w:p>
    <w:p w14:paraId="57CCB60B" w14:textId="3033F9B7" w:rsidR="00AA180E" w:rsidRDefault="0045298A" w:rsidP="00D45F9B">
      <w:pPr>
        <w:pStyle w:val="ListParagraph"/>
        <w:numPr>
          <w:ilvl w:val="0"/>
          <w:numId w:val="2"/>
        </w:numPr>
        <w:autoSpaceDE w:val="0"/>
        <w:autoSpaceDN w:val="0"/>
        <w:adjustRightInd w:val="0"/>
        <w:spacing w:after="0" w:line="240" w:lineRule="auto"/>
        <w:rPr>
          <w:rFonts w:ascii="Arial" w:hAnsi="Arial" w:cs="Arial"/>
          <w:sz w:val="24"/>
          <w:szCs w:val="24"/>
        </w:rPr>
      </w:pPr>
      <w:r w:rsidRPr="000768B5">
        <w:rPr>
          <w:rFonts w:ascii="Arial" w:hAnsi="Arial" w:cs="Arial"/>
          <w:sz w:val="24"/>
          <w:szCs w:val="24"/>
        </w:rPr>
        <w:t>In</w:t>
      </w:r>
      <w:r w:rsidRPr="000768B5">
        <w:rPr>
          <w:rFonts w:ascii="Arial" w:eastAsia="Arial" w:hAnsi="Arial" w:cs="Arial"/>
          <w:color w:val="000000"/>
          <w:sz w:val="24"/>
          <w:lang w:eastAsia="en-GB"/>
        </w:rPr>
        <w:t xml:space="preserve"> circumstances where an organisation sub-contracts the delivery of the Services under this Contract, it must ensure that provisions in respect of health and safety are included in the Sub-Contract with each Sub-Contractor.</w:t>
      </w:r>
      <w:r w:rsidR="00C25833" w:rsidRPr="000768B5">
        <w:rPr>
          <w:rFonts w:ascii="Arial" w:hAnsi="Arial" w:cs="Arial"/>
          <w:sz w:val="24"/>
          <w:szCs w:val="24"/>
        </w:rPr>
        <w:t xml:space="preserve">   </w:t>
      </w:r>
    </w:p>
    <w:p w14:paraId="54FFC030" w14:textId="77777777" w:rsidR="00D45F9B" w:rsidRPr="00D45F9B" w:rsidRDefault="00D45F9B" w:rsidP="00D45F9B">
      <w:pPr>
        <w:autoSpaceDE w:val="0"/>
        <w:autoSpaceDN w:val="0"/>
        <w:adjustRightInd w:val="0"/>
        <w:spacing w:after="0" w:line="240" w:lineRule="auto"/>
        <w:rPr>
          <w:rFonts w:ascii="Arial" w:hAnsi="Arial" w:cs="Arial"/>
          <w:sz w:val="24"/>
          <w:szCs w:val="24"/>
        </w:rPr>
      </w:pPr>
    </w:p>
    <w:p w14:paraId="41ACAA42" w14:textId="205E9CE8" w:rsidR="00721941" w:rsidRDefault="00721941" w:rsidP="00D45F9B">
      <w:pPr>
        <w:pStyle w:val="Default"/>
        <w:jc w:val="both"/>
        <w:rPr>
          <w:b/>
          <w:bCs/>
        </w:rPr>
      </w:pPr>
      <w:r w:rsidRPr="00E923BA">
        <w:rPr>
          <w:b/>
          <w:bCs/>
        </w:rPr>
        <w:t xml:space="preserve">Safeguarding </w:t>
      </w:r>
    </w:p>
    <w:p w14:paraId="68B62ED8" w14:textId="77777777" w:rsidR="00D45F9B" w:rsidRPr="00E923BA" w:rsidRDefault="00D45F9B" w:rsidP="00D45F9B">
      <w:pPr>
        <w:pStyle w:val="Default"/>
        <w:jc w:val="both"/>
        <w:rPr>
          <w:b/>
          <w:bCs/>
        </w:rPr>
      </w:pPr>
    </w:p>
    <w:p w14:paraId="69ED6544" w14:textId="67B0A7AF" w:rsidR="0045298A" w:rsidRPr="001D55A6" w:rsidRDefault="00AE5656" w:rsidP="00D45F9B">
      <w:pPr>
        <w:pStyle w:val="ListParagraph"/>
        <w:numPr>
          <w:ilvl w:val="0"/>
          <w:numId w:val="2"/>
        </w:numPr>
        <w:autoSpaceDE w:val="0"/>
        <w:autoSpaceDN w:val="0"/>
        <w:adjustRightInd w:val="0"/>
        <w:spacing w:after="0" w:line="240" w:lineRule="auto"/>
        <w:rPr>
          <w:rStyle w:val="Hyperlink"/>
          <w:rFonts w:ascii="Arial" w:hAnsi="Arial" w:cs="Arial"/>
          <w:color w:val="000000"/>
          <w:sz w:val="24"/>
          <w:szCs w:val="24"/>
          <w:u w:val="none"/>
        </w:rPr>
      </w:pPr>
      <w:r w:rsidRPr="00621B9A">
        <w:rPr>
          <w:rFonts w:ascii="Arial" w:hAnsi="Arial" w:cs="Arial"/>
          <w:color w:val="000000"/>
          <w:sz w:val="24"/>
          <w:szCs w:val="24"/>
        </w:rPr>
        <w:t>Organisations</w:t>
      </w:r>
      <w:r w:rsidR="00100465" w:rsidRPr="00621B9A">
        <w:rPr>
          <w:rFonts w:ascii="Arial" w:hAnsi="Arial" w:cs="Arial"/>
          <w:color w:val="000000"/>
          <w:sz w:val="24"/>
          <w:szCs w:val="24"/>
        </w:rPr>
        <w:t xml:space="preserve"> must have their own policies and procedures in relation to safeguarding adults</w:t>
      </w:r>
      <w:r w:rsidR="006C1110">
        <w:rPr>
          <w:rFonts w:ascii="Arial" w:hAnsi="Arial" w:cs="Arial"/>
          <w:color w:val="000000"/>
          <w:sz w:val="24"/>
          <w:szCs w:val="24"/>
        </w:rPr>
        <w:t xml:space="preserve">. </w:t>
      </w:r>
      <w:r w:rsidR="00100465" w:rsidRPr="00621B9A">
        <w:rPr>
          <w:rFonts w:ascii="Arial" w:hAnsi="Arial" w:cs="Arial"/>
          <w:color w:val="000000"/>
          <w:sz w:val="24"/>
          <w:szCs w:val="24"/>
        </w:rPr>
        <w:t xml:space="preserve"> The Policy(</w:t>
      </w:r>
      <w:proofErr w:type="spellStart"/>
      <w:r w:rsidR="00100465" w:rsidRPr="00621B9A">
        <w:rPr>
          <w:rFonts w:ascii="Arial" w:hAnsi="Arial" w:cs="Arial"/>
          <w:color w:val="000000"/>
          <w:sz w:val="24"/>
          <w:szCs w:val="24"/>
        </w:rPr>
        <w:t>ies</w:t>
      </w:r>
      <w:proofErr w:type="spellEnd"/>
      <w:r w:rsidR="00100465" w:rsidRPr="00621B9A">
        <w:rPr>
          <w:rFonts w:ascii="Arial" w:hAnsi="Arial" w:cs="Arial"/>
          <w:color w:val="000000"/>
          <w:sz w:val="24"/>
          <w:szCs w:val="24"/>
        </w:rPr>
        <w:t>) and Procedure(s) must be in line with legislation and North Tyneside’s Multi Agency Safeguarding Policies and Procedures.  Please refer to</w:t>
      </w:r>
      <w:r w:rsidR="00621B9A" w:rsidRPr="00621B9A">
        <w:rPr>
          <w:rFonts w:ascii="Arial" w:hAnsi="Arial" w:cs="Arial"/>
          <w:color w:val="000000"/>
          <w:sz w:val="24"/>
          <w:szCs w:val="24"/>
        </w:rPr>
        <w:t xml:space="preserve">: </w:t>
      </w:r>
      <w:hyperlink r:id="rId20" w:history="1">
        <w:r w:rsidR="00621B9A" w:rsidRPr="00621B9A">
          <w:rPr>
            <w:rStyle w:val="Hyperlink"/>
            <w:rFonts w:ascii="Arial" w:hAnsi="Arial" w:cs="Arial"/>
            <w:sz w:val="24"/>
            <w:szCs w:val="24"/>
          </w:rPr>
          <w:t>http://my.northtyneside.gov.uk/category/1033/safeguarding-adults</w:t>
        </w:r>
      </w:hyperlink>
    </w:p>
    <w:p w14:paraId="514F0CAD" w14:textId="77777777" w:rsidR="001D55A6" w:rsidRPr="00621B9A" w:rsidRDefault="001D55A6" w:rsidP="00D45F9B">
      <w:pPr>
        <w:pStyle w:val="ListParagraph"/>
        <w:autoSpaceDE w:val="0"/>
        <w:autoSpaceDN w:val="0"/>
        <w:adjustRightInd w:val="0"/>
        <w:spacing w:after="0" w:line="240" w:lineRule="auto"/>
        <w:ind w:left="360"/>
        <w:rPr>
          <w:rFonts w:ascii="Arial" w:hAnsi="Arial" w:cs="Arial"/>
          <w:color w:val="000000"/>
          <w:sz w:val="24"/>
          <w:szCs w:val="24"/>
        </w:rPr>
      </w:pPr>
    </w:p>
    <w:p w14:paraId="567FC12C" w14:textId="219D413B" w:rsidR="00D36404" w:rsidRDefault="00D36404" w:rsidP="00D45F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D36404">
        <w:rPr>
          <w:rFonts w:ascii="Arial" w:hAnsi="Arial" w:cs="Arial"/>
          <w:color w:val="000000"/>
          <w:sz w:val="24"/>
          <w:szCs w:val="24"/>
        </w:rPr>
        <w:t>Organisations must inform NTCA as soon as practicable if a safeguarding concern is r</w:t>
      </w:r>
      <w:r w:rsidR="00AD315C">
        <w:rPr>
          <w:rFonts w:ascii="Arial" w:hAnsi="Arial" w:cs="Arial"/>
          <w:color w:val="000000"/>
          <w:sz w:val="24"/>
          <w:szCs w:val="24"/>
        </w:rPr>
        <w:t>aised</w:t>
      </w:r>
      <w:r w:rsidRPr="00D36404">
        <w:rPr>
          <w:rFonts w:ascii="Arial" w:hAnsi="Arial" w:cs="Arial"/>
          <w:color w:val="000000"/>
          <w:sz w:val="24"/>
          <w:szCs w:val="24"/>
        </w:rPr>
        <w:t xml:space="preserve">, or an allegation of abuse made against a teacher, lecturer or other member of staff. Such notification must include the name of the institution, a </w:t>
      </w:r>
      <w:r w:rsidR="00C43C5F" w:rsidRPr="00D36404">
        <w:rPr>
          <w:rFonts w:ascii="Arial" w:hAnsi="Arial" w:cs="Arial"/>
          <w:color w:val="000000"/>
          <w:sz w:val="24"/>
          <w:szCs w:val="24"/>
        </w:rPr>
        <w:t>high-level</w:t>
      </w:r>
      <w:r w:rsidRPr="00D36404">
        <w:rPr>
          <w:rFonts w:ascii="Arial" w:hAnsi="Arial" w:cs="Arial"/>
          <w:color w:val="000000"/>
          <w:sz w:val="24"/>
          <w:szCs w:val="24"/>
        </w:rPr>
        <w:t xml:space="preserve"> summary of the nature of the incident (without sharing personal information about victims or alleged perpetrators) and confirmation of whether it is, or is scheduled to be, investigated by the Local Authority and/or the police. </w:t>
      </w:r>
    </w:p>
    <w:p w14:paraId="28DC462F" w14:textId="77777777" w:rsidR="001D55A6" w:rsidRPr="001D55A6" w:rsidRDefault="001D55A6" w:rsidP="00D45F9B">
      <w:pPr>
        <w:autoSpaceDE w:val="0"/>
        <w:autoSpaceDN w:val="0"/>
        <w:adjustRightInd w:val="0"/>
        <w:spacing w:after="0" w:line="240" w:lineRule="auto"/>
        <w:rPr>
          <w:rFonts w:ascii="Arial" w:hAnsi="Arial" w:cs="Arial"/>
          <w:color w:val="000000"/>
          <w:sz w:val="24"/>
          <w:szCs w:val="24"/>
        </w:rPr>
      </w:pPr>
    </w:p>
    <w:p w14:paraId="03EBBC7A" w14:textId="5498011E" w:rsidR="0045298A" w:rsidRDefault="00D36404" w:rsidP="00D45F9B">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Organisations </w:t>
      </w:r>
      <w:r w:rsidR="0045298A" w:rsidRPr="0045298A">
        <w:rPr>
          <w:rFonts w:ascii="Arial" w:hAnsi="Arial" w:cs="Arial"/>
          <w:color w:val="000000"/>
          <w:sz w:val="24"/>
          <w:szCs w:val="24"/>
        </w:rPr>
        <w:t xml:space="preserve">must ensure </w:t>
      </w:r>
      <w:r>
        <w:rPr>
          <w:rFonts w:ascii="Arial" w:hAnsi="Arial" w:cs="Arial"/>
          <w:color w:val="000000"/>
          <w:sz w:val="24"/>
          <w:szCs w:val="24"/>
        </w:rPr>
        <w:t xml:space="preserve">they </w:t>
      </w:r>
      <w:r w:rsidR="0045298A" w:rsidRPr="0045298A">
        <w:rPr>
          <w:rFonts w:ascii="Arial" w:hAnsi="Arial" w:cs="Arial"/>
          <w:color w:val="000000"/>
          <w:sz w:val="24"/>
          <w:szCs w:val="24"/>
        </w:rPr>
        <w:t xml:space="preserve">actively promote the fundamental British values of democracy, the rule of law, individual liberty, and mutual respect and tolerance of those with different faiths and </w:t>
      </w:r>
      <w:r w:rsidR="00621B9A" w:rsidRPr="0045298A">
        <w:rPr>
          <w:rFonts w:ascii="Arial" w:hAnsi="Arial" w:cs="Arial"/>
          <w:color w:val="000000"/>
          <w:sz w:val="24"/>
          <w:szCs w:val="24"/>
        </w:rPr>
        <w:t>beliefs and</w:t>
      </w:r>
      <w:r w:rsidR="0045298A" w:rsidRPr="0045298A">
        <w:rPr>
          <w:rFonts w:ascii="Arial" w:hAnsi="Arial" w:cs="Arial"/>
          <w:color w:val="000000"/>
          <w:sz w:val="24"/>
          <w:szCs w:val="24"/>
        </w:rPr>
        <w:t xml:space="preserve"> promote principles that support equality of opportunity for all. </w:t>
      </w:r>
    </w:p>
    <w:p w14:paraId="1EDB2653" w14:textId="77777777" w:rsidR="001D55A6" w:rsidRPr="001D55A6" w:rsidRDefault="001D55A6" w:rsidP="00D45F9B">
      <w:pPr>
        <w:autoSpaceDE w:val="0"/>
        <w:autoSpaceDN w:val="0"/>
        <w:adjustRightInd w:val="0"/>
        <w:spacing w:after="0" w:line="240" w:lineRule="auto"/>
        <w:rPr>
          <w:rFonts w:ascii="Arial" w:hAnsi="Arial" w:cs="Arial"/>
          <w:color w:val="000000"/>
          <w:sz w:val="24"/>
          <w:szCs w:val="24"/>
        </w:rPr>
      </w:pPr>
    </w:p>
    <w:p w14:paraId="7501357D" w14:textId="75763494" w:rsidR="00C43C5F" w:rsidRPr="00F07162" w:rsidRDefault="00C43C5F" w:rsidP="00D45F9B">
      <w:pPr>
        <w:pStyle w:val="ListParagraph"/>
        <w:numPr>
          <w:ilvl w:val="0"/>
          <w:numId w:val="2"/>
        </w:numPr>
        <w:autoSpaceDE w:val="0"/>
        <w:autoSpaceDN w:val="0"/>
        <w:adjustRightInd w:val="0"/>
        <w:spacing w:after="0" w:line="240" w:lineRule="auto"/>
        <w:rPr>
          <w:rFonts w:ascii="Arial" w:hAnsi="Arial" w:cs="Arial"/>
          <w:color w:val="000000"/>
          <w:sz w:val="24"/>
          <w:szCs w:val="24"/>
        </w:rPr>
      </w:pPr>
      <w:bookmarkStart w:id="9" w:name="_Hlk23513469"/>
      <w:r w:rsidRPr="00F07162">
        <w:rPr>
          <w:rFonts w:ascii="Arial" w:hAnsi="Arial" w:cs="Arial"/>
          <w:color w:val="000000"/>
          <w:sz w:val="24"/>
          <w:szCs w:val="24"/>
        </w:rPr>
        <w:t xml:space="preserve">Organisations </w:t>
      </w:r>
      <w:r w:rsidR="0045298A" w:rsidRPr="00F07162">
        <w:rPr>
          <w:rFonts w:ascii="Arial" w:hAnsi="Arial" w:cs="Arial"/>
          <w:color w:val="000000"/>
          <w:sz w:val="24"/>
          <w:szCs w:val="24"/>
        </w:rPr>
        <w:t>must comply with the Prevent duty</w:t>
      </w:r>
      <w:r w:rsidRPr="00F07162">
        <w:rPr>
          <w:rFonts w:ascii="Arial" w:hAnsi="Arial" w:cs="Arial"/>
          <w:color w:val="000000"/>
          <w:sz w:val="24"/>
          <w:szCs w:val="24"/>
        </w:rPr>
        <w:t xml:space="preserve"> </w:t>
      </w:r>
      <w:r w:rsidR="0045298A" w:rsidRPr="00F07162">
        <w:rPr>
          <w:rFonts w:ascii="Arial" w:hAnsi="Arial" w:cs="Arial"/>
          <w:color w:val="000000"/>
          <w:sz w:val="24"/>
          <w:szCs w:val="24"/>
        </w:rPr>
        <w:t xml:space="preserve">and the Channel </w:t>
      </w:r>
      <w:r w:rsidR="000D3750">
        <w:rPr>
          <w:rFonts w:ascii="Arial" w:hAnsi="Arial" w:cs="Arial"/>
          <w:color w:val="000000"/>
          <w:sz w:val="24"/>
          <w:szCs w:val="24"/>
        </w:rPr>
        <w:t>c</w:t>
      </w:r>
      <w:r w:rsidR="0045298A" w:rsidRPr="00F07162">
        <w:rPr>
          <w:rFonts w:ascii="Arial" w:hAnsi="Arial" w:cs="Arial"/>
          <w:color w:val="000000"/>
          <w:sz w:val="24"/>
          <w:szCs w:val="24"/>
        </w:rPr>
        <w:t xml:space="preserve">o-operation duty.  </w:t>
      </w:r>
      <w:r w:rsidRPr="00F07162">
        <w:rPr>
          <w:rFonts w:ascii="Arial" w:hAnsi="Arial" w:cs="Arial"/>
          <w:color w:val="000000"/>
          <w:sz w:val="24"/>
          <w:szCs w:val="24"/>
        </w:rPr>
        <w:t xml:space="preserve">Where </w:t>
      </w:r>
      <w:r w:rsidR="00621B9A" w:rsidRPr="00F07162">
        <w:rPr>
          <w:rFonts w:ascii="Arial" w:hAnsi="Arial" w:cs="Arial"/>
          <w:color w:val="000000"/>
          <w:sz w:val="24"/>
          <w:szCs w:val="24"/>
        </w:rPr>
        <w:t>an</w:t>
      </w:r>
      <w:r w:rsidRPr="00F07162">
        <w:rPr>
          <w:rFonts w:ascii="Arial" w:hAnsi="Arial" w:cs="Arial"/>
          <w:color w:val="000000"/>
          <w:sz w:val="24"/>
          <w:szCs w:val="24"/>
        </w:rPr>
        <w:t xml:space="preserve"> organisation is aware of an incident, or pattern of incidents, which undermines the promotion of British fundamental values as referred to in paragraph 7</w:t>
      </w:r>
      <w:r w:rsidR="0091557C">
        <w:rPr>
          <w:rFonts w:ascii="Arial" w:hAnsi="Arial" w:cs="Arial"/>
          <w:color w:val="000000"/>
          <w:sz w:val="24"/>
          <w:szCs w:val="24"/>
        </w:rPr>
        <w:t>2,</w:t>
      </w:r>
      <w:r w:rsidRPr="00F07162">
        <w:rPr>
          <w:rFonts w:ascii="Arial" w:hAnsi="Arial" w:cs="Arial"/>
          <w:color w:val="000000"/>
          <w:sz w:val="24"/>
          <w:szCs w:val="24"/>
        </w:rPr>
        <w:t xml:space="preserve"> or the ability of the organisation to comply with the Prevent duty</w:t>
      </w:r>
      <w:r w:rsidR="0091557C">
        <w:rPr>
          <w:rFonts w:ascii="Arial" w:hAnsi="Arial" w:cs="Arial"/>
          <w:color w:val="000000"/>
          <w:sz w:val="24"/>
          <w:szCs w:val="24"/>
        </w:rPr>
        <w:t>,</w:t>
      </w:r>
      <w:r w:rsidRPr="00F07162">
        <w:rPr>
          <w:rFonts w:ascii="Arial" w:hAnsi="Arial" w:cs="Arial"/>
          <w:color w:val="000000"/>
          <w:sz w:val="24"/>
          <w:szCs w:val="24"/>
        </w:rPr>
        <w:t xml:space="preserve"> </w:t>
      </w:r>
      <w:r w:rsidR="00621B9A" w:rsidRPr="00F07162">
        <w:rPr>
          <w:rFonts w:ascii="Arial" w:hAnsi="Arial" w:cs="Arial"/>
          <w:color w:val="000000"/>
          <w:sz w:val="24"/>
          <w:szCs w:val="24"/>
        </w:rPr>
        <w:t xml:space="preserve">it must inform NTCA as soon as practicable. </w:t>
      </w:r>
    </w:p>
    <w:bookmarkEnd w:id="9"/>
    <w:p w14:paraId="2809B376" w14:textId="2933A668" w:rsidR="001D55A6" w:rsidRDefault="001D55A6" w:rsidP="00D45F9B">
      <w:pPr>
        <w:autoSpaceDE w:val="0"/>
        <w:autoSpaceDN w:val="0"/>
        <w:adjustRightInd w:val="0"/>
        <w:spacing w:after="0" w:line="240" w:lineRule="auto"/>
        <w:rPr>
          <w:rFonts w:ascii="Arial" w:hAnsi="Arial" w:cs="Arial"/>
          <w:color w:val="000000"/>
          <w:sz w:val="24"/>
          <w:szCs w:val="24"/>
        </w:rPr>
      </w:pPr>
    </w:p>
    <w:p w14:paraId="3CD3E4E9" w14:textId="30300802" w:rsidR="005A28FD" w:rsidRDefault="00AA180E" w:rsidP="00D45F9B">
      <w:pPr>
        <w:spacing w:after="0" w:line="240" w:lineRule="auto"/>
        <w:rPr>
          <w:rFonts w:ascii="Arial" w:hAnsi="Arial" w:cs="Arial"/>
          <w:b/>
          <w:color w:val="000000"/>
          <w:sz w:val="24"/>
          <w:szCs w:val="24"/>
        </w:rPr>
      </w:pPr>
      <w:r w:rsidRPr="00AA180E">
        <w:rPr>
          <w:rFonts w:ascii="Arial" w:hAnsi="Arial" w:cs="Arial"/>
          <w:b/>
          <w:color w:val="000000"/>
          <w:sz w:val="24"/>
          <w:szCs w:val="24"/>
        </w:rPr>
        <w:t>Equality of Opportunity</w:t>
      </w:r>
    </w:p>
    <w:p w14:paraId="3DB01203" w14:textId="77777777" w:rsidR="00D45F9B" w:rsidRPr="00AA180E" w:rsidRDefault="00D45F9B" w:rsidP="00D45F9B">
      <w:pPr>
        <w:spacing w:after="0" w:line="240" w:lineRule="auto"/>
        <w:rPr>
          <w:rFonts w:ascii="Arial" w:hAnsi="Arial" w:cs="Arial"/>
          <w:b/>
          <w:color w:val="000000"/>
          <w:sz w:val="24"/>
          <w:szCs w:val="24"/>
        </w:rPr>
      </w:pPr>
    </w:p>
    <w:p w14:paraId="2E71B930" w14:textId="329561CC" w:rsidR="00AA180E" w:rsidRDefault="00AA180E" w:rsidP="00D45F9B">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Organisations</w:t>
      </w:r>
      <w:r w:rsidRPr="00AA180E">
        <w:rPr>
          <w:rFonts w:ascii="Arial" w:hAnsi="Arial" w:cs="Arial"/>
          <w:color w:val="000000"/>
          <w:sz w:val="24"/>
          <w:szCs w:val="24"/>
        </w:rPr>
        <w:t xml:space="preserve"> must not unlawfully discriminate within the meaning and scope of the provisions of the Equality Act 2010 or any statutory modification or re-enactment thereof or any other statutory provision relating to discrimination in employment or provision of services.   </w:t>
      </w:r>
      <w:r>
        <w:rPr>
          <w:rFonts w:ascii="Arial" w:hAnsi="Arial" w:cs="Arial"/>
          <w:color w:val="000000"/>
          <w:sz w:val="24"/>
          <w:szCs w:val="24"/>
        </w:rPr>
        <w:t xml:space="preserve">Organisations </w:t>
      </w:r>
      <w:r w:rsidRPr="00AA180E">
        <w:rPr>
          <w:rFonts w:ascii="Arial" w:hAnsi="Arial" w:cs="Arial"/>
          <w:color w:val="000000"/>
          <w:sz w:val="24"/>
          <w:szCs w:val="24"/>
        </w:rPr>
        <w:t xml:space="preserve">shall ensure that equality of opportunity is built into all aspects of provision, the business planning process and the self-assessment process.  </w:t>
      </w:r>
    </w:p>
    <w:p w14:paraId="27D598EA" w14:textId="77777777" w:rsidR="001D55A6" w:rsidRPr="00AA180E" w:rsidRDefault="001D55A6" w:rsidP="00D45F9B">
      <w:pPr>
        <w:pStyle w:val="ListParagraph"/>
        <w:autoSpaceDE w:val="0"/>
        <w:autoSpaceDN w:val="0"/>
        <w:adjustRightInd w:val="0"/>
        <w:spacing w:after="0" w:line="240" w:lineRule="auto"/>
        <w:ind w:left="360"/>
        <w:rPr>
          <w:rFonts w:ascii="Arial" w:hAnsi="Arial" w:cs="Arial"/>
          <w:color w:val="000000"/>
          <w:sz w:val="24"/>
          <w:szCs w:val="24"/>
        </w:rPr>
      </w:pPr>
    </w:p>
    <w:p w14:paraId="306F1B77" w14:textId="77777777" w:rsidR="004D6BCE" w:rsidRDefault="00AA180E" w:rsidP="00D45F9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AA180E">
        <w:rPr>
          <w:rFonts w:ascii="Arial" w:hAnsi="Arial" w:cs="Arial"/>
          <w:color w:val="000000"/>
          <w:sz w:val="24"/>
          <w:szCs w:val="24"/>
        </w:rPr>
        <w:t>N</w:t>
      </w:r>
      <w:r w:rsidR="001D55A6">
        <w:rPr>
          <w:rFonts w:ascii="Arial" w:hAnsi="Arial" w:cs="Arial"/>
          <w:color w:val="000000"/>
          <w:sz w:val="24"/>
          <w:szCs w:val="24"/>
        </w:rPr>
        <w:t xml:space="preserve">TCA </w:t>
      </w:r>
      <w:r w:rsidRPr="00AA180E">
        <w:rPr>
          <w:rFonts w:ascii="Arial" w:hAnsi="Arial" w:cs="Arial"/>
          <w:color w:val="000000"/>
          <w:sz w:val="24"/>
          <w:szCs w:val="24"/>
        </w:rPr>
        <w:t xml:space="preserve">may use a variety of equality information and data to support judgements about quality and eligibility for funding.  These may include but are not limited to observation judgements for equality and diversity and the success and participation rates of different groups of learners.  </w:t>
      </w:r>
    </w:p>
    <w:p w14:paraId="317D71A3" w14:textId="77777777" w:rsidR="004D6BCE" w:rsidRPr="00600B2A" w:rsidRDefault="004D6BCE" w:rsidP="00600B2A">
      <w:pPr>
        <w:pStyle w:val="ListParagraph"/>
        <w:rPr>
          <w:rFonts w:ascii="Arial" w:hAnsi="Arial" w:cs="Arial"/>
          <w:color w:val="000000"/>
          <w:sz w:val="24"/>
          <w:szCs w:val="24"/>
        </w:rPr>
      </w:pPr>
    </w:p>
    <w:p w14:paraId="74431DAE" w14:textId="2BBFD527" w:rsidR="005A28FD" w:rsidRPr="00600B2A" w:rsidRDefault="004D6BCE" w:rsidP="004D6BCE">
      <w:pPr>
        <w:pStyle w:val="ListParagraph"/>
        <w:autoSpaceDE w:val="0"/>
        <w:autoSpaceDN w:val="0"/>
        <w:adjustRightInd w:val="0"/>
        <w:spacing w:after="0" w:line="240" w:lineRule="auto"/>
        <w:ind w:left="360"/>
        <w:rPr>
          <w:rFonts w:ascii="Arial" w:hAnsi="Arial" w:cs="Arial"/>
          <w:b/>
          <w:color w:val="000000"/>
          <w:sz w:val="24"/>
          <w:szCs w:val="24"/>
        </w:rPr>
      </w:pPr>
      <w:r w:rsidRPr="00600B2A">
        <w:rPr>
          <w:rFonts w:ascii="Arial" w:hAnsi="Arial" w:cs="Arial"/>
          <w:b/>
          <w:color w:val="000000"/>
          <w:sz w:val="24"/>
          <w:szCs w:val="24"/>
        </w:rPr>
        <w:t>Quality Assurance and Raising Standards</w:t>
      </w:r>
      <w:r w:rsidR="00AA180E" w:rsidRPr="00600B2A">
        <w:rPr>
          <w:rFonts w:ascii="Arial" w:hAnsi="Arial" w:cs="Arial"/>
          <w:b/>
          <w:color w:val="000000"/>
          <w:sz w:val="24"/>
          <w:szCs w:val="24"/>
        </w:rPr>
        <w:t xml:space="preserve"> </w:t>
      </w:r>
    </w:p>
    <w:p w14:paraId="1EDB01A5" w14:textId="52DAE3D1" w:rsidR="004D6BCE" w:rsidRDefault="004D6BCE" w:rsidP="004D6BCE">
      <w:pPr>
        <w:pStyle w:val="ListParagraph"/>
        <w:autoSpaceDE w:val="0"/>
        <w:autoSpaceDN w:val="0"/>
        <w:adjustRightInd w:val="0"/>
        <w:spacing w:after="0" w:line="240" w:lineRule="auto"/>
        <w:ind w:left="360"/>
        <w:rPr>
          <w:rFonts w:ascii="Arial" w:hAnsi="Arial" w:cs="Arial"/>
          <w:color w:val="000000"/>
          <w:sz w:val="24"/>
          <w:szCs w:val="24"/>
        </w:rPr>
      </w:pPr>
    </w:p>
    <w:p w14:paraId="2755929A" w14:textId="3EF5D769" w:rsidR="001B5E02" w:rsidRDefault="004D6BCE" w:rsidP="001B5E02">
      <w:pPr>
        <w:pStyle w:val="ListParagraph"/>
        <w:numPr>
          <w:ilvl w:val="0"/>
          <w:numId w:val="2"/>
        </w:numPr>
        <w:autoSpaceDE w:val="0"/>
        <w:autoSpaceDN w:val="0"/>
        <w:adjustRightInd w:val="0"/>
        <w:spacing w:after="0" w:line="300" w:lineRule="atLeast"/>
        <w:rPr>
          <w:rFonts w:ascii="Arial" w:hAnsi="Arial" w:cs="Arial"/>
          <w:sz w:val="24"/>
          <w:szCs w:val="24"/>
        </w:rPr>
      </w:pPr>
      <w:r>
        <w:rPr>
          <w:rFonts w:ascii="Arial" w:hAnsi="Arial" w:cs="Arial"/>
          <w:sz w:val="24"/>
          <w:szCs w:val="24"/>
        </w:rPr>
        <w:t xml:space="preserve">Organisations have </w:t>
      </w:r>
      <w:r w:rsidRPr="004D6BCE">
        <w:rPr>
          <w:rFonts w:ascii="Arial" w:hAnsi="Arial" w:cs="Arial"/>
          <w:bCs/>
          <w:sz w:val="24"/>
          <w:szCs w:val="24"/>
        </w:rPr>
        <w:t xml:space="preserve">primary responsibility for </w:t>
      </w:r>
      <w:r>
        <w:rPr>
          <w:rFonts w:ascii="Arial" w:hAnsi="Arial" w:cs="Arial"/>
          <w:bCs/>
          <w:sz w:val="24"/>
          <w:szCs w:val="24"/>
        </w:rPr>
        <w:t xml:space="preserve">quality assurance and </w:t>
      </w:r>
      <w:r w:rsidRPr="004D6BCE">
        <w:rPr>
          <w:rFonts w:ascii="Arial" w:hAnsi="Arial" w:cs="Arial"/>
          <w:bCs/>
          <w:sz w:val="24"/>
          <w:szCs w:val="24"/>
        </w:rPr>
        <w:t>improving standards</w:t>
      </w:r>
      <w:r>
        <w:rPr>
          <w:rFonts w:ascii="Arial" w:hAnsi="Arial" w:cs="Arial"/>
          <w:bCs/>
          <w:sz w:val="24"/>
          <w:szCs w:val="24"/>
        </w:rPr>
        <w:t xml:space="preserve">.  This will include evidence of </w:t>
      </w:r>
      <w:r w:rsidRPr="004D6BCE">
        <w:rPr>
          <w:rFonts w:ascii="Arial" w:hAnsi="Arial" w:cs="Arial"/>
          <w:bCs/>
          <w:sz w:val="24"/>
          <w:szCs w:val="24"/>
        </w:rPr>
        <w:t>effective quality assurance systems that satisfy the requirements of NTCA and Ofsted t</w:t>
      </w:r>
      <w:r w:rsidRPr="004D6BCE">
        <w:rPr>
          <w:rFonts w:ascii="Arial" w:hAnsi="Arial" w:cs="Arial"/>
          <w:sz w:val="24"/>
          <w:szCs w:val="24"/>
        </w:rPr>
        <w:t xml:space="preserve">hrough the Education Inspection Framework. </w:t>
      </w:r>
      <w:hyperlink r:id="rId21" w:history="1">
        <w:r w:rsidR="001B5E02" w:rsidRPr="001B5E02">
          <w:rPr>
            <w:rStyle w:val="Hyperlink"/>
            <w:rFonts w:ascii="Arial" w:hAnsi="Arial" w:cs="Arial"/>
            <w:sz w:val="24"/>
            <w:szCs w:val="24"/>
          </w:rPr>
          <w:t>https://www.gov.uk/government/publications/education-inspection-framewor</w:t>
        </w:r>
        <w:r w:rsidR="001B5E02" w:rsidRPr="00F7605F">
          <w:rPr>
            <w:rStyle w:val="Hyperlink"/>
            <w:rFonts w:ascii="Arial" w:hAnsi="Arial" w:cs="Arial"/>
            <w:sz w:val="24"/>
            <w:szCs w:val="24"/>
          </w:rPr>
          <w:t>k</w:t>
        </w:r>
      </w:hyperlink>
    </w:p>
    <w:p w14:paraId="7855BF11" w14:textId="77777777" w:rsidR="001B5E02" w:rsidRDefault="001B5E02" w:rsidP="00600B2A">
      <w:pPr>
        <w:pStyle w:val="ListParagraph"/>
        <w:autoSpaceDE w:val="0"/>
        <w:autoSpaceDN w:val="0"/>
        <w:adjustRightInd w:val="0"/>
        <w:spacing w:after="0" w:line="300" w:lineRule="atLeast"/>
        <w:ind w:left="360"/>
        <w:rPr>
          <w:rFonts w:ascii="Arial" w:hAnsi="Arial" w:cs="Arial"/>
          <w:sz w:val="24"/>
          <w:szCs w:val="24"/>
        </w:rPr>
      </w:pPr>
    </w:p>
    <w:p w14:paraId="2963F52B" w14:textId="77777777" w:rsidR="001B5E02" w:rsidRPr="001B5E02" w:rsidRDefault="001B5E02" w:rsidP="001B5E02">
      <w:pPr>
        <w:pStyle w:val="ListParagraph"/>
        <w:numPr>
          <w:ilvl w:val="0"/>
          <w:numId w:val="2"/>
        </w:numPr>
        <w:rPr>
          <w:rFonts w:ascii="Arial" w:hAnsi="Arial" w:cs="Arial"/>
          <w:color w:val="000000"/>
          <w:sz w:val="24"/>
          <w:szCs w:val="24"/>
        </w:rPr>
      </w:pPr>
      <w:r w:rsidRPr="001B5E02">
        <w:rPr>
          <w:rFonts w:ascii="Arial" w:hAnsi="Arial" w:cs="Arial"/>
          <w:sz w:val="24"/>
          <w:szCs w:val="24"/>
        </w:rPr>
        <w:t xml:space="preserve">Where Ofsted has assessed an organisation as inadequate, overall or in any graded sub-judgement, NTCA will carry out additional contract and performance management processes as detailed in Schedule 6. </w:t>
      </w:r>
    </w:p>
    <w:p w14:paraId="596484EC" w14:textId="77777777" w:rsidR="001B5E02" w:rsidRPr="00600B2A" w:rsidRDefault="001B5E02" w:rsidP="00600B2A">
      <w:pPr>
        <w:pStyle w:val="ListParagraph"/>
        <w:autoSpaceDE w:val="0"/>
        <w:autoSpaceDN w:val="0"/>
        <w:adjustRightInd w:val="0"/>
        <w:spacing w:after="0" w:line="300" w:lineRule="atLeast"/>
        <w:ind w:left="360"/>
        <w:rPr>
          <w:rFonts w:ascii="Arial" w:hAnsi="Arial" w:cs="Arial"/>
          <w:sz w:val="24"/>
          <w:szCs w:val="24"/>
        </w:rPr>
      </w:pPr>
    </w:p>
    <w:p w14:paraId="3486E59F" w14:textId="77777777" w:rsidR="004D6BCE" w:rsidRPr="00600B2A" w:rsidRDefault="004D6BCE" w:rsidP="00600B2A">
      <w:pPr>
        <w:autoSpaceDE w:val="0"/>
        <w:autoSpaceDN w:val="0"/>
        <w:adjustRightInd w:val="0"/>
        <w:spacing w:after="0" w:line="240" w:lineRule="auto"/>
        <w:rPr>
          <w:rFonts w:ascii="Arial" w:hAnsi="Arial" w:cs="Arial"/>
          <w:color w:val="000000"/>
          <w:sz w:val="24"/>
          <w:szCs w:val="24"/>
        </w:rPr>
      </w:pPr>
    </w:p>
    <w:sectPr w:rsidR="004D6BCE" w:rsidRPr="00600B2A" w:rsidSect="00FD3052">
      <w:headerReference w:type="default" r:id="rId22"/>
      <w:footerReference w:type="default" r:id="rId23"/>
      <w:footerReference w:type="first" r:id="rId24"/>
      <w:pgSz w:w="11906" w:h="16838"/>
      <w:pgMar w:top="851" w:right="851" w:bottom="851"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85600" w14:textId="77777777" w:rsidR="00AB6E6D" w:rsidRDefault="00AB6E6D" w:rsidP="00D73A8D">
      <w:pPr>
        <w:spacing w:after="0" w:line="240" w:lineRule="auto"/>
      </w:pPr>
      <w:r>
        <w:separator/>
      </w:r>
    </w:p>
  </w:endnote>
  <w:endnote w:type="continuationSeparator" w:id="0">
    <w:p w14:paraId="0E3128A9" w14:textId="77777777" w:rsidR="00AB6E6D" w:rsidRDefault="00AB6E6D" w:rsidP="00D73A8D">
      <w:pPr>
        <w:spacing w:after="0" w:line="240" w:lineRule="auto"/>
      </w:pPr>
      <w:r>
        <w:continuationSeparator/>
      </w:r>
    </w:p>
  </w:endnote>
  <w:endnote w:type="continuationNotice" w:id="1">
    <w:p w14:paraId="653944B7" w14:textId="77777777" w:rsidR="00AB6E6D" w:rsidRDefault="00AB6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8697533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0F221C07" w14:textId="708CE722" w:rsidR="00C2217E" w:rsidRPr="00FD3052" w:rsidRDefault="00C2217E">
            <w:pPr>
              <w:pStyle w:val="Footer"/>
              <w:jc w:val="center"/>
              <w:rPr>
                <w:rFonts w:ascii="Arial" w:hAnsi="Arial" w:cs="Arial"/>
                <w:sz w:val="20"/>
                <w:szCs w:val="20"/>
              </w:rPr>
            </w:pPr>
            <w:r w:rsidRPr="00FD3052">
              <w:rPr>
                <w:rFonts w:ascii="Arial" w:hAnsi="Arial" w:cs="Arial"/>
                <w:sz w:val="20"/>
                <w:szCs w:val="20"/>
              </w:rPr>
              <w:t xml:space="preserve">Page </w:t>
            </w:r>
            <w:r w:rsidRPr="00FD3052">
              <w:rPr>
                <w:rFonts w:ascii="Arial" w:hAnsi="Arial" w:cs="Arial"/>
                <w:bCs/>
                <w:sz w:val="20"/>
                <w:szCs w:val="20"/>
              </w:rPr>
              <w:fldChar w:fldCharType="begin"/>
            </w:r>
            <w:r w:rsidRPr="00FD3052">
              <w:rPr>
                <w:rFonts w:ascii="Arial" w:hAnsi="Arial" w:cs="Arial"/>
                <w:bCs/>
                <w:sz w:val="20"/>
                <w:szCs w:val="20"/>
              </w:rPr>
              <w:instrText xml:space="preserve"> PAGE </w:instrText>
            </w:r>
            <w:r w:rsidRPr="00FD3052">
              <w:rPr>
                <w:rFonts w:ascii="Arial" w:hAnsi="Arial" w:cs="Arial"/>
                <w:bCs/>
                <w:sz w:val="20"/>
                <w:szCs w:val="20"/>
              </w:rPr>
              <w:fldChar w:fldCharType="separate"/>
            </w:r>
            <w:r w:rsidRPr="00FD3052">
              <w:rPr>
                <w:rFonts w:ascii="Arial" w:hAnsi="Arial" w:cs="Arial"/>
                <w:bCs/>
                <w:noProof/>
                <w:sz w:val="20"/>
                <w:szCs w:val="20"/>
              </w:rPr>
              <w:t>2</w:t>
            </w:r>
            <w:r w:rsidRPr="00FD3052">
              <w:rPr>
                <w:rFonts w:ascii="Arial" w:hAnsi="Arial" w:cs="Arial"/>
                <w:bCs/>
                <w:sz w:val="20"/>
                <w:szCs w:val="20"/>
              </w:rPr>
              <w:fldChar w:fldCharType="end"/>
            </w:r>
            <w:r w:rsidRPr="00FD3052">
              <w:rPr>
                <w:rFonts w:ascii="Arial" w:hAnsi="Arial" w:cs="Arial"/>
                <w:sz w:val="20"/>
                <w:szCs w:val="20"/>
              </w:rPr>
              <w:t xml:space="preserve"> of </w:t>
            </w:r>
            <w:r w:rsidRPr="00FD3052">
              <w:rPr>
                <w:rFonts w:ascii="Arial" w:hAnsi="Arial" w:cs="Arial"/>
                <w:bCs/>
                <w:sz w:val="20"/>
                <w:szCs w:val="20"/>
              </w:rPr>
              <w:fldChar w:fldCharType="begin"/>
            </w:r>
            <w:r w:rsidRPr="00FD3052">
              <w:rPr>
                <w:rFonts w:ascii="Arial" w:hAnsi="Arial" w:cs="Arial"/>
                <w:bCs/>
                <w:sz w:val="20"/>
                <w:szCs w:val="20"/>
              </w:rPr>
              <w:instrText xml:space="preserve"> NUMPAGES  </w:instrText>
            </w:r>
            <w:r w:rsidRPr="00FD3052">
              <w:rPr>
                <w:rFonts w:ascii="Arial" w:hAnsi="Arial" w:cs="Arial"/>
                <w:bCs/>
                <w:sz w:val="20"/>
                <w:szCs w:val="20"/>
              </w:rPr>
              <w:fldChar w:fldCharType="separate"/>
            </w:r>
            <w:r w:rsidRPr="00FD3052">
              <w:rPr>
                <w:rFonts w:ascii="Arial" w:hAnsi="Arial" w:cs="Arial"/>
                <w:bCs/>
                <w:noProof/>
                <w:sz w:val="20"/>
                <w:szCs w:val="20"/>
              </w:rPr>
              <w:t>2</w:t>
            </w:r>
            <w:r w:rsidRPr="00FD3052">
              <w:rPr>
                <w:rFonts w:ascii="Arial" w:hAnsi="Arial" w:cs="Arial"/>
                <w:bCs/>
                <w:sz w:val="20"/>
                <w:szCs w:val="20"/>
              </w:rPr>
              <w:fldChar w:fldCharType="end"/>
            </w:r>
          </w:p>
        </w:sdtContent>
      </w:sdt>
    </w:sdtContent>
  </w:sdt>
  <w:p w14:paraId="4999B810" w14:textId="77777777" w:rsidR="00163D23" w:rsidRDefault="0016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991F" w14:textId="5E00C163" w:rsidR="003A1FAA" w:rsidRPr="00600B2A" w:rsidRDefault="003A1FAA">
    <w:pPr>
      <w:pStyle w:val="Footer"/>
      <w:rPr>
        <w:rFonts w:ascii="Arial" w:hAnsi="Arial" w:cs="Arial"/>
        <w:sz w:val="20"/>
        <w:szCs w:val="20"/>
      </w:rPr>
    </w:pPr>
    <w:r w:rsidRPr="00600B2A">
      <w:rPr>
        <w:rFonts w:ascii="Arial" w:hAnsi="Arial" w:cs="Arial"/>
        <w:sz w:val="20"/>
        <w:szCs w:val="20"/>
      </w:rPr>
      <w:t>Final Version</w:t>
    </w:r>
    <w:r>
      <w:rPr>
        <w:rFonts w:ascii="Arial" w:hAnsi="Arial" w:cs="Arial"/>
        <w:sz w:val="20"/>
        <w:szCs w:val="20"/>
      </w:rPr>
      <w:t>:</w:t>
    </w:r>
    <w:r w:rsidRPr="00600B2A">
      <w:rPr>
        <w:rFonts w:ascii="Arial" w:hAnsi="Arial" w:cs="Arial"/>
        <w:sz w:val="20"/>
        <w:szCs w:val="20"/>
      </w:rPr>
      <w:t xml:space="preserve"> 061119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589D1" w14:textId="77777777" w:rsidR="00AB6E6D" w:rsidRDefault="00AB6E6D" w:rsidP="00D73A8D">
      <w:pPr>
        <w:spacing w:after="0" w:line="240" w:lineRule="auto"/>
      </w:pPr>
      <w:r>
        <w:separator/>
      </w:r>
    </w:p>
  </w:footnote>
  <w:footnote w:type="continuationSeparator" w:id="0">
    <w:p w14:paraId="34A328E5" w14:textId="77777777" w:rsidR="00AB6E6D" w:rsidRDefault="00AB6E6D" w:rsidP="00D73A8D">
      <w:pPr>
        <w:spacing w:after="0" w:line="240" w:lineRule="auto"/>
      </w:pPr>
      <w:r>
        <w:continuationSeparator/>
      </w:r>
    </w:p>
  </w:footnote>
  <w:footnote w:type="continuationNotice" w:id="1">
    <w:p w14:paraId="1A2FA2DC" w14:textId="77777777" w:rsidR="00AB6E6D" w:rsidRDefault="00AB6E6D">
      <w:pPr>
        <w:spacing w:after="0" w:line="240" w:lineRule="auto"/>
      </w:pPr>
    </w:p>
  </w:footnote>
  <w:footnote w:id="2">
    <w:p w14:paraId="123665A0" w14:textId="77777777" w:rsidR="00F47EF5" w:rsidRPr="00AE5656" w:rsidRDefault="00F47EF5" w:rsidP="00F47EF5">
      <w:pPr>
        <w:rPr>
          <w:rFonts w:ascii="Arial" w:hAnsi="Arial" w:cs="Arial"/>
          <w:color w:val="0070C0"/>
          <w:sz w:val="16"/>
          <w:szCs w:val="16"/>
          <w:lang w:eastAsia="en-GB"/>
        </w:rPr>
      </w:pPr>
      <w:r w:rsidRPr="00E06A64">
        <w:rPr>
          <w:rStyle w:val="FootnoteReference"/>
          <w:sz w:val="16"/>
          <w:szCs w:val="16"/>
        </w:rPr>
        <w:footnoteRef/>
      </w:r>
      <w:r w:rsidRPr="00E06A64">
        <w:rPr>
          <w:sz w:val="16"/>
          <w:szCs w:val="16"/>
        </w:rPr>
        <w:t xml:space="preserve"> </w:t>
      </w:r>
      <w:r w:rsidRPr="00AE5656">
        <w:rPr>
          <w:rFonts w:ascii="Arial" w:hAnsi="Arial" w:cs="Arial"/>
          <w:sz w:val="16"/>
          <w:szCs w:val="16"/>
        </w:rPr>
        <w:t>* The ‘Real Living Wage’ promoted by the Living Wage Foundation is higher than the Government’s national Living Wage (£9 across the UK, compared to £8.21 (2018/19)</w:t>
      </w:r>
      <w:r w:rsidRPr="00AE5656">
        <w:rPr>
          <w:rStyle w:val="FootnoteReference"/>
          <w:rFonts w:ascii="Arial" w:hAnsi="Arial" w:cs="Arial"/>
          <w:sz w:val="16"/>
          <w:szCs w:val="16"/>
        </w:rPr>
        <w:t>[1]</w:t>
      </w:r>
      <w:r w:rsidRPr="00AE5656">
        <w:rPr>
          <w:rFonts w:ascii="Arial" w:hAnsi="Arial" w:cs="Arial"/>
          <w:sz w:val="16"/>
          <w:szCs w:val="16"/>
        </w:rPr>
        <w:t xml:space="preserve"> </w:t>
      </w:r>
      <w:hyperlink r:id="rId1" w:history="1">
        <w:r w:rsidRPr="00AE5656">
          <w:rPr>
            <w:rStyle w:val="Hyperlink"/>
            <w:rFonts w:ascii="Arial" w:hAnsi="Arial" w:cs="Arial"/>
            <w:color w:val="0070C0"/>
            <w:sz w:val="16"/>
            <w:szCs w:val="16"/>
          </w:rPr>
          <w:t>https://www.livingwage.org.uk/what-real-living-wage</w:t>
        </w:r>
      </w:hyperlink>
      <w:r w:rsidRPr="00AE5656">
        <w:rPr>
          <w:rFonts w:ascii="Arial" w:hAnsi="Arial" w:cs="Arial"/>
          <w:color w:val="0070C0"/>
          <w:sz w:val="16"/>
          <w:szCs w:val="16"/>
          <w:lang w:eastAsia="en-GB"/>
        </w:rPr>
        <w:t xml:space="preserve"> </w:t>
      </w:r>
    </w:p>
    <w:p w14:paraId="4BE55CCD" w14:textId="77777777" w:rsidR="00F47EF5" w:rsidRDefault="00F47EF5" w:rsidP="00F47EF5">
      <w:pPr>
        <w:pStyle w:val="FootnoteText"/>
      </w:pPr>
    </w:p>
  </w:footnote>
  <w:footnote w:id="3">
    <w:p w14:paraId="156C8927" w14:textId="62279B83" w:rsidR="00821F37" w:rsidRPr="00AE5656" w:rsidRDefault="00821F37">
      <w:pPr>
        <w:pStyle w:val="FootnoteText"/>
        <w:rPr>
          <w:rFonts w:ascii="Arial" w:hAnsi="Arial" w:cs="Arial"/>
          <w:sz w:val="16"/>
          <w:szCs w:val="16"/>
        </w:rPr>
      </w:pPr>
      <w:r>
        <w:rPr>
          <w:rStyle w:val="FootnoteReference"/>
        </w:rPr>
        <w:footnoteRef/>
      </w:r>
      <w:r>
        <w:t xml:space="preserve"> </w:t>
      </w:r>
      <w:r w:rsidR="00B07909" w:rsidRPr="00AE5656">
        <w:rPr>
          <w:rFonts w:ascii="Arial" w:hAnsi="Arial" w:cs="Arial"/>
          <w:sz w:val="16"/>
          <w:szCs w:val="16"/>
        </w:rPr>
        <w:t>- Inclusive Economy Statement</w:t>
      </w:r>
      <w:r w:rsidR="00753173" w:rsidRPr="00AE5656">
        <w:rPr>
          <w:rFonts w:ascii="Arial" w:hAnsi="Arial" w:cs="Arial"/>
          <w:sz w:val="16"/>
          <w:szCs w:val="16"/>
        </w:rPr>
        <w:t>- https://www.northoftyne-ca.gov.uk/economic-vision</w:t>
      </w:r>
    </w:p>
  </w:footnote>
  <w:footnote w:id="4">
    <w:p w14:paraId="65880833" w14:textId="48044894" w:rsidR="00637F8E" w:rsidRPr="00AE5656" w:rsidRDefault="00637F8E" w:rsidP="00AE5656">
      <w:pPr>
        <w:pStyle w:val="FootnoteText"/>
        <w:rPr>
          <w:rFonts w:ascii="Arial" w:hAnsi="Arial" w:cs="Arial"/>
          <w:sz w:val="16"/>
          <w:szCs w:val="16"/>
        </w:rPr>
      </w:pPr>
      <w:r>
        <w:rPr>
          <w:rStyle w:val="FootnoteReference"/>
        </w:rPr>
        <w:footnoteRef/>
      </w:r>
      <w:r>
        <w:t xml:space="preserve"> </w:t>
      </w:r>
      <w:r w:rsidR="00AE5656" w:rsidRPr="00AE5656">
        <w:rPr>
          <w:rFonts w:ascii="Arial" w:hAnsi="Arial" w:cs="Arial"/>
          <w:sz w:val="16"/>
          <w:szCs w:val="16"/>
        </w:rPr>
        <w:t>Source: https://www.gov.uk/government/statistics/english-indices-of-deprivation-2015</w:t>
      </w:r>
    </w:p>
  </w:footnote>
  <w:footnote w:id="5">
    <w:p w14:paraId="2618B33C" w14:textId="67613BAB" w:rsidR="008C4F2F" w:rsidRPr="00AE5656" w:rsidRDefault="008C4F2F" w:rsidP="00AE5656">
      <w:pPr>
        <w:pStyle w:val="FootnoteText"/>
        <w:rPr>
          <w:rFonts w:ascii="Arial" w:hAnsi="Arial" w:cs="Arial"/>
          <w:sz w:val="16"/>
          <w:szCs w:val="16"/>
        </w:rPr>
      </w:pPr>
      <w:r w:rsidRPr="00AE5656">
        <w:rPr>
          <w:rStyle w:val="FootnoteReference"/>
          <w:rFonts w:ascii="Arial" w:hAnsi="Arial" w:cs="Arial"/>
          <w:sz w:val="16"/>
          <w:szCs w:val="16"/>
        </w:rPr>
        <w:footnoteRef/>
      </w:r>
      <w:r w:rsidRPr="00AE5656">
        <w:rPr>
          <w:rFonts w:ascii="Arial" w:hAnsi="Arial" w:cs="Arial"/>
          <w:sz w:val="16"/>
          <w:szCs w:val="16"/>
        </w:rPr>
        <w:t xml:space="preserve"> ONS</w:t>
      </w:r>
      <w:r w:rsidR="00AE5656">
        <w:rPr>
          <w:rFonts w:ascii="Arial" w:hAnsi="Arial" w:cs="Arial"/>
          <w:sz w:val="16"/>
          <w:szCs w:val="16"/>
        </w:rPr>
        <w:t xml:space="preserve"> </w:t>
      </w:r>
      <w:r w:rsidRPr="00AE5656">
        <w:rPr>
          <w:rFonts w:ascii="Arial" w:hAnsi="Arial" w:cs="Arial"/>
          <w:sz w:val="16"/>
          <w:szCs w:val="16"/>
        </w:rPr>
        <w:t>(2018) Annual survey of hours and earnings. Low and High Pay in the UK</w:t>
      </w:r>
    </w:p>
  </w:footnote>
  <w:footnote w:id="6">
    <w:p w14:paraId="4BF904F7" w14:textId="312B1D78" w:rsidR="00FD3052" w:rsidRPr="00FD3052" w:rsidRDefault="00FD3052">
      <w:pPr>
        <w:pStyle w:val="FootnoteText"/>
        <w:rPr>
          <w:rFonts w:ascii="Arial" w:hAnsi="Arial" w:cs="Arial"/>
          <w:sz w:val="16"/>
          <w:szCs w:val="16"/>
        </w:rPr>
      </w:pPr>
      <w:r>
        <w:rPr>
          <w:rStyle w:val="FootnoteReference"/>
        </w:rPr>
        <w:footnoteRef/>
      </w:r>
      <w:r>
        <w:t xml:space="preserve"> </w:t>
      </w:r>
      <w:r w:rsidRPr="00FD3052">
        <w:rPr>
          <w:rFonts w:ascii="Arial" w:hAnsi="Arial" w:cs="Arial"/>
          <w:sz w:val="16"/>
          <w:szCs w:val="16"/>
        </w:rPr>
        <w:t>ONS Annual Population Survey 12 month to March 2019</w:t>
      </w:r>
    </w:p>
  </w:footnote>
  <w:footnote w:id="7">
    <w:p w14:paraId="29D821F4" w14:textId="77777777" w:rsidR="00AE5656" w:rsidRPr="00AE5656" w:rsidRDefault="00AE5656" w:rsidP="00AE5656">
      <w:pPr>
        <w:rPr>
          <w:rFonts w:ascii="Arial" w:hAnsi="Arial" w:cs="Arial"/>
          <w:color w:val="0070C0"/>
          <w:sz w:val="16"/>
          <w:szCs w:val="16"/>
          <w:lang w:eastAsia="en-GB"/>
        </w:rPr>
      </w:pPr>
      <w:r>
        <w:rPr>
          <w:rStyle w:val="FootnoteReference"/>
        </w:rPr>
        <w:footnoteRef/>
      </w:r>
      <w:r>
        <w:t xml:space="preserve"> </w:t>
      </w:r>
      <w:r w:rsidRPr="00AE5656">
        <w:rPr>
          <w:rFonts w:ascii="Arial" w:hAnsi="Arial" w:cs="Arial"/>
          <w:sz w:val="16"/>
          <w:szCs w:val="16"/>
        </w:rPr>
        <w:t>* The ‘Real Living Wage’ promoted by the Living Wage Foundation is higher than the Government’s national Living Wage (£9 across the UK, compared to £8.21 (2018/19)</w:t>
      </w:r>
      <w:r w:rsidRPr="00AE5656">
        <w:rPr>
          <w:rStyle w:val="FootnoteReference"/>
          <w:rFonts w:ascii="Arial" w:hAnsi="Arial" w:cs="Arial"/>
          <w:sz w:val="16"/>
          <w:szCs w:val="16"/>
        </w:rPr>
        <w:t>[1]</w:t>
      </w:r>
      <w:r w:rsidRPr="00AE5656">
        <w:rPr>
          <w:rFonts w:ascii="Arial" w:hAnsi="Arial" w:cs="Arial"/>
          <w:sz w:val="16"/>
          <w:szCs w:val="16"/>
        </w:rPr>
        <w:t xml:space="preserve"> </w:t>
      </w:r>
      <w:hyperlink r:id="rId2" w:history="1">
        <w:r w:rsidRPr="00AE5656">
          <w:rPr>
            <w:rStyle w:val="Hyperlink"/>
            <w:rFonts w:ascii="Arial" w:hAnsi="Arial" w:cs="Arial"/>
            <w:color w:val="0070C0"/>
            <w:sz w:val="16"/>
            <w:szCs w:val="16"/>
          </w:rPr>
          <w:t>https://www.livingwage.org.uk/what-real-living-wage</w:t>
        </w:r>
      </w:hyperlink>
      <w:r w:rsidRPr="00AE5656">
        <w:rPr>
          <w:rFonts w:ascii="Arial" w:hAnsi="Arial" w:cs="Arial"/>
          <w:color w:val="0070C0"/>
          <w:sz w:val="16"/>
          <w:szCs w:val="16"/>
          <w:lang w:eastAsia="en-GB"/>
        </w:rPr>
        <w:t xml:space="preserve"> </w:t>
      </w:r>
    </w:p>
    <w:p w14:paraId="639B5785" w14:textId="77777777" w:rsidR="00AE5656" w:rsidRDefault="00AE5656" w:rsidP="00AE5656">
      <w:pPr>
        <w:pStyle w:val="FootnoteText"/>
      </w:pPr>
    </w:p>
    <w:p w14:paraId="754B553F" w14:textId="64C7D200" w:rsidR="00AE5656" w:rsidRDefault="00AE56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4A3E" w14:textId="7386489A" w:rsidR="00163D23" w:rsidRDefault="00163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14E093"/>
    <w:multiLevelType w:val="hybridMultilevel"/>
    <w:tmpl w:val="418584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C65BF"/>
    <w:multiLevelType w:val="multilevel"/>
    <w:tmpl w:val="1C0E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871B8"/>
    <w:multiLevelType w:val="hybridMultilevel"/>
    <w:tmpl w:val="C954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C1E13"/>
    <w:multiLevelType w:val="hybridMultilevel"/>
    <w:tmpl w:val="F2D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74C76"/>
    <w:multiLevelType w:val="multilevel"/>
    <w:tmpl w:val="873C8E36"/>
    <w:lvl w:ilvl="0">
      <w:start w:val="1"/>
      <w:numFmt w:val="decimal"/>
      <w:lvlText w:val="%1."/>
      <w:lvlJc w:val="left"/>
      <w:pPr>
        <w:ind w:left="360" w:hanging="360"/>
      </w:pPr>
      <w:rPr>
        <w:rFonts w:ascii="Arial" w:hAnsi="Arial" w:cs="Arial" w:hint="default"/>
        <w:b w:val="0"/>
        <w:bCs/>
        <w:i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782765"/>
    <w:multiLevelType w:val="hybridMultilevel"/>
    <w:tmpl w:val="01CE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60397"/>
    <w:multiLevelType w:val="hybridMultilevel"/>
    <w:tmpl w:val="829A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35B47"/>
    <w:multiLevelType w:val="hybridMultilevel"/>
    <w:tmpl w:val="059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60E4"/>
    <w:multiLevelType w:val="hybridMultilevel"/>
    <w:tmpl w:val="102A89D2"/>
    <w:lvl w:ilvl="0" w:tplc="3A48364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33A63"/>
    <w:multiLevelType w:val="hybridMultilevel"/>
    <w:tmpl w:val="5EDC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D0746"/>
    <w:multiLevelType w:val="hybridMultilevel"/>
    <w:tmpl w:val="FE08193C"/>
    <w:lvl w:ilvl="0" w:tplc="93D860BE">
      <w:start w:val="1"/>
      <w:numFmt w:val="lowerLetter"/>
      <w:lvlText w:val="%1)"/>
      <w:lvlJc w:val="left"/>
      <w:pPr>
        <w:ind w:left="1437" w:hanging="360"/>
      </w:pPr>
      <w:rPr>
        <w:b w:val="0"/>
        <w:color w:val="auto"/>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 w15:restartNumberingAfterBreak="0">
    <w:nsid w:val="23F81E52"/>
    <w:multiLevelType w:val="hybridMultilevel"/>
    <w:tmpl w:val="AF7A7EB2"/>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60E64"/>
    <w:multiLevelType w:val="hybridMultilevel"/>
    <w:tmpl w:val="85ACBD30"/>
    <w:lvl w:ilvl="0" w:tplc="08090001">
      <w:start w:val="1"/>
      <w:numFmt w:val="bullet"/>
      <w:lvlText w:val=""/>
      <w:lvlJc w:val="left"/>
      <w:pPr>
        <w:ind w:left="1798" w:hanging="361"/>
      </w:pPr>
      <w:rPr>
        <w:rFonts w:ascii="Symbol" w:hAnsi="Symbol" w:hint="default"/>
        <w:spacing w:val="-3"/>
        <w:w w:val="99"/>
        <w:sz w:val="24"/>
        <w:szCs w:val="24"/>
        <w:lang w:val="en-GB" w:eastAsia="en-GB" w:bidi="en-GB"/>
      </w:rPr>
    </w:lvl>
    <w:lvl w:ilvl="1" w:tplc="489ACB7E">
      <w:numFmt w:val="bullet"/>
      <w:lvlText w:val="•"/>
      <w:lvlJc w:val="left"/>
      <w:pPr>
        <w:ind w:left="2748" w:hanging="361"/>
      </w:pPr>
      <w:rPr>
        <w:rFonts w:hint="default"/>
        <w:lang w:val="en-GB" w:eastAsia="en-GB" w:bidi="en-GB"/>
      </w:rPr>
    </w:lvl>
    <w:lvl w:ilvl="2" w:tplc="4DA65DB2">
      <w:numFmt w:val="bullet"/>
      <w:lvlText w:val="•"/>
      <w:lvlJc w:val="left"/>
      <w:pPr>
        <w:ind w:left="3708" w:hanging="361"/>
      </w:pPr>
      <w:rPr>
        <w:rFonts w:hint="default"/>
        <w:lang w:val="en-GB" w:eastAsia="en-GB" w:bidi="en-GB"/>
      </w:rPr>
    </w:lvl>
    <w:lvl w:ilvl="3" w:tplc="0584DA28">
      <w:numFmt w:val="bullet"/>
      <w:lvlText w:val="•"/>
      <w:lvlJc w:val="left"/>
      <w:pPr>
        <w:ind w:left="4667" w:hanging="361"/>
      </w:pPr>
      <w:rPr>
        <w:rFonts w:hint="default"/>
        <w:lang w:val="en-GB" w:eastAsia="en-GB" w:bidi="en-GB"/>
      </w:rPr>
    </w:lvl>
    <w:lvl w:ilvl="4" w:tplc="DA00AB78">
      <w:numFmt w:val="bullet"/>
      <w:lvlText w:val="•"/>
      <w:lvlJc w:val="left"/>
      <w:pPr>
        <w:ind w:left="5627" w:hanging="361"/>
      </w:pPr>
      <w:rPr>
        <w:rFonts w:hint="default"/>
        <w:lang w:val="en-GB" w:eastAsia="en-GB" w:bidi="en-GB"/>
      </w:rPr>
    </w:lvl>
    <w:lvl w:ilvl="5" w:tplc="C6CE7210">
      <w:numFmt w:val="bullet"/>
      <w:lvlText w:val="•"/>
      <w:lvlJc w:val="left"/>
      <w:pPr>
        <w:ind w:left="6586" w:hanging="361"/>
      </w:pPr>
      <w:rPr>
        <w:rFonts w:hint="default"/>
        <w:lang w:val="en-GB" w:eastAsia="en-GB" w:bidi="en-GB"/>
      </w:rPr>
    </w:lvl>
    <w:lvl w:ilvl="6" w:tplc="40AA1E90">
      <w:numFmt w:val="bullet"/>
      <w:lvlText w:val="•"/>
      <w:lvlJc w:val="left"/>
      <w:pPr>
        <w:ind w:left="7546" w:hanging="361"/>
      </w:pPr>
      <w:rPr>
        <w:rFonts w:hint="default"/>
        <w:lang w:val="en-GB" w:eastAsia="en-GB" w:bidi="en-GB"/>
      </w:rPr>
    </w:lvl>
    <w:lvl w:ilvl="7" w:tplc="03121CAC">
      <w:numFmt w:val="bullet"/>
      <w:lvlText w:val="•"/>
      <w:lvlJc w:val="left"/>
      <w:pPr>
        <w:ind w:left="8505" w:hanging="361"/>
      </w:pPr>
      <w:rPr>
        <w:rFonts w:hint="default"/>
        <w:lang w:val="en-GB" w:eastAsia="en-GB" w:bidi="en-GB"/>
      </w:rPr>
    </w:lvl>
    <w:lvl w:ilvl="8" w:tplc="5CB29CC8">
      <w:numFmt w:val="bullet"/>
      <w:lvlText w:val="•"/>
      <w:lvlJc w:val="left"/>
      <w:pPr>
        <w:ind w:left="9465" w:hanging="361"/>
      </w:pPr>
      <w:rPr>
        <w:rFonts w:hint="default"/>
        <w:lang w:val="en-GB" w:eastAsia="en-GB" w:bidi="en-GB"/>
      </w:rPr>
    </w:lvl>
  </w:abstractNum>
  <w:abstractNum w:abstractNumId="13" w15:restartNumberingAfterBreak="0">
    <w:nsid w:val="29DB69DF"/>
    <w:multiLevelType w:val="multilevel"/>
    <w:tmpl w:val="96581E78"/>
    <w:lvl w:ilvl="0">
      <w:start w:val="1"/>
      <w:numFmt w:val="bullet"/>
      <w:lvlText w:val=""/>
      <w:lvlJc w:val="left"/>
      <w:pPr>
        <w:ind w:left="1440" w:hanging="360"/>
      </w:pPr>
      <w:rPr>
        <w:rFonts w:ascii="Symbol" w:hAnsi="Symbol" w:hint="default"/>
        <w:b w:val="0"/>
        <w:bCs/>
        <w:color w:val="auto"/>
      </w:rPr>
    </w:lvl>
    <w:lvl w:ilvl="1">
      <w:start w:val="1"/>
      <w:numFmt w:val="decimal"/>
      <w:lvlText w:val="%1.%2."/>
      <w:lvlJc w:val="left"/>
      <w:pPr>
        <w:ind w:left="1730" w:hanging="432"/>
      </w:pPr>
    </w:lvl>
    <w:lvl w:ilvl="2">
      <w:start w:val="1"/>
      <w:numFmt w:val="decimal"/>
      <w:lvlText w:val="%1.%2.%3."/>
      <w:lvlJc w:val="left"/>
      <w:pPr>
        <w:ind w:left="2162" w:hanging="504"/>
      </w:pPr>
    </w:lvl>
    <w:lvl w:ilvl="3">
      <w:start w:val="1"/>
      <w:numFmt w:val="decimal"/>
      <w:lvlText w:val="%1.%2.%3.%4."/>
      <w:lvlJc w:val="left"/>
      <w:pPr>
        <w:ind w:left="2666" w:hanging="648"/>
      </w:pPr>
    </w:lvl>
    <w:lvl w:ilvl="4">
      <w:start w:val="1"/>
      <w:numFmt w:val="decimal"/>
      <w:lvlText w:val="%1.%2.%3.%4.%5."/>
      <w:lvlJc w:val="left"/>
      <w:pPr>
        <w:ind w:left="3170" w:hanging="792"/>
      </w:pPr>
    </w:lvl>
    <w:lvl w:ilvl="5">
      <w:start w:val="1"/>
      <w:numFmt w:val="decimal"/>
      <w:lvlText w:val="%1.%2.%3.%4.%5.%6."/>
      <w:lvlJc w:val="left"/>
      <w:pPr>
        <w:ind w:left="3674" w:hanging="936"/>
      </w:pPr>
    </w:lvl>
    <w:lvl w:ilvl="6">
      <w:start w:val="1"/>
      <w:numFmt w:val="decimal"/>
      <w:lvlText w:val="%1.%2.%3.%4.%5.%6.%7."/>
      <w:lvlJc w:val="left"/>
      <w:pPr>
        <w:ind w:left="4178" w:hanging="1080"/>
      </w:pPr>
    </w:lvl>
    <w:lvl w:ilvl="7">
      <w:start w:val="1"/>
      <w:numFmt w:val="decimal"/>
      <w:lvlText w:val="%1.%2.%3.%4.%5.%6.%7.%8."/>
      <w:lvlJc w:val="left"/>
      <w:pPr>
        <w:ind w:left="4682" w:hanging="1224"/>
      </w:pPr>
    </w:lvl>
    <w:lvl w:ilvl="8">
      <w:start w:val="1"/>
      <w:numFmt w:val="decimal"/>
      <w:lvlText w:val="%1.%2.%3.%4.%5.%6.%7.%8.%9."/>
      <w:lvlJc w:val="left"/>
      <w:pPr>
        <w:ind w:left="5258" w:hanging="1440"/>
      </w:pPr>
    </w:lvl>
  </w:abstractNum>
  <w:abstractNum w:abstractNumId="14" w15:restartNumberingAfterBreak="0">
    <w:nsid w:val="2C7A0692"/>
    <w:multiLevelType w:val="hybridMultilevel"/>
    <w:tmpl w:val="22600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CB1409A"/>
    <w:multiLevelType w:val="hybridMultilevel"/>
    <w:tmpl w:val="161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43155"/>
    <w:multiLevelType w:val="hybridMultilevel"/>
    <w:tmpl w:val="472E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6102A"/>
    <w:multiLevelType w:val="hybridMultilevel"/>
    <w:tmpl w:val="D1AE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452F2"/>
    <w:multiLevelType w:val="hybridMultilevel"/>
    <w:tmpl w:val="C2304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60116"/>
    <w:multiLevelType w:val="hybridMultilevel"/>
    <w:tmpl w:val="D41A82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A58A8"/>
    <w:multiLevelType w:val="hybridMultilevel"/>
    <w:tmpl w:val="D82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46EE3"/>
    <w:multiLevelType w:val="multilevel"/>
    <w:tmpl w:val="2FC8993C"/>
    <w:lvl w:ilvl="0">
      <w:start w:val="1"/>
      <w:numFmt w:val="decimal"/>
      <w:pStyle w:val="Level1"/>
      <w:lvlText w:val="%1."/>
      <w:lvlJc w:val="left"/>
      <w:pPr>
        <w:tabs>
          <w:tab w:val="num" w:pos="992"/>
        </w:tabs>
        <w:ind w:left="992" w:hanging="850"/>
      </w:pPr>
      <w:rPr>
        <w:b/>
        <w:i w:val="0"/>
        <w:caps w:val="0"/>
        <w:smallCaps w:val="0"/>
        <w:strike w:val="0"/>
        <w:dstrike w:val="0"/>
        <w:outline w:val="0"/>
        <w:shadow w:val="0"/>
        <w:emboss w:val="0"/>
        <w:imprint w:val="0"/>
        <w:vanish w:val="0"/>
        <w:color w:val="auto"/>
        <w:sz w:val="24"/>
        <w:szCs w:val="24"/>
        <w:u w:val="none" w:color="000000"/>
        <w:effect w:val="none"/>
        <w:vertAlign w:val="baseline"/>
      </w:rPr>
    </w:lvl>
    <w:lvl w:ilvl="1">
      <w:start w:val="1"/>
      <w:numFmt w:val="decimal"/>
      <w:pStyle w:val="Level2"/>
      <w:lvlText w:val="%1.%2"/>
      <w:lvlJc w:val="left"/>
      <w:pPr>
        <w:tabs>
          <w:tab w:val="num" w:pos="1134"/>
        </w:tabs>
        <w:ind w:left="1134" w:hanging="850"/>
      </w:pPr>
      <w:rPr>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1419"/>
        </w:tabs>
        <w:ind w:left="1419" w:hanging="851"/>
      </w:pPr>
      <w:rPr>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22" w15:restartNumberingAfterBreak="0">
    <w:nsid w:val="462113A7"/>
    <w:multiLevelType w:val="hybridMultilevel"/>
    <w:tmpl w:val="39A02F0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8C7818"/>
    <w:multiLevelType w:val="hybridMultilevel"/>
    <w:tmpl w:val="1DE8AAE2"/>
    <w:lvl w:ilvl="0" w:tplc="29249C2A">
      <w:numFmt w:val="bullet"/>
      <w:lvlText w:val=""/>
      <w:lvlJc w:val="left"/>
      <w:pPr>
        <w:ind w:left="1066" w:hanging="360"/>
      </w:pPr>
      <w:rPr>
        <w:rFonts w:ascii="Symbol" w:eastAsia="Symbol" w:hAnsi="Symbol" w:cs="Symbol" w:hint="default"/>
        <w:w w:val="100"/>
        <w:sz w:val="24"/>
        <w:szCs w:val="24"/>
        <w:lang w:val="en-GB" w:eastAsia="en-GB" w:bidi="en-GB"/>
      </w:rPr>
    </w:lvl>
    <w:lvl w:ilvl="1" w:tplc="62722AD2">
      <w:numFmt w:val="bullet"/>
      <w:lvlText w:val="•"/>
      <w:lvlJc w:val="left"/>
      <w:pPr>
        <w:ind w:left="1992" w:hanging="360"/>
      </w:pPr>
      <w:rPr>
        <w:rFonts w:hint="default"/>
        <w:lang w:val="en-GB" w:eastAsia="en-GB" w:bidi="en-GB"/>
      </w:rPr>
    </w:lvl>
    <w:lvl w:ilvl="2" w:tplc="19DE995C">
      <w:numFmt w:val="bullet"/>
      <w:lvlText w:val="•"/>
      <w:lvlJc w:val="left"/>
      <w:pPr>
        <w:ind w:left="2924" w:hanging="360"/>
      </w:pPr>
      <w:rPr>
        <w:rFonts w:hint="default"/>
        <w:lang w:val="en-GB" w:eastAsia="en-GB" w:bidi="en-GB"/>
      </w:rPr>
    </w:lvl>
    <w:lvl w:ilvl="3" w:tplc="04B86C1A">
      <w:numFmt w:val="bullet"/>
      <w:lvlText w:val="•"/>
      <w:lvlJc w:val="left"/>
      <w:pPr>
        <w:ind w:left="3856" w:hanging="360"/>
      </w:pPr>
      <w:rPr>
        <w:rFonts w:hint="default"/>
        <w:lang w:val="en-GB" w:eastAsia="en-GB" w:bidi="en-GB"/>
      </w:rPr>
    </w:lvl>
    <w:lvl w:ilvl="4" w:tplc="8A0C53F4">
      <w:numFmt w:val="bullet"/>
      <w:lvlText w:val="•"/>
      <w:lvlJc w:val="left"/>
      <w:pPr>
        <w:ind w:left="4788" w:hanging="360"/>
      </w:pPr>
      <w:rPr>
        <w:rFonts w:hint="default"/>
        <w:lang w:val="en-GB" w:eastAsia="en-GB" w:bidi="en-GB"/>
      </w:rPr>
    </w:lvl>
    <w:lvl w:ilvl="5" w:tplc="21924D66">
      <w:numFmt w:val="bullet"/>
      <w:lvlText w:val="•"/>
      <w:lvlJc w:val="left"/>
      <w:pPr>
        <w:ind w:left="5720" w:hanging="360"/>
      </w:pPr>
      <w:rPr>
        <w:rFonts w:hint="default"/>
        <w:lang w:val="en-GB" w:eastAsia="en-GB" w:bidi="en-GB"/>
      </w:rPr>
    </w:lvl>
    <w:lvl w:ilvl="6" w:tplc="B734B584">
      <w:numFmt w:val="bullet"/>
      <w:lvlText w:val="•"/>
      <w:lvlJc w:val="left"/>
      <w:pPr>
        <w:ind w:left="6652" w:hanging="360"/>
      </w:pPr>
      <w:rPr>
        <w:rFonts w:hint="default"/>
        <w:lang w:val="en-GB" w:eastAsia="en-GB" w:bidi="en-GB"/>
      </w:rPr>
    </w:lvl>
    <w:lvl w:ilvl="7" w:tplc="0E949C08">
      <w:numFmt w:val="bullet"/>
      <w:lvlText w:val="•"/>
      <w:lvlJc w:val="left"/>
      <w:pPr>
        <w:ind w:left="7584" w:hanging="360"/>
      </w:pPr>
      <w:rPr>
        <w:rFonts w:hint="default"/>
        <w:lang w:val="en-GB" w:eastAsia="en-GB" w:bidi="en-GB"/>
      </w:rPr>
    </w:lvl>
    <w:lvl w:ilvl="8" w:tplc="70247DD4">
      <w:numFmt w:val="bullet"/>
      <w:lvlText w:val="•"/>
      <w:lvlJc w:val="left"/>
      <w:pPr>
        <w:ind w:left="8516" w:hanging="360"/>
      </w:pPr>
      <w:rPr>
        <w:rFonts w:hint="default"/>
        <w:lang w:val="en-GB" w:eastAsia="en-GB" w:bidi="en-GB"/>
      </w:rPr>
    </w:lvl>
  </w:abstractNum>
  <w:abstractNum w:abstractNumId="24" w15:restartNumberingAfterBreak="0">
    <w:nsid w:val="51060FDF"/>
    <w:multiLevelType w:val="hybridMultilevel"/>
    <w:tmpl w:val="272C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5808AE"/>
    <w:multiLevelType w:val="hybridMultilevel"/>
    <w:tmpl w:val="61AC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7390B"/>
    <w:multiLevelType w:val="hybridMultilevel"/>
    <w:tmpl w:val="2472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45BDD"/>
    <w:multiLevelType w:val="hybridMultilevel"/>
    <w:tmpl w:val="DE9E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374EA"/>
    <w:multiLevelType w:val="hybridMultilevel"/>
    <w:tmpl w:val="E29A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66659"/>
    <w:multiLevelType w:val="hybridMultilevel"/>
    <w:tmpl w:val="7806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E33072"/>
    <w:multiLevelType w:val="hybridMultilevel"/>
    <w:tmpl w:val="A46E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D97C62"/>
    <w:multiLevelType w:val="hybridMultilevel"/>
    <w:tmpl w:val="6F8E1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080412"/>
    <w:multiLevelType w:val="hybridMultilevel"/>
    <w:tmpl w:val="9DBA5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DA6480"/>
    <w:multiLevelType w:val="hybridMultilevel"/>
    <w:tmpl w:val="87A6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428E9"/>
    <w:multiLevelType w:val="hybridMultilevel"/>
    <w:tmpl w:val="8C94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EA37D4"/>
    <w:multiLevelType w:val="hybridMultilevel"/>
    <w:tmpl w:val="FC888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FC28BC"/>
    <w:multiLevelType w:val="hybridMultilevel"/>
    <w:tmpl w:val="E9D2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F2B46"/>
    <w:multiLevelType w:val="hybridMultilevel"/>
    <w:tmpl w:val="C098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342EB6"/>
    <w:multiLevelType w:val="hybridMultilevel"/>
    <w:tmpl w:val="91F0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433A0"/>
    <w:multiLevelType w:val="hybridMultilevel"/>
    <w:tmpl w:val="48A449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8"/>
  </w:num>
  <w:num w:numId="4">
    <w:abstractNumId w:val="31"/>
  </w:num>
  <w:num w:numId="5">
    <w:abstractNumId w:val="23"/>
  </w:num>
  <w:num w:numId="6">
    <w:abstractNumId w:val="14"/>
  </w:num>
  <w:num w:numId="7">
    <w:abstractNumId w:val="11"/>
  </w:num>
  <w:num w:numId="8">
    <w:abstractNumId w:val="32"/>
  </w:num>
  <w:num w:numId="9">
    <w:abstractNumId w:val="12"/>
  </w:num>
  <w:num w:numId="10">
    <w:abstractNumId w:val="29"/>
  </w:num>
  <w:num w:numId="11">
    <w:abstractNumId w:val="37"/>
  </w:num>
  <w:num w:numId="12">
    <w:abstractNumId w:val="34"/>
  </w:num>
  <w:num w:numId="13">
    <w:abstractNumId w:val="35"/>
  </w:num>
  <w:num w:numId="14">
    <w:abstractNumId w:val="24"/>
  </w:num>
  <w:num w:numId="15">
    <w:abstractNumId w:val="15"/>
  </w:num>
  <w:num w:numId="16">
    <w:abstractNumId w:val="13"/>
  </w:num>
  <w:num w:numId="17">
    <w:abstractNumId w:val="38"/>
  </w:num>
  <w:num w:numId="18">
    <w:abstractNumId w:val="30"/>
  </w:num>
  <w:num w:numId="19">
    <w:abstractNumId w:val="10"/>
  </w:num>
  <w:num w:numId="20">
    <w:abstractNumId w:val="20"/>
  </w:num>
  <w:num w:numId="21">
    <w:abstractNumId w:val="6"/>
  </w:num>
  <w:num w:numId="22">
    <w:abstractNumId w:val="26"/>
  </w:num>
  <w:num w:numId="23">
    <w:abstractNumId w:val="22"/>
  </w:num>
  <w:num w:numId="24">
    <w:abstractNumId w:val="9"/>
  </w:num>
  <w:num w:numId="25">
    <w:abstractNumId w:val="8"/>
  </w:num>
  <w:num w:numId="26">
    <w:abstractNumId w:val="25"/>
  </w:num>
  <w:num w:numId="27">
    <w:abstractNumId w:val="21"/>
  </w:num>
  <w:num w:numId="28">
    <w:abstractNumId w:val="16"/>
  </w:num>
  <w:num w:numId="29">
    <w:abstractNumId w:val="19"/>
  </w:num>
  <w:num w:numId="30">
    <w:abstractNumId w:val="28"/>
  </w:num>
  <w:num w:numId="31">
    <w:abstractNumId w:val="17"/>
  </w:num>
  <w:num w:numId="32">
    <w:abstractNumId w:val="33"/>
  </w:num>
  <w:num w:numId="33">
    <w:abstractNumId w:val="2"/>
  </w:num>
  <w:num w:numId="34">
    <w:abstractNumId w:val="7"/>
  </w:num>
  <w:num w:numId="35">
    <w:abstractNumId w:val="5"/>
  </w:num>
  <w:num w:numId="36">
    <w:abstractNumId w:val="3"/>
  </w:num>
  <w:num w:numId="37">
    <w:abstractNumId w:val="39"/>
  </w:num>
  <w:num w:numId="38">
    <w:abstractNumId w:val="36"/>
  </w:num>
  <w:num w:numId="39">
    <w:abstractNumId w:val="1"/>
  </w:num>
  <w:num w:numId="40">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44"/>
    <w:rsid w:val="00000CB6"/>
    <w:rsid w:val="00005260"/>
    <w:rsid w:val="0000611C"/>
    <w:rsid w:val="000061EF"/>
    <w:rsid w:val="00012DA3"/>
    <w:rsid w:val="00016704"/>
    <w:rsid w:val="00017C0F"/>
    <w:rsid w:val="00031D5D"/>
    <w:rsid w:val="00033337"/>
    <w:rsid w:val="000362D3"/>
    <w:rsid w:val="0003654F"/>
    <w:rsid w:val="00053CA9"/>
    <w:rsid w:val="00054902"/>
    <w:rsid w:val="00055BE8"/>
    <w:rsid w:val="000620E7"/>
    <w:rsid w:val="00071B93"/>
    <w:rsid w:val="000768B5"/>
    <w:rsid w:val="00081420"/>
    <w:rsid w:val="000963D1"/>
    <w:rsid w:val="000A0AF5"/>
    <w:rsid w:val="000A24F5"/>
    <w:rsid w:val="000B118A"/>
    <w:rsid w:val="000B58D9"/>
    <w:rsid w:val="000C0ED4"/>
    <w:rsid w:val="000C4D17"/>
    <w:rsid w:val="000D2EF2"/>
    <w:rsid w:val="000D3750"/>
    <w:rsid w:val="000D39E0"/>
    <w:rsid w:val="00100465"/>
    <w:rsid w:val="00103978"/>
    <w:rsid w:val="00120E0A"/>
    <w:rsid w:val="00124DD7"/>
    <w:rsid w:val="001303B7"/>
    <w:rsid w:val="0013063B"/>
    <w:rsid w:val="00130BF0"/>
    <w:rsid w:val="00146E9B"/>
    <w:rsid w:val="0015157C"/>
    <w:rsid w:val="00153096"/>
    <w:rsid w:val="001539BF"/>
    <w:rsid w:val="00162C46"/>
    <w:rsid w:val="00163D23"/>
    <w:rsid w:val="001658A8"/>
    <w:rsid w:val="00174079"/>
    <w:rsid w:val="001816D2"/>
    <w:rsid w:val="00182765"/>
    <w:rsid w:val="00192FD7"/>
    <w:rsid w:val="001B3BCA"/>
    <w:rsid w:val="001B5E02"/>
    <w:rsid w:val="001B7DC8"/>
    <w:rsid w:val="001C054E"/>
    <w:rsid w:val="001D103C"/>
    <w:rsid w:val="001D1137"/>
    <w:rsid w:val="001D176E"/>
    <w:rsid w:val="001D55A6"/>
    <w:rsid w:val="001D7405"/>
    <w:rsid w:val="001E52B6"/>
    <w:rsid w:val="001E7D0A"/>
    <w:rsid w:val="001F279B"/>
    <w:rsid w:val="001F5502"/>
    <w:rsid w:val="002003A9"/>
    <w:rsid w:val="002006D3"/>
    <w:rsid w:val="00203F47"/>
    <w:rsid w:val="00214EBE"/>
    <w:rsid w:val="00230884"/>
    <w:rsid w:val="00230D01"/>
    <w:rsid w:val="00242CCB"/>
    <w:rsid w:val="00252A09"/>
    <w:rsid w:val="00252AAB"/>
    <w:rsid w:val="0025423A"/>
    <w:rsid w:val="00255CC5"/>
    <w:rsid w:val="002563B3"/>
    <w:rsid w:val="00257EA4"/>
    <w:rsid w:val="0026000D"/>
    <w:rsid w:val="0026108B"/>
    <w:rsid w:val="00264D17"/>
    <w:rsid w:val="0027379E"/>
    <w:rsid w:val="00280B66"/>
    <w:rsid w:val="00285E56"/>
    <w:rsid w:val="00291AE4"/>
    <w:rsid w:val="002C6363"/>
    <w:rsid w:val="002C784D"/>
    <w:rsid w:val="002D7C4B"/>
    <w:rsid w:val="002F379D"/>
    <w:rsid w:val="002F4F0A"/>
    <w:rsid w:val="003001CC"/>
    <w:rsid w:val="003018CB"/>
    <w:rsid w:val="00303AF0"/>
    <w:rsid w:val="0031137E"/>
    <w:rsid w:val="00314744"/>
    <w:rsid w:val="00333616"/>
    <w:rsid w:val="0033481E"/>
    <w:rsid w:val="00340024"/>
    <w:rsid w:val="003423C4"/>
    <w:rsid w:val="00344539"/>
    <w:rsid w:val="0034473B"/>
    <w:rsid w:val="00346053"/>
    <w:rsid w:val="00346848"/>
    <w:rsid w:val="0034686C"/>
    <w:rsid w:val="00357170"/>
    <w:rsid w:val="00365F09"/>
    <w:rsid w:val="003707FE"/>
    <w:rsid w:val="00373672"/>
    <w:rsid w:val="0037399F"/>
    <w:rsid w:val="00373E4D"/>
    <w:rsid w:val="0038424D"/>
    <w:rsid w:val="003A1FAA"/>
    <w:rsid w:val="003B79DA"/>
    <w:rsid w:val="003C0BA0"/>
    <w:rsid w:val="003D413D"/>
    <w:rsid w:val="003D4C33"/>
    <w:rsid w:val="003E187E"/>
    <w:rsid w:val="003E5E52"/>
    <w:rsid w:val="003E70E0"/>
    <w:rsid w:val="003F2DA0"/>
    <w:rsid w:val="003F3853"/>
    <w:rsid w:val="003F7B0A"/>
    <w:rsid w:val="00403645"/>
    <w:rsid w:val="0040623A"/>
    <w:rsid w:val="004148B9"/>
    <w:rsid w:val="00424BF7"/>
    <w:rsid w:val="00424DA4"/>
    <w:rsid w:val="00427C6C"/>
    <w:rsid w:val="0043116C"/>
    <w:rsid w:val="00433E6B"/>
    <w:rsid w:val="00435462"/>
    <w:rsid w:val="00441161"/>
    <w:rsid w:val="004440E6"/>
    <w:rsid w:val="004441B5"/>
    <w:rsid w:val="00446E1E"/>
    <w:rsid w:val="0045298A"/>
    <w:rsid w:val="004578D9"/>
    <w:rsid w:val="00463DE4"/>
    <w:rsid w:val="00464926"/>
    <w:rsid w:val="00474842"/>
    <w:rsid w:val="0048296B"/>
    <w:rsid w:val="00495B4D"/>
    <w:rsid w:val="0049677F"/>
    <w:rsid w:val="004A5EF5"/>
    <w:rsid w:val="004B2992"/>
    <w:rsid w:val="004B3EE8"/>
    <w:rsid w:val="004C2759"/>
    <w:rsid w:val="004C3404"/>
    <w:rsid w:val="004C4BEA"/>
    <w:rsid w:val="004C5EEC"/>
    <w:rsid w:val="004C6EFD"/>
    <w:rsid w:val="004D0903"/>
    <w:rsid w:val="004D328F"/>
    <w:rsid w:val="004D6BCE"/>
    <w:rsid w:val="004E02D3"/>
    <w:rsid w:val="004E7743"/>
    <w:rsid w:val="004F2088"/>
    <w:rsid w:val="004F2457"/>
    <w:rsid w:val="004F2C27"/>
    <w:rsid w:val="00504C9B"/>
    <w:rsid w:val="00504E37"/>
    <w:rsid w:val="00507115"/>
    <w:rsid w:val="00507194"/>
    <w:rsid w:val="00510B59"/>
    <w:rsid w:val="00536689"/>
    <w:rsid w:val="005408CE"/>
    <w:rsid w:val="00543F4B"/>
    <w:rsid w:val="005506B0"/>
    <w:rsid w:val="00556CE9"/>
    <w:rsid w:val="0057173D"/>
    <w:rsid w:val="00577949"/>
    <w:rsid w:val="00581AAB"/>
    <w:rsid w:val="005830E5"/>
    <w:rsid w:val="005853DE"/>
    <w:rsid w:val="00596618"/>
    <w:rsid w:val="00596F00"/>
    <w:rsid w:val="005A170A"/>
    <w:rsid w:val="005A28FD"/>
    <w:rsid w:val="005A4EAC"/>
    <w:rsid w:val="005B409D"/>
    <w:rsid w:val="005C237B"/>
    <w:rsid w:val="005C3FB4"/>
    <w:rsid w:val="005C6C32"/>
    <w:rsid w:val="005D4E54"/>
    <w:rsid w:val="005D53FA"/>
    <w:rsid w:val="005D6887"/>
    <w:rsid w:val="005D7BE7"/>
    <w:rsid w:val="005E325F"/>
    <w:rsid w:val="005E652B"/>
    <w:rsid w:val="005F6D07"/>
    <w:rsid w:val="00600B2A"/>
    <w:rsid w:val="00602BA2"/>
    <w:rsid w:val="0060588F"/>
    <w:rsid w:val="006174C4"/>
    <w:rsid w:val="00621B9A"/>
    <w:rsid w:val="0062725F"/>
    <w:rsid w:val="006274B6"/>
    <w:rsid w:val="00630132"/>
    <w:rsid w:val="00637F8E"/>
    <w:rsid w:val="00641818"/>
    <w:rsid w:val="0064669E"/>
    <w:rsid w:val="00650B66"/>
    <w:rsid w:val="0067315B"/>
    <w:rsid w:val="006767F7"/>
    <w:rsid w:val="0069702B"/>
    <w:rsid w:val="006A11A0"/>
    <w:rsid w:val="006A1EAC"/>
    <w:rsid w:val="006B03A8"/>
    <w:rsid w:val="006B0A6B"/>
    <w:rsid w:val="006B7BF4"/>
    <w:rsid w:val="006C1110"/>
    <w:rsid w:val="006C2C2A"/>
    <w:rsid w:val="006C3333"/>
    <w:rsid w:val="006C6559"/>
    <w:rsid w:val="006E2AAB"/>
    <w:rsid w:val="006F5566"/>
    <w:rsid w:val="006F761E"/>
    <w:rsid w:val="00701143"/>
    <w:rsid w:val="00701493"/>
    <w:rsid w:val="0070283C"/>
    <w:rsid w:val="007104D8"/>
    <w:rsid w:val="007176A6"/>
    <w:rsid w:val="00721941"/>
    <w:rsid w:val="007234E9"/>
    <w:rsid w:val="00731B16"/>
    <w:rsid w:val="00735A9E"/>
    <w:rsid w:val="00736740"/>
    <w:rsid w:val="0074045D"/>
    <w:rsid w:val="00742790"/>
    <w:rsid w:val="00744FB4"/>
    <w:rsid w:val="00745BF6"/>
    <w:rsid w:val="007467C8"/>
    <w:rsid w:val="00752127"/>
    <w:rsid w:val="00753173"/>
    <w:rsid w:val="00753363"/>
    <w:rsid w:val="0075485B"/>
    <w:rsid w:val="00755794"/>
    <w:rsid w:val="00764892"/>
    <w:rsid w:val="00765E25"/>
    <w:rsid w:val="00770A8C"/>
    <w:rsid w:val="00770E58"/>
    <w:rsid w:val="007739BE"/>
    <w:rsid w:val="00790D20"/>
    <w:rsid w:val="007B2AC4"/>
    <w:rsid w:val="007C0C8A"/>
    <w:rsid w:val="007C30D4"/>
    <w:rsid w:val="007C6F2C"/>
    <w:rsid w:val="007D3C3F"/>
    <w:rsid w:val="007E193A"/>
    <w:rsid w:val="00804D0F"/>
    <w:rsid w:val="008131D4"/>
    <w:rsid w:val="00813FD4"/>
    <w:rsid w:val="00816F14"/>
    <w:rsid w:val="00821F37"/>
    <w:rsid w:val="008353C0"/>
    <w:rsid w:val="0083628D"/>
    <w:rsid w:val="00841832"/>
    <w:rsid w:val="00844D8E"/>
    <w:rsid w:val="0085796C"/>
    <w:rsid w:val="008628B7"/>
    <w:rsid w:val="00863FB3"/>
    <w:rsid w:val="00863FEE"/>
    <w:rsid w:val="00874E79"/>
    <w:rsid w:val="008750E9"/>
    <w:rsid w:val="00880E51"/>
    <w:rsid w:val="00892477"/>
    <w:rsid w:val="00895166"/>
    <w:rsid w:val="00896F96"/>
    <w:rsid w:val="008A20BE"/>
    <w:rsid w:val="008B0869"/>
    <w:rsid w:val="008B1AB1"/>
    <w:rsid w:val="008B78AA"/>
    <w:rsid w:val="008C4F2F"/>
    <w:rsid w:val="008D19B0"/>
    <w:rsid w:val="008D64E0"/>
    <w:rsid w:val="008E0D85"/>
    <w:rsid w:val="008E6675"/>
    <w:rsid w:val="00902618"/>
    <w:rsid w:val="0091557C"/>
    <w:rsid w:val="00933052"/>
    <w:rsid w:val="00953787"/>
    <w:rsid w:val="009621A8"/>
    <w:rsid w:val="00964E9D"/>
    <w:rsid w:val="00965BF1"/>
    <w:rsid w:val="00980E26"/>
    <w:rsid w:val="009851FA"/>
    <w:rsid w:val="00985C24"/>
    <w:rsid w:val="0099197E"/>
    <w:rsid w:val="009928D4"/>
    <w:rsid w:val="00994F9A"/>
    <w:rsid w:val="009A3C62"/>
    <w:rsid w:val="009B4686"/>
    <w:rsid w:val="009B644B"/>
    <w:rsid w:val="009C10B7"/>
    <w:rsid w:val="009C1460"/>
    <w:rsid w:val="009D0801"/>
    <w:rsid w:val="009D4A21"/>
    <w:rsid w:val="009D7260"/>
    <w:rsid w:val="009E11F2"/>
    <w:rsid w:val="009E502F"/>
    <w:rsid w:val="009E6AE8"/>
    <w:rsid w:val="009E6AF0"/>
    <w:rsid w:val="009F0296"/>
    <w:rsid w:val="009F7614"/>
    <w:rsid w:val="00A1082E"/>
    <w:rsid w:val="00A1752C"/>
    <w:rsid w:val="00A23E85"/>
    <w:rsid w:val="00A27744"/>
    <w:rsid w:val="00A566B4"/>
    <w:rsid w:val="00A66B25"/>
    <w:rsid w:val="00A7192A"/>
    <w:rsid w:val="00A75570"/>
    <w:rsid w:val="00A80E5B"/>
    <w:rsid w:val="00A82086"/>
    <w:rsid w:val="00A9497B"/>
    <w:rsid w:val="00A96E4C"/>
    <w:rsid w:val="00AA11A0"/>
    <w:rsid w:val="00AA180E"/>
    <w:rsid w:val="00AA18C0"/>
    <w:rsid w:val="00AA1A5C"/>
    <w:rsid w:val="00AA7665"/>
    <w:rsid w:val="00AB16BF"/>
    <w:rsid w:val="00AB2F53"/>
    <w:rsid w:val="00AB496D"/>
    <w:rsid w:val="00AB4C50"/>
    <w:rsid w:val="00AB6E6D"/>
    <w:rsid w:val="00AB7F73"/>
    <w:rsid w:val="00AD315C"/>
    <w:rsid w:val="00AD33FF"/>
    <w:rsid w:val="00AD3FB2"/>
    <w:rsid w:val="00AD6740"/>
    <w:rsid w:val="00AE1CCA"/>
    <w:rsid w:val="00AE2C1F"/>
    <w:rsid w:val="00AE4408"/>
    <w:rsid w:val="00AE5656"/>
    <w:rsid w:val="00AE714B"/>
    <w:rsid w:val="00AF1DC6"/>
    <w:rsid w:val="00AF5243"/>
    <w:rsid w:val="00B06BAE"/>
    <w:rsid w:val="00B07909"/>
    <w:rsid w:val="00B131AA"/>
    <w:rsid w:val="00B17A4A"/>
    <w:rsid w:val="00B23D7E"/>
    <w:rsid w:val="00B2657B"/>
    <w:rsid w:val="00B34F15"/>
    <w:rsid w:val="00B377C9"/>
    <w:rsid w:val="00B414F2"/>
    <w:rsid w:val="00B436D2"/>
    <w:rsid w:val="00B4721B"/>
    <w:rsid w:val="00B53DB0"/>
    <w:rsid w:val="00B62B85"/>
    <w:rsid w:val="00B71DB5"/>
    <w:rsid w:val="00B72C88"/>
    <w:rsid w:val="00B7534B"/>
    <w:rsid w:val="00B82FDB"/>
    <w:rsid w:val="00B869E5"/>
    <w:rsid w:val="00B91415"/>
    <w:rsid w:val="00B9342E"/>
    <w:rsid w:val="00B936B4"/>
    <w:rsid w:val="00B93B8E"/>
    <w:rsid w:val="00B9667D"/>
    <w:rsid w:val="00BA3123"/>
    <w:rsid w:val="00BB0268"/>
    <w:rsid w:val="00BC00C0"/>
    <w:rsid w:val="00BC161C"/>
    <w:rsid w:val="00BD4C90"/>
    <w:rsid w:val="00BD5912"/>
    <w:rsid w:val="00BD6B7C"/>
    <w:rsid w:val="00BE3823"/>
    <w:rsid w:val="00BF4024"/>
    <w:rsid w:val="00BF4F21"/>
    <w:rsid w:val="00C0192B"/>
    <w:rsid w:val="00C02D07"/>
    <w:rsid w:val="00C041B7"/>
    <w:rsid w:val="00C063EF"/>
    <w:rsid w:val="00C2217E"/>
    <w:rsid w:val="00C25833"/>
    <w:rsid w:val="00C317B1"/>
    <w:rsid w:val="00C3457B"/>
    <w:rsid w:val="00C43C5F"/>
    <w:rsid w:val="00C44541"/>
    <w:rsid w:val="00C44A56"/>
    <w:rsid w:val="00C55A83"/>
    <w:rsid w:val="00C5769A"/>
    <w:rsid w:val="00C60ACB"/>
    <w:rsid w:val="00C63DA1"/>
    <w:rsid w:val="00C91387"/>
    <w:rsid w:val="00C9365C"/>
    <w:rsid w:val="00C93D6D"/>
    <w:rsid w:val="00CB7C76"/>
    <w:rsid w:val="00CC00C3"/>
    <w:rsid w:val="00CC4A2C"/>
    <w:rsid w:val="00CD0D10"/>
    <w:rsid w:val="00CD1335"/>
    <w:rsid w:val="00CD6F42"/>
    <w:rsid w:val="00CE0FF0"/>
    <w:rsid w:val="00CE36D3"/>
    <w:rsid w:val="00CF06C0"/>
    <w:rsid w:val="00CF1F16"/>
    <w:rsid w:val="00CF3D7B"/>
    <w:rsid w:val="00CF4D5F"/>
    <w:rsid w:val="00CF5132"/>
    <w:rsid w:val="00CF6A4F"/>
    <w:rsid w:val="00D145EE"/>
    <w:rsid w:val="00D207F2"/>
    <w:rsid w:val="00D225AB"/>
    <w:rsid w:val="00D23747"/>
    <w:rsid w:val="00D24943"/>
    <w:rsid w:val="00D27B73"/>
    <w:rsid w:val="00D30B9F"/>
    <w:rsid w:val="00D36404"/>
    <w:rsid w:val="00D45F9B"/>
    <w:rsid w:val="00D50633"/>
    <w:rsid w:val="00D52FC5"/>
    <w:rsid w:val="00D73A8D"/>
    <w:rsid w:val="00D767D1"/>
    <w:rsid w:val="00D85730"/>
    <w:rsid w:val="00D86000"/>
    <w:rsid w:val="00D8720A"/>
    <w:rsid w:val="00DB0DE0"/>
    <w:rsid w:val="00DB3939"/>
    <w:rsid w:val="00DB3CF1"/>
    <w:rsid w:val="00DB46E4"/>
    <w:rsid w:val="00DC6784"/>
    <w:rsid w:val="00DD41EB"/>
    <w:rsid w:val="00DD4744"/>
    <w:rsid w:val="00DD71A6"/>
    <w:rsid w:val="00DE2443"/>
    <w:rsid w:val="00DE50AB"/>
    <w:rsid w:val="00DF0655"/>
    <w:rsid w:val="00DF2FCD"/>
    <w:rsid w:val="00DF51F6"/>
    <w:rsid w:val="00E06A64"/>
    <w:rsid w:val="00E12C1B"/>
    <w:rsid w:val="00E23EE1"/>
    <w:rsid w:val="00E26DE7"/>
    <w:rsid w:val="00E3608C"/>
    <w:rsid w:val="00E42E60"/>
    <w:rsid w:val="00E503C1"/>
    <w:rsid w:val="00E512D8"/>
    <w:rsid w:val="00E61A57"/>
    <w:rsid w:val="00E62F46"/>
    <w:rsid w:val="00E63E00"/>
    <w:rsid w:val="00E71ABF"/>
    <w:rsid w:val="00E722D4"/>
    <w:rsid w:val="00E732A5"/>
    <w:rsid w:val="00E864D8"/>
    <w:rsid w:val="00E923BA"/>
    <w:rsid w:val="00E93B0D"/>
    <w:rsid w:val="00E95AA3"/>
    <w:rsid w:val="00E97168"/>
    <w:rsid w:val="00E97411"/>
    <w:rsid w:val="00EA42B2"/>
    <w:rsid w:val="00EA4CC7"/>
    <w:rsid w:val="00EA50A2"/>
    <w:rsid w:val="00EA66B9"/>
    <w:rsid w:val="00EB35F8"/>
    <w:rsid w:val="00EC7E27"/>
    <w:rsid w:val="00ED095F"/>
    <w:rsid w:val="00ED243C"/>
    <w:rsid w:val="00ED5AB3"/>
    <w:rsid w:val="00EE1D4E"/>
    <w:rsid w:val="00EE283C"/>
    <w:rsid w:val="00EF04C8"/>
    <w:rsid w:val="00EF4D94"/>
    <w:rsid w:val="00F04F1C"/>
    <w:rsid w:val="00F07162"/>
    <w:rsid w:val="00F1115A"/>
    <w:rsid w:val="00F13BFF"/>
    <w:rsid w:val="00F16F31"/>
    <w:rsid w:val="00F17D73"/>
    <w:rsid w:val="00F2017C"/>
    <w:rsid w:val="00F23EAE"/>
    <w:rsid w:val="00F2723A"/>
    <w:rsid w:val="00F40733"/>
    <w:rsid w:val="00F47EF5"/>
    <w:rsid w:val="00F57B61"/>
    <w:rsid w:val="00F6072D"/>
    <w:rsid w:val="00F61F74"/>
    <w:rsid w:val="00F66F81"/>
    <w:rsid w:val="00F7504B"/>
    <w:rsid w:val="00F83737"/>
    <w:rsid w:val="00F85263"/>
    <w:rsid w:val="00F906C9"/>
    <w:rsid w:val="00F91B44"/>
    <w:rsid w:val="00F92935"/>
    <w:rsid w:val="00FA0454"/>
    <w:rsid w:val="00FB2654"/>
    <w:rsid w:val="00FB39DD"/>
    <w:rsid w:val="00FB766F"/>
    <w:rsid w:val="00FC3E8A"/>
    <w:rsid w:val="00FD2D80"/>
    <w:rsid w:val="00FD3052"/>
    <w:rsid w:val="00FD4AA9"/>
    <w:rsid w:val="00FD63CB"/>
    <w:rsid w:val="00FE6E28"/>
    <w:rsid w:val="00FF35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4D591"/>
  <w15:docId w15:val="{9B9E17DF-F0DC-420A-885F-A4D6D9EC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57B61"/>
    <w:pPr>
      <w:widowControl w:val="0"/>
      <w:autoSpaceDE w:val="0"/>
      <w:autoSpaceDN w:val="0"/>
      <w:spacing w:after="0" w:line="240" w:lineRule="auto"/>
      <w:ind w:left="352"/>
      <w:outlineLvl w:val="1"/>
    </w:pPr>
    <w:rPr>
      <w:rFonts w:ascii="Arial" w:eastAsia="Arial" w:hAnsi="Arial" w:cs="Arial"/>
      <w:b/>
      <w:bCs/>
      <w:sz w:val="24"/>
      <w:szCs w:val="24"/>
      <w:lang w:eastAsia="en-GB" w:bidi="en-GB"/>
    </w:rPr>
  </w:style>
  <w:style w:type="paragraph" w:styleId="Heading3">
    <w:name w:val="heading 3"/>
    <w:basedOn w:val="Normal"/>
    <w:next w:val="Normal"/>
    <w:link w:val="Heading3Char"/>
    <w:uiPriority w:val="9"/>
    <w:semiHidden/>
    <w:unhideWhenUsed/>
    <w:qFormat/>
    <w:rsid w:val="004529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D4744"/>
    <w:pPr>
      <w:ind w:left="720"/>
      <w:contextualSpacing/>
    </w:pPr>
  </w:style>
  <w:style w:type="paragraph" w:customStyle="1" w:styleId="Default">
    <w:name w:val="Default"/>
    <w:rsid w:val="00DD474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441B5"/>
    <w:pPr>
      <w:spacing w:after="0" w:line="240" w:lineRule="auto"/>
    </w:pPr>
  </w:style>
  <w:style w:type="table" w:styleId="TableGrid">
    <w:name w:val="Table Grid"/>
    <w:basedOn w:val="TableNormal"/>
    <w:uiPriority w:val="39"/>
    <w:rsid w:val="004441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063B"/>
    <w:rPr>
      <w:sz w:val="16"/>
      <w:szCs w:val="16"/>
    </w:rPr>
  </w:style>
  <w:style w:type="paragraph" w:styleId="CommentText">
    <w:name w:val="annotation text"/>
    <w:basedOn w:val="Normal"/>
    <w:link w:val="CommentTextChar"/>
    <w:uiPriority w:val="99"/>
    <w:unhideWhenUsed/>
    <w:rsid w:val="0013063B"/>
    <w:pPr>
      <w:spacing w:line="240" w:lineRule="auto"/>
    </w:pPr>
    <w:rPr>
      <w:sz w:val="20"/>
      <w:szCs w:val="20"/>
    </w:rPr>
  </w:style>
  <w:style w:type="character" w:customStyle="1" w:styleId="CommentTextChar">
    <w:name w:val="Comment Text Char"/>
    <w:basedOn w:val="DefaultParagraphFont"/>
    <w:link w:val="CommentText"/>
    <w:uiPriority w:val="99"/>
    <w:rsid w:val="0013063B"/>
    <w:rPr>
      <w:sz w:val="20"/>
      <w:szCs w:val="20"/>
    </w:rPr>
  </w:style>
  <w:style w:type="paragraph" w:styleId="CommentSubject">
    <w:name w:val="annotation subject"/>
    <w:basedOn w:val="CommentText"/>
    <w:next w:val="CommentText"/>
    <w:link w:val="CommentSubjectChar"/>
    <w:uiPriority w:val="99"/>
    <w:semiHidden/>
    <w:unhideWhenUsed/>
    <w:rsid w:val="0013063B"/>
    <w:rPr>
      <w:b/>
      <w:bCs/>
    </w:rPr>
  </w:style>
  <w:style w:type="character" w:customStyle="1" w:styleId="CommentSubjectChar">
    <w:name w:val="Comment Subject Char"/>
    <w:basedOn w:val="CommentTextChar"/>
    <w:link w:val="CommentSubject"/>
    <w:uiPriority w:val="99"/>
    <w:semiHidden/>
    <w:rsid w:val="0013063B"/>
    <w:rPr>
      <w:b/>
      <w:bCs/>
      <w:sz w:val="20"/>
      <w:szCs w:val="20"/>
    </w:rPr>
  </w:style>
  <w:style w:type="paragraph" w:styleId="BalloonText">
    <w:name w:val="Balloon Text"/>
    <w:basedOn w:val="Normal"/>
    <w:link w:val="BalloonTextChar"/>
    <w:uiPriority w:val="99"/>
    <w:semiHidden/>
    <w:unhideWhenUsed/>
    <w:rsid w:val="00130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3B"/>
    <w:rPr>
      <w:rFonts w:ascii="Segoe UI" w:hAnsi="Segoe UI" w:cs="Segoe UI"/>
      <w:sz w:val="18"/>
      <w:szCs w:val="18"/>
    </w:rPr>
  </w:style>
  <w:style w:type="character" w:styleId="Hyperlink">
    <w:name w:val="Hyperlink"/>
    <w:basedOn w:val="DefaultParagraphFont"/>
    <w:uiPriority w:val="99"/>
    <w:unhideWhenUsed/>
    <w:rsid w:val="00CF4D5F"/>
    <w:rPr>
      <w:color w:val="0563C1" w:themeColor="hyperlink"/>
      <w:u w:val="single"/>
    </w:rPr>
  </w:style>
  <w:style w:type="paragraph" w:styleId="Revision">
    <w:name w:val="Revision"/>
    <w:hidden/>
    <w:uiPriority w:val="99"/>
    <w:semiHidden/>
    <w:rsid w:val="00D24943"/>
    <w:pPr>
      <w:spacing w:after="0" w:line="240" w:lineRule="auto"/>
    </w:pPr>
  </w:style>
  <w:style w:type="character" w:styleId="FollowedHyperlink">
    <w:name w:val="FollowedHyperlink"/>
    <w:basedOn w:val="DefaultParagraphFont"/>
    <w:uiPriority w:val="99"/>
    <w:semiHidden/>
    <w:unhideWhenUsed/>
    <w:rsid w:val="00D50633"/>
    <w:rPr>
      <w:color w:val="954F72"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3B79DA"/>
  </w:style>
  <w:style w:type="paragraph" w:customStyle="1" w:styleId="PGHeading">
    <w:name w:val="PG Heading"/>
    <w:basedOn w:val="Normal"/>
    <w:qFormat/>
    <w:rsid w:val="003B79DA"/>
    <w:pPr>
      <w:widowControl w:val="0"/>
      <w:spacing w:after="120" w:line="276" w:lineRule="auto"/>
      <w:ind w:left="432" w:hanging="432"/>
      <w:jc w:val="both"/>
    </w:pPr>
    <w:rPr>
      <w:rFonts w:ascii="Tahoma" w:hAnsi="Tahoma"/>
      <w:b/>
      <w:color w:val="000000"/>
    </w:rPr>
  </w:style>
  <w:style w:type="character" w:customStyle="1" w:styleId="Heading2Char">
    <w:name w:val="Heading 2 Char"/>
    <w:basedOn w:val="DefaultParagraphFont"/>
    <w:link w:val="Heading2"/>
    <w:rsid w:val="00F57B61"/>
    <w:rPr>
      <w:rFonts w:ascii="Arial" w:eastAsia="Arial" w:hAnsi="Arial" w:cs="Arial"/>
      <w:b/>
      <w:bCs/>
      <w:sz w:val="24"/>
      <w:szCs w:val="24"/>
      <w:lang w:eastAsia="en-GB" w:bidi="en-GB"/>
    </w:rPr>
  </w:style>
  <w:style w:type="paragraph" w:styleId="BodyText">
    <w:name w:val="Body Text"/>
    <w:basedOn w:val="Normal"/>
    <w:link w:val="BodyTextChar"/>
    <w:uiPriority w:val="1"/>
    <w:qFormat/>
    <w:rsid w:val="00F57B61"/>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F57B61"/>
    <w:rPr>
      <w:rFonts w:ascii="Arial" w:eastAsia="Arial" w:hAnsi="Arial" w:cs="Arial"/>
      <w:sz w:val="24"/>
      <w:szCs w:val="24"/>
      <w:lang w:eastAsia="en-GB" w:bidi="en-GB"/>
    </w:rPr>
  </w:style>
  <w:style w:type="paragraph" w:styleId="FootnoteText">
    <w:name w:val="footnote text"/>
    <w:basedOn w:val="Normal"/>
    <w:link w:val="FootnoteTextChar"/>
    <w:uiPriority w:val="99"/>
    <w:semiHidden/>
    <w:unhideWhenUsed/>
    <w:rsid w:val="00BE3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823"/>
    <w:rPr>
      <w:sz w:val="20"/>
      <w:szCs w:val="20"/>
    </w:rPr>
  </w:style>
  <w:style w:type="character" w:styleId="FootnoteReference">
    <w:name w:val="footnote reference"/>
    <w:basedOn w:val="DefaultParagraphFont"/>
    <w:uiPriority w:val="99"/>
    <w:semiHidden/>
    <w:unhideWhenUsed/>
    <w:rsid w:val="00BE3823"/>
    <w:rPr>
      <w:vertAlign w:val="superscript"/>
    </w:rPr>
  </w:style>
  <w:style w:type="paragraph" w:styleId="Header">
    <w:name w:val="header"/>
    <w:basedOn w:val="Normal"/>
    <w:link w:val="HeaderChar"/>
    <w:uiPriority w:val="99"/>
    <w:unhideWhenUsed/>
    <w:rsid w:val="00701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143"/>
  </w:style>
  <w:style w:type="paragraph" w:styleId="Footer">
    <w:name w:val="footer"/>
    <w:basedOn w:val="Normal"/>
    <w:link w:val="FooterChar"/>
    <w:uiPriority w:val="99"/>
    <w:unhideWhenUsed/>
    <w:rsid w:val="00701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143"/>
  </w:style>
  <w:style w:type="character" w:styleId="UnresolvedMention">
    <w:name w:val="Unresolved Mention"/>
    <w:basedOn w:val="DefaultParagraphFont"/>
    <w:uiPriority w:val="99"/>
    <w:semiHidden/>
    <w:unhideWhenUsed/>
    <w:rsid w:val="00DF2FCD"/>
    <w:rPr>
      <w:color w:val="605E5C"/>
      <w:shd w:val="clear" w:color="auto" w:fill="E1DFDD"/>
    </w:rPr>
  </w:style>
  <w:style w:type="table" w:customStyle="1" w:styleId="TableGrid1">
    <w:name w:val="Table Grid1"/>
    <w:basedOn w:val="TableNormal"/>
    <w:next w:val="TableGrid"/>
    <w:uiPriority w:val="39"/>
    <w:rsid w:val="004E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
    <w:name w:val="Schedule Title"/>
    <w:basedOn w:val="Normal"/>
    <w:rsid w:val="000B58D9"/>
    <w:pPr>
      <w:keepNext/>
      <w:spacing w:after="480" w:line="240" w:lineRule="auto"/>
      <w:jc w:val="center"/>
    </w:pPr>
    <w:rPr>
      <w:rFonts w:ascii="Arial" w:eastAsia="Times New Roman" w:hAnsi="Arial" w:cs="Times New Roman"/>
      <w:b/>
      <w:sz w:val="24"/>
      <w:szCs w:val="20"/>
      <w:lang w:eastAsia="en-GB"/>
    </w:rPr>
  </w:style>
  <w:style w:type="paragraph" w:styleId="BodyTextIndent">
    <w:name w:val="Body Text Indent"/>
    <w:basedOn w:val="Normal"/>
    <w:link w:val="BodyTextIndentChar"/>
    <w:uiPriority w:val="99"/>
    <w:unhideWhenUsed/>
    <w:rsid w:val="00100465"/>
    <w:pPr>
      <w:spacing w:after="120"/>
      <w:ind w:left="283"/>
    </w:pPr>
  </w:style>
  <w:style w:type="character" w:customStyle="1" w:styleId="BodyTextIndentChar">
    <w:name w:val="Body Text Indent Char"/>
    <w:basedOn w:val="DefaultParagraphFont"/>
    <w:link w:val="BodyTextIndent"/>
    <w:uiPriority w:val="99"/>
    <w:rsid w:val="00100465"/>
  </w:style>
  <w:style w:type="paragraph" w:styleId="NormalWeb">
    <w:name w:val="Normal (Web)"/>
    <w:basedOn w:val="Normal"/>
    <w:uiPriority w:val="99"/>
    <w:semiHidden/>
    <w:unhideWhenUsed/>
    <w:rsid w:val="00B753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6">
    <w:name w:val="A6"/>
    <w:uiPriority w:val="99"/>
    <w:rsid w:val="00433E6B"/>
    <w:rPr>
      <w:rFonts w:cs="Proxima Nova"/>
      <w:color w:val="000000"/>
      <w:sz w:val="26"/>
      <w:szCs w:val="26"/>
    </w:rPr>
  </w:style>
  <w:style w:type="character" w:customStyle="1" w:styleId="Heading3Char">
    <w:name w:val="Heading 3 Char"/>
    <w:basedOn w:val="DefaultParagraphFont"/>
    <w:link w:val="Heading3"/>
    <w:uiPriority w:val="9"/>
    <w:semiHidden/>
    <w:rsid w:val="0045298A"/>
    <w:rPr>
      <w:rFonts w:asciiTheme="majorHAnsi" w:eastAsiaTheme="majorEastAsia" w:hAnsiTheme="majorHAnsi" w:cstheme="majorBidi"/>
      <w:color w:val="1F4D78" w:themeColor="accent1" w:themeShade="7F"/>
      <w:sz w:val="24"/>
      <w:szCs w:val="24"/>
    </w:rPr>
  </w:style>
  <w:style w:type="paragraph" w:customStyle="1" w:styleId="Level1">
    <w:name w:val="Level 1"/>
    <w:basedOn w:val="Normal"/>
    <w:rsid w:val="003001CC"/>
    <w:pPr>
      <w:numPr>
        <w:numId w:val="27"/>
      </w:numPr>
      <w:spacing w:after="240" w:line="240" w:lineRule="auto"/>
      <w:jc w:val="both"/>
      <w:outlineLvl w:val="0"/>
    </w:pPr>
    <w:rPr>
      <w:rFonts w:ascii="Arial" w:eastAsia="Times New Roman" w:hAnsi="Arial" w:cs="Arial"/>
      <w:color w:val="000000"/>
      <w:sz w:val="20"/>
      <w:szCs w:val="20"/>
      <w:lang w:eastAsia="en-GB"/>
    </w:rPr>
  </w:style>
  <w:style w:type="paragraph" w:customStyle="1" w:styleId="Level2">
    <w:name w:val="Level 2"/>
    <w:basedOn w:val="Normal"/>
    <w:rsid w:val="003001CC"/>
    <w:pPr>
      <w:numPr>
        <w:ilvl w:val="1"/>
        <w:numId w:val="27"/>
      </w:numPr>
      <w:tabs>
        <w:tab w:val="clear" w:pos="1134"/>
        <w:tab w:val="num" w:pos="992"/>
      </w:tabs>
      <w:spacing w:after="240" w:line="240" w:lineRule="auto"/>
      <w:ind w:left="992"/>
      <w:jc w:val="both"/>
      <w:outlineLvl w:val="1"/>
    </w:pPr>
    <w:rPr>
      <w:rFonts w:ascii="Arial" w:eastAsia="Times New Roman" w:hAnsi="Arial" w:cs="Arial"/>
      <w:color w:val="000000"/>
      <w:sz w:val="20"/>
      <w:szCs w:val="20"/>
      <w:lang w:eastAsia="en-GB"/>
    </w:rPr>
  </w:style>
  <w:style w:type="paragraph" w:customStyle="1" w:styleId="Level3">
    <w:name w:val="Level 3"/>
    <w:basedOn w:val="Normal"/>
    <w:rsid w:val="003001CC"/>
    <w:pPr>
      <w:numPr>
        <w:ilvl w:val="2"/>
        <w:numId w:val="27"/>
      </w:numPr>
      <w:tabs>
        <w:tab w:val="clear" w:pos="1419"/>
        <w:tab w:val="num" w:pos="1702"/>
      </w:tabs>
      <w:spacing w:after="240" w:line="240" w:lineRule="auto"/>
      <w:ind w:left="1702"/>
      <w:jc w:val="both"/>
      <w:outlineLvl w:val="2"/>
    </w:pPr>
    <w:rPr>
      <w:rFonts w:ascii="Arial" w:eastAsia="Times New Roman" w:hAnsi="Arial" w:cs="Arial"/>
      <w:color w:val="000000"/>
      <w:sz w:val="20"/>
      <w:szCs w:val="20"/>
      <w:lang w:eastAsia="en-GB"/>
    </w:rPr>
  </w:style>
  <w:style w:type="paragraph" w:customStyle="1" w:styleId="Level4">
    <w:name w:val="Level 4"/>
    <w:basedOn w:val="Normal"/>
    <w:rsid w:val="003001CC"/>
    <w:pPr>
      <w:numPr>
        <w:ilvl w:val="3"/>
        <w:numId w:val="27"/>
      </w:numPr>
      <w:spacing w:after="240" w:line="240" w:lineRule="auto"/>
      <w:jc w:val="both"/>
      <w:outlineLvl w:val="3"/>
    </w:pPr>
    <w:rPr>
      <w:rFonts w:ascii="Arial" w:eastAsia="Times New Roman" w:hAnsi="Arial" w:cs="Arial"/>
      <w:color w:val="000000"/>
      <w:sz w:val="20"/>
      <w:szCs w:val="20"/>
      <w:lang w:eastAsia="en-GB"/>
    </w:rPr>
  </w:style>
  <w:style w:type="paragraph" w:customStyle="1" w:styleId="Level5">
    <w:name w:val="Level 5"/>
    <w:basedOn w:val="Normal"/>
    <w:rsid w:val="003001CC"/>
    <w:pPr>
      <w:numPr>
        <w:ilvl w:val="4"/>
        <w:numId w:val="27"/>
      </w:numPr>
      <w:spacing w:after="240" w:line="240" w:lineRule="auto"/>
      <w:jc w:val="both"/>
      <w:outlineLvl w:val="4"/>
    </w:pPr>
    <w:rPr>
      <w:rFonts w:ascii="Arial" w:eastAsia="Times New Roman" w:hAnsi="Arial" w:cs="Arial"/>
      <w:color w:val="000000"/>
      <w:sz w:val="20"/>
      <w:szCs w:val="20"/>
      <w:lang w:eastAsia="en-GB"/>
    </w:rPr>
  </w:style>
  <w:style w:type="paragraph" w:customStyle="1" w:styleId="Level6">
    <w:name w:val="Level 6"/>
    <w:basedOn w:val="Normal"/>
    <w:rsid w:val="003001CC"/>
    <w:pPr>
      <w:numPr>
        <w:ilvl w:val="5"/>
        <w:numId w:val="27"/>
      </w:numPr>
      <w:spacing w:after="240" w:line="240" w:lineRule="auto"/>
      <w:jc w:val="both"/>
      <w:outlineLvl w:val="5"/>
    </w:pPr>
    <w:rPr>
      <w:rFonts w:ascii="Arial" w:eastAsia="Times New Roman" w:hAnsi="Arial" w:cs="Arial"/>
      <w:color w:val="000000"/>
      <w:sz w:val="20"/>
      <w:szCs w:val="20"/>
      <w:lang w:eastAsia="en-GB"/>
    </w:rPr>
  </w:style>
  <w:style w:type="paragraph" w:customStyle="1" w:styleId="paragraph">
    <w:name w:val="paragraph"/>
    <w:basedOn w:val="Normal"/>
    <w:rsid w:val="002003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00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2480">
      <w:bodyDiv w:val="1"/>
      <w:marLeft w:val="0"/>
      <w:marRight w:val="0"/>
      <w:marTop w:val="0"/>
      <w:marBottom w:val="0"/>
      <w:divBdr>
        <w:top w:val="none" w:sz="0" w:space="0" w:color="auto"/>
        <w:left w:val="none" w:sz="0" w:space="0" w:color="auto"/>
        <w:bottom w:val="none" w:sz="0" w:space="0" w:color="auto"/>
        <w:right w:val="none" w:sz="0" w:space="0" w:color="auto"/>
      </w:divBdr>
    </w:div>
    <w:div w:id="305473432">
      <w:bodyDiv w:val="1"/>
      <w:marLeft w:val="0"/>
      <w:marRight w:val="0"/>
      <w:marTop w:val="0"/>
      <w:marBottom w:val="0"/>
      <w:divBdr>
        <w:top w:val="none" w:sz="0" w:space="0" w:color="auto"/>
        <w:left w:val="none" w:sz="0" w:space="0" w:color="auto"/>
        <w:bottom w:val="none" w:sz="0" w:space="0" w:color="auto"/>
        <w:right w:val="none" w:sz="0" w:space="0" w:color="auto"/>
      </w:divBdr>
    </w:div>
    <w:div w:id="568151403">
      <w:bodyDiv w:val="1"/>
      <w:marLeft w:val="0"/>
      <w:marRight w:val="0"/>
      <w:marTop w:val="0"/>
      <w:marBottom w:val="0"/>
      <w:divBdr>
        <w:top w:val="none" w:sz="0" w:space="0" w:color="auto"/>
        <w:left w:val="none" w:sz="0" w:space="0" w:color="auto"/>
        <w:bottom w:val="none" w:sz="0" w:space="0" w:color="auto"/>
        <w:right w:val="none" w:sz="0" w:space="0" w:color="auto"/>
      </w:divBdr>
    </w:div>
    <w:div w:id="608705607">
      <w:bodyDiv w:val="1"/>
      <w:marLeft w:val="0"/>
      <w:marRight w:val="0"/>
      <w:marTop w:val="0"/>
      <w:marBottom w:val="0"/>
      <w:divBdr>
        <w:top w:val="none" w:sz="0" w:space="0" w:color="auto"/>
        <w:left w:val="none" w:sz="0" w:space="0" w:color="auto"/>
        <w:bottom w:val="none" w:sz="0" w:space="0" w:color="auto"/>
        <w:right w:val="none" w:sz="0" w:space="0" w:color="auto"/>
      </w:divBdr>
    </w:div>
    <w:div w:id="839080851">
      <w:bodyDiv w:val="1"/>
      <w:marLeft w:val="0"/>
      <w:marRight w:val="0"/>
      <w:marTop w:val="0"/>
      <w:marBottom w:val="0"/>
      <w:divBdr>
        <w:top w:val="none" w:sz="0" w:space="0" w:color="auto"/>
        <w:left w:val="none" w:sz="0" w:space="0" w:color="auto"/>
        <w:bottom w:val="none" w:sz="0" w:space="0" w:color="auto"/>
        <w:right w:val="none" w:sz="0" w:space="0" w:color="auto"/>
      </w:divBdr>
    </w:div>
    <w:div w:id="981733801">
      <w:bodyDiv w:val="1"/>
      <w:marLeft w:val="0"/>
      <w:marRight w:val="0"/>
      <w:marTop w:val="0"/>
      <w:marBottom w:val="0"/>
      <w:divBdr>
        <w:top w:val="none" w:sz="0" w:space="0" w:color="auto"/>
        <w:left w:val="none" w:sz="0" w:space="0" w:color="auto"/>
        <w:bottom w:val="none" w:sz="0" w:space="0" w:color="auto"/>
        <w:right w:val="none" w:sz="0" w:space="0" w:color="auto"/>
      </w:divBdr>
    </w:div>
    <w:div w:id="1035933951">
      <w:bodyDiv w:val="1"/>
      <w:marLeft w:val="0"/>
      <w:marRight w:val="0"/>
      <w:marTop w:val="0"/>
      <w:marBottom w:val="0"/>
      <w:divBdr>
        <w:top w:val="none" w:sz="0" w:space="0" w:color="auto"/>
        <w:left w:val="none" w:sz="0" w:space="0" w:color="auto"/>
        <w:bottom w:val="none" w:sz="0" w:space="0" w:color="auto"/>
        <w:right w:val="none" w:sz="0" w:space="0" w:color="auto"/>
      </w:divBdr>
    </w:div>
    <w:div w:id="1081290868">
      <w:bodyDiv w:val="1"/>
      <w:marLeft w:val="0"/>
      <w:marRight w:val="0"/>
      <w:marTop w:val="0"/>
      <w:marBottom w:val="0"/>
      <w:divBdr>
        <w:top w:val="none" w:sz="0" w:space="0" w:color="auto"/>
        <w:left w:val="none" w:sz="0" w:space="0" w:color="auto"/>
        <w:bottom w:val="none" w:sz="0" w:space="0" w:color="auto"/>
        <w:right w:val="none" w:sz="0" w:space="0" w:color="auto"/>
      </w:divBdr>
    </w:div>
    <w:div w:id="1527251548">
      <w:bodyDiv w:val="1"/>
      <w:marLeft w:val="0"/>
      <w:marRight w:val="0"/>
      <w:marTop w:val="0"/>
      <w:marBottom w:val="0"/>
      <w:divBdr>
        <w:top w:val="none" w:sz="0" w:space="0" w:color="auto"/>
        <w:left w:val="none" w:sz="0" w:space="0" w:color="auto"/>
        <w:bottom w:val="none" w:sz="0" w:space="0" w:color="auto"/>
        <w:right w:val="none" w:sz="0" w:space="0" w:color="auto"/>
      </w:divBdr>
    </w:div>
    <w:div w:id="17817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oftyne-ca.gov.uk/economic-vision" TargetMode="External"/><Relationship Id="rId18" Type="http://schemas.openxmlformats.org/officeDocument/2006/relationships/hyperlink" Target="http://socialvaluecommissioning.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education-inspection-framewor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ocial-value-act-information-and-resources/social-value-act-information-and-resour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pga/2012/3/pdfs/ukpga_20120003_en.pdf" TargetMode="External"/><Relationship Id="rId20" Type="http://schemas.openxmlformats.org/officeDocument/2006/relationships/hyperlink" Target="http://my.northtyneside.gov.uk/category/1033/safeguarding-adul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690780/Commissioner_Guidance_V3.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oftyne-ca.gov.uk/adult-education-budget-devolution"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ivingwage.org.uk/what-real-living-wage" TargetMode="External"/><Relationship Id="rId1" Type="http://schemas.openxmlformats.org/officeDocument/2006/relationships/hyperlink" Target="https://www.livingwage.org.uk/what-real-living-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373960BCBBF4782EE803B1EE1DBCA" ma:contentTypeVersion="2" ma:contentTypeDescription="Create a new document." ma:contentTypeScope="" ma:versionID="c76d484b1f62f115645ad5894583c7f6">
  <xsd:schema xmlns:xsd="http://www.w3.org/2001/XMLSchema" xmlns:xs="http://www.w3.org/2001/XMLSchema" xmlns:p="http://schemas.microsoft.com/office/2006/metadata/properties" xmlns:ns2="7b9d35e5-8d86-4836-aed4-b4fc32c2462e" targetNamespace="http://schemas.microsoft.com/office/2006/metadata/properties" ma:root="true" ma:fieldsID="e12cecd5bfb646a3ebc0fae47148fcaa" ns2:_="">
    <xsd:import namespace="7b9d35e5-8d86-4836-aed4-b4fc32c246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d35e5-8d86-4836-aed4-b4fc32c24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CE39A-AA45-42F0-B225-442E6BAEB86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b9d35e5-8d86-4836-aed4-b4fc32c2462e"/>
    <ds:schemaRef ds:uri="http://www.w3.org/XML/1998/namespace"/>
  </ds:schemaRefs>
</ds:datastoreItem>
</file>

<file path=customXml/itemProps2.xml><?xml version="1.0" encoding="utf-8"?>
<ds:datastoreItem xmlns:ds="http://schemas.openxmlformats.org/officeDocument/2006/customXml" ds:itemID="{A558A508-1AF3-490C-BC72-006E38E619CA}">
  <ds:schemaRefs>
    <ds:schemaRef ds:uri="http://schemas.microsoft.com/sharepoint/v3/contenttype/forms"/>
  </ds:schemaRefs>
</ds:datastoreItem>
</file>

<file path=customXml/itemProps3.xml><?xml version="1.0" encoding="utf-8"?>
<ds:datastoreItem xmlns:ds="http://schemas.openxmlformats.org/officeDocument/2006/customXml" ds:itemID="{A82FF595-BD32-49C2-ADAD-93E0ABE8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d35e5-8d86-4836-aed4-b4fc32c24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DFEE6-DC0F-4146-A7FE-B23BBBD5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5894</Words>
  <Characters>33598</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Greater Manchester Fire &amp; Rescue Service</Company>
  <LinksUpToDate>false</LinksUpToDate>
  <CharactersWithSpaces>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Sharon</dc:creator>
  <cp:keywords/>
  <dc:description/>
  <cp:lastModifiedBy>Judith Robson</cp:lastModifiedBy>
  <cp:revision>2</cp:revision>
  <cp:lastPrinted>2019-10-15T12:12:00Z</cp:lastPrinted>
  <dcterms:created xsi:type="dcterms:W3CDTF">2019-11-07T15:53:00Z</dcterms:created>
  <dcterms:modified xsi:type="dcterms:W3CDTF">2019-11-07T15:53:00Z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0x01010077F373960BCBBF4782EE803B1EE1DBCA</vt:lpwstr>
  </property>
</Properties>
</file>