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FD3E5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19FE922" wp14:editId="0EBF82D0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E7221" w14:textId="77777777" w:rsidR="009C74B1" w:rsidRPr="00F84505" w:rsidRDefault="009C74B1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F8450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Assuring value, building confidence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FE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3D8E7221" w14:textId="77777777" w:rsidR="009C74B1" w:rsidRPr="00F84505" w:rsidRDefault="009C74B1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F8450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Assuring value, building confidence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54BAE56F" w14:textId="1102A09D" w:rsidR="000D7C5A" w:rsidRPr="007905D0" w:rsidRDefault="007A1711" w:rsidP="002C7620">
      <w:pPr>
        <w:pStyle w:val="Covertitle"/>
      </w:pPr>
      <w:r>
        <w:t>The baseline profit rate and capital servicing rates quality assurance</w:t>
      </w:r>
    </w:p>
    <w:p w14:paraId="2100AE70" w14:textId="16A3FEB3" w:rsidR="00FF04AE" w:rsidRDefault="00DC07B9" w:rsidP="002C7620">
      <w:pPr>
        <w:pStyle w:val="Cover-sub-title"/>
        <w:spacing w:after="240"/>
      </w:pPr>
      <w:r>
        <w:t>Response to Clarification Questions</w:t>
      </w:r>
    </w:p>
    <w:p w14:paraId="3230D3BB" w14:textId="704B86D2" w:rsidR="00AA6222" w:rsidRDefault="00AA6222" w:rsidP="002C7620">
      <w:pPr>
        <w:pStyle w:val="Cover-sub-title"/>
        <w:spacing w:after="240"/>
      </w:pPr>
    </w:p>
    <w:p w14:paraId="16378CFF" w14:textId="5D4D4E28" w:rsidR="00E6609E" w:rsidRPr="003D6237" w:rsidRDefault="00D219B7" w:rsidP="003D6237">
      <w:pPr>
        <w:pStyle w:val="Text"/>
        <w:rPr>
          <w:b/>
        </w:rPr>
      </w:pPr>
      <w:r>
        <w:br w:type="page"/>
      </w:r>
    </w:p>
    <w:p w14:paraId="468766E8" w14:textId="77777777" w:rsidR="00DC07B9" w:rsidRPr="007B45A9" w:rsidRDefault="00DC07B9" w:rsidP="007D4688">
      <w:pPr>
        <w:pStyle w:val="Text"/>
        <w:rPr>
          <w:b/>
        </w:rPr>
      </w:pPr>
      <w:bookmarkStart w:id="0" w:name="_Hlk490557942"/>
      <w:r w:rsidRPr="007B45A9">
        <w:rPr>
          <w:b/>
        </w:rPr>
        <w:lastRenderedPageBreak/>
        <w:t>Question 1:</w:t>
      </w:r>
    </w:p>
    <w:p w14:paraId="3D2A7E97" w14:textId="6355BD11" w:rsidR="00DC07B9" w:rsidRDefault="00DC07B9" w:rsidP="007D4688">
      <w:pPr>
        <w:pStyle w:val="Text"/>
      </w:pPr>
      <w:r w:rsidRPr="00DC07B9">
        <w:t>To what extent does the SSRO expect the review to include a consideration of the relative benefits and related processes of different metrics (for example EBITA v the currently used EBIT)?</w:t>
      </w:r>
    </w:p>
    <w:p w14:paraId="6B432F28" w14:textId="0173BE3B" w:rsidR="00DC07B9" w:rsidRPr="007B45A9" w:rsidRDefault="00DC07B9" w:rsidP="007D4688">
      <w:pPr>
        <w:pStyle w:val="Text"/>
        <w:rPr>
          <w:i/>
        </w:rPr>
      </w:pPr>
      <w:r w:rsidRPr="007B45A9">
        <w:rPr>
          <w:i/>
        </w:rPr>
        <w:t>Response:</w:t>
      </w:r>
    </w:p>
    <w:p w14:paraId="3BA8932E" w14:textId="46D0B66D" w:rsidR="00166988" w:rsidRPr="00166988" w:rsidRDefault="003E0D2C" w:rsidP="00166988">
      <w:pPr>
        <w:pStyle w:val="Text"/>
      </w:pPr>
      <w:r w:rsidRPr="003E0D2C">
        <w:t>The assurance services</w:t>
      </w:r>
      <w:r w:rsidR="00317AC4">
        <w:t xml:space="preserve"> are</w:t>
      </w:r>
      <w:r w:rsidRPr="003E0D2C">
        <w:t xml:space="preserve"> set out in</w:t>
      </w:r>
      <w:r w:rsidR="00317AC4">
        <w:t xml:space="preserve"> the Specification.</w:t>
      </w:r>
      <w:r w:rsidR="00166988">
        <w:t xml:space="preserve"> Paragraph 2.3 a) requires an assessment of </w:t>
      </w:r>
      <w:r w:rsidR="00166988" w:rsidRPr="00166988">
        <w:t>whether there is anything arising from developments in transfer pricing guidance since the SSRO’s methodology was assessed in November to December 2016 that needs to be considered.</w:t>
      </w:r>
    </w:p>
    <w:p w14:paraId="50558020" w14:textId="791FEE89" w:rsidR="00DC07B9" w:rsidRPr="007B45A9" w:rsidRDefault="00DC07B9" w:rsidP="007D4688">
      <w:pPr>
        <w:pStyle w:val="Text"/>
        <w:rPr>
          <w:b/>
        </w:rPr>
      </w:pPr>
      <w:r w:rsidRPr="007B45A9">
        <w:rPr>
          <w:b/>
        </w:rPr>
        <w:t>Question 2</w:t>
      </w:r>
    </w:p>
    <w:p w14:paraId="75EAC775" w14:textId="77777777" w:rsidR="00DC07B9" w:rsidRPr="00DC07B9" w:rsidRDefault="00DC07B9" w:rsidP="00DC07B9">
      <w:pPr>
        <w:pStyle w:val="Text"/>
      </w:pPr>
      <w:r w:rsidRPr="00DC07B9">
        <w:t>Is the SSRO’s current intention to follow the processes and supporting materials developed in prior years, or is a major review/refresh of these expected which will involve significant contributions from the chosen advisor?</w:t>
      </w:r>
    </w:p>
    <w:p w14:paraId="590EEC83" w14:textId="330A75DA" w:rsidR="00DC07B9" w:rsidRPr="007B45A9" w:rsidRDefault="00DC07B9" w:rsidP="007D4688">
      <w:pPr>
        <w:pStyle w:val="Text"/>
        <w:rPr>
          <w:i/>
        </w:rPr>
      </w:pPr>
      <w:r w:rsidRPr="007B45A9">
        <w:rPr>
          <w:i/>
        </w:rPr>
        <w:t>Response:</w:t>
      </w:r>
    </w:p>
    <w:p w14:paraId="068C6084" w14:textId="23D8161F" w:rsidR="003E0D2C" w:rsidRDefault="00622EB4" w:rsidP="003E0D2C">
      <w:pPr>
        <w:pStyle w:val="Text"/>
      </w:pPr>
      <w:r>
        <w:t xml:space="preserve">The SSRO intends to apply the </w:t>
      </w:r>
      <w:r w:rsidR="003A02C0">
        <w:t xml:space="preserve">published methodology. </w:t>
      </w:r>
      <w:r w:rsidR="003E0D2C">
        <w:t>Paragraph 2.5 of the S</w:t>
      </w:r>
      <w:r w:rsidR="003E0D2C" w:rsidRPr="003E0D2C">
        <w:t xml:space="preserve">pecification sets out </w:t>
      </w:r>
      <w:r w:rsidR="00D96A5B">
        <w:t xml:space="preserve">that additional </w:t>
      </w:r>
      <w:r w:rsidR="00F553F4">
        <w:t xml:space="preserve">assessment may be required </w:t>
      </w:r>
      <w:r w:rsidR="00B40381">
        <w:t>of methodological updates</w:t>
      </w:r>
      <w:r w:rsidR="003F6397">
        <w:t xml:space="preserve"> made</w:t>
      </w:r>
      <w:r w:rsidR="00552EBD">
        <w:t xml:space="preserve"> i</w:t>
      </w:r>
      <w:r w:rsidR="003E0D2C" w:rsidRPr="003E0D2C">
        <w:t xml:space="preserve">n response to the supplier’s </w:t>
      </w:r>
      <w:r w:rsidR="003E7602">
        <w:t xml:space="preserve">assurance work. </w:t>
      </w:r>
    </w:p>
    <w:p w14:paraId="27A3BD84" w14:textId="2ED9EE05" w:rsidR="00DC07B9" w:rsidRPr="007B45A9" w:rsidRDefault="00DC07B9" w:rsidP="00DC07B9">
      <w:pPr>
        <w:pStyle w:val="Text"/>
        <w:rPr>
          <w:b/>
        </w:rPr>
      </w:pPr>
      <w:r w:rsidRPr="007B45A9">
        <w:rPr>
          <w:b/>
        </w:rPr>
        <w:t>Question 3</w:t>
      </w:r>
    </w:p>
    <w:p w14:paraId="6867DE9E" w14:textId="77777777" w:rsidR="00DC07B9" w:rsidRPr="00DC07B9" w:rsidRDefault="00DC07B9" w:rsidP="00DC07B9">
      <w:pPr>
        <w:pStyle w:val="Text"/>
      </w:pPr>
      <w:r w:rsidRPr="00DC07B9">
        <w:t>Does the SSRO expect the opinion requested of the chosen advisors to be provided through the materials to be prepared for the Board and/or presented in separate documents?</w:t>
      </w:r>
    </w:p>
    <w:p w14:paraId="4C0E51B3" w14:textId="77777777" w:rsidR="00117C39" w:rsidRPr="007B45A9" w:rsidRDefault="00117C39" w:rsidP="00117C39">
      <w:pPr>
        <w:pStyle w:val="Text"/>
        <w:rPr>
          <w:i/>
        </w:rPr>
      </w:pPr>
      <w:r w:rsidRPr="007B45A9">
        <w:rPr>
          <w:i/>
        </w:rPr>
        <w:t>Response:</w:t>
      </w:r>
    </w:p>
    <w:p w14:paraId="122158CA" w14:textId="682771B8" w:rsidR="006F437F" w:rsidRPr="006F437F" w:rsidRDefault="001F7D30" w:rsidP="006F437F">
      <w:pPr>
        <w:pStyle w:val="Text"/>
      </w:pPr>
      <w:r>
        <w:t>Regard should be had to</w:t>
      </w:r>
      <w:bookmarkStart w:id="1" w:name="_GoBack"/>
      <w:bookmarkEnd w:id="1"/>
      <w:r w:rsidR="005100A7">
        <w:t xml:space="preserve"> p</w:t>
      </w:r>
      <w:r w:rsidR="00E45DB4">
        <w:t>aragraphs 2.3 d)</w:t>
      </w:r>
      <w:r w:rsidR="00ED3913">
        <w:t>,</w:t>
      </w:r>
      <w:r w:rsidR="00E45DB4">
        <w:t xml:space="preserve"> 2.3 e</w:t>
      </w:r>
      <w:r w:rsidR="006F437F" w:rsidRPr="006F437F">
        <w:t xml:space="preserve">) </w:t>
      </w:r>
      <w:r w:rsidR="00ED3913">
        <w:t xml:space="preserve">and 2.6 </w:t>
      </w:r>
      <w:r w:rsidR="00AE07BA">
        <w:t>of the Specification</w:t>
      </w:r>
      <w:r w:rsidR="00154568">
        <w:t>.</w:t>
      </w:r>
    </w:p>
    <w:p w14:paraId="0F9D28EA" w14:textId="25F914D1" w:rsidR="007B45A9" w:rsidRPr="007B45A9" w:rsidRDefault="007B45A9" w:rsidP="007B45A9">
      <w:pPr>
        <w:pStyle w:val="Text"/>
        <w:rPr>
          <w:b/>
        </w:rPr>
      </w:pPr>
      <w:r w:rsidRPr="007B45A9">
        <w:rPr>
          <w:b/>
        </w:rPr>
        <w:t>Question 4</w:t>
      </w:r>
    </w:p>
    <w:p w14:paraId="43A1F97C" w14:textId="7E65F736" w:rsidR="007B45A9" w:rsidRPr="007B45A9" w:rsidRDefault="007B45A9" w:rsidP="007B45A9">
      <w:pPr>
        <w:pStyle w:val="Text"/>
      </w:pPr>
      <w:r w:rsidRPr="007B45A9">
        <w:t>We note that four comparable sets are listed for review in the RFP. Does the SSRO anticipate a detailed assessment of composite v multiple profit rates in the course of this review?  If so, would significant input from the chosen advisor be expected?</w:t>
      </w:r>
    </w:p>
    <w:p w14:paraId="7F2A08AF" w14:textId="77777777" w:rsidR="007B45A9" w:rsidRPr="007B45A9" w:rsidRDefault="007B45A9" w:rsidP="007B45A9">
      <w:pPr>
        <w:pStyle w:val="Text"/>
        <w:rPr>
          <w:i/>
        </w:rPr>
      </w:pPr>
      <w:r w:rsidRPr="007B45A9">
        <w:rPr>
          <w:i/>
        </w:rPr>
        <w:t>Response:</w:t>
      </w:r>
    </w:p>
    <w:p w14:paraId="79C58ABC" w14:textId="64CB1C0C" w:rsidR="00D970C4" w:rsidRPr="00D970C4" w:rsidRDefault="0023244B" w:rsidP="00501418">
      <w:pPr>
        <w:pStyle w:val="Text"/>
      </w:pPr>
      <w:r>
        <w:rPr>
          <w:rFonts w:cs="Arial"/>
          <w:color w:val="000000"/>
          <w:szCs w:val="22"/>
        </w:rPr>
        <w:t>The SSRO intends to apply the published methodology.</w:t>
      </w:r>
      <w:r w:rsidR="005B220A">
        <w:rPr>
          <w:rFonts w:cs="Arial"/>
          <w:color w:val="000000"/>
          <w:szCs w:val="22"/>
        </w:rPr>
        <w:t xml:space="preserve"> </w:t>
      </w:r>
      <w:r w:rsidR="00501418">
        <w:t>Paragraph 2.5 of the S</w:t>
      </w:r>
      <w:r w:rsidR="00501418" w:rsidRPr="003E0D2C">
        <w:t xml:space="preserve">pecification sets out </w:t>
      </w:r>
      <w:r w:rsidR="00501418">
        <w:t xml:space="preserve">that additional assessment may be required of methodological updates </w:t>
      </w:r>
      <w:r w:rsidR="00182491">
        <w:t xml:space="preserve">made </w:t>
      </w:r>
      <w:r w:rsidR="00501418">
        <w:t>i</w:t>
      </w:r>
      <w:r w:rsidR="00501418" w:rsidRPr="003E0D2C">
        <w:t xml:space="preserve">n response to the supplier’s </w:t>
      </w:r>
      <w:r w:rsidR="00501418">
        <w:t>assurance work</w:t>
      </w:r>
      <w:r w:rsidR="00D970C4" w:rsidRPr="00D970C4">
        <w:t>.</w:t>
      </w:r>
    </w:p>
    <w:bookmarkEnd w:id="0"/>
    <w:sectPr w:rsidR="00D970C4" w:rsidRPr="00D970C4" w:rsidSect="00D219B7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81694" w14:textId="77777777" w:rsidR="00BB79D8" w:rsidRDefault="00BB79D8">
      <w:r>
        <w:separator/>
      </w:r>
    </w:p>
  </w:endnote>
  <w:endnote w:type="continuationSeparator" w:id="0">
    <w:p w14:paraId="2AD144E0" w14:textId="77777777" w:rsidR="00BB79D8" w:rsidRDefault="00BB79D8">
      <w:r>
        <w:continuationSeparator/>
      </w:r>
    </w:p>
  </w:endnote>
  <w:endnote w:type="continuationNotice" w:id="1">
    <w:p w14:paraId="42C105D5" w14:textId="77777777" w:rsidR="00594F2D" w:rsidRDefault="00594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96071" w14:textId="7BB94F2F" w:rsidR="002C7620" w:rsidRDefault="002C762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D3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910EA" w14:textId="4F0B93DE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3F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994AA" w14:textId="25FAE5C7" w:rsidR="00C23EF9" w:rsidRDefault="00C23EF9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D3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8359E" w14:textId="77777777" w:rsidR="00BB79D8" w:rsidRDefault="00BB79D8">
      <w:r>
        <w:separator/>
      </w:r>
    </w:p>
  </w:footnote>
  <w:footnote w:type="continuationSeparator" w:id="0">
    <w:p w14:paraId="75222AB5" w14:textId="77777777" w:rsidR="00BB79D8" w:rsidRDefault="00BB79D8">
      <w:r>
        <w:continuationSeparator/>
      </w:r>
    </w:p>
  </w:footnote>
  <w:footnote w:type="continuationNotice" w:id="1">
    <w:p w14:paraId="6A6F3335" w14:textId="77777777" w:rsidR="00594F2D" w:rsidRDefault="00594F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9F407" w14:textId="15F154B7" w:rsidR="002C7620" w:rsidRPr="00980553" w:rsidRDefault="007A1711" w:rsidP="00980553">
    <w:pPr>
      <w:pStyle w:val="Header"/>
    </w:pPr>
    <w:r>
      <w:t>The baseline profit rate and capital servicing rates quality assurance</w:t>
    </w:r>
    <w:r w:rsidR="00AA6222">
      <w:t xml:space="preserve">: </w:t>
    </w:r>
    <w:r w:rsidR="00DC07B9">
      <w:t>Response to Clarification Questions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22"/>
    <w:rsid w:val="0002073B"/>
    <w:rsid w:val="00027565"/>
    <w:rsid w:val="00031121"/>
    <w:rsid w:val="00031D33"/>
    <w:rsid w:val="00040082"/>
    <w:rsid w:val="00070ABC"/>
    <w:rsid w:val="00087516"/>
    <w:rsid w:val="000A45DC"/>
    <w:rsid w:val="000A4A80"/>
    <w:rsid w:val="000C3769"/>
    <w:rsid w:val="000D7C5A"/>
    <w:rsid w:val="000F5B6F"/>
    <w:rsid w:val="001171E8"/>
    <w:rsid w:val="00117C39"/>
    <w:rsid w:val="00123309"/>
    <w:rsid w:val="00123E61"/>
    <w:rsid w:val="00144C5A"/>
    <w:rsid w:val="0015248C"/>
    <w:rsid w:val="00154568"/>
    <w:rsid w:val="00166988"/>
    <w:rsid w:val="00171E70"/>
    <w:rsid w:val="00175479"/>
    <w:rsid w:val="00182491"/>
    <w:rsid w:val="001A0D09"/>
    <w:rsid w:val="001D0BA6"/>
    <w:rsid w:val="001D5B4C"/>
    <w:rsid w:val="001E1670"/>
    <w:rsid w:val="001E39B0"/>
    <w:rsid w:val="001F16BC"/>
    <w:rsid w:val="001F4942"/>
    <w:rsid w:val="001F7D30"/>
    <w:rsid w:val="00230632"/>
    <w:rsid w:val="0023244B"/>
    <w:rsid w:val="0023510E"/>
    <w:rsid w:val="00235CEE"/>
    <w:rsid w:val="00237D67"/>
    <w:rsid w:val="00253064"/>
    <w:rsid w:val="00260298"/>
    <w:rsid w:val="00293914"/>
    <w:rsid w:val="00297634"/>
    <w:rsid w:val="00297B90"/>
    <w:rsid w:val="002A7754"/>
    <w:rsid w:val="002B2BFB"/>
    <w:rsid w:val="002C0278"/>
    <w:rsid w:val="002C7620"/>
    <w:rsid w:val="002F5042"/>
    <w:rsid w:val="00304DBE"/>
    <w:rsid w:val="00317AC4"/>
    <w:rsid w:val="00335B10"/>
    <w:rsid w:val="00361858"/>
    <w:rsid w:val="00361922"/>
    <w:rsid w:val="00366D84"/>
    <w:rsid w:val="00381F92"/>
    <w:rsid w:val="003930A3"/>
    <w:rsid w:val="00395957"/>
    <w:rsid w:val="003A02C0"/>
    <w:rsid w:val="003A647D"/>
    <w:rsid w:val="003C0B38"/>
    <w:rsid w:val="003C30CF"/>
    <w:rsid w:val="003D297C"/>
    <w:rsid w:val="003D3986"/>
    <w:rsid w:val="003D4369"/>
    <w:rsid w:val="003D6237"/>
    <w:rsid w:val="003E0D2C"/>
    <w:rsid w:val="003E7602"/>
    <w:rsid w:val="003F6397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D6586"/>
    <w:rsid w:val="004E68D3"/>
    <w:rsid w:val="004F331E"/>
    <w:rsid w:val="00501418"/>
    <w:rsid w:val="005100A7"/>
    <w:rsid w:val="00514B84"/>
    <w:rsid w:val="00517DA8"/>
    <w:rsid w:val="005340BE"/>
    <w:rsid w:val="00540D25"/>
    <w:rsid w:val="00543008"/>
    <w:rsid w:val="00552EBD"/>
    <w:rsid w:val="00560B39"/>
    <w:rsid w:val="00594F2D"/>
    <w:rsid w:val="005964D5"/>
    <w:rsid w:val="005965DF"/>
    <w:rsid w:val="005B220A"/>
    <w:rsid w:val="005B59D6"/>
    <w:rsid w:val="005C7418"/>
    <w:rsid w:val="005D23D4"/>
    <w:rsid w:val="005E315E"/>
    <w:rsid w:val="005F0904"/>
    <w:rsid w:val="005F56FD"/>
    <w:rsid w:val="005F7A50"/>
    <w:rsid w:val="00622EB4"/>
    <w:rsid w:val="006349D9"/>
    <w:rsid w:val="00636214"/>
    <w:rsid w:val="00650E47"/>
    <w:rsid w:val="00655039"/>
    <w:rsid w:val="00660C35"/>
    <w:rsid w:val="006B140A"/>
    <w:rsid w:val="006B78CE"/>
    <w:rsid w:val="006C0C71"/>
    <w:rsid w:val="006F113D"/>
    <w:rsid w:val="006F437F"/>
    <w:rsid w:val="00700789"/>
    <w:rsid w:val="00706C17"/>
    <w:rsid w:val="007251C1"/>
    <w:rsid w:val="0073261E"/>
    <w:rsid w:val="00736A0B"/>
    <w:rsid w:val="00765F0A"/>
    <w:rsid w:val="007713E2"/>
    <w:rsid w:val="007905D0"/>
    <w:rsid w:val="00790B93"/>
    <w:rsid w:val="00791C83"/>
    <w:rsid w:val="00792E06"/>
    <w:rsid w:val="0079705A"/>
    <w:rsid w:val="007A1711"/>
    <w:rsid w:val="007B45A9"/>
    <w:rsid w:val="007C3765"/>
    <w:rsid w:val="007C5A2B"/>
    <w:rsid w:val="007D4688"/>
    <w:rsid w:val="007E1FBC"/>
    <w:rsid w:val="007E72C2"/>
    <w:rsid w:val="00807211"/>
    <w:rsid w:val="00814C97"/>
    <w:rsid w:val="00820144"/>
    <w:rsid w:val="0082793B"/>
    <w:rsid w:val="008317CF"/>
    <w:rsid w:val="00835A29"/>
    <w:rsid w:val="0084196E"/>
    <w:rsid w:val="00841AF7"/>
    <w:rsid w:val="008626DD"/>
    <w:rsid w:val="00877F21"/>
    <w:rsid w:val="00885506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07B45"/>
    <w:rsid w:val="00926817"/>
    <w:rsid w:val="009306D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01C3"/>
    <w:rsid w:val="009E3D01"/>
    <w:rsid w:val="009F2F90"/>
    <w:rsid w:val="009F622A"/>
    <w:rsid w:val="00A04C37"/>
    <w:rsid w:val="00A22906"/>
    <w:rsid w:val="00A23E63"/>
    <w:rsid w:val="00A54044"/>
    <w:rsid w:val="00A643CC"/>
    <w:rsid w:val="00A70F40"/>
    <w:rsid w:val="00A760F5"/>
    <w:rsid w:val="00A83F2E"/>
    <w:rsid w:val="00A95FDF"/>
    <w:rsid w:val="00A967EE"/>
    <w:rsid w:val="00AA322E"/>
    <w:rsid w:val="00AA6222"/>
    <w:rsid w:val="00AB1E82"/>
    <w:rsid w:val="00AC0A73"/>
    <w:rsid w:val="00AC0F50"/>
    <w:rsid w:val="00AC3C00"/>
    <w:rsid w:val="00AC7679"/>
    <w:rsid w:val="00AD35BB"/>
    <w:rsid w:val="00AD4EC6"/>
    <w:rsid w:val="00AE07BA"/>
    <w:rsid w:val="00AE5A4A"/>
    <w:rsid w:val="00B201E6"/>
    <w:rsid w:val="00B239D5"/>
    <w:rsid w:val="00B24488"/>
    <w:rsid w:val="00B367D3"/>
    <w:rsid w:val="00B40381"/>
    <w:rsid w:val="00B62BF8"/>
    <w:rsid w:val="00B87A69"/>
    <w:rsid w:val="00B87B8D"/>
    <w:rsid w:val="00BA4F54"/>
    <w:rsid w:val="00BB0245"/>
    <w:rsid w:val="00BB79D8"/>
    <w:rsid w:val="00BC3E02"/>
    <w:rsid w:val="00BE343E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1083"/>
    <w:rsid w:val="00CD2E85"/>
    <w:rsid w:val="00CD4582"/>
    <w:rsid w:val="00CD7023"/>
    <w:rsid w:val="00CF4C1E"/>
    <w:rsid w:val="00D0217B"/>
    <w:rsid w:val="00D219B7"/>
    <w:rsid w:val="00D3157A"/>
    <w:rsid w:val="00D5185C"/>
    <w:rsid w:val="00D65135"/>
    <w:rsid w:val="00D72A0A"/>
    <w:rsid w:val="00D92730"/>
    <w:rsid w:val="00D96A5B"/>
    <w:rsid w:val="00D970C4"/>
    <w:rsid w:val="00DA467A"/>
    <w:rsid w:val="00DA59AF"/>
    <w:rsid w:val="00DB7E15"/>
    <w:rsid w:val="00DC07B9"/>
    <w:rsid w:val="00DC50CC"/>
    <w:rsid w:val="00DD0478"/>
    <w:rsid w:val="00DE285A"/>
    <w:rsid w:val="00DE50A2"/>
    <w:rsid w:val="00DF5932"/>
    <w:rsid w:val="00E01B1D"/>
    <w:rsid w:val="00E45DB4"/>
    <w:rsid w:val="00E60172"/>
    <w:rsid w:val="00E62342"/>
    <w:rsid w:val="00E6609E"/>
    <w:rsid w:val="00E728A1"/>
    <w:rsid w:val="00E749CB"/>
    <w:rsid w:val="00E82DB7"/>
    <w:rsid w:val="00E879A1"/>
    <w:rsid w:val="00EC2EC1"/>
    <w:rsid w:val="00ED3913"/>
    <w:rsid w:val="00ED6DB6"/>
    <w:rsid w:val="00F17013"/>
    <w:rsid w:val="00F17EBF"/>
    <w:rsid w:val="00F2689E"/>
    <w:rsid w:val="00F553F4"/>
    <w:rsid w:val="00F57501"/>
    <w:rsid w:val="00F71A84"/>
    <w:rsid w:val="00F72A04"/>
    <w:rsid w:val="00F740CC"/>
    <w:rsid w:val="00F96015"/>
    <w:rsid w:val="00F97267"/>
    <w:rsid w:val="00FB3806"/>
    <w:rsid w:val="00FD536C"/>
    <w:rsid w:val="00FF04AE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f6c0f5a9-fb1b-46f7-8164-1a62f2efa361" xsi:nil="true"/>
    <g3f6cb4c1d424f6f97cef99aa066f156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1bb1ed7b-f9c1-4d10-97e2-1803d7a027d1</TermId>
        </TermInfo>
      </Terms>
    </g3f6cb4c1d424f6f97cef99aa066f156>
    <TaxCatchAll xmlns="f6c0f5a9-fb1b-46f7-8164-1a62f2efa361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SRO Team Document" ma:contentTypeID="0x010100A03AF98D2A86EE418663295C395C2276005DE92D67750A8948A4E7414B52F47D22" ma:contentTypeVersion="8" ma:contentTypeDescription="" ma:contentTypeScope="" ma:versionID="d0e67bf4123074e204539e513badf78b">
  <xsd:schema xmlns:xsd="http://www.w3.org/2001/XMLSchema" xmlns:xs="http://www.w3.org/2001/XMLSchema" xmlns:p="http://schemas.microsoft.com/office/2006/metadata/properties" xmlns:ns2="f6c0f5a9-fb1b-46f7-8164-1a62f2efa361" targetNamespace="http://schemas.microsoft.com/office/2006/metadata/properties" ma:root="true" ma:fieldsID="8c6badc816fb02bf6a31659a1759c42c" ns2:_="">
    <xsd:import namespace="f6c0f5a9-fb1b-46f7-8164-1a62f2efa36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TaxCatchAll" minOccurs="0"/>
                <xsd:element ref="ns2:TaxCatchAllLabel" minOccurs="0"/>
                <xsd:element ref="ns2:g3f6cb4c1d424f6f97cef99aa066f15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 ma:readOnly="false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TaxCatchAll" ma:index="9" nillable="true" ma:displayName="Taxonomy Catch All Column" ma:description="" ma:hidden="true" ma:list="{a09eb5d9-eca4-48de-b8a3-5d084929811b}" ma:internalName="TaxCatchAll" ma:showField="CatchAllData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09eb5d9-eca4-48de-b8a3-5d084929811b}" ma:internalName="TaxCatchAllLabel" ma:readOnly="true" ma:showField="CatchAllDataLabel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f6cb4c1d424f6f97cef99aa066f156" ma:index="12" nillable="true" ma:taxonomy="true" ma:internalName="g3f6cb4c1d424f6f97cef99aa066f156" ma:taxonomyFieldName="OwningDepartment" ma:displayName="SSRO Department" ma:readOnly="false" ma:default="" ma:fieldId="{03f6cb4c-1d42-4f6f-97ce-f99aa066f156}" ma:sspId="8033c51b-9e13-4064-a3ac-ab76bcc65b4f" ma:termSetId="0c16e5cd-6300-4cb3-ae81-59a590a9bf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033c51b-9e13-4064-a3ac-ab76bcc65b4f" ContentTypeId="0x010100A03AF98D2A86EE418663295C395C2276" PreviousValue="false"/>
</file>

<file path=customXml/itemProps1.xml><?xml version="1.0" encoding="utf-8"?>
<ds:datastoreItem xmlns:ds="http://schemas.openxmlformats.org/officeDocument/2006/customXml" ds:itemID="{5BA78ABF-FCE9-4F2B-9FA0-26FFEEA3DF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c0f5a9-fb1b-46f7-8164-1a62f2efa3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ACD5F-4626-477C-8524-D9A05C74A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E094BA-C167-44A5-AF53-C55B3D1463C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2017-08-16T13:35:00Z</dcterms:created>
  <dcterms:modified xsi:type="dcterms:W3CDTF">2017-08-16T13:37:00Z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0x010100A03AF98D2A86EE418663295C395C2276005DE92D67750A8948A4E7414B52F47D22</vt:lpwstr>
  </property>
  <property fmtid="{D5CDD505-2E9C-101B-9397-08002B2CF9AE}" pid="4" name="OwningDepartment">
    <vt:lpwstr>1;#Legal|1bb1ed7b-f9c1-4d10-97e2-1803d7a027d1</vt:lpwstr>
  </property>
  <property fmtid="{D5CDD505-2E9C-101B-9397-08002B2CF9AE}" pid="5" name="MSIP_Label_5867449f-99ce-461b-a4f3-67a0ad4387eb_Enabled">
    <vt:lpwstr>True</vt:lpwstr>
  </property>
  <property fmtid="{D5CDD505-2E9C-101B-9397-08002B2CF9AE}" pid="6" name="MSIP_Label_5867449f-99ce-461b-a4f3-67a0ad4387eb_SiteId">
    <vt:lpwstr>fa810b6b-7dd2-4340-934f-96091d79eacd</vt:lpwstr>
  </property>
  <property fmtid="{D5CDD505-2E9C-101B-9397-08002B2CF9AE}" pid="7" name="MSIP_Label_5867449f-99ce-461b-a4f3-67a0ad4387eb_Ref">
    <vt:lpwstr>https://api.informationprotection.azure.com/api/fa810b6b-7dd2-4340-934f-96091d79eacd</vt:lpwstr>
  </property>
  <property fmtid="{D5CDD505-2E9C-101B-9397-08002B2CF9AE}" pid="8" name="MSIP_Label_5867449f-99ce-461b-a4f3-67a0ad4387eb_SetBy">
    <vt:lpwstr>David.Galpin@ssro.gov.uk</vt:lpwstr>
  </property>
  <property fmtid="{D5CDD505-2E9C-101B-9397-08002B2CF9AE}" pid="9" name="MSIP_Label_5867449f-99ce-461b-a4f3-67a0ad4387eb_SetDate">
    <vt:lpwstr>2017-08-16T14:34:31.4787648+01:00</vt:lpwstr>
  </property>
  <property fmtid="{D5CDD505-2E9C-101B-9397-08002B2CF9AE}" pid="10" name="MSIP_Label_5867449f-99ce-461b-a4f3-67a0ad4387eb_Name">
    <vt:lpwstr>OFFICIAL-Public</vt:lpwstr>
  </property>
  <property fmtid="{D5CDD505-2E9C-101B-9397-08002B2CF9AE}" pid="11" name="MSIP_Label_5867449f-99ce-461b-a4f3-67a0ad4387eb_Application">
    <vt:lpwstr>Microsoft Azure Information Protection</vt:lpwstr>
  </property>
  <property fmtid="{D5CDD505-2E9C-101B-9397-08002B2CF9AE}" pid="12" name="MSIP_Label_5867449f-99ce-461b-a4f3-67a0ad4387eb_Extended_MSFT_Method">
    <vt:lpwstr>Automatic</vt:lpwstr>
  </property>
  <property fmtid="{D5CDD505-2E9C-101B-9397-08002B2CF9AE}" pid="13" name="Sensitivity">
    <vt:lpwstr>OFFICIAL-Public</vt:lpwstr>
  </property>
  <property fmtid="{D5CDD505-2E9C-101B-9397-08002B2CF9AE}" pid="14" name="baea7cedea1b4efc9b62c2321708c60a">
    <vt:lpwstr/>
  </property>
</Properties>
</file>