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E66" w:rsidRDefault="00062275">
      <w:r>
        <w:rPr>
          <w:noProof/>
        </w:rPr>
        <w:drawing>
          <wp:anchor distT="0" distB="0" distL="114300" distR="114300" simplePos="0" relativeHeight="76" behindDoc="0" locked="0" layoutInCell="1" allowOverlap="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rsidR="002A3E66" w:rsidRDefault="002A3E66">
      <w:pPr>
        <w:pStyle w:val="Heading1"/>
      </w:pPr>
      <w:bookmarkStart w:id="0" w:name="_Toc32303547"/>
    </w:p>
    <w:p w:rsidR="002A3E66" w:rsidRDefault="002A3E66">
      <w:pPr>
        <w:pStyle w:val="Heading1"/>
      </w:pPr>
    </w:p>
    <w:p w:rsidR="002A3E66" w:rsidRDefault="002A3E66">
      <w:pPr>
        <w:pStyle w:val="Heading1"/>
      </w:pPr>
    </w:p>
    <w:p w:rsidR="002A3E66" w:rsidRDefault="00062275">
      <w:pPr>
        <w:pStyle w:val="Heading1"/>
      </w:pPr>
      <w:bookmarkStart w:id="1" w:name="_Toc33176231"/>
      <w:r>
        <w:t>G-Cloud 12 Call-Off Contract</w:t>
      </w:r>
      <w:bookmarkEnd w:id="0"/>
      <w:bookmarkEnd w:id="1"/>
    </w:p>
    <w:p w:rsidR="002A3E66" w:rsidRDefault="002A3E66">
      <w:pPr>
        <w:rPr>
          <w:sz w:val="28"/>
          <w:szCs w:val="28"/>
        </w:rPr>
      </w:pPr>
    </w:p>
    <w:p w:rsidR="002A3E66" w:rsidRDefault="002A3E66">
      <w:pPr>
        <w:rPr>
          <w:sz w:val="28"/>
          <w:szCs w:val="28"/>
        </w:rPr>
      </w:pPr>
    </w:p>
    <w:p w:rsidR="002A3E66" w:rsidRDefault="00062275">
      <w:pPr>
        <w:rPr>
          <w:rFonts w:eastAsia="Times New Roman"/>
          <w:lang w:eastAsia="en-US"/>
        </w:rPr>
      </w:pPr>
      <w:r>
        <w:rPr>
          <w:rFonts w:eastAsia="Times New Roman"/>
          <w:lang w:eastAsia="en-US"/>
        </w:rPr>
        <w:t>This Call-Off Contract for the G-Cloud 12 Framework Agreement (RM1557.12) includes:</w:t>
      </w:r>
    </w:p>
    <w:p w:rsidR="002A3E66" w:rsidRDefault="0006227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rsidR="002A3E66" w:rsidRDefault="00062275">
      <w:pPr>
        <w:pStyle w:val="TOC2"/>
      </w:pPr>
      <w:r>
        <w:rPr>
          <w:rFonts w:ascii="Arial" w:hAnsi="Arial"/>
          <w:b w:val="0"/>
        </w:rPr>
        <w:t>Part A: Order Form</w:t>
      </w:r>
      <w:r>
        <w:rPr>
          <w:rFonts w:ascii="Arial" w:hAnsi="Arial"/>
          <w:b w:val="0"/>
        </w:rPr>
        <w:tab/>
        <w:t>2</w:t>
      </w:r>
    </w:p>
    <w:p w:rsidR="002A3E66" w:rsidRDefault="00062275">
      <w:pPr>
        <w:pStyle w:val="TOC2"/>
      </w:pPr>
      <w:r>
        <w:rPr>
          <w:rFonts w:ascii="Arial" w:hAnsi="Arial"/>
          <w:b w:val="0"/>
        </w:rPr>
        <w:t>Schedule 1: Services</w:t>
      </w:r>
      <w:r>
        <w:rPr>
          <w:rFonts w:ascii="Arial" w:hAnsi="Arial"/>
          <w:b w:val="0"/>
        </w:rPr>
        <w:tab/>
        <w:t>12</w:t>
      </w:r>
    </w:p>
    <w:p w:rsidR="002A3E66" w:rsidRDefault="00062275">
      <w:pPr>
        <w:pStyle w:val="TOC2"/>
      </w:pPr>
      <w:r>
        <w:rPr>
          <w:rFonts w:ascii="Arial" w:hAnsi="Arial"/>
          <w:b w:val="0"/>
        </w:rPr>
        <w:t>Schedule 2: Call-Off Contract charges</w:t>
      </w:r>
      <w:r>
        <w:rPr>
          <w:rFonts w:ascii="Arial" w:hAnsi="Arial"/>
          <w:b w:val="0"/>
        </w:rPr>
        <w:tab/>
        <w:t>12</w:t>
      </w:r>
    </w:p>
    <w:p w:rsidR="002A3E66" w:rsidRDefault="00062275">
      <w:pPr>
        <w:pStyle w:val="TOC2"/>
      </w:pPr>
      <w:r>
        <w:rPr>
          <w:rFonts w:ascii="Arial" w:hAnsi="Arial"/>
          <w:b w:val="0"/>
        </w:rPr>
        <w:t>Part B: Terms and conditions</w:t>
      </w:r>
      <w:r>
        <w:rPr>
          <w:rFonts w:ascii="Arial" w:hAnsi="Arial"/>
          <w:b w:val="0"/>
        </w:rPr>
        <w:tab/>
        <w:t>13</w:t>
      </w:r>
    </w:p>
    <w:p w:rsidR="002A3E66" w:rsidRDefault="00062275">
      <w:pPr>
        <w:pStyle w:val="TOC2"/>
      </w:pPr>
      <w:r>
        <w:rPr>
          <w:rFonts w:ascii="Arial" w:hAnsi="Arial"/>
          <w:b w:val="0"/>
        </w:rPr>
        <w:t>Schedule 3: Collaboration agreement</w:t>
      </w:r>
      <w:r>
        <w:rPr>
          <w:rFonts w:ascii="Arial" w:hAnsi="Arial"/>
          <w:b w:val="0"/>
        </w:rPr>
        <w:tab/>
        <w:t>32</w:t>
      </w:r>
    </w:p>
    <w:p w:rsidR="002A3E66" w:rsidRDefault="00062275">
      <w:pPr>
        <w:pStyle w:val="TOC2"/>
      </w:pPr>
      <w:r>
        <w:rPr>
          <w:rFonts w:ascii="Arial" w:hAnsi="Arial"/>
          <w:b w:val="0"/>
        </w:rPr>
        <w:t>Schedule 4: Alternative clauses</w:t>
      </w:r>
      <w:r>
        <w:rPr>
          <w:rFonts w:ascii="Arial" w:hAnsi="Arial"/>
          <w:b w:val="0"/>
        </w:rPr>
        <w:tab/>
        <w:t>44</w:t>
      </w:r>
    </w:p>
    <w:p w:rsidR="002A3E66" w:rsidRDefault="00062275">
      <w:pPr>
        <w:pStyle w:val="TOC2"/>
      </w:pPr>
      <w:r>
        <w:rPr>
          <w:rFonts w:ascii="Arial" w:hAnsi="Arial"/>
          <w:b w:val="0"/>
        </w:rPr>
        <w:t>Schedule 5: Guarantee</w:t>
      </w:r>
      <w:r>
        <w:rPr>
          <w:rFonts w:ascii="Arial" w:hAnsi="Arial"/>
          <w:b w:val="0"/>
        </w:rPr>
        <w:tab/>
        <w:t>49</w:t>
      </w:r>
    </w:p>
    <w:p w:rsidR="002A3E66" w:rsidRDefault="00062275">
      <w:pPr>
        <w:pStyle w:val="TOC2"/>
      </w:pPr>
      <w:r>
        <w:rPr>
          <w:rFonts w:ascii="Arial" w:hAnsi="Arial"/>
          <w:b w:val="0"/>
        </w:rPr>
        <w:t>Schedule 6: Glossary and interpretations</w:t>
      </w:r>
      <w:r>
        <w:rPr>
          <w:rFonts w:ascii="Arial" w:hAnsi="Arial"/>
          <w:b w:val="0"/>
        </w:rPr>
        <w:tab/>
        <w:t>57</w:t>
      </w:r>
    </w:p>
    <w:p w:rsidR="002A3E66" w:rsidRDefault="00062275">
      <w:pPr>
        <w:pStyle w:val="TOC2"/>
      </w:pPr>
      <w:r>
        <w:rPr>
          <w:rFonts w:ascii="Arial" w:hAnsi="Arial"/>
          <w:b w:val="0"/>
        </w:rPr>
        <w:t>Schedule 7: GDPR Information</w:t>
      </w:r>
      <w:r>
        <w:rPr>
          <w:rFonts w:ascii="Arial" w:hAnsi="Arial"/>
          <w:b w:val="0"/>
        </w:rPr>
        <w:tab/>
        <w:t>68</w:t>
      </w:r>
    </w:p>
    <w:p w:rsidR="002A3E66" w:rsidRDefault="00062275">
      <w:pPr>
        <w:pageBreakBefore/>
      </w:pPr>
      <w:r>
        <w:rPr>
          <w:rFonts w:ascii="Cambria" w:eastAsia="Cambria" w:hAnsi="Cambria" w:cs="Cambria"/>
          <w:b/>
          <w:bCs/>
        </w:rPr>
        <w:lastRenderedPageBreak/>
        <w:fldChar w:fldCharType="end"/>
      </w:r>
    </w:p>
    <w:p w:rsidR="002A3E66" w:rsidRDefault="00062275">
      <w:pPr>
        <w:pStyle w:val="Heading2"/>
      </w:pPr>
      <w:bookmarkStart w:id="2" w:name="_Toc33176232"/>
      <w:r>
        <w:t>Part A: Order Form</w:t>
      </w:r>
      <w:bookmarkEnd w:id="2"/>
    </w:p>
    <w:p w:rsidR="002A3E66" w:rsidRDefault="0006227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2A3E66">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689213369003467</w:t>
            </w:r>
          </w:p>
        </w:tc>
      </w:tr>
      <w:tr w:rsidR="002A3E6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szCs w:val="24"/>
              </w:rPr>
              <w:t>SR619771793</w:t>
            </w:r>
          </w:p>
        </w:tc>
      </w:tr>
      <w:tr w:rsidR="002A3E6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pStyle w:val="TableParagraph"/>
              <w:spacing w:before="48"/>
              <w:rPr>
                <w:rFonts w:ascii="Arial" w:hAnsi="Arial" w:cs="Arial"/>
              </w:rPr>
            </w:pPr>
            <w:r>
              <w:rPr>
                <w:rFonts w:ascii="Arial" w:hAnsi="Arial" w:cs="Arial"/>
              </w:rPr>
              <w:t xml:space="preserve">Multi-vendor Cloud Software Licence Optimisation </w:t>
            </w:r>
          </w:p>
        </w:tc>
      </w:tr>
      <w:tr w:rsidR="002A3E6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Expertise to review the licensing arrangements and associated cost implications for its software as it is transformed and migrated to new platforms as part of HMRCs Securing Our Technical Futures (SOTF) programme</w:t>
            </w:r>
          </w:p>
        </w:tc>
      </w:tr>
      <w:tr w:rsidR="002A3E6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06/05/2021</w:t>
            </w:r>
          </w:p>
        </w:tc>
      </w:tr>
      <w:tr w:rsidR="002A3E6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05/08/2021 (+</w:t>
            </w:r>
            <w:proofErr w:type="gramStart"/>
            <w:r>
              <w:t>1 month</w:t>
            </w:r>
            <w:proofErr w:type="gramEnd"/>
            <w:r>
              <w:t xml:space="preserve"> extension) </w:t>
            </w:r>
          </w:p>
        </w:tc>
      </w:tr>
      <w:tr w:rsidR="002A3E6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2A3E66">
            <w:pPr>
              <w:pStyle w:val="CommentText"/>
              <w:rPr>
                <w:sz w:val="22"/>
                <w:szCs w:val="22"/>
              </w:rPr>
            </w:pPr>
            <w:bookmarkStart w:id="3" w:name="_Hlk63333362"/>
          </w:p>
          <w:bookmarkEnd w:id="3"/>
          <w:p w:rsidR="002A3E66" w:rsidRDefault="000968CF">
            <w:pPr>
              <w:pStyle w:val="CommentText"/>
              <w:rPr>
                <w:sz w:val="22"/>
                <w:szCs w:val="22"/>
              </w:rPr>
            </w:pPr>
            <w:r w:rsidRPr="000968CF">
              <w:rPr>
                <w:sz w:val="22"/>
                <w:szCs w:val="22"/>
                <w:highlight w:val="black"/>
              </w:rPr>
              <w:t>XXXXXXXXXXXXXXXXXXXXXXXXXX</w:t>
            </w:r>
          </w:p>
        </w:tc>
      </w:tr>
      <w:tr w:rsidR="002A3E66">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BACS Monthly in arrears</w:t>
            </w:r>
          </w:p>
        </w:tc>
      </w:tr>
      <w:tr w:rsidR="002A3E66">
        <w:trPr>
          <w:trHeight w:val="775"/>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TBC</w:t>
            </w:r>
          </w:p>
        </w:tc>
      </w:tr>
    </w:tbl>
    <w:p w:rsidR="002A3E66" w:rsidRDefault="00062275">
      <w:pPr>
        <w:spacing w:before="240"/>
      </w:pPr>
      <w:r>
        <w:t xml:space="preserve"> </w:t>
      </w:r>
    </w:p>
    <w:p w:rsidR="002A3E66" w:rsidRDefault="00062275">
      <w:pPr>
        <w:spacing w:before="240" w:after="240"/>
      </w:pPr>
      <w:r>
        <w:t>This Order Form is issued under the G-Cloud 12 Framework Agreement (RM1557.12).</w:t>
      </w:r>
    </w:p>
    <w:p w:rsidR="002A3E66" w:rsidRDefault="00062275">
      <w:pPr>
        <w:spacing w:before="240"/>
      </w:pPr>
      <w:r>
        <w:t>Buyers can use this Order Form to specify their G-Cloud service requirements when placing an Order.</w:t>
      </w:r>
    </w:p>
    <w:p w:rsidR="002A3E66" w:rsidRDefault="00062275">
      <w:pPr>
        <w:spacing w:before="240"/>
      </w:pPr>
      <w:r>
        <w:t>The Order Form cannot be used to alter existing terms or add any extra terms that materially change the Deliverables offered by the Supplier and defined in the Application.</w:t>
      </w:r>
    </w:p>
    <w:p w:rsidR="002A3E66" w:rsidRDefault="0006227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2A3E66">
        <w:trPr>
          <w:trHeight w:val="2432"/>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lastRenderedPageBreak/>
              <w:t xml:space="preserve">From the Buyer </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hd w:val="clear" w:color="auto" w:fill="FFFFFF"/>
            </w:pPr>
            <w:r>
              <w:t>HM Revenue and Customs</w:t>
            </w:r>
          </w:p>
          <w:p w:rsidR="002A3E66" w:rsidRDefault="002A3E66">
            <w:pPr>
              <w:shd w:val="clear" w:color="auto" w:fill="FFFFFF"/>
            </w:pPr>
          </w:p>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A3E66" w:rsidRDefault="002A3E66">
            <w:pPr>
              <w:shd w:val="clear" w:color="auto" w:fill="FFFFFF"/>
            </w:pPr>
          </w:p>
        </w:tc>
      </w:tr>
      <w:tr w:rsidR="002A3E66">
        <w:trPr>
          <w:trHeight w:val="3337"/>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rsidR="000968CF" w:rsidRDefault="00062275" w:rsidP="000968CF">
            <w:r>
              <w:t xml:space="preserve">Synyega </w:t>
            </w:r>
          </w:p>
          <w:p w:rsidR="000968CF" w:rsidRDefault="000968CF" w:rsidP="000968CF">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A3E66" w:rsidRDefault="002A3E66">
            <w:pPr>
              <w:spacing w:before="240"/>
            </w:pPr>
          </w:p>
        </w:tc>
      </w:tr>
      <w:tr w:rsidR="002A3E66">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after="240"/>
              <w:rPr>
                <w:b/>
              </w:rPr>
            </w:pPr>
            <w:r>
              <w:rPr>
                <w:b/>
              </w:rPr>
              <w:t>Together the ‘Parties’</w:t>
            </w:r>
          </w:p>
        </w:tc>
      </w:tr>
    </w:tbl>
    <w:p w:rsidR="002A3E66" w:rsidRDefault="002A3E66">
      <w:pPr>
        <w:spacing w:before="240" w:after="240"/>
        <w:rPr>
          <w:b/>
        </w:rPr>
      </w:pPr>
    </w:p>
    <w:p w:rsidR="002A3E66" w:rsidRDefault="00062275">
      <w:pPr>
        <w:pStyle w:val="Heading3"/>
        <w:rPr>
          <w:color w:val="auto"/>
        </w:rPr>
      </w:pPr>
      <w:r>
        <w:rPr>
          <w:color w:val="auto"/>
        </w:rPr>
        <w:t>Principal contact details</w:t>
      </w:r>
    </w:p>
    <w:p w:rsidR="002A3E66" w:rsidRDefault="00062275">
      <w:pPr>
        <w:spacing w:before="240" w:after="120" w:line="480" w:lineRule="auto"/>
        <w:rPr>
          <w:b/>
        </w:rPr>
      </w:pPr>
      <w:r>
        <w:rPr>
          <w:b/>
        </w:rPr>
        <w:t>For the Buyer:</w:t>
      </w:r>
    </w:p>
    <w:p w:rsidR="005E09AE" w:rsidRPr="005E09AE" w:rsidRDefault="005E09AE">
      <w:pPr>
        <w:spacing w:before="240" w:after="120" w:line="480" w:lineRule="auto"/>
        <w:rPr>
          <w:highlight w:val="black"/>
        </w:rPr>
      </w:pPr>
      <w:r w:rsidRPr="005E09AE">
        <w:rPr>
          <w:highlight w:val="black"/>
        </w:rPr>
        <w:t>XXXXXXXXXXXXXXXXXXXXXXXXXXXXX</w:t>
      </w:r>
    </w:p>
    <w:p w:rsidR="005E09AE" w:rsidRPr="005E09AE" w:rsidRDefault="005E09AE">
      <w:pPr>
        <w:spacing w:before="240" w:after="120" w:line="480" w:lineRule="auto"/>
      </w:pPr>
      <w:r w:rsidRPr="005E09AE">
        <w:rPr>
          <w:highlight w:val="black"/>
        </w:rPr>
        <w:t>XXXXXXXXXXXXXXXXXXXXXXXXXXXXX</w:t>
      </w:r>
    </w:p>
    <w:p w:rsidR="002A3E66" w:rsidRDefault="002A3E66">
      <w:pPr>
        <w:spacing w:line="480" w:lineRule="auto"/>
        <w:rPr>
          <w:b/>
        </w:rPr>
      </w:pPr>
    </w:p>
    <w:p w:rsidR="002A3E66" w:rsidRDefault="00062275">
      <w:pPr>
        <w:spacing w:line="480" w:lineRule="auto"/>
        <w:rPr>
          <w:b/>
        </w:rPr>
      </w:pPr>
      <w:r>
        <w:rPr>
          <w:b/>
        </w:rPr>
        <w:t>For the Supplier:</w:t>
      </w:r>
    </w:p>
    <w:p w:rsidR="002A3E66" w:rsidRPr="005E09AE" w:rsidRDefault="005E09AE">
      <w:pPr>
        <w:spacing w:line="480" w:lineRule="auto"/>
        <w:rPr>
          <w:highlight w:val="black"/>
        </w:rPr>
      </w:pPr>
      <w:r w:rsidRPr="005E09AE">
        <w:rPr>
          <w:highlight w:val="black"/>
        </w:rPr>
        <w:t>XXXXXXXXXXXXXXXXXXXXXXXXXXXXX</w:t>
      </w:r>
    </w:p>
    <w:p w:rsidR="002A3E66" w:rsidRPr="005E09AE" w:rsidRDefault="005E09AE">
      <w:pPr>
        <w:spacing w:line="480" w:lineRule="auto"/>
        <w:rPr>
          <w:highlight w:val="black"/>
        </w:rPr>
      </w:pPr>
      <w:r w:rsidRPr="005E09AE">
        <w:rPr>
          <w:highlight w:val="black"/>
        </w:rPr>
        <w:t xml:space="preserve">XXXXXXXXXXXXXXXXXXXXXXXXXXXXX </w:t>
      </w:r>
    </w:p>
    <w:p w:rsidR="002A3E66" w:rsidRDefault="005E09AE">
      <w:pPr>
        <w:spacing w:before="240" w:after="240"/>
      </w:pPr>
      <w:r w:rsidRPr="005E09AE">
        <w:rPr>
          <w:highlight w:val="black"/>
        </w:rPr>
        <w:t>XXXXXXXXXXXXXXXXXXXXXXXXXXXXX</w:t>
      </w:r>
    </w:p>
    <w:p w:rsidR="002A3E66" w:rsidRDefault="00062275">
      <w:pPr>
        <w:pStyle w:val="Heading3"/>
        <w:rPr>
          <w:color w:val="auto"/>
        </w:rPr>
      </w:pPr>
      <w:r>
        <w:rPr>
          <w:color w:val="auto"/>
        </w:rP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2A3E66">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This Call-Off Contract Starts on 06/05/2021 and is valid for 3 months.</w:t>
            </w:r>
          </w:p>
        </w:tc>
      </w:tr>
      <w:tr w:rsidR="002A3E66">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The notice period for the Supplier needed for Ending the Call-Off Contract is at least</w:t>
            </w:r>
            <w:r>
              <w:rPr>
                <w:b/>
              </w:rPr>
              <w:t xml:space="preserve"> [30] </w:t>
            </w:r>
            <w:r>
              <w:t>Working Days from the date of written notice for undisputed sums (as per clause 18.6).</w:t>
            </w:r>
          </w:p>
          <w:p w:rsidR="002A3E66" w:rsidRDefault="00062275">
            <w:pPr>
              <w:spacing w:before="240"/>
            </w:pPr>
            <w:r>
              <w:t xml:space="preserve">The notice period for the Buyer is a maximum of </w:t>
            </w:r>
            <w:r>
              <w:rPr>
                <w:b/>
              </w:rPr>
              <w:t>[30]</w:t>
            </w:r>
            <w:r>
              <w:t xml:space="preserve"> days from the date of written notice for Ending without cause (as per clause 18.1).</w:t>
            </w:r>
          </w:p>
        </w:tc>
      </w:tr>
      <w:tr w:rsidR="002A3E66">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 xml:space="preserve">This Call-off Contract can be extended by the Buyer for 1 </w:t>
            </w:r>
            <w:proofErr w:type="gramStart"/>
            <w:r>
              <w:t>periods</w:t>
            </w:r>
            <w:proofErr w:type="gramEnd"/>
            <w:r>
              <w:t xml:space="preserve"> of up to 1 months, by giving the Supplier 30 days written notice before its expiry. The extension periods are subject to clauses 1.3 and 1.4 in Part B below.</w:t>
            </w:r>
          </w:p>
          <w:p w:rsidR="002A3E66" w:rsidRDefault="00062275">
            <w:pPr>
              <w:spacing w:before="240"/>
            </w:pPr>
            <w:r>
              <w:t>Extensions which extend the Term beyond 24 months are only permitted if the Supplier complies with the additional exit plan requirements at clauses 21.3 to 21.8.</w:t>
            </w:r>
          </w:p>
          <w:p w:rsidR="002A3E66" w:rsidRDefault="00062275">
            <w:pPr>
              <w:spacing w:before="240"/>
            </w:pPr>
            <w:r>
              <w:t>[The extension period after 24 months should not exceed the maximum permitted under the Framework Agreement which is 2 periods of up to 12 months each.</w:t>
            </w:r>
          </w:p>
          <w:p w:rsidR="002A3E66" w:rsidRDefault="00062275">
            <w:pPr>
              <w:spacing w:before="240"/>
            </w:pPr>
            <w:r>
              <w:t>If a buyer is a central government department and the contract Term is intended to exceed 24 months, then under the Spend Controls process, prior approval must be obtained from the Government Digital Service (GDS). Further guidance:</w:t>
            </w:r>
          </w:p>
          <w:p w:rsidR="002A3E66" w:rsidRDefault="005E09AE">
            <w:pPr>
              <w:spacing w:before="240"/>
            </w:pPr>
            <w:hyperlink r:id="rId8" w:history="1">
              <w:r w:rsidR="00062275">
                <w:rPr>
                  <w:rStyle w:val="Hyperlink"/>
                  <w:color w:val="auto"/>
                </w:rPr>
                <w:t>https://www.gov.uk/service-manual/agile-delivery/spend-controls-check-if-you-need-approval-to-spend-money-on-a-service</w:t>
              </w:r>
            </w:hyperlink>
          </w:p>
        </w:tc>
      </w:tr>
    </w:tbl>
    <w:p w:rsidR="002A3E66" w:rsidRDefault="00062275">
      <w:pPr>
        <w:pStyle w:val="Heading3"/>
        <w:rPr>
          <w:color w:val="auto"/>
        </w:rPr>
      </w:pPr>
      <w:r>
        <w:rPr>
          <w:color w:val="auto"/>
        </w:rPr>
        <w:t>Buyer contractual details</w:t>
      </w:r>
    </w:p>
    <w:p w:rsidR="002A3E66" w:rsidRDefault="0006227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2A3E66">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This Call-Off Contract is for the provision of Services under:</w:t>
            </w:r>
          </w:p>
          <w:p w:rsidR="002A3E66" w:rsidRDefault="00062275">
            <w:pPr>
              <w:pStyle w:val="ListParagraph"/>
              <w:numPr>
                <w:ilvl w:val="0"/>
                <w:numId w:val="1"/>
              </w:numPr>
              <w:spacing w:before="240"/>
            </w:pPr>
            <w:r>
              <w:t xml:space="preserve">Lot 3: Cloud support </w:t>
            </w:r>
          </w:p>
        </w:tc>
      </w:tr>
      <w:tr w:rsidR="002A3E66">
        <w:trPr>
          <w:trHeight w:val="202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lastRenderedPageBreak/>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739A2"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p w:rsidR="002A3E66" w:rsidRDefault="002739A2" w:rsidP="002739A2">
            <w:r w:rsidRPr="000968CF">
              <w:rPr>
                <w:highlight w:val="black"/>
              </w:rPr>
              <w:t>XXXXXXXXXXXXXXXXXXXXXXXXXXXXXXXXXXXXXXXXXXXXXXXXXXXXXXXXXXXXXXXXXXXXXXXXXXXXXXXXXXXXXXXXXXXXXXXXXXXXXXXXXXXXXXXXXXXXXXXXXXXXXXXXXXXXXXXXXXXXXXXXXXXXXXXXXXXXXXXXXXXXXXXXXXXXXXXXXXXXXXXXXXXXXXXXXXXXXXXXXXXXXXXXXXXXXXXXXXXXXXXXX</w:t>
            </w:r>
          </w:p>
        </w:tc>
      </w:tr>
      <w:tr w:rsidR="002A3E66">
        <w:trPr>
          <w:trHeight w:val="642"/>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lastRenderedPageBreak/>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bCs/>
                <w:u w:val="single"/>
              </w:rPr>
              <w:t>Not Applicable</w:t>
            </w:r>
          </w:p>
        </w:tc>
      </w:tr>
      <w:tr w:rsidR="002A3E66">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5E09AE">
            <w:pPr>
              <w:spacing w:before="240"/>
            </w:pPr>
            <w:r w:rsidRPr="005E09AE">
              <w:rPr>
                <w:rFonts w:ascii="Helvetica Neue" w:eastAsia="Helvetica Neue" w:hAnsi="Helvetica Neue" w:cs="Helvetica Neue"/>
                <w:highlight w:val="black"/>
              </w:rPr>
              <w:t>XXXXXXXXXXXXXXXXXXXXXXXXXXXXXXXXXXXXXXXXXXXXXXXXXXXXXXXXXXXXXXXXXXXXXXXXXXXXXXXXXXXXXXXXXXXXXXXXXXXXXXXXXXXXXXXXXXXXXXXXXXXXXXXXXXXXXXXXXXXXXXXXXXXXXXXXXXXXXXXXXXXX</w:t>
            </w:r>
          </w:p>
        </w:tc>
      </w:tr>
      <w:tr w:rsidR="002A3E66">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rFonts w:ascii="Helvetica Neue" w:eastAsia="Helvetica Neue" w:hAnsi="Helvetica Neue" w:cs="Helvetica Neue"/>
              </w:rPr>
              <w:t xml:space="preserve">The quality standards required for this Call-Off Contract are </w:t>
            </w:r>
            <w:r>
              <w:rPr>
                <w:rFonts w:ascii="Helvetica Neue" w:eastAsia="Helvetica Neue" w:hAnsi="Helvetica Neue"/>
              </w:rPr>
              <w:t>included in Supplier’s Service Description documents listed in Schedule 1 to this Call-Off Contract and available on the Digital Marketplace.</w:t>
            </w:r>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rFonts w:ascii="Helvetica Neue" w:eastAsia="Helvetica Neue" w:hAnsi="Helvetica Neue" w:cs="Helvetica Neue"/>
              </w:rPr>
              <w:t xml:space="preserve">The technical standards required for this Call-Off Contract are </w:t>
            </w:r>
            <w:r>
              <w:rPr>
                <w:rFonts w:ascii="Helvetica Neue" w:eastAsia="Helvetica Neue" w:hAnsi="Helvetica Neue"/>
              </w:rPr>
              <w:t>included in Supplier’s Service Description documents listed in Schedule 1 to this Call-Off Contract and available on the Digital Marketplace</w:t>
            </w:r>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The service level and availability criteria for this contract are as described in the Supplier’s Service Definition</w:t>
            </w:r>
          </w:p>
        </w:tc>
        <w:tc>
          <w:tcPr>
            <w:tcW w:w="46" w:type="dxa"/>
            <w:shd w:val="clear" w:color="auto" w:fill="auto"/>
            <w:tcMar>
              <w:top w:w="0" w:type="dxa"/>
              <w:left w:w="10" w:type="dxa"/>
              <w:bottom w:w="0" w:type="dxa"/>
              <w:right w:w="10" w:type="dxa"/>
            </w:tcMar>
          </w:tcPr>
          <w:p w:rsidR="002A3E66" w:rsidRDefault="002A3E66">
            <w:pPr>
              <w:pStyle w:val="ListParagraph"/>
            </w:pPr>
          </w:p>
        </w:tc>
      </w:tr>
      <w:tr w:rsidR="002A3E66">
        <w:trPr>
          <w:trHeight w:val="75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tc>
        <w:tc>
          <w:tcPr>
            <w:tcW w:w="46" w:type="dxa"/>
            <w:shd w:val="clear" w:color="auto" w:fill="auto"/>
            <w:tcMar>
              <w:top w:w="0" w:type="dxa"/>
              <w:left w:w="10" w:type="dxa"/>
              <w:bottom w:w="0" w:type="dxa"/>
              <w:right w:w="10" w:type="dxa"/>
            </w:tcMar>
          </w:tcPr>
          <w:p w:rsidR="002A3E66" w:rsidRDefault="002A3E66">
            <w:pPr>
              <w:pStyle w:val="ListParagraph"/>
            </w:pPr>
          </w:p>
        </w:tc>
      </w:tr>
      <w:tr w:rsidR="002A3E66">
        <w:trPr>
          <w:trHeight w:val="79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 xml:space="preserve">Any equipment owned by HMRC will be returned and access to data will cease </w:t>
            </w:r>
          </w:p>
        </w:tc>
        <w:tc>
          <w:tcPr>
            <w:tcW w:w="46" w:type="dxa"/>
            <w:shd w:val="clear" w:color="auto" w:fill="auto"/>
            <w:tcMar>
              <w:top w:w="0" w:type="dxa"/>
              <w:left w:w="10" w:type="dxa"/>
              <w:bottom w:w="0" w:type="dxa"/>
              <w:right w:w="10" w:type="dxa"/>
            </w:tcMar>
          </w:tcPr>
          <w:p w:rsidR="002A3E66" w:rsidRDefault="002A3E66">
            <w:pPr>
              <w:pStyle w:val="ListParagraph"/>
            </w:pPr>
          </w:p>
        </w:tc>
      </w:tr>
      <w:tr w:rsidR="002A3E66">
        <w:trPr>
          <w:trHeight w:val="6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p w:rsidR="002A3E66" w:rsidRDefault="002A3E66">
            <w:pPr>
              <w:spacing w:before="240"/>
            </w:pPr>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spacing w:before="240"/>
            </w:pPr>
            <w:r w:rsidRPr="00561229">
              <w:rPr>
                <w:highlight w:val="black"/>
              </w:rPr>
              <w:t xml:space="preserve">XXXXXXXXXXXXXXXXXXXXXXXXXXXXXXXXXXXXXXXXXXXXXXXXXXXXXXXXXXXXXXXXXXXXXXXXXXXXXXXXXXXXXXXXXXXXXXXXXXXXXXXXXXXXXXXXXXXXXXXXXXX </w:t>
            </w:r>
            <w:r w:rsidRPr="00561229">
              <w:rPr>
                <w:highlight w:val="black"/>
              </w:rPr>
              <w:t>XXXXXXXXXXXXXXXXXXXXXXXXXXXXXXXXXXXXXXXXXXXXXXXXXXXXXXXXXXXXXXXXXXXXXXXXXXXXXXXXXXXXXXXXXXXXXXXXXXXXXXXXXXXXXXXXXXXXXXXXXXX</w:t>
            </w:r>
            <w:r w:rsidRPr="00561229">
              <w:rPr>
                <w:highlight w:val="black"/>
              </w:rPr>
              <w:t xml:space="preserve"> </w:t>
            </w:r>
            <w:r w:rsidRPr="00561229">
              <w:rPr>
                <w:highlight w:val="black"/>
              </w:rPr>
              <w:t>XXXXXXXXXXXXXXXXXXXXXXXXXXXXXXXXXXXXXXXXXXXXXXXXXXXXXXXXXXXXXXXXXXXXXXXXXXXXXXXXXXXXXXXXXXXXXXXXXXXXXXXXXXXXXXXXXXXXXXXXXXX</w:t>
            </w:r>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4295"/>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spacing w:before="240"/>
            </w:pPr>
            <w:r w:rsidRPr="00561229">
              <w:rPr>
                <w:highlight w:val="black"/>
              </w:rPr>
              <w:t>XXXXXXXXXXXXXXXXXXXXXXXXXXXXXXXXXXXXXXXXXXXXXXXXXXXXXXXXXXXXXXXXXXXXXXXXXXXXXXXXXXXXXXXXXXXXXXXXXXXXXXXXXXXXXXXXXXXXXXXXXXX</w:t>
            </w:r>
            <w:r w:rsidRPr="00561229">
              <w:rPr>
                <w:highlight w:val="black"/>
              </w:rPr>
              <w:t xml:space="preserve"> </w:t>
            </w:r>
            <w:r w:rsidRPr="00561229">
              <w:rPr>
                <w:highlight w:val="black"/>
              </w:rPr>
              <w:t>XXXXXXXXXXXXXXXXXXXXXXXXXXXXXXXXXXXXXXXXXXXXXXXXXXXXXXXXXXXXXXXXXXXXXXXXXXXXXXXXXXXXXXXXXXXXXXXXXXXXXXXXXXXXXXXXXXXXXXXXXXX</w:t>
            </w:r>
            <w:r w:rsidRPr="00561229">
              <w:rPr>
                <w:highlight w:val="black"/>
              </w:rPr>
              <w:t xml:space="preserve"> </w:t>
            </w:r>
            <w:r w:rsidRPr="00561229">
              <w:rPr>
                <w:highlight w:val="black"/>
              </w:rPr>
              <w:t>XXXXXXXXXXXXXXXXXXXXXXXXXXXXXXXXXXXXXXXXXXXXXXXXXXXXXXXXXXXXXXXXXXXXXXXXXXXXXXXXXXXXXXXXXXXXXXXXXXXXXXXXXXXXXXXXXXXXXXXXXXX</w:t>
            </w:r>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A Party may End this Call-Off Contract if the Other Party is affected by a Force Majeure Event that lasts for more than 60 consecutive days.</w:t>
            </w:r>
          </w:p>
          <w:p w:rsidR="002A3E66" w:rsidRDefault="00062275">
            <w:pPr>
              <w:spacing w:before="240"/>
            </w:pPr>
            <w:r>
              <w:t>[This section relates to clause 23.1 in Part B below.]</w:t>
            </w:r>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The following Framework Agreement audit provisions will be incorporated under clause 2.1 of this Call-Off Contract to enable the Buyer to carry out audits as required</w:t>
            </w:r>
          </w:p>
          <w:p w:rsidR="002A3E66" w:rsidRDefault="00062275">
            <w:pPr>
              <w:spacing w:before="240"/>
            </w:pPr>
            <w:r>
              <w:t>The required audit provisions are included within clauses 7.4 to 7.13 of the Framework Agreement.</w:t>
            </w:r>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817B09" w:rsidP="00817B09">
            <w:r w:rsidRPr="000968CF">
              <w:rPr>
                <w:highlight w:val="black"/>
              </w:rPr>
              <w:t>XXXXXXXXXXXXXXXXXXXXXXXXXXXXXXXXXXXXXXXXXXXXXXXXXXXXXXXXXXXXXXXXXXXXXXXXXXXXXXXXXXXXXXXXXXXXXXXXXXXXXXXXXXXXXXXXXXXXXXXXXXXXXXXXXXXXXXXXXXXXXXXXXXXXXXXXXXXXXXXXXXXXXXXXXXXXXXXXXXXXXXXXXXXXXXXXXXXXXXXXXXXXX</w:t>
            </w:r>
            <w:r w:rsidRPr="000968CF">
              <w:rPr>
                <w:highlight w:val="black"/>
              </w:rPr>
              <w:t xml:space="preserve"> </w:t>
            </w:r>
            <w:r w:rsidRPr="000968CF">
              <w:rPr>
                <w:highlight w:val="black"/>
              </w:rPr>
              <w:t>XXXXXXXXXXXXXXXXXXXXXXXXXXXXXXXXXXXXXXXXXXXXXXXXXXXXXXXXXXXXXXXXXXXXXXXXXXXXXXXXXXXXXXXXXXXXXXXXXXXXXXXXXXXXXXXXXXXXXXXXXXXXXXXXXXXXXXXXXXXXXXXXXXXXXXXXXXXXXXXXXXXXXXXXXXXXXXXXXXXXXXXXXXXXXXXXXXXXXXXXXXXXX</w:t>
            </w:r>
            <w:r w:rsidRPr="000968CF">
              <w:rPr>
                <w:highlight w:val="black"/>
              </w:rPr>
              <w:t xml:space="preserve"> </w:t>
            </w:r>
            <w:r w:rsidRPr="000968CF">
              <w:rPr>
                <w:highlight w:val="black"/>
              </w:rPr>
              <w:t>XXXXXXXXXXXXXXXXXXXXXXXXXXXXXXXXXXXXXXXXXXXXXXXXXXXXXXXXXXXXXXXXXXXXXXXXXXXXXXXXXXXXXXXXXXXXXXXXXXXXXXXXXXXXXXXXXXXXXXXXXXXXXXXXXXXXXXXXXXXXXXXXXXXXXXXXXXXXXXXXXXXXXXXXXXXXXXXXXXXXXXXXXXXXXXXXXXXXXXXXXXXXX</w:t>
            </w:r>
            <w:r w:rsidRPr="000968CF">
              <w:rPr>
                <w:highlight w:val="black"/>
              </w:rPr>
              <w:t xml:space="preserve"> </w:t>
            </w:r>
            <w:r w:rsidRPr="000968CF">
              <w:rPr>
                <w:highlight w:val="black"/>
              </w:rPr>
              <w:t>XXXXXXXXXXXXXXXXXXXXXXXXXXXXXXXXXXXXXXXXXXXXXXXXXXXXXXXXXXXXXXXXXXXXXXXXXXXXXXXXXXXXXXXXXXXXXXXXXXXXXXXXXXXXXXXXXXXXXXXXXXXXXXXXXXXXXXXXXXXXXXXXXXXXXXXXXXXXXXXXXXXXXXXXXXXXXXXXXXXXXXXXXXXXXXXXXXXXXXXXXXXXX</w:t>
            </w:r>
            <w:bookmarkStart w:id="4" w:name="_GoBack"/>
            <w:bookmarkEnd w:id="4"/>
          </w:p>
        </w:tc>
        <w:tc>
          <w:tcPr>
            <w:tcW w:w="46" w:type="dxa"/>
            <w:shd w:val="clear" w:color="auto" w:fill="auto"/>
            <w:tcMar>
              <w:top w:w="0" w:type="dxa"/>
              <w:left w:w="10" w:type="dxa"/>
              <w:bottom w:w="0" w:type="dxa"/>
              <w:right w:w="10" w:type="dxa"/>
            </w:tcMar>
          </w:tcPr>
          <w:p w:rsidR="002A3E66" w:rsidRDefault="002A3E66">
            <w:pPr>
              <w:spacing w:before="240"/>
            </w:pPr>
          </w:p>
        </w:tc>
      </w:tr>
      <w:tr w:rsidR="002A3E66">
        <w:trPr>
          <w:trHeight w:val="68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rFonts w:ascii="Helvetica Neue" w:eastAsia="Helvetica Neue" w:hAnsi="Helvetica Neue" w:cs="Helvetica Neue"/>
              </w:rPr>
              <w:t>Where the Buyer determines it is necessary to use the Buyers equipment to provide the Services this will be provided by the Buyer without cost to the Supplier</w:t>
            </w:r>
            <w:r>
              <w:t xml:space="preserve"> </w:t>
            </w:r>
          </w:p>
        </w:tc>
        <w:tc>
          <w:tcPr>
            <w:tcW w:w="46" w:type="dxa"/>
            <w:shd w:val="clear" w:color="auto" w:fill="auto"/>
            <w:tcMar>
              <w:top w:w="0" w:type="dxa"/>
              <w:left w:w="10" w:type="dxa"/>
              <w:bottom w:w="0" w:type="dxa"/>
              <w:right w:w="10" w:type="dxa"/>
            </w:tcMar>
          </w:tcPr>
          <w:p w:rsidR="002A3E66" w:rsidRDefault="002A3E66">
            <w:pPr>
              <w:spacing w:before="240"/>
            </w:pPr>
          </w:p>
        </w:tc>
      </w:tr>
    </w:tbl>
    <w:p w:rsidR="002A3E66" w:rsidRDefault="002A3E66">
      <w:pPr>
        <w:spacing w:before="240" w:after="120"/>
      </w:pPr>
    </w:p>
    <w:p w:rsidR="002A3E66" w:rsidRDefault="0006227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2A3E66">
        <w:trPr>
          <w:trHeight w:val="919"/>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tc>
      </w:tr>
    </w:tbl>
    <w:p w:rsidR="002A3E66" w:rsidRDefault="002A3E66">
      <w:pPr>
        <w:spacing w:before="240" w:after="120"/>
      </w:pPr>
    </w:p>
    <w:p w:rsidR="002A3E66" w:rsidRDefault="00062275">
      <w:pPr>
        <w:pStyle w:val="Heading3"/>
        <w:rPr>
          <w:color w:val="auto"/>
        </w:rPr>
      </w:pPr>
      <w:r>
        <w:rPr>
          <w:color w:val="auto"/>
        </w:rPr>
        <w:t>Call-Off Contract charges and payment</w:t>
      </w:r>
    </w:p>
    <w:p w:rsidR="002A3E66" w:rsidRDefault="0006227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2A3E66">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The payment method for this agreement is by BACS transfer through the HMRC Ariba network.</w:t>
            </w:r>
          </w:p>
        </w:tc>
      </w:tr>
      <w:tr w:rsidR="002A3E66">
        <w:trPr>
          <w:trHeight w:val="86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 xml:space="preserve">Payment profile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 xml:space="preserve">The payment profile for this Call-Off Contract will be a single payment at the end of the three-month engagement as described in schedule 2. </w:t>
            </w:r>
          </w:p>
        </w:tc>
      </w:tr>
      <w:tr w:rsidR="002A3E66">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The Supplier will issue electronic invoices via the Ariba network. The Customer will pay the Supplier within 30 days of receipt of a valid invoice.</w:t>
            </w:r>
          </w:p>
        </w:tc>
      </w:tr>
      <w:tr w:rsidR="002A3E66">
        <w:trPr>
          <w:trHeight w:val="857"/>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Invoices will be sent via the HMRC Ariba network.</w:t>
            </w:r>
          </w:p>
        </w:tc>
      </w:tr>
      <w:tr w:rsidR="002A3E66">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 xml:space="preserve">All invoices must include a valid purchase order number, and reference to the agreed payment milestone. </w:t>
            </w:r>
          </w:p>
        </w:tc>
      </w:tr>
      <w:tr w:rsidR="002A3E66">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Invoice will be sent to the Buyer following agreed milestones.</w:t>
            </w:r>
          </w:p>
        </w:tc>
      </w:tr>
      <w:tr w:rsidR="002A3E66">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Pr="005E09AE" w:rsidRDefault="005E09AE">
            <w:pPr>
              <w:spacing w:before="240"/>
              <w:rPr>
                <w:highlight w:val="black"/>
              </w:rPr>
            </w:pPr>
            <w:r w:rsidRPr="005E09AE">
              <w:rPr>
                <w:highlight w:val="black"/>
              </w:rPr>
              <w:t>XXXXXXXXXXXXXXXXXXXXXXXXXXXXXXXXXXXXXXXXXXXXXXXXXXXXXXXXXXXXXXXXXXXXXXXXXXXXXXXXXXXX</w:t>
            </w:r>
          </w:p>
        </w:tc>
      </w:tr>
      <w:tr w:rsidR="002A3E66">
        <w:trPr>
          <w:trHeight w:val="100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The breakdown of the Charges is within schedule 2 and is based on G-Cloud 12 rate cards.</w:t>
            </w:r>
          </w:p>
        </w:tc>
      </w:tr>
    </w:tbl>
    <w:p w:rsidR="002A3E66" w:rsidRDefault="002A3E66"/>
    <w:p w:rsidR="002A3E66" w:rsidRDefault="00062275">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2A3E66">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This Call-Off Contract does not require an Implementation Plan, exit and offboarding plans:</w:t>
            </w:r>
          </w:p>
          <w:p w:rsidR="002A3E66" w:rsidRDefault="00062275">
            <w:pPr>
              <w:pStyle w:val="ListParagraph"/>
              <w:numPr>
                <w:ilvl w:val="0"/>
                <w:numId w:val="5"/>
              </w:numPr>
              <w:spacing w:before="240"/>
            </w:pPr>
            <w:r>
              <w:t xml:space="preserve">All equipment and access passes will be returned to HMRC on completion of the contract. </w:t>
            </w:r>
          </w:p>
          <w:p w:rsidR="002A3E66" w:rsidRDefault="00062275">
            <w:pPr>
              <w:pStyle w:val="ListParagraph"/>
              <w:numPr>
                <w:ilvl w:val="0"/>
                <w:numId w:val="5"/>
              </w:numPr>
              <w:spacing w:before="240"/>
            </w:pPr>
            <w:r>
              <w:t>Milestones are listed within Schedule 2</w:t>
            </w:r>
          </w:p>
        </w:tc>
      </w:tr>
      <w:tr w:rsidR="002A3E66">
        <w:trPr>
          <w:trHeight w:val="66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p w:rsidR="002A3E66" w:rsidRDefault="002A3E66">
            <w:pPr>
              <w:spacing w:before="240"/>
            </w:pPr>
          </w:p>
        </w:tc>
      </w:tr>
      <w:tr w:rsidR="002A3E66">
        <w:trPr>
          <w:trHeight w:val="79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p w:rsidR="002A3E66" w:rsidRDefault="002A3E66">
            <w:pPr>
              <w:spacing w:before="240"/>
            </w:pPr>
          </w:p>
        </w:tc>
      </w:tr>
      <w:tr w:rsidR="002A3E66">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32E5B" w:rsidRDefault="00A32E5B" w:rsidP="00A32E5B">
            <w:r w:rsidRPr="000968CF">
              <w:rPr>
                <w:highlight w:val="black"/>
              </w:rPr>
              <w:t>XXXXXXXXXXXXXXXXXXXXXXXXXXXXXXXXXXXXXXXXXXXXXXXXXXXXXXXXXXXXXXXXXXXXXXXXXXXXXXXXXXXXXXXXXXXXXXXXXXXXXXXXXXXXXXXXXXXXXXXXXXXXXXXXXXXXXXXXXXXXXXXXXXXXXXXXXXXXXXXXXXXXXXXXXXXXXXXXXXXXXXXXXXXXXXXXXXXXXXXXXXXXX</w:t>
            </w:r>
          </w:p>
          <w:p w:rsidR="00A32E5B" w:rsidRDefault="00A32E5B" w:rsidP="00A32E5B">
            <w:r w:rsidRPr="000968CF">
              <w:rPr>
                <w:highlight w:val="black"/>
              </w:rPr>
              <w:lastRenderedPageBreak/>
              <w:t>XXXXXXXXXXXXXXXXXXXXXXXXXXXXXXXXXXXXXXXXXXXXXXXXXXXXXXXXXXXXXXXXXXXXXXXXXXXXXXXXXXXXXXXXXXXXXXXXXXXXXXXXXXXXXXXXXXXXXXXXXXXXXXXXXXXXXXXXXXXXXXXXXXXXXXXXXXXXXXXXXXXXXXXXXXXXXXXXXXXXXXXXXXXXXXXXXXXXXXXXXXXXX</w:t>
            </w:r>
          </w:p>
          <w:p w:rsidR="002A3E66" w:rsidRDefault="002A3E66">
            <w:pPr>
              <w:spacing w:before="240"/>
            </w:pPr>
          </w:p>
        </w:tc>
      </w:tr>
      <w:tr w:rsidR="002A3E66">
        <w:trPr>
          <w:trHeight w:val="83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p w:rsidR="002A3E66" w:rsidRDefault="002A3E66">
            <w:pPr>
              <w:spacing w:before="240"/>
            </w:pPr>
          </w:p>
        </w:tc>
      </w:tr>
      <w:tr w:rsidR="002A3E66">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p w:rsidR="002A3E66" w:rsidRDefault="002A3E66">
            <w:pPr>
              <w:spacing w:before="240"/>
            </w:pPr>
          </w:p>
        </w:tc>
      </w:tr>
      <w:tr w:rsidR="002A3E66">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p w:rsidR="002A3E66" w:rsidRDefault="002A3E66">
            <w:pPr>
              <w:spacing w:before="240"/>
            </w:pPr>
          </w:p>
        </w:tc>
      </w:tr>
      <w:tr w:rsidR="002A3E66">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Not Applicable</w:t>
            </w:r>
          </w:p>
          <w:p w:rsidR="002A3E66" w:rsidRDefault="002A3E66">
            <w:pPr>
              <w:spacing w:before="240"/>
            </w:pPr>
          </w:p>
        </w:tc>
      </w:tr>
    </w:tbl>
    <w:p w:rsidR="002A3E66" w:rsidRDefault="00062275">
      <w:pPr>
        <w:spacing w:before="240" w:after="240"/>
      </w:pPr>
      <w:r>
        <w:t xml:space="preserve"> </w:t>
      </w:r>
    </w:p>
    <w:p w:rsidR="002A3E66" w:rsidRDefault="00062275">
      <w:pPr>
        <w:pStyle w:val="Heading3"/>
        <w:rPr>
          <w:color w:val="auto"/>
        </w:rPr>
      </w:pPr>
      <w:r>
        <w:rPr>
          <w:color w:val="auto"/>
        </w:rPr>
        <w:t xml:space="preserve">1. </w:t>
      </w:r>
      <w:r>
        <w:rPr>
          <w:color w:val="auto"/>
        </w:rPr>
        <w:tab/>
        <w:t>Formation of contract</w:t>
      </w:r>
    </w:p>
    <w:p w:rsidR="002A3E66" w:rsidRDefault="00062275">
      <w:pPr>
        <w:ind w:left="720" w:hanging="720"/>
      </w:pPr>
      <w:r>
        <w:t>1.1</w:t>
      </w:r>
      <w:r>
        <w:tab/>
        <w:t>By signing and returning this Order Form (Part A), the Supplier agrees to enter into a Call-Off Contract with the Buyer.</w:t>
      </w:r>
    </w:p>
    <w:p w:rsidR="002A3E66" w:rsidRDefault="002A3E66">
      <w:pPr>
        <w:ind w:firstLine="720"/>
      </w:pPr>
    </w:p>
    <w:p w:rsidR="002A3E66" w:rsidRDefault="00062275">
      <w:pPr>
        <w:ind w:left="720" w:hanging="720"/>
      </w:pPr>
      <w:r>
        <w:t>1.2</w:t>
      </w:r>
      <w:r>
        <w:tab/>
        <w:t>The Parties agree that they have read the Order Form (Part A) and the Call-Off Contract terms and by signing below agree to be bound by this Call-Off Contract.</w:t>
      </w:r>
    </w:p>
    <w:p w:rsidR="002A3E66" w:rsidRDefault="002A3E66">
      <w:pPr>
        <w:ind w:firstLine="720"/>
      </w:pPr>
    </w:p>
    <w:p w:rsidR="002A3E66" w:rsidRDefault="00062275">
      <w:pPr>
        <w:ind w:left="720" w:hanging="720"/>
      </w:pPr>
      <w:r>
        <w:t>1.3</w:t>
      </w:r>
      <w:r>
        <w:tab/>
        <w:t>This Call-Off Contract will be formed when the Buyer acknowledges receipt of the signed copy of the Order Form from the Supplier.</w:t>
      </w:r>
    </w:p>
    <w:p w:rsidR="002A3E66" w:rsidRDefault="002A3E66">
      <w:pPr>
        <w:ind w:firstLine="720"/>
      </w:pPr>
    </w:p>
    <w:p w:rsidR="002A3E66" w:rsidRDefault="0006227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2A3E66" w:rsidRDefault="002A3E66"/>
    <w:p w:rsidR="002A3E66" w:rsidRDefault="00062275">
      <w:pPr>
        <w:pStyle w:val="Heading3"/>
        <w:rPr>
          <w:color w:val="auto"/>
        </w:rPr>
      </w:pPr>
      <w:r>
        <w:rPr>
          <w:color w:val="auto"/>
        </w:rPr>
        <w:lastRenderedPageBreak/>
        <w:t xml:space="preserve">2. </w:t>
      </w:r>
      <w:r>
        <w:rPr>
          <w:color w:val="auto"/>
        </w:rPr>
        <w:tab/>
        <w:t>Background to the agreement</w:t>
      </w:r>
    </w:p>
    <w:p w:rsidR="002A3E66" w:rsidRDefault="00062275">
      <w:pPr>
        <w:ind w:left="720" w:hanging="720"/>
      </w:pPr>
      <w:r>
        <w:t>2.1</w:t>
      </w:r>
      <w:r>
        <w:tab/>
        <w:t>The Supplier is a provider of G-Cloud Services and agreed to provide the Services under the terms of Framework Agreement number RM1557.12.</w:t>
      </w:r>
    </w:p>
    <w:p w:rsidR="002A3E66" w:rsidRDefault="002A3E66">
      <w:pPr>
        <w:ind w:left="720"/>
      </w:pPr>
    </w:p>
    <w:p w:rsidR="002A3E66" w:rsidRDefault="00062275">
      <w:r>
        <w:t>2.2</w:t>
      </w:r>
      <w:r>
        <w:tab/>
        <w:t>The Buyer provided an Order Form for Services to the Supplier.</w:t>
      </w:r>
    </w:p>
    <w:p w:rsidR="002A3E66" w:rsidRDefault="002A3E66"/>
    <w:p w:rsidR="002A3E66" w:rsidRDefault="002A3E66">
      <w:pPr>
        <w:pageBreakBefore/>
      </w:pPr>
    </w:p>
    <w:p w:rsidR="002A3E66" w:rsidRDefault="002A3E6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2A3E6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t>Buyer</w:t>
            </w:r>
          </w:p>
        </w:tc>
      </w:tr>
      <w:tr w:rsidR="002A3E6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spacing w:before="240"/>
            </w:pPr>
            <w:r w:rsidRPr="00561229">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spacing w:before="240"/>
            </w:pPr>
            <w:r w:rsidRPr="00561229">
              <w:rPr>
                <w:highlight w:val="black"/>
              </w:rPr>
              <w:t>XXXXXXXXXXXXXXXXXXXXXXXXXXXXXXXXXXXXXXXXXXXX</w:t>
            </w:r>
          </w:p>
        </w:tc>
      </w:tr>
      <w:tr w:rsidR="002A3E6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spacing w:before="240"/>
            </w:pPr>
            <w:r w:rsidRPr="00561229">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spacing w:before="240"/>
            </w:pPr>
            <w:r w:rsidRPr="00561229">
              <w:rPr>
                <w:highlight w:val="black"/>
              </w:rPr>
              <w:t>XXXXXXXXXXXXXXXXXXXXXXXXXXXXXXXXXXXXXXXXXXXX</w:t>
            </w:r>
          </w:p>
        </w:tc>
      </w:tr>
      <w:tr w:rsidR="002A3E66">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r w:rsidRPr="00561229">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widowControl w:val="0"/>
            </w:pPr>
            <w:r w:rsidRPr="00561229">
              <w:rPr>
                <w:highlight w:val="black"/>
              </w:rPr>
              <w:t>XXXXXXXXXXXXXXXXXXXXXXXXXXXXXXXXXXXXXXXXXXXX</w:t>
            </w:r>
          </w:p>
        </w:tc>
      </w:tr>
      <w:tr w:rsidR="002A3E66">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561229">
            <w:pPr>
              <w:spacing w:before="240"/>
            </w:pPr>
            <w:r w:rsidRPr="00561229">
              <w:rPr>
                <w:highlight w:val="black"/>
              </w:rPr>
              <w:t>XXXXXXXXXXXXXXXXXXXXXXXXXXXXXXXXXXXXXXXXXXXX</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Pr="00561229" w:rsidRDefault="00561229">
            <w:pPr>
              <w:spacing w:before="240"/>
              <w:rPr>
                <w:highlight w:val="black"/>
              </w:rPr>
            </w:pPr>
            <w:r w:rsidRPr="00561229">
              <w:rPr>
                <w:highlight w:val="black"/>
              </w:rPr>
              <w:t>XXXXXXXXXXXXXXXXXXXXXXXXXXXXXXXXXXXXXXXXXXXX</w:t>
            </w:r>
          </w:p>
        </w:tc>
      </w:tr>
    </w:tbl>
    <w:p w:rsidR="002A3E66" w:rsidRDefault="00062275">
      <w:pPr>
        <w:spacing w:before="240"/>
        <w:rPr>
          <w:b/>
        </w:rPr>
      </w:pPr>
      <w:r>
        <w:rPr>
          <w:b/>
        </w:rPr>
        <w:t xml:space="preserve"> </w:t>
      </w:r>
    </w:p>
    <w:p w:rsidR="002A3E66" w:rsidRDefault="00062275">
      <w:pPr>
        <w:pStyle w:val="Heading2"/>
      </w:pPr>
      <w:bookmarkStart w:id="5" w:name="_Toc33176233"/>
      <w:r>
        <w:t>Schedule 1: Services</w:t>
      </w:r>
      <w:bookmarkEnd w:id="5"/>
    </w:p>
    <w:p w:rsidR="00860460" w:rsidRDefault="00860460" w:rsidP="00860460">
      <w:pPr>
        <w:rPr>
          <w:sz w:val="32"/>
          <w:szCs w:val="32"/>
        </w:rPr>
      </w:pPr>
      <w:r w:rsidRPr="00561229">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860460" w:rsidRDefault="00860460" w:rsidP="00860460">
      <w:pPr>
        <w:rPr>
          <w:sz w:val="32"/>
          <w:szCs w:val="32"/>
        </w:rPr>
      </w:pPr>
      <w:r w:rsidRPr="00561229">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561229">
        <w:rPr>
          <w:highlight w:val="black"/>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860460" w:rsidRDefault="00860460" w:rsidP="00860460">
      <w:pPr>
        <w:rPr>
          <w:sz w:val="32"/>
          <w:szCs w:val="32"/>
        </w:rPr>
      </w:pPr>
      <w:r w:rsidRPr="00561229">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860460" w:rsidRDefault="00860460" w:rsidP="00860460">
      <w:pPr>
        <w:rPr>
          <w:sz w:val="32"/>
          <w:szCs w:val="32"/>
        </w:rPr>
      </w:pPr>
      <w:r w:rsidRPr="00561229">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860460" w:rsidRPr="00860460" w:rsidRDefault="00860460" w:rsidP="00860460">
      <w:r w:rsidRPr="00561229">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A3E66" w:rsidRDefault="00062275">
      <w:pPr>
        <w:pStyle w:val="Heading2"/>
      </w:pPr>
      <w:bookmarkStart w:id="6" w:name="_Toc33176234"/>
      <w:r>
        <w:lastRenderedPageBreak/>
        <w:t>Schedule 2: Call-Off Contract charges</w:t>
      </w:r>
      <w:bookmarkEnd w:id="6"/>
    </w:p>
    <w:p w:rsidR="002A3E66" w:rsidRDefault="00561229">
      <w:pPr>
        <w:rPr>
          <w:sz w:val="32"/>
          <w:szCs w:val="32"/>
        </w:rPr>
      </w:pPr>
      <w:r w:rsidRPr="00561229">
        <w:rPr>
          <w:highlight w:val="black"/>
        </w:rPr>
        <w:t>XXXXXXXXXXXXXXXXXXXXXXXXXXXXXXXXXXXXXXXXXXXX</w:t>
      </w:r>
      <w:r w:rsidRPr="00561229">
        <w:rPr>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2A3E66" w:rsidRDefault="002A3E66">
      <w:pPr>
        <w:rPr>
          <w:sz w:val="32"/>
          <w:szCs w:val="32"/>
        </w:rPr>
      </w:pPr>
    </w:p>
    <w:p w:rsidR="002A3E66" w:rsidRDefault="002A3E66">
      <w:pPr>
        <w:rPr>
          <w:sz w:val="32"/>
          <w:szCs w:val="32"/>
        </w:rPr>
      </w:pPr>
    </w:p>
    <w:p w:rsidR="002A3E66" w:rsidRDefault="00062275">
      <w:pPr>
        <w:pStyle w:val="Heading2"/>
        <w:pageBreakBefore/>
      </w:pPr>
      <w:bookmarkStart w:id="7" w:name="_Toc33176235"/>
      <w:r>
        <w:lastRenderedPageBreak/>
        <w:t>Part B: Terms and conditions</w:t>
      </w:r>
      <w:bookmarkEnd w:id="7"/>
    </w:p>
    <w:p w:rsidR="002A3E66" w:rsidRDefault="00062275">
      <w:pPr>
        <w:pStyle w:val="Heading3"/>
        <w:spacing w:before="0" w:after="100"/>
        <w:rPr>
          <w:color w:val="auto"/>
        </w:rPr>
      </w:pPr>
      <w:r>
        <w:rPr>
          <w:color w:val="auto"/>
        </w:rPr>
        <w:t>1.</w:t>
      </w:r>
      <w:r>
        <w:rPr>
          <w:color w:val="auto"/>
        </w:rPr>
        <w:tab/>
        <w:t>Call-Off Contract Start date and length</w:t>
      </w:r>
    </w:p>
    <w:p w:rsidR="002A3E66" w:rsidRDefault="00062275">
      <w:r>
        <w:t>1.1</w:t>
      </w:r>
      <w:r>
        <w:tab/>
        <w:t>The Supplier must start providing the Services on the date specified in the Order Form.</w:t>
      </w:r>
    </w:p>
    <w:p w:rsidR="002A3E66" w:rsidRDefault="002A3E66">
      <w:pPr>
        <w:ind w:firstLine="720"/>
      </w:pPr>
    </w:p>
    <w:p w:rsidR="002A3E66" w:rsidRDefault="00062275">
      <w:pPr>
        <w:ind w:left="720" w:hanging="720"/>
      </w:pPr>
      <w:r>
        <w:t>1.2</w:t>
      </w:r>
      <w:r>
        <w:tab/>
        <w:t>This Call-Off Contract will expire on the Expiry Date in the Order Form. It will be for up to 24 months from the Start date unless Ended earlier under clause 18 or extended by the Buyer under clause 1.3.</w:t>
      </w:r>
    </w:p>
    <w:p w:rsidR="002A3E66" w:rsidRDefault="002A3E66">
      <w:pPr>
        <w:ind w:left="720"/>
      </w:pPr>
    </w:p>
    <w:p w:rsidR="002A3E66" w:rsidRDefault="00062275">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rsidR="002A3E66" w:rsidRDefault="002A3E66">
      <w:pPr>
        <w:ind w:left="720"/>
      </w:pPr>
    </w:p>
    <w:p w:rsidR="002A3E66" w:rsidRDefault="00062275">
      <w:pPr>
        <w:ind w:left="720" w:hanging="720"/>
      </w:pPr>
      <w:r>
        <w:t>1.4</w:t>
      </w:r>
      <w:r>
        <w:tab/>
        <w:t>The Parties must comply with the requirements under clauses 21.3 to 21.8 if the Buyer reserves the right in the Order Form to extend the contract beyond 24 months.</w:t>
      </w:r>
    </w:p>
    <w:p w:rsidR="002A3E66" w:rsidRDefault="002A3E66">
      <w:pPr>
        <w:spacing w:before="240" w:after="240"/>
      </w:pPr>
    </w:p>
    <w:p w:rsidR="002A3E66" w:rsidRDefault="00062275">
      <w:pPr>
        <w:pStyle w:val="Heading3"/>
        <w:spacing w:before="0" w:after="100"/>
        <w:rPr>
          <w:color w:val="auto"/>
        </w:rPr>
      </w:pPr>
      <w:r>
        <w:rPr>
          <w:color w:val="auto"/>
        </w:rPr>
        <w:t>2.</w:t>
      </w:r>
      <w:r>
        <w:rPr>
          <w:color w:val="auto"/>
        </w:rPr>
        <w:tab/>
        <w:t>Incorporation of terms</w:t>
      </w:r>
    </w:p>
    <w:p w:rsidR="002A3E66" w:rsidRDefault="0006227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rsidR="002A3E66" w:rsidRDefault="00062275">
      <w:pPr>
        <w:pStyle w:val="ListParagraph"/>
        <w:numPr>
          <w:ilvl w:val="0"/>
          <w:numId w:val="20"/>
        </w:numPr>
      </w:pPr>
      <w:r>
        <w:rPr>
          <w:sz w:val="14"/>
          <w:szCs w:val="14"/>
        </w:rPr>
        <w:t xml:space="preserve"> </w:t>
      </w:r>
      <w:r>
        <w:t>4.1 (Warranties and representations)</w:t>
      </w:r>
    </w:p>
    <w:p w:rsidR="002A3E66" w:rsidRDefault="00062275">
      <w:pPr>
        <w:pStyle w:val="ListParagraph"/>
        <w:numPr>
          <w:ilvl w:val="0"/>
          <w:numId w:val="20"/>
        </w:numPr>
      </w:pPr>
      <w:r>
        <w:t>4.2 to 4.7 (Liability)</w:t>
      </w:r>
    </w:p>
    <w:p w:rsidR="002A3E66" w:rsidRDefault="00062275">
      <w:pPr>
        <w:pStyle w:val="ListParagraph"/>
        <w:numPr>
          <w:ilvl w:val="0"/>
          <w:numId w:val="20"/>
        </w:numPr>
      </w:pPr>
      <w:r>
        <w:t>4.11 to 4.12 (IR35)</w:t>
      </w:r>
    </w:p>
    <w:p w:rsidR="002A3E66" w:rsidRDefault="00062275">
      <w:pPr>
        <w:pStyle w:val="ListParagraph"/>
        <w:numPr>
          <w:ilvl w:val="0"/>
          <w:numId w:val="20"/>
        </w:numPr>
      </w:pPr>
      <w:r>
        <w:t>5.4 to 5.5 (Force majeure)</w:t>
      </w:r>
    </w:p>
    <w:p w:rsidR="002A3E66" w:rsidRDefault="00062275">
      <w:pPr>
        <w:pStyle w:val="ListParagraph"/>
        <w:numPr>
          <w:ilvl w:val="0"/>
          <w:numId w:val="20"/>
        </w:numPr>
      </w:pPr>
      <w:r>
        <w:t>5.8 (Continuing rights)</w:t>
      </w:r>
    </w:p>
    <w:p w:rsidR="002A3E66" w:rsidRDefault="00062275">
      <w:pPr>
        <w:pStyle w:val="ListParagraph"/>
        <w:numPr>
          <w:ilvl w:val="0"/>
          <w:numId w:val="20"/>
        </w:numPr>
      </w:pPr>
      <w:r>
        <w:t>5.9 to 5.11 (Change of control)</w:t>
      </w:r>
    </w:p>
    <w:p w:rsidR="002A3E66" w:rsidRDefault="00062275">
      <w:pPr>
        <w:pStyle w:val="ListParagraph"/>
        <w:numPr>
          <w:ilvl w:val="0"/>
          <w:numId w:val="20"/>
        </w:numPr>
      </w:pPr>
      <w:r>
        <w:t>5.12 (Fraud)</w:t>
      </w:r>
    </w:p>
    <w:p w:rsidR="002A3E66" w:rsidRDefault="00062275">
      <w:pPr>
        <w:pStyle w:val="ListParagraph"/>
        <w:numPr>
          <w:ilvl w:val="0"/>
          <w:numId w:val="20"/>
        </w:numPr>
      </w:pPr>
      <w:r>
        <w:t>5.13 (Notice of fraud)</w:t>
      </w:r>
    </w:p>
    <w:p w:rsidR="002A3E66" w:rsidRDefault="00062275">
      <w:pPr>
        <w:pStyle w:val="ListParagraph"/>
        <w:numPr>
          <w:ilvl w:val="0"/>
          <w:numId w:val="20"/>
        </w:numPr>
      </w:pPr>
      <w:r>
        <w:t>7.1 to 7.2 (Transparency)</w:t>
      </w:r>
    </w:p>
    <w:p w:rsidR="002A3E66" w:rsidRDefault="00062275">
      <w:pPr>
        <w:pStyle w:val="ListParagraph"/>
        <w:numPr>
          <w:ilvl w:val="0"/>
          <w:numId w:val="20"/>
        </w:numPr>
      </w:pPr>
      <w:r>
        <w:t>8.3 (Order of precedence)</w:t>
      </w:r>
    </w:p>
    <w:p w:rsidR="002A3E66" w:rsidRDefault="00062275">
      <w:pPr>
        <w:pStyle w:val="ListParagraph"/>
        <w:numPr>
          <w:ilvl w:val="0"/>
          <w:numId w:val="20"/>
        </w:numPr>
      </w:pPr>
      <w:r>
        <w:t>8.6 (Relationship)</w:t>
      </w:r>
    </w:p>
    <w:p w:rsidR="002A3E66" w:rsidRDefault="00062275">
      <w:pPr>
        <w:pStyle w:val="ListParagraph"/>
        <w:numPr>
          <w:ilvl w:val="0"/>
          <w:numId w:val="20"/>
        </w:numPr>
      </w:pPr>
      <w:r>
        <w:t>8.9 to 8.11 (Entire agreement)</w:t>
      </w:r>
    </w:p>
    <w:p w:rsidR="002A3E66" w:rsidRDefault="00062275">
      <w:pPr>
        <w:pStyle w:val="ListParagraph"/>
        <w:numPr>
          <w:ilvl w:val="0"/>
          <w:numId w:val="20"/>
        </w:numPr>
      </w:pPr>
      <w:r>
        <w:t>8.12 (Law and jurisdiction)</w:t>
      </w:r>
    </w:p>
    <w:p w:rsidR="002A3E66" w:rsidRDefault="00062275">
      <w:pPr>
        <w:pStyle w:val="ListParagraph"/>
        <w:numPr>
          <w:ilvl w:val="0"/>
          <w:numId w:val="20"/>
        </w:numPr>
      </w:pPr>
      <w:r>
        <w:t>8.13 to 8.14 (Legislative change)</w:t>
      </w:r>
    </w:p>
    <w:p w:rsidR="002A3E66" w:rsidRDefault="00062275">
      <w:pPr>
        <w:pStyle w:val="ListParagraph"/>
        <w:numPr>
          <w:ilvl w:val="0"/>
          <w:numId w:val="20"/>
        </w:numPr>
      </w:pPr>
      <w:r>
        <w:t>8.15 to 8.19 (Bribery and corruption)</w:t>
      </w:r>
    </w:p>
    <w:p w:rsidR="002A3E66" w:rsidRDefault="00062275">
      <w:pPr>
        <w:pStyle w:val="ListParagraph"/>
        <w:numPr>
          <w:ilvl w:val="0"/>
          <w:numId w:val="20"/>
        </w:numPr>
      </w:pPr>
      <w:r>
        <w:t>8.20 to 8.29 (Freedom of Information Act)</w:t>
      </w:r>
    </w:p>
    <w:p w:rsidR="002A3E66" w:rsidRDefault="00062275">
      <w:pPr>
        <w:pStyle w:val="ListParagraph"/>
        <w:numPr>
          <w:ilvl w:val="0"/>
          <w:numId w:val="20"/>
        </w:numPr>
      </w:pPr>
      <w:r>
        <w:t>8.30 to 8.31 (Promoting tax compliance)</w:t>
      </w:r>
    </w:p>
    <w:p w:rsidR="002A3E66" w:rsidRDefault="00062275">
      <w:pPr>
        <w:pStyle w:val="ListParagraph"/>
        <w:numPr>
          <w:ilvl w:val="0"/>
          <w:numId w:val="20"/>
        </w:numPr>
      </w:pPr>
      <w:r>
        <w:t>8.32 to 8.33 (Official Secrets Act)</w:t>
      </w:r>
    </w:p>
    <w:p w:rsidR="002A3E66" w:rsidRDefault="00062275">
      <w:pPr>
        <w:pStyle w:val="ListParagraph"/>
        <w:numPr>
          <w:ilvl w:val="0"/>
          <w:numId w:val="20"/>
        </w:numPr>
      </w:pPr>
      <w:r>
        <w:t>8.34 to 8.37 (Transfer and subcontracting)</w:t>
      </w:r>
    </w:p>
    <w:p w:rsidR="002A3E66" w:rsidRDefault="00062275">
      <w:pPr>
        <w:pStyle w:val="ListParagraph"/>
        <w:numPr>
          <w:ilvl w:val="0"/>
          <w:numId w:val="20"/>
        </w:numPr>
      </w:pPr>
      <w:r>
        <w:t>8.40 to 8.43 (Complaints handling and resolution)</w:t>
      </w:r>
    </w:p>
    <w:p w:rsidR="002A3E66" w:rsidRDefault="00062275">
      <w:pPr>
        <w:pStyle w:val="ListParagraph"/>
        <w:numPr>
          <w:ilvl w:val="0"/>
          <w:numId w:val="20"/>
        </w:numPr>
      </w:pPr>
      <w:r>
        <w:t>8.44 to 8.50 (Conflicts of interest and ethical walls)</w:t>
      </w:r>
    </w:p>
    <w:p w:rsidR="002A3E66" w:rsidRDefault="00062275">
      <w:pPr>
        <w:pStyle w:val="ListParagraph"/>
        <w:numPr>
          <w:ilvl w:val="0"/>
          <w:numId w:val="20"/>
        </w:numPr>
      </w:pPr>
      <w:r>
        <w:t>8.51 to 8.53 (Publicity and branding)</w:t>
      </w:r>
    </w:p>
    <w:p w:rsidR="002A3E66" w:rsidRDefault="00062275">
      <w:pPr>
        <w:pStyle w:val="ListParagraph"/>
        <w:numPr>
          <w:ilvl w:val="0"/>
          <w:numId w:val="20"/>
        </w:numPr>
      </w:pPr>
      <w:r>
        <w:t>8.54 to 8.56 (Equality and diversity)</w:t>
      </w:r>
    </w:p>
    <w:p w:rsidR="002A3E66" w:rsidRDefault="00062275">
      <w:pPr>
        <w:pStyle w:val="ListParagraph"/>
        <w:numPr>
          <w:ilvl w:val="0"/>
          <w:numId w:val="20"/>
        </w:numPr>
      </w:pPr>
      <w:r>
        <w:t>8.59 to 8.60 (Data protection</w:t>
      </w:r>
    </w:p>
    <w:p w:rsidR="002A3E66" w:rsidRDefault="00062275">
      <w:pPr>
        <w:pStyle w:val="ListParagraph"/>
        <w:numPr>
          <w:ilvl w:val="0"/>
          <w:numId w:val="20"/>
        </w:numPr>
      </w:pPr>
      <w:r>
        <w:t>8.64 to 8.65 (Severability)</w:t>
      </w:r>
    </w:p>
    <w:p w:rsidR="002A3E66" w:rsidRDefault="00062275">
      <w:pPr>
        <w:pStyle w:val="ListParagraph"/>
        <w:numPr>
          <w:ilvl w:val="0"/>
          <w:numId w:val="20"/>
        </w:numPr>
      </w:pPr>
      <w:r>
        <w:lastRenderedPageBreak/>
        <w:t>8.66 to 8.69 (Managing disputes and Mediation)</w:t>
      </w:r>
    </w:p>
    <w:p w:rsidR="002A3E66" w:rsidRDefault="00062275">
      <w:pPr>
        <w:pStyle w:val="ListParagraph"/>
        <w:numPr>
          <w:ilvl w:val="0"/>
          <w:numId w:val="20"/>
        </w:numPr>
      </w:pPr>
      <w:r>
        <w:t>8.80 to 8.88 (Confidentiality)</w:t>
      </w:r>
    </w:p>
    <w:p w:rsidR="002A3E66" w:rsidRDefault="00062275">
      <w:pPr>
        <w:pStyle w:val="ListParagraph"/>
        <w:numPr>
          <w:ilvl w:val="0"/>
          <w:numId w:val="20"/>
        </w:numPr>
      </w:pPr>
      <w:r>
        <w:t>8.89 to 8.90 (Waiver and cumulative remedies)</w:t>
      </w:r>
    </w:p>
    <w:p w:rsidR="002A3E66" w:rsidRDefault="00062275">
      <w:pPr>
        <w:pStyle w:val="ListParagraph"/>
        <w:numPr>
          <w:ilvl w:val="0"/>
          <w:numId w:val="20"/>
        </w:numPr>
      </w:pPr>
      <w:r>
        <w:t>8.91 to 8.101 (Corporate Social Responsibility)</w:t>
      </w:r>
    </w:p>
    <w:p w:rsidR="002A3E66" w:rsidRDefault="00062275">
      <w:pPr>
        <w:pStyle w:val="ListParagraph"/>
        <w:numPr>
          <w:ilvl w:val="0"/>
          <w:numId w:val="20"/>
        </w:numPr>
      </w:pPr>
      <w:r>
        <w:t>paragraphs 1 to 10 of the Framework Agreement glossary and interpretation</w:t>
      </w:r>
    </w:p>
    <w:p w:rsidR="002A3E66" w:rsidRDefault="00062275">
      <w:pPr>
        <w:pStyle w:val="ListParagraph"/>
        <w:numPr>
          <w:ilvl w:val="0"/>
          <w:numId w:val="21"/>
        </w:numPr>
      </w:pPr>
      <w:r>
        <w:t>any audit provisions from the Framework Agreement set out by the Buyer in the Order Form</w:t>
      </w:r>
    </w:p>
    <w:p w:rsidR="002A3E66" w:rsidRDefault="00062275">
      <w:pPr>
        <w:ind w:left="720"/>
      </w:pPr>
      <w:r>
        <w:t xml:space="preserve"> </w:t>
      </w:r>
    </w:p>
    <w:p w:rsidR="002A3E66" w:rsidRDefault="00062275">
      <w:pPr>
        <w:spacing w:after="240"/>
      </w:pPr>
      <w:r>
        <w:t>2.2</w:t>
      </w:r>
      <w:r>
        <w:tab/>
        <w:t>The Framework Agreement provisions in clause 2.1 will be modified as follows:</w:t>
      </w:r>
    </w:p>
    <w:p w:rsidR="002A3E66" w:rsidRDefault="00062275">
      <w:pPr>
        <w:ind w:left="1440" w:hanging="720"/>
      </w:pPr>
      <w:r>
        <w:t>2.2.1</w:t>
      </w:r>
      <w:r>
        <w:tab/>
        <w:t>a reference to the ‘Framework Agreement’ will be a reference to the ‘Call-Off Contract’</w:t>
      </w:r>
    </w:p>
    <w:p w:rsidR="002A3E66" w:rsidRDefault="00062275">
      <w:pPr>
        <w:ind w:firstLine="720"/>
      </w:pPr>
      <w:r>
        <w:t>2.2.2</w:t>
      </w:r>
      <w:r>
        <w:tab/>
        <w:t>a reference to ‘CCS’ will be a reference to ‘the Buyer’</w:t>
      </w:r>
    </w:p>
    <w:p w:rsidR="002A3E66" w:rsidRDefault="00062275">
      <w:pPr>
        <w:ind w:left="1440" w:hanging="720"/>
      </w:pPr>
      <w:r>
        <w:t>2.2.3</w:t>
      </w:r>
      <w:r>
        <w:tab/>
        <w:t>a reference to the ‘Parties’ and a ‘Party’ will be a reference to the Buyer and Supplier as Parties under this Call-Off Contract</w:t>
      </w:r>
    </w:p>
    <w:p w:rsidR="002A3E66" w:rsidRDefault="002A3E66"/>
    <w:p w:rsidR="002A3E66" w:rsidRDefault="0006227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2A3E66" w:rsidRDefault="002A3E66">
      <w:pPr>
        <w:ind w:left="720"/>
      </w:pPr>
    </w:p>
    <w:p w:rsidR="002A3E66" w:rsidRDefault="00062275">
      <w:pPr>
        <w:ind w:left="720" w:hanging="720"/>
      </w:pPr>
      <w:r>
        <w:t>2.4</w:t>
      </w:r>
      <w:r>
        <w:tab/>
        <w:t>The Framework Agreement incorporated clauses will be referred to as incorporated Framework clause ‘XX’, where ‘XX’ is the Framework Agreement clause number.</w:t>
      </w:r>
    </w:p>
    <w:p w:rsidR="002A3E66" w:rsidRDefault="002A3E66">
      <w:pPr>
        <w:ind w:firstLine="720"/>
      </w:pPr>
    </w:p>
    <w:p w:rsidR="002A3E66" w:rsidRDefault="00062275">
      <w:pPr>
        <w:ind w:left="720" w:hanging="720"/>
      </w:pPr>
      <w:r>
        <w:t>2.5</w:t>
      </w:r>
      <w:r>
        <w:tab/>
        <w:t>When an Order Form is signed, the terms and conditions agreed in it will be incorporated into this Call-Off Contract.</w:t>
      </w:r>
    </w:p>
    <w:p w:rsidR="002A3E66" w:rsidRDefault="002A3E66"/>
    <w:p w:rsidR="002A3E66" w:rsidRDefault="00062275">
      <w:pPr>
        <w:pStyle w:val="Heading3"/>
        <w:spacing w:before="0" w:after="100"/>
        <w:rPr>
          <w:color w:val="auto"/>
        </w:rPr>
      </w:pPr>
      <w:r>
        <w:rPr>
          <w:color w:val="auto"/>
        </w:rPr>
        <w:t>3.</w:t>
      </w:r>
      <w:r>
        <w:rPr>
          <w:color w:val="auto"/>
        </w:rPr>
        <w:tab/>
        <w:t>Supply of services</w:t>
      </w:r>
    </w:p>
    <w:p w:rsidR="002A3E66" w:rsidRDefault="00062275">
      <w:pPr>
        <w:spacing w:before="240" w:after="240"/>
        <w:ind w:left="720" w:hanging="720"/>
      </w:pPr>
      <w:r>
        <w:t>3.1</w:t>
      </w:r>
      <w:r>
        <w:tab/>
        <w:t>The Supplier agrees to supply the G-Cloud Services and any Additional Services under the terms of the Call-Off Contract and the Supplier’s Application.</w:t>
      </w:r>
    </w:p>
    <w:p w:rsidR="002A3E66" w:rsidRDefault="00062275">
      <w:pPr>
        <w:ind w:left="720" w:hanging="720"/>
      </w:pPr>
      <w:r>
        <w:t>3.2</w:t>
      </w:r>
      <w:r>
        <w:tab/>
        <w:t>The Supplier undertakes that each G-Cloud Service will meet the Buyer’s acceptance criteria, as defined in the Order Form.</w:t>
      </w:r>
    </w:p>
    <w:p w:rsidR="002A3E66" w:rsidRDefault="002A3E66"/>
    <w:p w:rsidR="002A3E66" w:rsidRDefault="00062275">
      <w:pPr>
        <w:pStyle w:val="Heading3"/>
        <w:spacing w:before="0" w:after="100"/>
        <w:rPr>
          <w:color w:val="auto"/>
        </w:rPr>
      </w:pPr>
      <w:r>
        <w:rPr>
          <w:color w:val="auto"/>
        </w:rPr>
        <w:t>4.</w:t>
      </w:r>
      <w:r>
        <w:rPr>
          <w:color w:val="auto"/>
        </w:rPr>
        <w:tab/>
        <w:t>Supplier staff</w:t>
      </w:r>
    </w:p>
    <w:p w:rsidR="002A3E66" w:rsidRDefault="00062275">
      <w:pPr>
        <w:spacing w:before="240" w:after="240"/>
      </w:pPr>
      <w:r>
        <w:t>4.1</w:t>
      </w:r>
      <w:r>
        <w:tab/>
        <w:t>The Supplier Staff must:</w:t>
      </w:r>
    </w:p>
    <w:p w:rsidR="002A3E66" w:rsidRDefault="00062275">
      <w:pPr>
        <w:ind w:firstLine="720"/>
      </w:pPr>
      <w:r>
        <w:t>4.1.1</w:t>
      </w:r>
      <w:r>
        <w:tab/>
        <w:t>be appropriately experienced, qualified and trained to supply the Services</w:t>
      </w:r>
    </w:p>
    <w:p w:rsidR="002A3E66" w:rsidRDefault="002A3E66"/>
    <w:p w:rsidR="002A3E66" w:rsidRDefault="00062275">
      <w:pPr>
        <w:ind w:firstLine="720"/>
      </w:pPr>
      <w:r>
        <w:t>4.1.2</w:t>
      </w:r>
      <w:r>
        <w:tab/>
        <w:t>apply all due skill, care and diligence in faithfully performing those duties</w:t>
      </w:r>
    </w:p>
    <w:p w:rsidR="002A3E66" w:rsidRDefault="002A3E66"/>
    <w:p w:rsidR="002A3E66" w:rsidRDefault="00062275">
      <w:pPr>
        <w:ind w:left="720"/>
      </w:pPr>
      <w:r>
        <w:t>4.1.3</w:t>
      </w:r>
      <w:r>
        <w:tab/>
        <w:t>obey all lawful instructions and reasonable directions of the Buyer and provide the Services to the reasonable satisfaction of the Buyer</w:t>
      </w:r>
    </w:p>
    <w:p w:rsidR="002A3E66" w:rsidRDefault="002A3E66"/>
    <w:p w:rsidR="002A3E66" w:rsidRDefault="00062275">
      <w:pPr>
        <w:ind w:firstLine="720"/>
      </w:pPr>
      <w:r>
        <w:t>4.1.4</w:t>
      </w:r>
      <w:r>
        <w:tab/>
        <w:t>respond to any enquiries about the Services as soon as reasonably possible</w:t>
      </w:r>
    </w:p>
    <w:p w:rsidR="002A3E66" w:rsidRDefault="002A3E66"/>
    <w:p w:rsidR="002A3E66" w:rsidRDefault="00062275">
      <w:pPr>
        <w:ind w:firstLine="720"/>
      </w:pPr>
      <w:r>
        <w:t>4.1.5</w:t>
      </w:r>
      <w:r>
        <w:tab/>
        <w:t>complete any necessary Supplier Staff vetting as specified by the Buyer</w:t>
      </w:r>
    </w:p>
    <w:p w:rsidR="002A3E66" w:rsidRDefault="002A3E66"/>
    <w:p w:rsidR="002A3E66" w:rsidRDefault="00062275">
      <w:pPr>
        <w:ind w:left="720" w:hanging="720"/>
      </w:pPr>
      <w:r>
        <w:lastRenderedPageBreak/>
        <w:t>4.2</w:t>
      </w:r>
      <w:r>
        <w:tab/>
        <w:t>The Supplier must retain overall control of the Supplier Staff so that they are not considered to be employees, workers, agents or contractors of the Buyer.</w:t>
      </w:r>
    </w:p>
    <w:p w:rsidR="002A3E66" w:rsidRDefault="002A3E66">
      <w:pPr>
        <w:ind w:firstLine="720"/>
      </w:pPr>
    </w:p>
    <w:p w:rsidR="002A3E66" w:rsidRDefault="00062275">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rsidR="002A3E66" w:rsidRDefault="002A3E66">
      <w:pPr>
        <w:ind w:firstLine="720"/>
      </w:pPr>
    </w:p>
    <w:p w:rsidR="002A3E66" w:rsidRDefault="00062275">
      <w:pPr>
        <w:ind w:left="720" w:hanging="720"/>
      </w:pPr>
      <w:r>
        <w:t>4.4</w:t>
      </w:r>
      <w:r>
        <w:tab/>
        <w:t>The Buyer may conduct IR35 Assessments using the ESI tool to assess whether the Supplier’s engagement under the Call-Off Contract is Inside or Outside IR35.</w:t>
      </w:r>
    </w:p>
    <w:p w:rsidR="002A3E66" w:rsidRDefault="002A3E66">
      <w:pPr>
        <w:ind w:firstLine="720"/>
      </w:pPr>
    </w:p>
    <w:p w:rsidR="002A3E66" w:rsidRDefault="00062275">
      <w:pPr>
        <w:ind w:left="720" w:hanging="720"/>
      </w:pPr>
      <w:r>
        <w:t>4.5</w:t>
      </w:r>
      <w:r>
        <w:tab/>
        <w:t>The Buyer may End this Call-Off Contract for Material Breach as per clause 18.5 hereunder if the Supplier is delivering the Services Inside IR35.</w:t>
      </w:r>
    </w:p>
    <w:p w:rsidR="002A3E66" w:rsidRDefault="002A3E66">
      <w:pPr>
        <w:ind w:firstLine="720"/>
      </w:pPr>
    </w:p>
    <w:p w:rsidR="002A3E66" w:rsidRDefault="0006227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2A3E66" w:rsidRDefault="002A3E66">
      <w:pPr>
        <w:ind w:left="720"/>
      </w:pPr>
    </w:p>
    <w:p w:rsidR="002A3E66" w:rsidRDefault="0006227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rsidR="002A3E66" w:rsidRDefault="002A3E66">
      <w:pPr>
        <w:ind w:left="720"/>
      </w:pPr>
    </w:p>
    <w:p w:rsidR="002A3E66" w:rsidRDefault="00062275">
      <w:pPr>
        <w:ind w:left="720" w:hanging="720"/>
      </w:pPr>
      <w:r>
        <w:t>4.8</w:t>
      </w:r>
      <w:r>
        <w:tab/>
        <w:t>If it is determined by the Buyer that the Supplier is Outside IR35, the Buyer will provide the ESI reference number and a copy of the PDF to the Supplier.</w:t>
      </w:r>
    </w:p>
    <w:p w:rsidR="002A3E66" w:rsidRDefault="002A3E66">
      <w:pPr>
        <w:spacing w:before="240" w:after="240"/>
        <w:ind w:left="720"/>
      </w:pPr>
    </w:p>
    <w:p w:rsidR="002A3E66" w:rsidRDefault="00062275">
      <w:pPr>
        <w:pStyle w:val="Heading3"/>
        <w:spacing w:before="0" w:after="100"/>
        <w:rPr>
          <w:color w:val="auto"/>
        </w:rPr>
      </w:pPr>
      <w:r>
        <w:rPr>
          <w:color w:val="auto"/>
        </w:rPr>
        <w:t>5.</w:t>
      </w:r>
      <w:r>
        <w:rPr>
          <w:color w:val="auto"/>
        </w:rPr>
        <w:tab/>
        <w:t>Due diligence</w:t>
      </w:r>
    </w:p>
    <w:p w:rsidR="002A3E66" w:rsidRDefault="00062275">
      <w:pPr>
        <w:spacing w:before="240" w:after="120"/>
      </w:pPr>
      <w:r>
        <w:t xml:space="preserve"> 5.1</w:t>
      </w:r>
      <w:r>
        <w:tab/>
        <w:t>Both Parties agree that when entering into a Call-Off Contract they:</w:t>
      </w:r>
    </w:p>
    <w:p w:rsidR="002A3E66" w:rsidRDefault="00062275">
      <w:pPr>
        <w:spacing w:after="120"/>
        <w:ind w:left="1440" w:hanging="720"/>
      </w:pPr>
      <w:r>
        <w:t>5.1.1</w:t>
      </w:r>
      <w:r>
        <w:tab/>
        <w:t>have made their own enquiries and are satisfied by the accuracy of any information supplied by the other Party</w:t>
      </w:r>
    </w:p>
    <w:p w:rsidR="002A3E66" w:rsidRDefault="00062275">
      <w:pPr>
        <w:spacing w:after="120"/>
        <w:ind w:left="1440" w:hanging="720"/>
      </w:pPr>
      <w:r>
        <w:t>5.1.2</w:t>
      </w:r>
      <w:r>
        <w:tab/>
        <w:t>are confident that they can fulfil their obligations according to the Call-Off Contract terms</w:t>
      </w:r>
    </w:p>
    <w:p w:rsidR="002A3E66" w:rsidRDefault="00062275">
      <w:pPr>
        <w:spacing w:after="120"/>
        <w:ind w:firstLine="720"/>
      </w:pPr>
      <w:r>
        <w:t>5.1.3</w:t>
      </w:r>
      <w:r>
        <w:tab/>
        <w:t>have raised all due diligence questions before signing the Call-Off Contract</w:t>
      </w:r>
    </w:p>
    <w:p w:rsidR="002A3E66" w:rsidRDefault="00062275">
      <w:pPr>
        <w:ind w:firstLine="720"/>
      </w:pPr>
      <w:r>
        <w:t>5.1.4</w:t>
      </w:r>
      <w:r>
        <w:tab/>
        <w:t>have entered into the Call-Off Contract relying on its own due diligence</w:t>
      </w:r>
    </w:p>
    <w:p w:rsidR="002A3E66" w:rsidRDefault="002A3E66">
      <w:pPr>
        <w:spacing w:before="240"/>
      </w:pPr>
    </w:p>
    <w:p w:rsidR="002A3E66" w:rsidRDefault="00062275">
      <w:pPr>
        <w:pStyle w:val="Heading3"/>
        <w:spacing w:before="0" w:after="100"/>
        <w:rPr>
          <w:color w:val="auto"/>
        </w:rPr>
      </w:pPr>
      <w:r>
        <w:rPr>
          <w:color w:val="auto"/>
        </w:rPr>
        <w:t xml:space="preserve">6. </w:t>
      </w:r>
      <w:r>
        <w:rPr>
          <w:color w:val="auto"/>
        </w:rPr>
        <w:tab/>
        <w:t>Business continuity and disaster recovery</w:t>
      </w:r>
    </w:p>
    <w:p w:rsidR="002A3E66" w:rsidRDefault="00062275">
      <w:pPr>
        <w:ind w:left="720" w:hanging="720"/>
      </w:pPr>
      <w:r>
        <w:t>6.1</w:t>
      </w:r>
      <w:r>
        <w:tab/>
        <w:t>The Supplier will have a clear business continuity and disaster recovery plan in their service descriptions.</w:t>
      </w:r>
    </w:p>
    <w:p w:rsidR="002A3E66" w:rsidRDefault="002A3E66"/>
    <w:p w:rsidR="002A3E66" w:rsidRDefault="00062275">
      <w:pPr>
        <w:ind w:left="720" w:hanging="720"/>
      </w:pPr>
      <w:r>
        <w:t>6.2</w:t>
      </w:r>
      <w:r>
        <w:tab/>
        <w:t>The Supplier’s business continuity and disaster recovery services are part of the Services and will be performed by the Supplier when required.</w:t>
      </w:r>
    </w:p>
    <w:p w:rsidR="002A3E66" w:rsidRDefault="00062275">
      <w:pPr>
        <w:ind w:left="720" w:hanging="720"/>
      </w:pPr>
      <w:r>
        <w:t>6.3</w:t>
      </w:r>
      <w:r>
        <w:tab/>
        <w:t>If requested by the Buyer prior to entering into this Call-Off Contract, the Supplier must ensure that its business continuity and disaster recovery plan is consistent with the Buyer’s own plans.</w:t>
      </w:r>
    </w:p>
    <w:p w:rsidR="002A3E66" w:rsidRDefault="002A3E66"/>
    <w:p w:rsidR="002A3E66" w:rsidRDefault="00062275">
      <w:pPr>
        <w:pStyle w:val="Heading3"/>
        <w:spacing w:before="0" w:after="100"/>
        <w:rPr>
          <w:color w:val="auto"/>
        </w:rPr>
      </w:pPr>
      <w:r>
        <w:rPr>
          <w:color w:val="auto"/>
        </w:rPr>
        <w:t>7.</w:t>
      </w:r>
      <w:r>
        <w:rPr>
          <w:color w:val="auto"/>
        </w:rPr>
        <w:tab/>
        <w:t>Payment, VAT and Call-Off Contract charges</w:t>
      </w:r>
    </w:p>
    <w:p w:rsidR="002A3E66" w:rsidRDefault="00062275">
      <w:pPr>
        <w:spacing w:after="120"/>
        <w:ind w:left="720" w:hanging="720"/>
      </w:pPr>
      <w:r>
        <w:t>7.1</w:t>
      </w:r>
      <w:r>
        <w:tab/>
        <w:t>The Buyer must pay the Charges following clauses 7.2 to 7.11 for the Supplier’s delivery of the Services.</w:t>
      </w:r>
    </w:p>
    <w:p w:rsidR="002A3E66" w:rsidRDefault="00062275">
      <w:pPr>
        <w:ind w:left="720" w:hanging="720"/>
      </w:pPr>
      <w:r>
        <w:t>7.2</w:t>
      </w:r>
      <w:r>
        <w:tab/>
        <w:t>The Buyer will pay the Supplier within the number of days specified in the Order Form on receipt of a valid invoice.</w:t>
      </w:r>
    </w:p>
    <w:p w:rsidR="002A3E66" w:rsidRDefault="00062275">
      <w:pPr>
        <w:spacing w:after="120"/>
        <w:ind w:left="720" w:hanging="720"/>
      </w:pPr>
      <w:r>
        <w:t>7.3</w:t>
      </w:r>
      <w:r>
        <w:tab/>
        <w:t>The Call-Off Contract Charges include all Charges for payment Processing. All invoices submitted to the Buyer for the Services will be exclusive of any Management Charge.</w:t>
      </w:r>
    </w:p>
    <w:p w:rsidR="002A3E66" w:rsidRDefault="0006227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rsidR="002A3E66" w:rsidRDefault="0006227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rsidR="002A3E66" w:rsidRDefault="00062275">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rsidR="002A3E66" w:rsidRDefault="00062275">
      <w:pPr>
        <w:spacing w:after="120"/>
      </w:pPr>
      <w:r>
        <w:t>7.7</w:t>
      </w:r>
      <w:r>
        <w:tab/>
        <w:t>All Charges payable by the Buyer to the Supplier will include VAT at the appropriate Rate.</w:t>
      </w:r>
    </w:p>
    <w:p w:rsidR="002A3E66" w:rsidRDefault="00062275">
      <w:pPr>
        <w:spacing w:after="120"/>
        <w:ind w:left="720" w:hanging="720"/>
      </w:pPr>
      <w:r>
        <w:t>7.8</w:t>
      </w:r>
      <w:r>
        <w:tab/>
        <w:t>The Supplier must add VAT to the Charges at the appropriate rate with visibility of the amount as a separate line item.</w:t>
      </w:r>
    </w:p>
    <w:p w:rsidR="002A3E66" w:rsidRDefault="0006227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2A3E66" w:rsidRDefault="0006227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2A3E66" w:rsidRDefault="00062275">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rsidR="002A3E66" w:rsidRDefault="0006227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rsidR="002A3E66" w:rsidRDefault="002A3E66">
      <w:pPr>
        <w:ind w:left="720"/>
      </w:pPr>
    </w:p>
    <w:p w:rsidR="002A3E66" w:rsidRDefault="00062275">
      <w:pPr>
        <w:pStyle w:val="Heading3"/>
        <w:rPr>
          <w:color w:val="auto"/>
        </w:rPr>
      </w:pPr>
      <w:r>
        <w:rPr>
          <w:color w:val="auto"/>
        </w:rPr>
        <w:t>8.</w:t>
      </w:r>
      <w:r>
        <w:rPr>
          <w:color w:val="auto"/>
        </w:rPr>
        <w:tab/>
        <w:t>Recovery of sums due and right of set-off</w:t>
      </w:r>
    </w:p>
    <w:p w:rsidR="002A3E66" w:rsidRDefault="00062275">
      <w:pPr>
        <w:spacing w:before="240" w:after="240"/>
        <w:ind w:left="720" w:hanging="720"/>
      </w:pPr>
      <w:r>
        <w:t>8.1</w:t>
      </w:r>
      <w:r>
        <w:tab/>
        <w:t>If a Supplier owes money to the Buyer, the Buyer may deduct that sum from the Call-Off Contract Charges.</w:t>
      </w:r>
    </w:p>
    <w:p w:rsidR="002A3E66" w:rsidRDefault="002A3E66">
      <w:pPr>
        <w:spacing w:before="240" w:after="240"/>
        <w:ind w:left="720" w:hanging="720"/>
      </w:pPr>
    </w:p>
    <w:p w:rsidR="002A3E66" w:rsidRDefault="00062275">
      <w:pPr>
        <w:pStyle w:val="Heading3"/>
        <w:rPr>
          <w:color w:val="auto"/>
        </w:rPr>
      </w:pPr>
      <w:r>
        <w:rPr>
          <w:color w:val="auto"/>
        </w:rPr>
        <w:lastRenderedPageBreak/>
        <w:t>9.</w:t>
      </w:r>
      <w:r>
        <w:rPr>
          <w:color w:val="auto"/>
        </w:rPr>
        <w:tab/>
        <w:t>Insurance</w:t>
      </w:r>
    </w:p>
    <w:p w:rsidR="002A3E66" w:rsidRDefault="00062275">
      <w:pPr>
        <w:spacing w:before="240" w:after="240"/>
        <w:ind w:left="660" w:hanging="660"/>
      </w:pPr>
      <w:r>
        <w:t>9.1</w:t>
      </w:r>
      <w:r>
        <w:tab/>
        <w:t>The Supplier will maintain the insurances required by the Buyer including those in this clause.</w:t>
      </w:r>
    </w:p>
    <w:p w:rsidR="002A3E66" w:rsidRDefault="00062275">
      <w:r>
        <w:t>9.2</w:t>
      </w:r>
      <w:r>
        <w:tab/>
        <w:t>The Supplier will ensure that:</w:t>
      </w:r>
    </w:p>
    <w:p w:rsidR="002A3E66" w:rsidRDefault="002A3E66"/>
    <w:p w:rsidR="002A3E66" w:rsidRDefault="0006227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2A3E66" w:rsidRDefault="002A3E66">
      <w:pPr>
        <w:ind w:firstLine="720"/>
      </w:pPr>
    </w:p>
    <w:p w:rsidR="002A3E66" w:rsidRDefault="00062275">
      <w:pPr>
        <w:ind w:left="1440" w:hanging="720"/>
      </w:pPr>
      <w:r>
        <w:t>9.2.2</w:t>
      </w:r>
      <w:r>
        <w:tab/>
        <w:t>the third-party public and products liability insurance contains an ‘indemnity to principals’ clause for the Buyer’s benefit</w:t>
      </w:r>
    </w:p>
    <w:p w:rsidR="002A3E66" w:rsidRDefault="002A3E66">
      <w:pPr>
        <w:ind w:firstLine="720"/>
      </w:pPr>
    </w:p>
    <w:p w:rsidR="002A3E66" w:rsidRDefault="0006227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rsidR="002A3E66" w:rsidRDefault="002A3E66">
      <w:pPr>
        <w:ind w:firstLine="720"/>
      </w:pPr>
    </w:p>
    <w:p w:rsidR="002A3E66" w:rsidRDefault="0006227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2A3E66" w:rsidRDefault="002A3E66">
      <w:pPr>
        <w:ind w:left="720"/>
      </w:pPr>
    </w:p>
    <w:p w:rsidR="002A3E66" w:rsidRDefault="00062275">
      <w:pPr>
        <w:ind w:left="720" w:hanging="720"/>
      </w:pPr>
      <w:r>
        <w:t>9.3</w:t>
      </w:r>
      <w:r>
        <w:tab/>
        <w:t>If requested by the Buyer, the Supplier will obtain additional insurance policies, or extend existing policies bought under the Framework Agreement.</w:t>
      </w:r>
    </w:p>
    <w:p w:rsidR="002A3E66" w:rsidRDefault="002A3E66">
      <w:pPr>
        <w:ind w:left="720" w:firstLine="720"/>
      </w:pPr>
    </w:p>
    <w:p w:rsidR="002A3E66" w:rsidRDefault="00062275">
      <w:pPr>
        <w:ind w:left="720" w:hanging="720"/>
      </w:pPr>
      <w:r>
        <w:t>9.4</w:t>
      </w:r>
      <w:r>
        <w:tab/>
        <w:t>If requested by the Buyer, the Supplier will provide the following to show compliance with this clause:</w:t>
      </w:r>
    </w:p>
    <w:p w:rsidR="002A3E66" w:rsidRDefault="002A3E66">
      <w:pPr>
        <w:ind w:firstLine="720"/>
      </w:pPr>
    </w:p>
    <w:p w:rsidR="002A3E66" w:rsidRDefault="00062275">
      <w:pPr>
        <w:ind w:firstLine="720"/>
      </w:pPr>
      <w:r>
        <w:t>9.4.1</w:t>
      </w:r>
      <w:r>
        <w:tab/>
        <w:t>a broker's verification of insurance</w:t>
      </w:r>
    </w:p>
    <w:p w:rsidR="002A3E66" w:rsidRDefault="002A3E66">
      <w:pPr>
        <w:ind w:firstLine="720"/>
      </w:pPr>
    </w:p>
    <w:p w:rsidR="002A3E66" w:rsidRDefault="00062275">
      <w:pPr>
        <w:ind w:firstLine="720"/>
      </w:pPr>
      <w:r>
        <w:t>9.4.2</w:t>
      </w:r>
      <w:r>
        <w:tab/>
        <w:t>receipts for the insurance premium</w:t>
      </w:r>
    </w:p>
    <w:p w:rsidR="002A3E66" w:rsidRDefault="002A3E66">
      <w:pPr>
        <w:ind w:firstLine="720"/>
      </w:pPr>
    </w:p>
    <w:p w:rsidR="002A3E66" w:rsidRDefault="00062275">
      <w:pPr>
        <w:ind w:firstLine="720"/>
      </w:pPr>
      <w:r>
        <w:t>9.4.3</w:t>
      </w:r>
      <w:r>
        <w:tab/>
        <w:t>evidence of payment of the latest premiums due</w:t>
      </w:r>
    </w:p>
    <w:p w:rsidR="002A3E66" w:rsidRDefault="002A3E66">
      <w:pPr>
        <w:ind w:firstLine="720"/>
      </w:pPr>
    </w:p>
    <w:p w:rsidR="002A3E66" w:rsidRDefault="00062275">
      <w:pPr>
        <w:ind w:left="720" w:hanging="720"/>
      </w:pPr>
      <w:r>
        <w:t>9.5</w:t>
      </w:r>
      <w:r>
        <w:tab/>
        <w:t>Insurance will not relieve the Supplier of any liabilities under the Framework Agreement or this Call-Off Contract and the Supplier will:</w:t>
      </w:r>
    </w:p>
    <w:p w:rsidR="002A3E66" w:rsidRDefault="002A3E66">
      <w:pPr>
        <w:ind w:firstLine="720"/>
      </w:pPr>
    </w:p>
    <w:p w:rsidR="002A3E66" w:rsidRDefault="00062275">
      <w:pPr>
        <w:ind w:left="1440" w:hanging="720"/>
      </w:pPr>
      <w:r>
        <w:t>9.5.1</w:t>
      </w:r>
      <w:r>
        <w:tab/>
        <w:t>take all risk control measures using Good Industry Practice, including the investigation and reports of claims to insurers</w:t>
      </w:r>
    </w:p>
    <w:p w:rsidR="002A3E66" w:rsidRDefault="002A3E66">
      <w:pPr>
        <w:ind w:left="720" w:firstLine="720"/>
      </w:pPr>
    </w:p>
    <w:p w:rsidR="002A3E66" w:rsidRDefault="00062275">
      <w:pPr>
        <w:ind w:left="1440" w:hanging="720"/>
      </w:pPr>
      <w:r>
        <w:t>9.5.2</w:t>
      </w:r>
      <w:r>
        <w:tab/>
        <w:t>promptly notify the insurers in writing of any relevant material fact under any Insurances</w:t>
      </w:r>
    </w:p>
    <w:p w:rsidR="002A3E66" w:rsidRDefault="002A3E66">
      <w:pPr>
        <w:ind w:firstLine="720"/>
      </w:pPr>
    </w:p>
    <w:p w:rsidR="002A3E66" w:rsidRDefault="00062275">
      <w:pPr>
        <w:ind w:left="1440" w:hanging="720"/>
      </w:pPr>
      <w:r>
        <w:t>9.5.3</w:t>
      </w:r>
      <w:r>
        <w:tab/>
        <w:t>hold all insurance policies and require any broker arranging the insurance to hold any insurance slips and other evidence of insurance</w:t>
      </w:r>
    </w:p>
    <w:p w:rsidR="002A3E66" w:rsidRDefault="00062275">
      <w:r>
        <w:t xml:space="preserve"> </w:t>
      </w:r>
    </w:p>
    <w:p w:rsidR="002A3E66" w:rsidRDefault="00062275">
      <w:pPr>
        <w:ind w:left="720" w:hanging="720"/>
      </w:pPr>
      <w:r>
        <w:t>9.6</w:t>
      </w:r>
      <w:r>
        <w:tab/>
        <w:t>The Supplier will not do or omit to do anything, which would destroy or impair the legal validity of the insurance.</w:t>
      </w:r>
    </w:p>
    <w:p w:rsidR="002A3E66" w:rsidRDefault="002A3E66">
      <w:pPr>
        <w:ind w:firstLine="720"/>
      </w:pPr>
    </w:p>
    <w:p w:rsidR="002A3E66" w:rsidRDefault="00062275">
      <w:pPr>
        <w:ind w:left="720" w:hanging="720"/>
      </w:pPr>
      <w:r>
        <w:t>9.7</w:t>
      </w:r>
      <w:r>
        <w:tab/>
        <w:t>The Supplier will notify CCS and the Buyer as soon as possible if any insurance policies have been, or are due to be, cancelled, suspended, Ended or not renewed.</w:t>
      </w:r>
    </w:p>
    <w:p w:rsidR="002A3E66" w:rsidRDefault="002A3E66">
      <w:pPr>
        <w:ind w:firstLine="720"/>
      </w:pPr>
    </w:p>
    <w:p w:rsidR="002A3E66" w:rsidRDefault="00062275">
      <w:r>
        <w:t>9.8</w:t>
      </w:r>
      <w:r>
        <w:tab/>
        <w:t>The Supplier will be liable for the payment of any:</w:t>
      </w:r>
    </w:p>
    <w:p w:rsidR="002A3E66" w:rsidRDefault="002A3E66"/>
    <w:p w:rsidR="002A3E66" w:rsidRDefault="00062275">
      <w:pPr>
        <w:ind w:firstLine="720"/>
      </w:pPr>
      <w:r>
        <w:t>9.8.1</w:t>
      </w:r>
      <w:r>
        <w:tab/>
        <w:t>premiums, which it will pay promptly</w:t>
      </w:r>
    </w:p>
    <w:p w:rsidR="002A3E66" w:rsidRDefault="00062275">
      <w:pPr>
        <w:ind w:firstLine="720"/>
      </w:pPr>
      <w:r>
        <w:t>9.8.2</w:t>
      </w:r>
      <w:r>
        <w:tab/>
        <w:t>excess or deductibles and will not be entitled to recover this from the Buyer</w:t>
      </w:r>
    </w:p>
    <w:p w:rsidR="002A3E66" w:rsidRDefault="002A3E66">
      <w:pPr>
        <w:ind w:firstLine="720"/>
      </w:pPr>
    </w:p>
    <w:p w:rsidR="002A3E66" w:rsidRDefault="00062275">
      <w:pPr>
        <w:pStyle w:val="Heading3"/>
        <w:spacing w:before="0" w:after="100"/>
        <w:rPr>
          <w:color w:val="auto"/>
        </w:rPr>
      </w:pPr>
      <w:r>
        <w:rPr>
          <w:color w:val="auto"/>
        </w:rPr>
        <w:t>10.</w:t>
      </w:r>
      <w:r>
        <w:rPr>
          <w:color w:val="auto"/>
        </w:rPr>
        <w:tab/>
        <w:t>Confidentiality</w:t>
      </w:r>
    </w:p>
    <w:p w:rsidR="002A3E66" w:rsidRDefault="0006227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2A3E66" w:rsidRDefault="002A3E66">
      <w:pPr>
        <w:ind w:left="720" w:hanging="720"/>
      </w:pPr>
    </w:p>
    <w:p w:rsidR="002A3E66" w:rsidRDefault="00062275">
      <w:pPr>
        <w:pStyle w:val="Heading3"/>
        <w:spacing w:before="0" w:after="100"/>
        <w:rPr>
          <w:color w:val="auto"/>
        </w:rPr>
      </w:pPr>
      <w:r>
        <w:rPr>
          <w:color w:val="auto"/>
        </w:rPr>
        <w:t>11.</w:t>
      </w:r>
      <w:r>
        <w:rPr>
          <w:color w:val="auto"/>
        </w:rPr>
        <w:tab/>
        <w:t>Intellectual Property Rights</w:t>
      </w:r>
    </w:p>
    <w:p w:rsidR="002A3E66" w:rsidRDefault="00062275">
      <w:pPr>
        <w:ind w:left="720" w:hanging="720"/>
      </w:pPr>
      <w:r>
        <w:t>11.1</w:t>
      </w:r>
      <w:r>
        <w:tab/>
        <w:t>Unless otherwise specified in this Call-Off Contract, a Party will not acquire any right, title or interest in or to the Intellectual Property Rights (IPRs) of the other Party or its Licensors.</w:t>
      </w:r>
    </w:p>
    <w:p w:rsidR="002A3E66" w:rsidRDefault="002A3E66">
      <w:pPr>
        <w:ind w:left="720"/>
      </w:pPr>
    </w:p>
    <w:p w:rsidR="002A3E66" w:rsidRDefault="0006227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rsidR="002A3E66" w:rsidRDefault="002A3E66">
      <w:pPr>
        <w:ind w:left="720"/>
      </w:pPr>
    </w:p>
    <w:p w:rsidR="002A3E66" w:rsidRDefault="00062275">
      <w:pPr>
        <w:ind w:left="720" w:hanging="720"/>
      </w:pPr>
      <w:r>
        <w:t>11.3</w:t>
      </w:r>
      <w:r>
        <w:tab/>
        <w:t>The Supplier must obtain the grant of any third-party IPRs and Background IPRs so the Buyer can enjoy full use of the Project Specific IPRs, including the Buyer’s right to publish the IPR as open source.</w:t>
      </w:r>
    </w:p>
    <w:p w:rsidR="002A3E66" w:rsidRDefault="002A3E66">
      <w:pPr>
        <w:ind w:left="720"/>
      </w:pPr>
    </w:p>
    <w:p w:rsidR="002A3E66" w:rsidRDefault="0006227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rsidR="002A3E66" w:rsidRDefault="002A3E66">
      <w:pPr>
        <w:ind w:left="720"/>
      </w:pPr>
    </w:p>
    <w:p w:rsidR="002A3E66" w:rsidRDefault="0006227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rsidR="002A3E66" w:rsidRDefault="002A3E66">
      <w:pPr>
        <w:ind w:firstLine="720"/>
      </w:pPr>
    </w:p>
    <w:p w:rsidR="002A3E66" w:rsidRDefault="00062275">
      <w:pPr>
        <w:ind w:firstLine="720"/>
      </w:pPr>
      <w:r>
        <w:t>11.5.1</w:t>
      </w:r>
      <w:r>
        <w:tab/>
        <w:t>rights granted to the Buyer under this Call-Off Contract</w:t>
      </w:r>
    </w:p>
    <w:p w:rsidR="002A3E66" w:rsidRDefault="002A3E66"/>
    <w:p w:rsidR="002A3E66" w:rsidRDefault="00062275">
      <w:pPr>
        <w:ind w:firstLine="720"/>
      </w:pPr>
      <w:r>
        <w:t>11.5.2</w:t>
      </w:r>
      <w:r>
        <w:tab/>
        <w:t>Supplier’s performance of the Services</w:t>
      </w:r>
    </w:p>
    <w:p w:rsidR="002A3E66" w:rsidRDefault="002A3E66">
      <w:pPr>
        <w:ind w:firstLine="720"/>
      </w:pPr>
    </w:p>
    <w:p w:rsidR="002A3E66" w:rsidRDefault="00062275">
      <w:pPr>
        <w:ind w:firstLine="720"/>
      </w:pPr>
      <w:r>
        <w:t>11.5.3</w:t>
      </w:r>
      <w:r>
        <w:tab/>
        <w:t>use by the Buyer of the Services</w:t>
      </w:r>
    </w:p>
    <w:p w:rsidR="002A3E66" w:rsidRDefault="002A3E66">
      <w:pPr>
        <w:ind w:firstLine="720"/>
      </w:pPr>
    </w:p>
    <w:p w:rsidR="002A3E66" w:rsidRDefault="00062275">
      <w:pPr>
        <w:ind w:left="720" w:hanging="720"/>
      </w:pPr>
      <w:r>
        <w:t>11.6</w:t>
      </w:r>
      <w:r>
        <w:tab/>
        <w:t>If an IPR Claim is made, or is likely to be made, the Supplier will immediately notify the Buyer in writing and must at its own expense after written approval from the Buyer, either:</w:t>
      </w:r>
    </w:p>
    <w:p w:rsidR="002A3E66" w:rsidRDefault="002A3E66">
      <w:pPr>
        <w:ind w:firstLine="720"/>
      </w:pPr>
    </w:p>
    <w:p w:rsidR="002A3E66" w:rsidRDefault="00062275">
      <w:pPr>
        <w:ind w:left="1440" w:hanging="720"/>
      </w:pPr>
      <w:r>
        <w:t>11.6.1</w:t>
      </w:r>
      <w:r>
        <w:tab/>
        <w:t>modify the relevant part of the Services without reducing its functionality or performance</w:t>
      </w:r>
    </w:p>
    <w:p w:rsidR="002A3E66" w:rsidRDefault="002A3E66">
      <w:pPr>
        <w:ind w:left="720" w:firstLine="720"/>
      </w:pPr>
    </w:p>
    <w:p w:rsidR="002A3E66" w:rsidRDefault="00062275">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rsidR="002A3E66" w:rsidRDefault="002A3E66">
      <w:pPr>
        <w:ind w:left="1440"/>
      </w:pPr>
    </w:p>
    <w:p w:rsidR="002A3E66" w:rsidRDefault="00062275">
      <w:pPr>
        <w:ind w:left="1440" w:hanging="720"/>
      </w:pPr>
      <w:r>
        <w:t>11.6.3</w:t>
      </w:r>
      <w:r>
        <w:tab/>
        <w:t>buy a licence to use and supply the Services which are the subject of the alleged infringement, on terms acceptable to the Buyer</w:t>
      </w:r>
    </w:p>
    <w:p w:rsidR="002A3E66" w:rsidRDefault="002A3E66">
      <w:pPr>
        <w:ind w:left="720" w:firstLine="720"/>
      </w:pPr>
    </w:p>
    <w:p w:rsidR="002A3E66" w:rsidRDefault="00062275">
      <w:r>
        <w:t>11.7</w:t>
      </w:r>
      <w:r>
        <w:tab/>
        <w:t>Clause 11.5 will not apply if the IPR Claim is from:</w:t>
      </w:r>
    </w:p>
    <w:p w:rsidR="002A3E66" w:rsidRDefault="002A3E66"/>
    <w:p w:rsidR="002A3E66" w:rsidRDefault="00062275">
      <w:pPr>
        <w:ind w:left="1440" w:hanging="720"/>
      </w:pPr>
      <w:r>
        <w:t>11.7.2</w:t>
      </w:r>
      <w:r>
        <w:tab/>
        <w:t>the use of data supplied by the Buyer which the Supplier isn’t required to verify under this Call-Off Contract</w:t>
      </w:r>
    </w:p>
    <w:p w:rsidR="002A3E66" w:rsidRDefault="002A3E66">
      <w:pPr>
        <w:ind w:left="720" w:firstLine="720"/>
      </w:pPr>
    </w:p>
    <w:p w:rsidR="002A3E66" w:rsidRDefault="00062275">
      <w:pPr>
        <w:ind w:firstLine="720"/>
      </w:pPr>
      <w:r>
        <w:t>11.7.3</w:t>
      </w:r>
      <w:r>
        <w:tab/>
        <w:t>other material provided by the Buyer necessary for the Services</w:t>
      </w:r>
    </w:p>
    <w:p w:rsidR="002A3E66" w:rsidRDefault="002A3E66">
      <w:pPr>
        <w:ind w:firstLine="720"/>
      </w:pPr>
    </w:p>
    <w:p w:rsidR="002A3E66" w:rsidRDefault="0006227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rsidR="002A3E66" w:rsidRDefault="002A3E66">
      <w:pPr>
        <w:ind w:left="720" w:hanging="720"/>
      </w:pPr>
    </w:p>
    <w:p w:rsidR="002A3E66" w:rsidRDefault="00062275">
      <w:pPr>
        <w:pStyle w:val="Heading3"/>
        <w:rPr>
          <w:color w:val="auto"/>
        </w:rPr>
      </w:pPr>
      <w:r>
        <w:rPr>
          <w:color w:val="auto"/>
        </w:rPr>
        <w:t>12.</w:t>
      </w:r>
      <w:r>
        <w:rPr>
          <w:color w:val="auto"/>
        </w:rPr>
        <w:tab/>
        <w:t>Protection of information</w:t>
      </w:r>
    </w:p>
    <w:p w:rsidR="002A3E66" w:rsidRDefault="00062275">
      <w:pPr>
        <w:spacing w:before="240" w:after="240"/>
      </w:pPr>
      <w:r>
        <w:t>12.1</w:t>
      </w:r>
      <w:r>
        <w:tab/>
        <w:t>The Supplier must:</w:t>
      </w:r>
    </w:p>
    <w:p w:rsidR="002A3E66" w:rsidRDefault="00062275">
      <w:pPr>
        <w:ind w:left="1440" w:hanging="720"/>
      </w:pPr>
      <w:r>
        <w:t>12.1.1</w:t>
      </w:r>
      <w:r>
        <w:tab/>
        <w:t>comply with the Buyer’s written instructions and this Call-Off Contract when Processing Buyer Personal Data</w:t>
      </w:r>
    </w:p>
    <w:p w:rsidR="002A3E66" w:rsidRDefault="002A3E66">
      <w:pPr>
        <w:ind w:left="720" w:firstLine="720"/>
      </w:pPr>
    </w:p>
    <w:p w:rsidR="002A3E66" w:rsidRDefault="00062275">
      <w:pPr>
        <w:ind w:left="1440" w:hanging="720"/>
      </w:pPr>
      <w:r>
        <w:t>12.1.2</w:t>
      </w:r>
      <w:r>
        <w:tab/>
        <w:t>only Process the Buyer Personal Data as necessary for the provision of the G-Cloud Services or as required by Law or any Regulatory Body</w:t>
      </w:r>
    </w:p>
    <w:p w:rsidR="002A3E66" w:rsidRDefault="002A3E66">
      <w:pPr>
        <w:ind w:left="720" w:firstLine="720"/>
      </w:pPr>
    </w:p>
    <w:p w:rsidR="002A3E66" w:rsidRDefault="00062275">
      <w:pPr>
        <w:ind w:left="1440" w:hanging="720"/>
      </w:pPr>
      <w:r>
        <w:t>12.1.3</w:t>
      </w:r>
      <w:r>
        <w:tab/>
        <w:t>take reasonable steps to ensure that any Supplier Staff who have access to Buyer Personal Data act in compliance with Supplier's security processes</w:t>
      </w:r>
    </w:p>
    <w:p w:rsidR="002A3E66" w:rsidRDefault="002A3E66">
      <w:pPr>
        <w:ind w:left="720" w:firstLine="720"/>
      </w:pPr>
    </w:p>
    <w:p w:rsidR="002A3E66" w:rsidRDefault="00062275">
      <w:pPr>
        <w:ind w:left="720" w:hanging="720"/>
      </w:pPr>
      <w:r>
        <w:t>12.2</w:t>
      </w:r>
      <w:r>
        <w:tab/>
        <w:t>The Supplier must fully assist with any complaint or request for Buyer Personal Data including by:</w:t>
      </w:r>
    </w:p>
    <w:p w:rsidR="002A3E66" w:rsidRDefault="002A3E66">
      <w:pPr>
        <w:ind w:firstLine="720"/>
      </w:pPr>
    </w:p>
    <w:p w:rsidR="002A3E66" w:rsidRDefault="00062275">
      <w:pPr>
        <w:ind w:firstLine="720"/>
      </w:pPr>
      <w:r>
        <w:t>12.2.1</w:t>
      </w:r>
      <w:r>
        <w:tab/>
        <w:t>providing the Buyer with full details of the complaint or request</w:t>
      </w:r>
    </w:p>
    <w:p w:rsidR="002A3E66" w:rsidRDefault="002A3E66">
      <w:pPr>
        <w:ind w:firstLine="720"/>
      </w:pPr>
    </w:p>
    <w:p w:rsidR="002A3E66" w:rsidRDefault="00062275">
      <w:pPr>
        <w:ind w:left="1440" w:hanging="720"/>
      </w:pPr>
      <w:r>
        <w:t>12.2.2</w:t>
      </w:r>
      <w:r>
        <w:tab/>
        <w:t>complying with a data access request within the timescales in the Data Protection Legislation and following the Buyer’s instructions</w:t>
      </w:r>
    </w:p>
    <w:p w:rsidR="002A3E66" w:rsidRDefault="002A3E66"/>
    <w:p w:rsidR="002A3E66" w:rsidRDefault="00062275">
      <w:pPr>
        <w:ind w:left="1440" w:hanging="720"/>
      </w:pPr>
      <w:r>
        <w:t>12.2.3</w:t>
      </w:r>
      <w:r>
        <w:tab/>
        <w:t>providing the Buyer with any Buyer Personal Data it holds about a Data Subject (within the timescales required by the Buyer)</w:t>
      </w:r>
    </w:p>
    <w:p w:rsidR="002A3E66" w:rsidRDefault="002A3E66">
      <w:pPr>
        <w:ind w:left="720" w:firstLine="720"/>
      </w:pPr>
    </w:p>
    <w:p w:rsidR="002A3E66" w:rsidRDefault="00062275">
      <w:pPr>
        <w:ind w:firstLine="720"/>
      </w:pPr>
      <w:r>
        <w:t>12.2.4</w:t>
      </w:r>
      <w:r>
        <w:tab/>
        <w:t>providing the Buyer with any information requested by the Data Subject</w:t>
      </w:r>
    </w:p>
    <w:p w:rsidR="002A3E66" w:rsidRDefault="002A3E66">
      <w:pPr>
        <w:ind w:firstLine="720"/>
      </w:pPr>
    </w:p>
    <w:p w:rsidR="002A3E66" w:rsidRDefault="00062275">
      <w:pPr>
        <w:ind w:left="720" w:hanging="720"/>
      </w:pPr>
      <w:r>
        <w:t>12.3</w:t>
      </w:r>
      <w:r>
        <w:tab/>
        <w:t>The Supplier must get prior written consent from the Buyer to transfer Buyer Personal Data to any other person (including any Subcontractors) for the provision of the G-Cloud Services.</w:t>
      </w:r>
    </w:p>
    <w:p w:rsidR="002A3E66" w:rsidRDefault="002A3E66">
      <w:pPr>
        <w:ind w:left="720" w:hanging="720"/>
      </w:pPr>
    </w:p>
    <w:p w:rsidR="002A3E66" w:rsidRDefault="00062275">
      <w:pPr>
        <w:pStyle w:val="Heading3"/>
        <w:rPr>
          <w:color w:val="auto"/>
        </w:rPr>
      </w:pPr>
      <w:r>
        <w:rPr>
          <w:color w:val="auto"/>
        </w:rPr>
        <w:lastRenderedPageBreak/>
        <w:t>13.</w:t>
      </w:r>
      <w:r>
        <w:rPr>
          <w:color w:val="auto"/>
        </w:rPr>
        <w:tab/>
        <w:t>Buyer data</w:t>
      </w:r>
    </w:p>
    <w:p w:rsidR="002A3E66" w:rsidRDefault="00062275">
      <w:pPr>
        <w:spacing w:before="240" w:after="240"/>
      </w:pPr>
      <w:r>
        <w:t>13.1</w:t>
      </w:r>
      <w:r>
        <w:tab/>
        <w:t>The Supplier must not remove any proprietary notices in the Buyer Data.</w:t>
      </w:r>
    </w:p>
    <w:p w:rsidR="002A3E66" w:rsidRDefault="00062275">
      <w:r>
        <w:t>13.2</w:t>
      </w:r>
      <w:r>
        <w:tab/>
        <w:t xml:space="preserve">The Supplier will not store or use Buyer Data except if </w:t>
      </w:r>
      <w:proofErr w:type="gramStart"/>
      <w:r>
        <w:t>necessary</w:t>
      </w:r>
      <w:proofErr w:type="gramEnd"/>
      <w:r>
        <w:t xml:space="preserve"> to fulfil its</w:t>
      </w:r>
    </w:p>
    <w:p w:rsidR="002A3E66" w:rsidRDefault="00062275">
      <w:pPr>
        <w:ind w:firstLine="720"/>
      </w:pPr>
      <w:r>
        <w:t>obligations.</w:t>
      </w:r>
    </w:p>
    <w:p w:rsidR="002A3E66" w:rsidRDefault="002A3E66"/>
    <w:p w:rsidR="002A3E66" w:rsidRDefault="00062275">
      <w:pPr>
        <w:ind w:left="720" w:hanging="720"/>
      </w:pPr>
      <w:r>
        <w:t>13.3</w:t>
      </w:r>
      <w:r>
        <w:tab/>
        <w:t>If Buyer Data is processed by the Supplier, the Supplier will supply the data to the Buyer as requested.</w:t>
      </w:r>
    </w:p>
    <w:p w:rsidR="002A3E66" w:rsidRDefault="002A3E66"/>
    <w:p w:rsidR="002A3E66" w:rsidRDefault="00062275">
      <w:pPr>
        <w:ind w:left="720" w:hanging="720"/>
      </w:pPr>
      <w:r>
        <w:t>13.4</w:t>
      </w:r>
      <w:r>
        <w:tab/>
        <w:t>The Supplier must ensure that any Supplier system that holds any Buyer Data is a secure system that complies with the Supplier’s and Buyer’s security policies and all Buyer requirements in the Order Form.</w:t>
      </w:r>
    </w:p>
    <w:p w:rsidR="002A3E66" w:rsidRDefault="002A3E66">
      <w:pPr>
        <w:ind w:left="720"/>
      </w:pPr>
    </w:p>
    <w:p w:rsidR="002A3E66" w:rsidRDefault="00062275">
      <w:pPr>
        <w:ind w:left="720" w:hanging="720"/>
      </w:pPr>
      <w:r>
        <w:t>13.5</w:t>
      </w:r>
      <w:r>
        <w:tab/>
        <w:t>The Supplier will preserve the integrity of Buyer Data processed by the Supplier and prevent its corruption and loss.</w:t>
      </w:r>
    </w:p>
    <w:p w:rsidR="002A3E66" w:rsidRDefault="002A3E66">
      <w:pPr>
        <w:ind w:firstLine="720"/>
      </w:pPr>
    </w:p>
    <w:p w:rsidR="002A3E66" w:rsidRDefault="00062275">
      <w:pPr>
        <w:ind w:left="720" w:hanging="720"/>
      </w:pPr>
      <w:r>
        <w:t>13.6</w:t>
      </w:r>
      <w:r>
        <w:tab/>
        <w:t>The Supplier will ensure that any Supplier system which holds any protectively marked Buyer Data or other government data will comply with:</w:t>
      </w:r>
    </w:p>
    <w:p w:rsidR="002A3E66" w:rsidRDefault="002A3E66">
      <w:pPr>
        <w:ind w:firstLine="720"/>
      </w:pPr>
    </w:p>
    <w:p w:rsidR="002A3E66" w:rsidRDefault="00062275">
      <w:pPr>
        <w:ind w:firstLine="720"/>
      </w:pPr>
      <w:r>
        <w:t>13.6.1</w:t>
      </w:r>
      <w:r>
        <w:tab/>
        <w:t>the principles in the Security Policy Framework:</w:t>
      </w:r>
      <w:hyperlink r:id="rId9" w:history="1">
        <w:r>
          <w:rPr>
            <w:u w:val="single"/>
          </w:rPr>
          <w:t xml:space="preserve"> </w:t>
        </w:r>
      </w:hyperlink>
    </w:p>
    <w:p w:rsidR="002A3E66" w:rsidRDefault="005E09AE">
      <w:pPr>
        <w:ind w:left="1440"/>
      </w:pPr>
      <w:hyperlink r:id="rId10" w:history="1">
        <w:r w:rsidR="00062275">
          <w:rPr>
            <w:rStyle w:val="Hyperlink"/>
          </w:rPr>
          <w:t>https://www.gov.uk/government/publications/security-policy-framework</w:t>
        </w:r>
      </w:hyperlink>
      <w:r w:rsidR="00062275">
        <w:rPr>
          <w:rStyle w:val="Hyperlink"/>
          <w:color w:val="auto"/>
        </w:rPr>
        <w:t xml:space="preserve"> and</w:t>
      </w:r>
    </w:p>
    <w:p w:rsidR="002A3E66" w:rsidRDefault="00062275">
      <w:pPr>
        <w:ind w:left="1440"/>
      </w:pPr>
      <w:r>
        <w:t>the Government Security Classification policy:</w:t>
      </w:r>
      <w:r>
        <w:rPr>
          <w:u w:val="single"/>
        </w:rPr>
        <w:t xml:space="preserve"> https:/www.gov.uk/government/publications/government-security-classifications</w:t>
      </w:r>
    </w:p>
    <w:p w:rsidR="002A3E66" w:rsidRDefault="002A3E66">
      <w:pPr>
        <w:ind w:left="1440"/>
      </w:pPr>
    </w:p>
    <w:p w:rsidR="002A3E66" w:rsidRDefault="00062275">
      <w:pPr>
        <w:ind w:firstLine="720"/>
      </w:pPr>
      <w:r>
        <w:t>13.6.2</w:t>
      </w:r>
      <w:r>
        <w:tab/>
        <w:t>guidance issued by the Centre for Protection of National Infrastructure on</w:t>
      </w:r>
    </w:p>
    <w:p w:rsidR="002A3E66" w:rsidRDefault="00062275">
      <w:pPr>
        <w:ind w:left="720" w:firstLine="720"/>
      </w:pPr>
      <w:r>
        <w:t>Risk Management:</w:t>
      </w:r>
    </w:p>
    <w:p w:rsidR="002A3E66" w:rsidRDefault="005E09AE">
      <w:pPr>
        <w:ind w:left="720" w:firstLine="720"/>
      </w:pPr>
      <w:hyperlink r:id="rId11" w:history="1">
        <w:r w:rsidR="00062275">
          <w:rPr>
            <w:u w:val="single"/>
          </w:rPr>
          <w:t>https://www.cpni.gov.uk/content/adopt-risk-management-approach</w:t>
        </w:r>
      </w:hyperlink>
      <w:r w:rsidR="00062275">
        <w:t xml:space="preserve"> and</w:t>
      </w:r>
    </w:p>
    <w:p w:rsidR="002A3E66" w:rsidRDefault="00062275">
      <w:pPr>
        <w:ind w:left="720" w:firstLine="720"/>
      </w:pPr>
      <w:r>
        <w:t>Protection of Sensitive Information and Assets:</w:t>
      </w:r>
      <w:hyperlink r:id="rId12" w:history="1">
        <w:r>
          <w:rPr>
            <w:u w:val="single"/>
          </w:rPr>
          <w:t xml:space="preserve"> </w:t>
        </w:r>
      </w:hyperlink>
    </w:p>
    <w:p w:rsidR="002A3E66" w:rsidRDefault="005E09AE">
      <w:pPr>
        <w:ind w:left="720" w:firstLine="720"/>
      </w:pPr>
      <w:hyperlink r:id="rId13" w:history="1">
        <w:r w:rsidR="00062275">
          <w:rPr>
            <w:u w:val="single"/>
          </w:rPr>
          <w:t>https://www.cpni.gov.uk/protection-sensitive-information-and-assets</w:t>
        </w:r>
      </w:hyperlink>
    </w:p>
    <w:p w:rsidR="002A3E66" w:rsidRDefault="002A3E66">
      <w:pPr>
        <w:ind w:left="720" w:firstLine="720"/>
      </w:pPr>
    </w:p>
    <w:p w:rsidR="002A3E66" w:rsidRDefault="00062275">
      <w:pPr>
        <w:ind w:left="1440" w:hanging="720"/>
      </w:pPr>
      <w:r>
        <w:t>13.6.3</w:t>
      </w:r>
      <w:r>
        <w:tab/>
        <w:t>the National Cyber Security Centre’s (NCSC) information risk management guidance:</w:t>
      </w:r>
    </w:p>
    <w:p w:rsidR="002A3E66" w:rsidRDefault="005E09AE">
      <w:pPr>
        <w:ind w:left="720" w:firstLine="720"/>
      </w:pPr>
      <w:hyperlink r:id="rId14" w:history="1">
        <w:r w:rsidR="00062275">
          <w:rPr>
            <w:u w:val="single"/>
          </w:rPr>
          <w:t>https://www.ncsc.gov.uk/collection/risk-management-collection</w:t>
        </w:r>
      </w:hyperlink>
    </w:p>
    <w:p w:rsidR="002A3E66" w:rsidRDefault="002A3E66"/>
    <w:p w:rsidR="002A3E66" w:rsidRDefault="00062275">
      <w:pPr>
        <w:ind w:left="1440" w:hanging="720"/>
      </w:pPr>
      <w:r>
        <w:t>13.6.4</w:t>
      </w:r>
      <w:r>
        <w:tab/>
        <w:t>government best practice in the design and implementation of system components, including network principles, security design principles for digital services and the secure email blueprint:</w:t>
      </w:r>
    </w:p>
    <w:p w:rsidR="002A3E66" w:rsidRDefault="005E09AE">
      <w:pPr>
        <w:ind w:left="1440"/>
      </w:pPr>
      <w:hyperlink r:id="rId15" w:history="1">
        <w:r w:rsidR="00062275">
          <w:rPr>
            <w:rStyle w:val="Hyperlink"/>
            <w:color w:val="auto"/>
          </w:rPr>
          <w:t>https://www.gov.uk/government/publications/technology-code-of-practice/technology-code-of-practice</w:t>
        </w:r>
      </w:hyperlink>
    </w:p>
    <w:p w:rsidR="002A3E66" w:rsidRDefault="002A3E66">
      <w:pPr>
        <w:ind w:left="1440"/>
      </w:pPr>
    </w:p>
    <w:p w:rsidR="002A3E66" w:rsidRDefault="00062275">
      <w:pPr>
        <w:ind w:left="1440" w:hanging="720"/>
      </w:pPr>
      <w:r>
        <w:t>13.6.5</w:t>
      </w:r>
      <w:r>
        <w:tab/>
        <w:t>the security requirements of cloud services using the NCSC Cloud Security Principles and accompanying guidance:</w:t>
      </w:r>
      <w:hyperlink r:id="rId16" w:history="1">
        <w:r>
          <w:rPr>
            <w:u w:val="single"/>
          </w:rPr>
          <w:t xml:space="preserve"> </w:t>
        </w:r>
      </w:hyperlink>
    </w:p>
    <w:p w:rsidR="002A3E66" w:rsidRDefault="005E09AE">
      <w:pPr>
        <w:ind w:left="720" w:firstLine="720"/>
      </w:pPr>
      <w:hyperlink r:id="rId17" w:history="1">
        <w:r w:rsidR="00062275">
          <w:rPr>
            <w:rStyle w:val="Hyperlink"/>
            <w:color w:val="auto"/>
          </w:rPr>
          <w:t>https://www.ncsc.gov.uk/guidance/implementing-cloud-security-principles</w:t>
        </w:r>
      </w:hyperlink>
    </w:p>
    <w:p w:rsidR="002A3E66" w:rsidRDefault="002A3E66"/>
    <w:p w:rsidR="002A3E66" w:rsidRDefault="0006227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rsidR="002A3E66" w:rsidRDefault="002A3E66"/>
    <w:p w:rsidR="002A3E66" w:rsidRDefault="00062275">
      <w:r>
        <w:t>13.7</w:t>
      </w:r>
      <w:r>
        <w:tab/>
        <w:t>The Buyer will specify any security requirements for this project in the Order Form.</w:t>
      </w:r>
    </w:p>
    <w:p w:rsidR="002A3E66" w:rsidRDefault="002A3E66"/>
    <w:p w:rsidR="002A3E66" w:rsidRDefault="00062275">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2A3E66" w:rsidRDefault="002A3E66">
      <w:pPr>
        <w:ind w:left="720"/>
      </w:pPr>
    </w:p>
    <w:p w:rsidR="002A3E66" w:rsidRDefault="00062275">
      <w:pPr>
        <w:ind w:left="720" w:hanging="720"/>
      </w:pPr>
      <w:r>
        <w:t>13.9</w:t>
      </w:r>
      <w:r>
        <w:tab/>
        <w:t>The Supplier agrees to use the appropriate organisational, operational and technological processes to keep the Buyer Data safe from unauthorised use or access, loss, destruction, theft or disclosure.</w:t>
      </w:r>
    </w:p>
    <w:p w:rsidR="002A3E66" w:rsidRDefault="002A3E66">
      <w:pPr>
        <w:ind w:left="720"/>
      </w:pPr>
    </w:p>
    <w:p w:rsidR="002A3E66" w:rsidRDefault="00062275">
      <w:pPr>
        <w:ind w:left="720" w:hanging="720"/>
      </w:pPr>
      <w:r>
        <w:t>13.10</w:t>
      </w:r>
      <w:r>
        <w:tab/>
        <w:t>The provisions of this clause 13 will apply during the term of this Call-Off Contract and for as long as the Supplier holds the Buyer’s Data.</w:t>
      </w:r>
    </w:p>
    <w:p w:rsidR="002A3E66" w:rsidRDefault="002A3E66">
      <w:pPr>
        <w:spacing w:before="240" w:after="240"/>
      </w:pPr>
    </w:p>
    <w:p w:rsidR="002A3E66" w:rsidRDefault="00062275">
      <w:pPr>
        <w:pStyle w:val="Heading3"/>
        <w:rPr>
          <w:color w:val="auto"/>
        </w:rPr>
      </w:pPr>
      <w:r>
        <w:rPr>
          <w:color w:val="auto"/>
        </w:rPr>
        <w:t>14.</w:t>
      </w:r>
      <w:r>
        <w:rPr>
          <w:color w:val="auto"/>
        </w:rPr>
        <w:tab/>
        <w:t>Standards and quality</w:t>
      </w:r>
    </w:p>
    <w:p w:rsidR="002A3E66" w:rsidRDefault="00062275">
      <w:pPr>
        <w:ind w:left="720" w:hanging="720"/>
      </w:pPr>
      <w:r>
        <w:t>14.1</w:t>
      </w:r>
      <w:r>
        <w:tab/>
        <w:t>The Supplier will comply with any standards in this Call-Off Contract, the Order Form and the Framework Agreement.</w:t>
      </w:r>
    </w:p>
    <w:p w:rsidR="002A3E66" w:rsidRDefault="002A3E66">
      <w:pPr>
        <w:ind w:firstLine="720"/>
      </w:pPr>
    </w:p>
    <w:p w:rsidR="002A3E66" w:rsidRDefault="00062275">
      <w:pPr>
        <w:ind w:left="720" w:hanging="720"/>
      </w:pPr>
      <w:r>
        <w:t>14.2</w:t>
      </w:r>
      <w:r>
        <w:tab/>
        <w:t>The Supplier will deliver the Services in a way that enables the Buyer to comply with its obligations under the Technology Code of Practice, which is at:</w:t>
      </w:r>
      <w:hyperlink r:id="rId18" w:history="1">
        <w:r>
          <w:rPr>
            <w:u w:val="single"/>
          </w:rPr>
          <w:t xml:space="preserve"> </w:t>
        </w:r>
      </w:hyperlink>
    </w:p>
    <w:p w:rsidR="002A3E66" w:rsidRDefault="005E09AE">
      <w:pPr>
        <w:ind w:left="720"/>
      </w:pPr>
      <w:hyperlink r:id="rId19" w:history="1">
        <w:r w:rsidR="00062275">
          <w:rPr>
            <w:u w:val="single"/>
          </w:rPr>
          <w:t>https://www.gov.uk/government/publications/technology-code-of-practice/technology-code-of-practice</w:t>
        </w:r>
      </w:hyperlink>
    </w:p>
    <w:p w:rsidR="002A3E66" w:rsidRDefault="002A3E66">
      <w:pPr>
        <w:ind w:left="720" w:hanging="720"/>
      </w:pPr>
    </w:p>
    <w:p w:rsidR="002A3E66" w:rsidRDefault="00062275">
      <w:pPr>
        <w:ind w:left="720" w:hanging="720"/>
      </w:pPr>
      <w:r>
        <w:t>14.3</w:t>
      </w:r>
      <w:r>
        <w:tab/>
        <w:t>If requested by the Buyer, the Supplier must, at its own cost, ensure that the G-Cloud Services comply with the requirements in the PSN Code of Practice.</w:t>
      </w:r>
    </w:p>
    <w:p w:rsidR="002A3E66" w:rsidRDefault="002A3E66">
      <w:pPr>
        <w:ind w:firstLine="720"/>
      </w:pPr>
    </w:p>
    <w:p w:rsidR="002A3E66" w:rsidRDefault="00062275">
      <w:pPr>
        <w:ind w:left="720" w:hanging="720"/>
      </w:pPr>
      <w:r>
        <w:t>14.4</w:t>
      </w:r>
      <w:r>
        <w:tab/>
        <w:t>If any PSN Services are Subcontracted by the Supplier, the Supplier must ensure that the services have the relevant PSN compliance certification.</w:t>
      </w:r>
    </w:p>
    <w:p w:rsidR="002A3E66" w:rsidRDefault="002A3E66">
      <w:pPr>
        <w:ind w:firstLine="720"/>
      </w:pPr>
    </w:p>
    <w:p w:rsidR="002A3E66" w:rsidRDefault="00062275">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rsidR="002A3E66" w:rsidRDefault="00062275">
      <w:r>
        <w:t xml:space="preserve"> </w:t>
      </w:r>
    </w:p>
    <w:p w:rsidR="002A3E66" w:rsidRDefault="00062275">
      <w:pPr>
        <w:pStyle w:val="Heading3"/>
        <w:rPr>
          <w:color w:val="auto"/>
        </w:rPr>
      </w:pPr>
      <w:r>
        <w:rPr>
          <w:color w:val="auto"/>
        </w:rPr>
        <w:t>15.</w:t>
      </w:r>
      <w:r>
        <w:rPr>
          <w:color w:val="auto"/>
        </w:rPr>
        <w:tab/>
        <w:t>Open source</w:t>
      </w:r>
    </w:p>
    <w:p w:rsidR="002A3E66" w:rsidRDefault="00062275">
      <w:pPr>
        <w:ind w:left="720" w:hanging="720"/>
      </w:pPr>
      <w:r>
        <w:t>15.1</w:t>
      </w:r>
      <w:r>
        <w:tab/>
        <w:t>All software created for the Buyer must be suitable for publication as open source, unless otherwise agreed by the Buyer.</w:t>
      </w:r>
    </w:p>
    <w:p w:rsidR="002A3E66" w:rsidRDefault="002A3E66">
      <w:pPr>
        <w:ind w:firstLine="720"/>
      </w:pPr>
    </w:p>
    <w:p w:rsidR="002A3E66" w:rsidRDefault="00062275">
      <w:pPr>
        <w:ind w:left="720" w:hanging="720"/>
      </w:pPr>
      <w:r>
        <w:t>15.2</w:t>
      </w:r>
      <w:r>
        <w:tab/>
        <w:t>If software needs to be converted before publication as open source, the Supplier must also provide the converted format unless otherwise agreed by the Buyer.</w:t>
      </w:r>
    </w:p>
    <w:p w:rsidR="002A3E66" w:rsidRDefault="00062275">
      <w:pPr>
        <w:spacing w:before="240" w:after="240"/>
        <w:ind w:left="720"/>
      </w:pPr>
      <w:r>
        <w:t xml:space="preserve"> </w:t>
      </w:r>
    </w:p>
    <w:p w:rsidR="002A3E66" w:rsidRDefault="00062275">
      <w:pPr>
        <w:pStyle w:val="Heading3"/>
        <w:rPr>
          <w:color w:val="auto"/>
        </w:rPr>
      </w:pPr>
      <w:r>
        <w:rPr>
          <w:color w:val="auto"/>
        </w:rPr>
        <w:t>16.</w:t>
      </w:r>
      <w:r>
        <w:rPr>
          <w:color w:val="auto"/>
        </w:rPr>
        <w:tab/>
        <w:t>Security</w:t>
      </w:r>
    </w:p>
    <w:p w:rsidR="002A3E66" w:rsidRDefault="00062275">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2A3E66" w:rsidRDefault="002A3E66">
      <w:pPr>
        <w:ind w:left="720"/>
      </w:pPr>
    </w:p>
    <w:p w:rsidR="002A3E66" w:rsidRDefault="0006227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rsidR="002A3E66" w:rsidRDefault="002A3E66">
      <w:pPr>
        <w:ind w:left="720"/>
      </w:pPr>
    </w:p>
    <w:p w:rsidR="002A3E66" w:rsidRDefault="0006227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rsidR="002A3E66" w:rsidRDefault="002A3E66">
      <w:pPr>
        <w:ind w:firstLine="720"/>
      </w:pPr>
    </w:p>
    <w:p w:rsidR="002A3E66" w:rsidRDefault="00062275">
      <w:r>
        <w:t>16.4</w:t>
      </w:r>
      <w:r>
        <w:tab/>
        <w:t>Responsibility for costs will be at the:</w:t>
      </w:r>
    </w:p>
    <w:p w:rsidR="002A3E66" w:rsidRDefault="00062275">
      <w:r>
        <w:tab/>
      </w:r>
    </w:p>
    <w:p w:rsidR="002A3E66" w:rsidRDefault="0006227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2A3E66" w:rsidRDefault="002A3E66">
      <w:pPr>
        <w:ind w:left="1440"/>
      </w:pPr>
    </w:p>
    <w:p w:rsidR="002A3E66" w:rsidRDefault="00062275">
      <w:pPr>
        <w:ind w:left="1440" w:hanging="720"/>
      </w:pPr>
      <w:r>
        <w:t>16.4.2</w:t>
      </w:r>
      <w:r>
        <w:tab/>
        <w:t>Buyer’s expense if the Malicious Software originates from the Buyer software or the Service Data, while the Service Data was under the Buyer’s control</w:t>
      </w:r>
    </w:p>
    <w:p w:rsidR="002A3E66" w:rsidRDefault="002A3E66">
      <w:pPr>
        <w:ind w:left="720" w:firstLine="720"/>
      </w:pPr>
    </w:p>
    <w:p w:rsidR="002A3E66" w:rsidRDefault="0006227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2A3E66" w:rsidRDefault="002A3E66">
      <w:pPr>
        <w:ind w:left="720"/>
      </w:pPr>
    </w:p>
    <w:p w:rsidR="002A3E66" w:rsidRDefault="00062275">
      <w:pPr>
        <w:ind w:left="720" w:hanging="720"/>
      </w:pPr>
      <w:r>
        <w:t>16.6</w:t>
      </w:r>
      <w:r>
        <w:tab/>
        <w:t>Any system development by the Supplier should also comply with the government’s ‘10 Steps to Cyber Security’ guidance:</w:t>
      </w:r>
      <w:hyperlink r:id="rId20" w:history="1">
        <w:r>
          <w:rPr>
            <w:u w:val="single"/>
          </w:rPr>
          <w:t xml:space="preserve"> </w:t>
        </w:r>
      </w:hyperlink>
    </w:p>
    <w:p w:rsidR="002A3E66" w:rsidRDefault="005E09AE">
      <w:pPr>
        <w:ind w:left="720"/>
      </w:pPr>
      <w:hyperlink r:id="rId21" w:history="1">
        <w:r w:rsidR="00062275">
          <w:rPr>
            <w:u w:val="single"/>
          </w:rPr>
          <w:t>https://www.ncsc.gov.uk/guidance/10-steps-cyber-security</w:t>
        </w:r>
      </w:hyperlink>
    </w:p>
    <w:p w:rsidR="002A3E66" w:rsidRDefault="002A3E66">
      <w:pPr>
        <w:ind w:left="720"/>
      </w:pPr>
    </w:p>
    <w:p w:rsidR="002A3E66" w:rsidRDefault="0006227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rsidR="002A3E66" w:rsidRDefault="00062275">
      <w:r>
        <w:t xml:space="preserve"> </w:t>
      </w:r>
    </w:p>
    <w:p w:rsidR="002A3E66" w:rsidRDefault="00062275">
      <w:pPr>
        <w:pStyle w:val="Heading3"/>
        <w:rPr>
          <w:color w:val="auto"/>
        </w:rPr>
      </w:pPr>
      <w:r>
        <w:rPr>
          <w:color w:val="auto"/>
        </w:rPr>
        <w:t>17.</w:t>
      </w:r>
      <w:r>
        <w:rPr>
          <w:color w:val="auto"/>
        </w:rPr>
        <w:tab/>
        <w:t>Guarantee</w:t>
      </w:r>
    </w:p>
    <w:p w:rsidR="002A3E66" w:rsidRDefault="00062275">
      <w:pPr>
        <w:ind w:left="720" w:hanging="720"/>
      </w:pPr>
      <w:r>
        <w:t>17.1</w:t>
      </w:r>
      <w:r>
        <w:tab/>
        <w:t>If this Call-Off Contract is conditional on receipt of a Guarantee that is acceptable to the Buyer, the Supplier must give the Buyer on or before the Start date:</w:t>
      </w:r>
    </w:p>
    <w:p w:rsidR="002A3E66" w:rsidRDefault="002A3E66">
      <w:pPr>
        <w:ind w:firstLine="720"/>
      </w:pPr>
    </w:p>
    <w:p w:rsidR="002A3E66" w:rsidRDefault="00062275">
      <w:pPr>
        <w:ind w:firstLine="720"/>
      </w:pPr>
      <w:r>
        <w:t>17.1.1</w:t>
      </w:r>
      <w:r>
        <w:tab/>
        <w:t>an executed Guarantee in the form at Schedule 5</w:t>
      </w:r>
    </w:p>
    <w:p w:rsidR="002A3E66" w:rsidRDefault="002A3E66"/>
    <w:p w:rsidR="002A3E66" w:rsidRDefault="00062275">
      <w:pPr>
        <w:ind w:left="1440" w:hanging="720"/>
      </w:pPr>
      <w:r>
        <w:t>17.1.2</w:t>
      </w:r>
      <w:r>
        <w:tab/>
        <w:t>a certified copy of the passed resolution or board minutes of the guarantor approving the execution of the Guarantee</w:t>
      </w:r>
    </w:p>
    <w:p w:rsidR="002A3E66" w:rsidRDefault="002A3E66">
      <w:pPr>
        <w:ind w:left="720" w:firstLine="720"/>
      </w:pPr>
    </w:p>
    <w:p w:rsidR="002A3E66" w:rsidRDefault="00062275">
      <w:pPr>
        <w:pStyle w:val="Heading3"/>
        <w:rPr>
          <w:color w:val="auto"/>
        </w:rPr>
      </w:pPr>
      <w:r>
        <w:rPr>
          <w:color w:val="auto"/>
        </w:rPr>
        <w:lastRenderedPageBreak/>
        <w:t>18.</w:t>
      </w:r>
      <w:r>
        <w:rPr>
          <w:color w:val="auto"/>
        </w:rPr>
        <w:tab/>
        <w:t>Ending the Call-Off Contract</w:t>
      </w:r>
    </w:p>
    <w:p w:rsidR="002A3E66" w:rsidRDefault="0006227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rsidR="002A3E66" w:rsidRDefault="002A3E66">
      <w:pPr>
        <w:ind w:left="720"/>
      </w:pPr>
    </w:p>
    <w:p w:rsidR="002A3E66" w:rsidRDefault="00062275">
      <w:r>
        <w:t>18.2</w:t>
      </w:r>
      <w:r>
        <w:tab/>
        <w:t>The Parties agree that the:</w:t>
      </w:r>
    </w:p>
    <w:p w:rsidR="002A3E66" w:rsidRDefault="002A3E66"/>
    <w:p w:rsidR="002A3E66" w:rsidRDefault="00062275">
      <w:pPr>
        <w:ind w:left="1440" w:hanging="720"/>
      </w:pPr>
      <w:r>
        <w:t>18.2.1</w:t>
      </w:r>
      <w:r>
        <w:tab/>
        <w:t>Buyer’s right to End the Call-Off Contract under clause 18.1 is reasonable considering the type of cloud Service being provided</w:t>
      </w:r>
    </w:p>
    <w:p w:rsidR="002A3E66" w:rsidRDefault="002A3E66">
      <w:pPr>
        <w:ind w:left="720"/>
      </w:pPr>
    </w:p>
    <w:p w:rsidR="002A3E66" w:rsidRDefault="00062275">
      <w:pPr>
        <w:ind w:left="1440" w:hanging="720"/>
      </w:pPr>
      <w:r>
        <w:t>18.2.2</w:t>
      </w:r>
      <w:r>
        <w:tab/>
        <w:t>Call-Off Contract Charges paid during the notice period is reasonable compensation and covers all the Supplier’s avoidable costs or Losses</w:t>
      </w:r>
    </w:p>
    <w:p w:rsidR="002A3E66" w:rsidRDefault="002A3E66">
      <w:pPr>
        <w:ind w:left="720" w:firstLine="720"/>
      </w:pPr>
    </w:p>
    <w:p w:rsidR="002A3E66" w:rsidRDefault="0006227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2A3E66" w:rsidRDefault="002A3E66">
      <w:pPr>
        <w:ind w:left="720"/>
      </w:pPr>
    </w:p>
    <w:p w:rsidR="002A3E66" w:rsidRDefault="00062275">
      <w:pPr>
        <w:ind w:left="720" w:hanging="720"/>
      </w:pPr>
      <w:r>
        <w:t>18.4</w:t>
      </w:r>
      <w:r>
        <w:tab/>
        <w:t>The Buyer will have the right to End this Call-Off Contract at any time with immediate effect by written notice to the Supplier if either the Supplier commits:</w:t>
      </w:r>
    </w:p>
    <w:p w:rsidR="002A3E66" w:rsidRDefault="002A3E66">
      <w:pPr>
        <w:ind w:firstLine="720"/>
      </w:pPr>
    </w:p>
    <w:p w:rsidR="002A3E66" w:rsidRDefault="00062275">
      <w:pPr>
        <w:ind w:left="1440" w:hanging="720"/>
      </w:pPr>
      <w:r>
        <w:t>18.4.1</w:t>
      </w:r>
      <w:r>
        <w:tab/>
        <w:t>a Supplier Default and if the Supplier Default cannot, in the reasonable opinion of the Buyer, be remedied</w:t>
      </w:r>
    </w:p>
    <w:p w:rsidR="002A3E66" w:rsidRDefault="002A3E66">
      <w:pPr>
        <w:ind w:left="720" w:firstLine="720"/>
      </w:pPr>
    </w:p>
    <w:p w:rsidR="002A3E66" w:rsidRDefault="00062275">
      <w:pPr>
        <w:ind w:firstLine="720"/>
      </w:pPr>
      <w:r>
        <w:t>18.4.2</w:t>
      </w:r>
      <w:r>
        <w:tab/>
        <w:t>any fraud</w:t>
      </w:r>
    </w:p>
    <w:p w:rsidR="002A3E66" w:rsidRDefault="002A3E66">
      <w:pPr>
        <w:ind w:firstLine="720"/>
      </w:pPr>
    </w:p>
    <w:p w:rsidR="002A3E66" w:rsidRDefault="00062275">
      <w:r>
        <w:t>18.5</w:t>
      </w:r>
      <w:r>
        <w:tab/>
        <w:t>A Party can End this Call-Off Contract at any time with immediate effect by written notice if:</w:t>
      </w:r>
    </w:p>
    <w:p w:rsidR="002A3E66" w:rsidRDefault="002A3E66">
      <w:pPr>
        <w:ind w:firstLine="720"/>
      </w:pPr>
    </w:p>
    <w:p w:rsidR="002A3E66" w:rsidRDefault="0006227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rsidR="002A3E66" w:rsidRDefault="002A3E66">
      <w:pPr>
        <w:ind w:left="1440"/>
      </w:pPr>
    </w:p>
    <w:p w:rsidR="002A3E66" w:rsidRDefault="00062275">
      <w:pPr>
        <w:ind w:firstLine="720"/>
      </w:pPr>
      <w:r>
        <w:t>18.5.2</w:t>
      </w:r>
      <w:r>
        <w:tab/>
        <w:t>an Insolvency Event of the other Party happens</w:t>
      </w:r>
    </w:p>
    <w:p w:rsidR="002A3E66" w:rsidRDefault="002A3E66">
      <w:pPr>
        <w:ind w:firstLine="720"/>
      </w:pPr>
    </w:p>
    <w:p w:rsidR="002A3E66" w:rsidRDefault="00062275">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rsidR="002A3E66" w:rsidRDefault="002A3E66">
      <w:pPr>
        <w:ind w:left="720" w:firstLine="720"/>
      </w:pPr>
    </w:p>
    <w:p w:rsidR="002A3E66" w:rsidRDefault="0006227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2A3E66" w:rsidRDefault="002A3E66">
      <w:pPr>
        <w:ind w:left="720"/>
      </w:pPr>
    </w:p>
    <w:p w:rsidR="002A3E66" w:rsidRDefault="00062275">
      <w:pPr>
        <w:ind w:left="720" w:hanging="720"/>
      </w:pPr>
      <w:r>
        <w:t>18.7</w:t>
      </w:r>
      <w:r>
        <w:tab/>
        <w:t>A Party who isn’t relying on a Force Majeure event will have the right to End this Call-Off Contract if clause 23.1 applies.</w:t>
      </w:r>
    </w:p>
    <w:p w:rsidR="002A3E66" w:rsidRDefault="00062275">
      <w:pPr>
        <w:ind w:left="720" w:hanging="720"/>
      </w:pPr>
      <w:r>
        <w:t xml:space="preserve"> </w:t>
      </w:r>
    </w:p>
    <w:p w:rsidR="002A3E66" w:rsidRDefault="00062275">
      <w:pPr>
        <w:pStyle w:val="Heading3"/>
        <w:rPr>
          <w:color w:val="auto"/>
        </w:rPr>
      </w:pPr>
      <w:r>
        <w:rPr>
          <w:color w:val="auto"/>
        </w:rPr>
        <w:lastRenderedPageBreak/>
        <w:t>19.</w:t>
      </w:r>
      <w:r>
        <w:rPr>
          <w:color w:val="auto"/>
        </w:rPr>
        <w:tab/>
        <w:t>Consequences of suspension, ending and expiry</w:t>
      </w:r>
    </w:p>
    <w:p w:rsidR="002A3E66" w:rsidRDefault="00062275">
      <w:pPr>
        <w:ind w:left="720" w:hanging="720"/>
      </w:pPr>
      <w:r>
        <w:t>19.1</w:t>
      </w:r>
      <w:r>
        <w:tab/>
        <w:t>If a Buyer has the right to End a Call-Off Contract, it may elect to suspend this Call-Off Contract or any part of it.</w:t>
      </w:r>
    </w:p>
    <w:p w:rsidR="002A3E66" w:rsidRDefault="002A3E66"/>
    <w:p w:rsidR="002A3E66" w:rsidRDefault="00062275">
      <w:pPr>
        <w:ind w:left="720" w:hanging="720"/>
      </w:pPr>
      <w:r>
        <w:t>19.2</w:t>
      </w:r>
      <w:r>
        <w:tab/>
        <w:t>Even if a notice has been served to End this Call-Off Contract or any part of it, the Supplier must continue to provide the Ordered G-Cloud Services until the dates set out in the notice.</w:t>
      </w:r>
    </w:p>
    <w:p w:rsidR="002A3E66" w:rsidRDefault="002A3E66">
      <w:pPr>
        <w:ind w:left="720" w:hanging="720"/>
      </w:pPr>
    </w:p>
    <w:p w:rsidR="002A3E66" w:rsidRDefault="00062275">
      <w:pPr>
        <w:ind w:left="720" w:hanging="720"/>
      </w:pPr>
      <w:r>
        <w:t>19.3</w:t>
      </w:r>
      <w:r>
        <w:tab/>
        <w:t>The rights and obligations of the Parties will cease on the Expiry Date or End Date whichever applies) of this Call-Off Contract, except those continuing provisions described in clause 19.4.</w:t>
      </w:r>
    </w:p>
    <w:p w:rsidR="002A3E66" w:rsidRDefault="002A3E66"/>
    <w:p w:rsidR="002A3E66" w:rsidRDefault="00062275">
      <w:r>
        <w:t>19.4</w:t>
      </w:r>
      <w:r>
        <w:tab/>
        <w:t>Ending or expiry of this Call-Off Contract will not affect:</w:t>
      </w:r>
    </w:p>
    <w:p w:rsidR="002A3E66" w:rsidRDefault="002A3E66"/>
    <w:p w:rsidR="002A3E66" w:rsidRDefault="00062275">
      <w:pPr>
        <w:ind w:firstLine="720"/>
      </w:pPr>
      <w:r>
        <w:t>19.4.1</w:t>
      </w:r>
      <w:r>
        <w:tab/>
        <w:t>any rights, remedies or obligations accrued before its Ending or expiration</w:t>
      </w:r>
    </w:p>
    <w:p w:rsidR="002A3E66" w:rsidRDefault="002A3E66"/>
    <w:p w:rsidR="002A3E66" w:rsidRDefault="00062275">
      <w:pPr>
        <w:ind w:left="1440" w:hanging="720"/>
      </w:pPr>
      <w:r>
        <w:t>19.4.2</w:t>
      </w:r>
      <w:r>
        <w:tab/>
        <w:t>the right of either Party to recover any amount outstanding at the time of Ending or expiry</w:t>
      </w:r>
    </w:p>
    <w:p w:rsidR="002A3E66" w:rsidRDefault="002A3E66"/>
    <w:p w:rsidR="002A3E66" w:rsidRDefault="00062275">
      <w:pPr>
        <w:ind w:left="1440" w:hanging="720"/>
      </w:pPr>
      <w:r>
        <w:t>19.4.3</w:t>
      </w:r>
      <w:r>
        <w:tab/>
        <w:t>the continuing rights, remedies or obligations of the Buyer or the Supplier under clauses</w:t>
      </w:r>
    </w:p>
    <w:p w:rsidR="002A3E66" w:rsidRDefault="00062275">
      <w:pPr>
        <w:pStyle w:val="ListParagraph"/>
        <w:numPr>
          <w:ilvl w:val="1"/>
          <w:numId w:val="21"/>
        </w:numPr>
      </w:pPr>
      <w:r>
        <w:t>7 (Payment, VAT and Call-Off Contract charges)</w:t>
      </w:r>
    </w:p>
    <w:p w:rsidR="002A3E66" w:rsidRDefault="00062275">
      <w:pPr>
        <w:pStyle w:val="ListParagraph"/>
        <w:numPr>
          <w:ilvl w:val="1"/>
          <w:numId w:val="21"/>
        </w:numPr>
      </w:pPr>
      <w:r>
        <w:t>8 (Recovery of sums due and right of set-off)</w:t>
      </w:r>
    </w:p>
    <w:p w:rsidR="002A3E66" w:rsidRDefault="00062275">
      <w:pPr>
        <w:pStyle w:val="ListParagraph"/>
        <w:numPr>
          <w:ilvl w:val="1"/>
          <w:numId w:val="21"/>
        </w:numPr>
      </w:pPr>
      <w:r>
        <w:t>9 (Insurance)</w:t>
      </w:r>
    </w:p>
    <w:p w:rsidR="002A3E66" w:rsidRDefault="00062275">
      <w:pPr>
        <w:pStyle w:val="ListParagraph"/>
        <w:numPr>
          <w:ilvl w:val="1"/>
          <w:numId w:val="21"/>
        </w:numPr>
      </w:pPr>
      <w:r>
        <w:t>10 (Confidentiality)</w:t>
      </w:r>
    </w:p>
    <w:p w:rsidR="002A3E66" w:rsidRDefault="00062275">
      <w:pPr>
        <w:pStyle w:val="ListParagraph"/>
        <w:numPr>
          <w:ilvl w:val="1"/>
          <w:numId w:val="21"/>
        </w:numPr>
      </w:pPr>
      <w:r>
        <w:t>11 (Intellectual property rights)</w:t>
      </w:r>
    </w:p>
    <w:p w:rsidR="002A3E66" w:rsidRDefault="00062275">
      <w:pPr>
        <w:pStyle w:val="ListParagraph"/>
        <w:numPr>
          <w:ilvl w:val="1"/>
          <w:numId w:val="21"/>
        </w:numPr>
      </w:pPr>
      <w:r>
        <w:t>12 (Protection of information)</w:t>
      </w:r>
    </w:p>
    <w:p w:rsidR="002A3E66" w:rsidRDefault="00062275">
      <w:pPr>
        <w:pStyle w:val="ListParagraph"/>
        <w:numPr>
          <w:ilvl w:val="1"/>
          <w:numId w:val="21"/>
        </w:numPr>
      </w:pPr>
      <w:r>
        <w:t>13 (Buyer data)</w:t>
      </w:r>
    </w:p>
    <w:p w:rsidR="002A3E66" w:rsidRDefault="00062275">
      <w:pPr>
        <w:pStyle w:val="ListParagraph"/>
        <w:numPr>
          <w:ilvl w:val="1"/>
          <w:numId w:val="21"/>
        </w:numPr>
      </w:pPr>
      <w:r>
        <w:t>19 (Consequences of suspension, ending and expiry)</w:t>
      </w:r>
    </w:p>
    <w:p w:rsidR="002A3E66" w:rsidRDefault="00062275">
      <w:pPr>
        <w:pStyle w:val="ListParagraph"/>
        <w:numPr>
          <w:ilvl w:val="1"/>
          <w:numId w:val="21"/>
        </w:numPr>
      </w:pPr>
      <w:r>
        <w:t>24 (Liability); incorporated Framework Agreement clauses: 4.2 to 4.7 (Liability)</w:t>
      </w:r>
    </w:p>
    <w:p w:rsidR="002A3E66" w:rsidRDefault="00062275">
      <w:pPr>
        <w:pStyle w:val="ListParagraph"/>
        <w:numPr>
          <w:ilvl w:val="1"/>
          <w:numId w:val="21"/>
        </w:numPr>
      </w:pPr>
      <w:r>
        <w:t>8.44 to 8.50 (Conflicts of interest and ethical walls)</w:t>
      </w:r>
    </w:p>
    <w:p w:rsidR="002A3E66" w:rsidRDefault="00062275">
      <w:pPr>
        <w:pStyle w:val="ListParagraph"/>
        <w:numPr>
          <w:ilvl w:val="1"/>
          <w:numId w:val="21"/>
        </w:numPr>
      </w:pPr>
      <w:r>
        <w:t>8.89 to 8.90 (Waiver and cumulative remedies)</w:t>
      </w:r>
    </w:p>
    <w:p w:rsidR="002A3E66" w:rsidRDefault="002A3E66">
      <w:pPr>
        <w:ind w:firstLine="720"/>
      </w:pPr>
    </w:p>
    <w:p w:rsidR="002A3E66" w:rsidRDefault="00062275">
      <w:pPr>
        <w:ind w:left="1440" w:hanging="720"/>
      </w:pPr>
      <w:r>
        <w:t>19.4.4</w:t>
      </w:r>
      <w:r>
        <w:tab/>
        <w:t>any other provision of the Framework Agreement or this Call-Off Contract which expressly or by implication is in force even if it Ends or expires</w:t>
      </w:r>
    </w:p>
    <w:p w:rsidR="002A3E66" w:rsidRDefault="00062275">
      <w:r>
        <w:t xml:space="preserve"> </w:t>
      </w:r>
    </w:p>
    <w:p w:rsidR="002A3E66" w:rsidRDefault="00062275">
      <w:r>
        <w:t>19.5</w:t>
      </w:r>
      <w:r>
        <w:tab/>
        <w:t>At the end of the Call-Off Contract Term, the Supplier must promptly:</w:t>
      </w:r>
    </w:p>
    <w:p w:rsidR="002A3E66" w:rsidRDefault="002A3E66"/>
    <w:p w:rsidR="002A3E66" w:rsidRDefault="00062275">
      <w:pPr>
        <w:ind w:left="1440" w:hanging="720"/>
      </w:pPr>
      <w:r>
        <w:t>19.5.1</w:t>
      </w:r>
      <w:r>
        <w:tab/>
        <w:t>return all Buyer Data including all copies of Buyer software, code and any other software licensed by the Buyer to the Supplier under it</w:t>
      </w:r>
    </w:p>
    <w:p w:rsidR="002A3E66" w:rsidRDefault="002A3E66">
      <w:pPr>
        <w:ind w:firstLine="720"/>
      </w:pPr>
    </w:p>
    <w:p w:rsidR="002A3E66" w:rsidRDefault="00062275">
      <w:pPr>
        <w:ind w:left="1440" w:hanging="720"/>
      </w:pPr>
      <w:r>
        <w:t>19.5.2</w:t>
      </w:r>
      <w:r>
        <w:tab/>
        <w:t>return any materials created by the Supplier under this Call-Off Contract if the IPRs are owned by the Buyer</w:t>
      </w:r>
    </w:p>
    <w:p w:rsidR="002A3E66" w:rsidRDefault="002A3E66">
      <w:pPr>
        <w:ind w:firstLine="720"/>
      </w:pPr>
    </w:p>
    <w:p w:rsidR="002A3E66" w:rsidRDefault="00062275">
      <w:pPr>
        <w:ind w:left="1440" w:hanging="720"/>
      </w:pPr>
      <w:r>
        <w:t>19.5.3</w:t>
      </w:r>
      <w:r>
        <w:tab/>
        <w:t>stop using the Buyer Data and, at the direction of the Buyer, provide the Buyer with a complete and uncorrupted version in electronic form in the formats and on media agreed with the Buyer</w:t>
      </w:r>
    </w:p>
    <w:p w:rsidR="002A3E66" w:rsidRDefault="002A3E66">
      <w:pPr>
        <w:ind w:firstLine="720"/>
      </w:pPr>
    </w:p>
    <w:p w:rsidR="002A3E66" w:rsidRDefault="00062275">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rsidR="002A3E66" w:rsidRDefault="002A3E66">
      <w:pPr>
        <w:ind w:left="720"/>
      </w:pPr>
    </w:p>
    <w:p w:rsidR="002A3E66" w:rsidRDefault="00062275">
      <w:pPr>
        <w:ind w:firstLine="720"/>
      </w:pPr>
      <w:r>
        <w:t>19.5.5</w:t>
      </w:r>
      <w:r>
        <w:tab/>
        <w:t>work with the Buyer on any ongoing work</w:t>
      </w:r>
    </w:p>
    <w:p w:rsidR="002A3E66" w:rsidRDefault="002A3E66"/>
    <w:p w:rsidR="002A3E66" w:rsidRDefault="00062275">
      <w:pPr>
        <w:ind w:left="1440" w:hanging="720"/>
      </w:pPr>
      <w:r>
        <w:t>19.5.6</w:t>
      </w:r>
      <w:r>
        <w:tab/>
        <w:t>return any sums prepaid for Services which have not been delivered to the Buyer, within 10 Working Days of the End or Expiry Date</w:t>
      </w:r>
    </w:p>
    <w:p w:rsidR="002A3E66" w:rsidRDefault="002A3E66">
      <w:pPr>
        <w:ind w:firstLine="720"/>
      </w:pPr>
    </w:p>
    <w:p w:rsidR="002A3E66" w:rsidRDefault="002A3E66"/>
    <w:p w:rsidR="002A3E66" w:rsidRDefault="00062275">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rsidR="002A3E66" w:rsidRDefault="002A3E66">
      <w:pPr>
        <w:ind w:left="720"/>
      </w:pPr>
    </w:p>
    <w:p w:rsidR="002A3E66" w:rsidRDefault="0006227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rsidR="002A3E66" w:rsidRDefault="002A3E66"/>
    <w:p w:rsidR="002A3E66" w:rsidRDefault="00062275">
      <w:pPr>
        <w:pStyle w:val="Heading3"/>
        <w:rPr>
          <w:color w:val="auto"/>
        </w:rPr>
      </w:pPr>
      <w:r>
        <w:rPr>
          <w:color w:val="auto"/>
        </w:rPr>
        <w:t>20.</w:t>
      </w:r>
      <w:r>
        <w:rPr>
          <w:color w:val="auto"/>
        </w:rPr>
        <w:tab/>
        <w:t>Notices</w:t>
      </w:r>
    </w:p>
    <w:p w:rsidR="002A3E66" w:rsidRDefault="00062275">
      <w:pPr>
        <w:ind w:left="720" w:hanging="720"/>
      </w:pPr>
      <w:r>
        <w:t>20.1</w:t>
      </w:r>
      <w:r>
        <w:tab/>
        <w:t>Any notices sent must be in writing. For the purpose of this clause, an email is accepted as being 'in writing'.</w:t>
      </w:r>
    </w:p>
    <w:p w:rsidR="002A3E66" w:rsidRDefault="002A3E66">
      <w:pPr>
        <w:ind w:left="720" w:hanging="720"/>
      </w:pPr>
    </w:p>
    <w:p w:rsidR="002A3E66" w:rsidRDefault="00062275">
      <w:pPr>
        <w:pStyle w:val="ListParagraph"/>
        <w:numPr>
          <w:ilvl w:val="0"/>
          <w:numId w:val="22"/>
        </w:numPr>
        <w:spacing w:after="120" w:line="360" w:lineRule="auto"/>
      </w:pPr>
      <w:r>
        <w:t>Manner of delivery: email</w:t>
      </w:r>
    </w:p>
    <w:p w:rsidR="002A3E66" w:rsidRDefault="00062275">
      <w:pPr>
        <w:pStyle w:val="ListParagraph"/>
        <w:numPr>
          <w:ilvl w:val="0"/>
          <w:numId w:val="22"/>
        </w:numPr>
        <w:spacing w:line="360" w:lineRule="auto"/>
      </w:pPr>
      <w:r>
        <w:t>Deemed time of delivery: 9am on the first Working Day after sending</w:t>
      </w:r>
    </w:p>
    <w:p w:rsidR="002A3E66" w:rsidRDefault="00062275">
      <w:pPr>
        <w:pStyle w:val="ListParagraph"/>
        <w:numPr>
          <w:ilvl w:val="0"/>
          <w:numId w:val="22"/>
        </w:numPr>
      </w:pPr>
      <w:r>
        <w:t>Proof of service: Sent in an emailed letter in PDF format to the correct email address without any error message</w:t>
      </w:r>
    </w:p>
    <w:p w:rsidR="002A3E66" w:rsidRDefault="002A3E66"/>
    <w:p w:rsidR="002A3E66" w:rsidRDefault="00062275">
      <w:pPr>
        <w:ind w:left="720" w:hanging="720"/>
      </w:pPr>
      <w:r>
        <w:t>20.2</w:t>
      </w:r>
      <w:r>
        <w:tab/>
        <w:t>This clause does not apply to any legal action or other method of dispute resolution which should be sent to the addresses in the Order Form (other than a dispute notice under this Call-Off Contract).</w:t>
      </w:r>
    </w:p>
    <w:p w:rsidR="002A3E66" w:rsidRDefault="002A3E66">
      <w:pPr>
        <w:spacing w:before="240" w:after="240"/>
        <w:ind w:left="720"/>
      </w:pPr>
    </w:p>
    <w:p w:rsidR="002A3E66" w:rsidRDefault="00062275">
      <w:pPr>
        <w:pStyle w:val="Heading3"/>
        <w:rPr>
          <w:color w:val="auto"/>
        </w:rPr>
      </w:pPr>
      <w:r>
        <w:rPr>
          <w:color w:val="auto"/>
        </w:rPr>
        <w:t>21.</w:t>
      </w:r>
      <w:r>
        <w:rPr>
          <w:color w:val="auto"/>
        </w:rPr>
        <w:tab/>
        <w:t>Exit plan</w:t>
      </w:r>
    </w:p>
    <w:p w:rsidR="002A3E66" w:rsidRDefault="00062275">
      <w:pPr>
        <w:ind w:left="720" w:hanging="720"/>
      </w:pPr>
      <w:r>
        <w:t>21.1</w:t>
      </w:r>
      <w:r>
        <w:tab/>
        <w:t>The Supplier must provide an exit plan in its Application which ensures continuity of service and the Supplier will follow it.</w:t>
      </w:r>
    </w:p>
    <w:p w:rsidR="002A3E66" w:rsidRDefault="002A3E66">
      <w:pPr>
        <w:ind w:firstLine="720"/>
      </w:pPr>
    </w:p>
    <w:p w:rsidR="002A3E66" w:rsidRDefault="0006227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rsidR="002A3E66" w:rsidRDefault="002A3E66">
      <w:pPr>
        <w:ind w:left="720"/>
      </w:pPr>
    </w:p>
    <w:p w:rsidR="002A3E66" w:rsidRDefault="00062275">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rsidR="002A3E66" w:rsidRDefault="002A3E66">
      <w:pPr>
        <w:ind w:left="720"/>
      </w:pPr>
    </w:p>
    <w:p w:rsidR="002A3E66" w:rsidRDefault="00062275">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rsidR="002A3E66" w:rsidRDefault="002A3E66">
      <w:pPr>
        <w:ind w:left="720"/>
      </w:pPr>
    </w:p>
    <w:p w:rsidR="002A3E66" w:rsidRDefault="00062275">
      <w:pPr>
        <w:ind w:left="720" w:hanging="720"/>
      </w:pPr>
      <w:r>
        <w:t>21.5</w:t>
      </w:r>
      <w:r>
        <w:tab/>
        <w:t>Before submitting the additional exit plan to the Buyer for approval, the Supplier will work with the Buyer to ensure that the additional exit plan is aligned with the Buyer’s own exit plan and strategy.</w:t>
      </w:r>
    </w:p>
    <w:p w:rsidR="002A3E66" w:rsidRDefault="002A3E66">
      <w:pPr>
        <w:ind w:left="720"/>
      </w:pPr>
    </w:p>
    <w:p w:rsidR="002A3E66" w:rsidRDefault="0006227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2A3E66" w:rsidRDefault="002A3E66">
      <w:pPr>
        <w:ind w:left="720"/>
      </w:pPr>
    </w:p>
    <w:p w:rsidR="002A3E66" w:rsidRDefault="00062275">
      <w:pPr>
        <w:ind w:left="1440" w:hanging="720"/>
      </w:pPr>
      <w:r>
        <w:t>21.6.1</w:t>
      </w:r>
      <w:r>
        <w:tab/>
        <w:t>the Buyer will be able to transfer the Services to a replacement supplier before the expiry or Ending of the extension period on terms that are commercially reasonable and acceptable to the Buyer</w:t>
      </w:r>
    </w:p>
    <w:p w:rsidR="002A3E66" w:rsidRDefault="002A3E66"/>
    <w:p w:rsidR="002A3E66" w:rsidRDefault="00062275">
      <w:pPr>
        <w:ind w:firstLine="720"/>
      </w:pPr>
      <w:r>
        <w:t>21.6.2</w:t>
      </w:r>
      <w:r>
        <w:tab/>
        <w:t>there will be no adverse impact on service continuity</w:t>
      </w:r>
    </w:p>
    <w:p w:rsidR="002A3E66" w:rsidRDefault="002A3E66">
      <w:pPr>
        <w:ind w:firstLine="720"/>
      </w:pPr>
    </w:p>
    <w:p w:rsidR="002A3E66" w:rsidRDefault="00062275">
      <w:pPr>
        <w:ind w:firstLine="720"/>
      </w:pPr>
      <w:r>
        <w:t>21.6.3</w:t>
      </w:r>
      <w:r>
        <w:tab/>
        <w:t>there is no vendor lock-in to the Supplier’s Service at exit</w:t>
      </w:r>
    </w:p>
    <w:p w:rsidR="002A3E66" w:rsidRDefault="002A3E66"/>
    <w:p w:rsidR="002A3E66" w:rsidRDefault="00062275">
      <w:pPr>
        <w:ind w:firstLine="720"/>
      </w:pPr>
      <w:r>
        <w:t>21.6.4</w:t>
      </w:r>
      <w:r>
        <w:tab/>
        <w:t xml:space="preserve">it enables the Buyer to meet its obligations under the Technology Code </w:t>
      </w:r>
      <w:proofErr w:type="gramStart"/>
      <w:r>
        <w:t>Of</w:t>
      </w:r>
      <w:proofErr w:type="gramEnd"/>
      <w:r>
        <w:t xml:space="preserve"> Practice</w:t>
      </w:r>
    </w:p>
    <w:p w:rsidR="002A3E66" w:rsidRDefault="002A3E66">
      <w:pPr>
        <w:ind w:left="720" w:firstLine="720"/>
      </w:pPr>
    </w:p>
    <w:p w:rsidR="002A3E66" w:rsidRDefault="00062275">
      <w:pPr>
        <w:ind w:left="720" w:hanging="720"/>
      </w:pPr>
      <w:r>
        <w:t>21.7</w:t>
      </w:r>
      <w:r>
        <w:tab/>
        <w:t>If approval is obtained by the Buyer to extend the Term, then the Supplier will comply with its obligations in the additional exit plan.</w:t>
      </w:r>
    </w:p>
    <w:p w:rsidR="002A3E66" w:rsidRDefault="002A3E66">
      <w:pPr>
        <w:ind w:firstLine="720"/>
      </w:pPr>
    </w:p>
    <w:p w:rsidR="002A3E66" w:rsidRDefault="00062275">
      <w:pPr>
        <w:ind w:left="720" w:hanging="720"/>
      </w:pPr>
      <w:r>
        <w:t>21.8</w:t>
      </w:r>
      <w:r>
        <w:tab/>
        <w:t>The additional exit plan must set out full details of timescales, activities and roles and responsibilities of the Parties for:</w:t>
      </w:r>
    </w:p>
    <w:p w:rsidR="002A3E66" w:rsidRDefault="002A3E66">
      <w:pPr>
        <w:ind w:firstLine="720"/>
      </w:pPr>
    </w:p>
    <w:p w:rsidR="002A3E66" w:rsidRDefault="00062275">
      <w:pPr>
        <w:ind w:left="1440" w:hanging="720"/>
      </w:pPr>
      <w:r>
        <w:t>21.8.1</w:t>
      </w:r>
      <w:r>
        <w:tab/>
        <w:t>the transfer to the Buyer of any technical information, instructions, manuals and code reasonably required by the Buyer to enable a smooth migration from the Supplier</w:t>
      </w:r>
    </w:p>
    <w:p w:rsidR="002A3E66" w:rsidRDefault="002A3E66">
      <w:pPr>
        <w:ind w:left="1440"/>
      </w:pPr>
    </w:p>
    <w:p w:rsidR="002A3E66" w:rsidRDefault="00062275">
      <w:pPr>
        <w:ind w:left="1440" w:hanging="720"/>
      </w:pPr>
      <w:r>
        <w:t>21.8.2</w:t>
      </w:r>
      <w:r>
        <w:tab/>
        <w:t>the strategy for exportation and migration of Buyer Data from the Supplier system to the Buyer or a replacement supplier, including conversion to open standards or other standards required by the Buyer</w:t>
      </w:r>
    </w:p>
    <w:p w:rsidR="002A3E66" w:rsidRDefault="002A3E66">
      <w:pPr>
        <w:ind w:left="1440"/>
      </w:pPr>
    </w:p>
    <w:p w:rsidR="002A3E66" w:rsidRDefault="00062275">
      <w:pPr>
        <w:ind w:left="1440" w:hanging="720"/>
      </w:pPr>
      <w:r>
        <w:t>21.8.3</w:t>
      </w:r>
      <w:r>
        <w:tab/>
        <w:t>the transfer of Project Specific IPR items and other Buyer customisations, configurations and databases to the Buyer or a replacement supplier</w:t>
      </w:r>
    </w:p>
    <w:p w:rsidR="002A3E66" w:rsidRDefault="002A3E66">
      <w:pPr>
        <w:ind w:left="720" w:firstLine="720"/>
      </w:pPr>
    </w:p>
    <w:p w:rsidR="002A3E66" w:rsidRDefault="00062275">
      <w:pPr>
        <w:ind w:firstLine="720"/>
      </w:pPr>
      <w:r>
        <w:t>21.8.4</w:t>
      </w:r>
      <w:r>
        <w:tab/>
        <w:t>the testing and assurance strategy for exported Buyer Data</w:t>
      </w:r>
    </w:p>
    <w:p w:rsidR="002A3E66" w:rsidRDefault="002A3E66">
      <w:pPr>
        <w:ind w:firstLine="720"/>
      </w:pPr>
    </w:p>
    <w:p w:rsidR="002A3E66" w:rsidRDefault="00062275">
      <w:pPr>
        <w:ind w:firstLine="720"/>
      </w:pPr>
      <w:r>
        <w:t>21.8.5</w:t>
      </w:r>
      <w:r>
        <w:tab/>
        <w:t>if relevant, TUPE-related activity to comply with the TUPE regulations</w:t>
      </w:r>
    </w:p>
    <w:p w:rsidR="002A3E66" w:rsidRDefault="002A3E66">
      <w:pPr>
        <w:ind w:firstLine="720"/>
      </w:pPr>
    </w:p>
    <w:p w:rsidR="002A3E66" w:rsidRDefault="00062275">
      <w:pPr>
        <w:ind w:left="1440" w:hanging="720"/>
      </w:pPr>
      <w:r>
        <w:t>21.8.6</w:t>
      </w:r>
      <w:r>
        <w:tab/>
        <w:t>any other activities and information which is reasonably required to ensure continuity of Service during the exit period and an orderly transition</w:t>
      </w:r>
    </w:p>
    <w:p w:rsidR="002A3E66" w:rsidRDefault="002A3E66"/>
    <w:p w:rsidR="002A3E66" w:rsidRDefault="00062275">
      <w:pPr>
        <w:pStyle w:val="Heading3"/>
        <w:rPr>
          <w:color w:val="auto"/>
        </w:rPr>
      </w:pPr>
      <w:r>
        <w:rPr>
          <w:color w:val="auto"/>
        </w:rPr>
        <w:lastRenderedPageBreak/>
        <w:t>22.</w:t>
      </w:r>
      <w:r>
        <w:rPr>
          <w:color w:val="auto"/>
        </w:rPr>
        <w:tab/>
        <w:t>Handover to replacement supplier</w:t>
      </w:r>
    </w:p>
    <w:p w:rsidR="002A3E66" w:rsidRDefault="00062275">
      <w:pPr>
        <w:ind w:left="720" w:hanging="720"/>
      </w:pPr>
      <w:r>
        <w:t>22.1</w:t>
      </w:r>
      <w:r>
        <w:tab/>
        <w:t>At least 10 Working Days before the Expiry Date or End Date, the Supplier must provide any:</w:t>
      </w:r>
    </w:p>
    <w:p w:rsidR="002A3E66" w:rsidRDefault="002A3E66">
      <w:pPr>
        <w:ind w:firstLine="720"/>
      </w:pPr>
    </w:p>
    <w:p w:rsidR="002A3E66" w:rsidRDefault="00062275">
      <w:pPr>
        <w:ind w:left="1440" w:hanging="720"/>
      </w:pPr>
      <w:r>
        <w:t>22.1.1</w:t>
      </w:r>
      <w:r>
        <w:tab/>
        <w:t>data (including Buyer Data), Buyer Personal Data and Buyer Confidential Information in the Supplier’s possession, power or control</w:t>
      </w:r>
    </w:p>
    <w:p w:rsidR="002A3E66" w:rsidRDefault="002A3E66">
      <w:pPr>
        <w:ind w:left="720" w:firstLine="720"/>
      </w:pPr>
    </w:p>
    <w:p w:rsidR="002A3E66" w:rsidRDefault="00062275">
      <w:pPr>
        <w:ind w:firstLine="720"/>
      </w:pPr>
      <w:r>
        <w:t>22.1.2</w:t>
      </w:r>
      <w:r>
        <w:tab/>
        <w:t>other information reasonably requested by the Buyer</w:t>
      </w:r>
    </w:p>
    <w:p w:rsidR="002A3E66" w:rsidRDefault="002A3E66">
      <w:pPr>
        <w:ind w:firstLine="720"/>
      </w:pPr>
    </w:p>
    <w:p w:rsidR="002A3E66" w:rsidRDefault="0006227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2A3E66" w:rsidRDefault="002A3E66">
      <w:pPr>
        <w:ind w:left="720"/>
      </w:pPr>
    </w:p>
    <w:p w:rsidR="002A3E66" w:rsidRDefault="00062275">
      <w:pPr>
        <w:ind w:left="720" w:hanging="720"/>
      </w:pPr>
      <w:r>
        <w:t>22.3</w:t>
      </w:r>
      <w:r>
        <w:tab/>
        <w:t xml:space="preserve">This information must be accurate and complete in all material respects and the level of detail must be </w:t>
      </w:r>
      <w:proofErr w:type="gramStart"/>
      <w:r>
        <w:t>sufficient</w:t>
      </w:r>
      <w:proofErr w:type="gramEnd"/>
      <w:r>
        <w:t xml:space="preserve"> to reasonably enable a third party to prepare an informed offer for replacement services and not be unfairly disadvantaged compared to the Supplier in the buying process.</w:t>
      </w:r>
    </w:p>
    <w:p w:rsidR="002A3E66" w:rsidRDefault="002A3E66">
      <w:pPr>
        <w:ind w:left="720"/>
      </w:pPr>
    </w:p>
    <w:p w:rsidR="002A3E66" w:rsidRDefault="00062275">
      <w:pPr>
        <w:pStyle w:val="Heading3"/>
        <w:rPr>
          <w:color w:val="auto"/>
        </w:rPr>
      </w:pPr>
      <w:r>
        <w:rPr>
          <w:color w:val="auto"/>
        </w:rPr>
        <w:t>23.</w:t>
      </w:r>
      <w:r>
        <w:rPr>
          <w:color w:val="auto"/>
        </w:rPr>
        <w:tab/>
        <w:t>Force majeure</w:t>
      </w:r>
    </w:p>
    <w:p w:rsidR="002A3E66" w:rsidRDefault="0006227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2A3E66" w:rsidRDefault="002A3E66">
      <w:pPr>
        <w:ind w:left="720" w:hanging="720"/>
      </w:pPr>
    </w:p>
    <w:p w:rsidR="002A3E66" w:rsidRDefault="00062275">
      <w:pPr>
        <w:pStyle w:val="Heading3"/>
        <w:rPr>
          <w:color w:val="auto"/>
        </w:rPr>
      </w:pPr>
      <w:r>
        <w:rPr>
          <w:color w:val="auto"/>
        </w:rPr>
        <w:t>24.</w:t>
      </w:r>
      <w:r>
        <w:rPr>
          <w:color w:val="auto"/>
        </w:rPr>
        <w:tab/>
        <w:t>Liability</w:t>
      </w:r>
    </w:p>
    <w:p w:rsidR="002A3E66" w:rsidRDefault="0006227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rsidR="002A3E66" w:rsidRDefault="002A3E66">
      <w:pPr>
        <w:ind w:left="720"/>
      </w:pPr>
    </w:p>
    <w:p w:rsidR="002A3E66" w:rsidRDefault="0006227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rsidR="002A3E66" w:rsidRDefault="002A3E66">
      <w:pPr>
        <w:ind w:left="1440"/>
      </w:pPr>
    </w:p>
    <w:p w:rsidR="002A3E66" w:rsidRDefault="00062275">
      <w:pPr>
        <w:ind w:left="1440" w:hanging="720"/>
      </w:pPr>
      <w:r>
        <w:t>24.1.2</w:t>
      </w:r>
      <w:r>
        <w:tab/>
        <w:t>Buyer Data: for all Defaults by the Supplier resulting in direct loss, destruction, corruption, degradation or damage to any Buyer Data, will not exceed the amount in the Order Form</w:t>
      </w:r>
    </w:p>
    <w:p w:rsidR="002A3E66" w:rsidRDefault="002A3E66">
      <w:pPr>
        <w:ind w:left="1440"/>
      </w:pPr>
    </w:p>
    <w:p w:rsidR="002A3E66" w:rsidRDefault="0006227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2A3E66" w:rsidRDefault="002A3E66">
      <w:pPr>
        <w:spacing w:before="240" w:after="240"/>
      </w:pPr>
    </w:p>
    <w:p w:rsidR="002A3E66" w:rsidRDefault="00062275">
      <w:pPr>
        <w:pStyle w:val="Heading3"/>
        <w:rPr>
          <w:color w:val="auto"/>
        </w:rPr>
      </w:pPr>
      <w:r>
        <w:rPr>
          <w:color w:val="auto"/>
        </w:rPr>
        <w:lastRenderedPageBreak/>
        <w:t>25.</w:t>
      </w:r>
      <w:r>
        <w:rPr>
          <w:color w:val="auto"/>
        </w:rPr>
        <w:tab/>
        <w:t>Premises</w:t>
      </w:r>
    </w:p>
    <w:p w:rsidR="002A3E66" w:rsidRDefault="0006227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rsidR="002A3E66" w:rsidRDefault="002A3E66">
      <w:pPr>
        <w:ind w:left="720"/>
      </w:pPr>
    </w:p>
    <w:p w:rsidR="002A3E66" w:rsidRDefault="00062275">
      <w:pPr>
        <w:ind w:left="720" w:hanging="720"/>
      </w:pPr>
      <w:r>
        <w:t>25.2</w:t>
      </w:r>
      <w:r>
        <w:tab/>
        <w:t>The Supplier will use the Buyer’s premises solely for the performance of its obligations under this Call-Off Contract.</w:t>
      </w:r>
    </w:p>
    <w:p w:rsidR="002A3E66" w:rsidRDefault="002A3E66">
      <w:pPr>
        <w:ind w:firstLine="720"/>
      </w:pPr>
    </w:p>
    <w:p w:rsidR="002A3E66" w:rsidRDefault="00062275">
      <w:r>
        <w:t>25.3</w:t>
      </w:r>
      <w:r>
        <w:tab/>
        <w:t>The Supplier will vacate the Buyer’s premises when the Call-Off Contract Ends or expires.</w:t>
      </w:r>
    </w:p>
    <w:p w:rsidR="002A3E66" w:rsidRDefault="002A3E66">
      <w:pPr>
        <w:ind w:firstLine="720"/>
      </w:pPr>
    </w:p>
    <w:p w:rsidR="002A3E66" w:rsidRDefault="00062275">
      <w:r>
        <w:t>25.4</w:t>
      </w:r>
      <w:r>
        <w:tab/>
        <w:t>This clause does not create a tenancy or exclusive right of occupation.</w:t>
      </w:r>
    </w:p>
    <w:p w:rsidR="002A3E66" w:rsidRDefault="002A3E66"/>
    <w:p w:rsidR="002A3E66" w:rsidRDefault="00062275">
      <w:r>
        <w:t>25.5</w:t>
      </w:r>
      <w:r>
        <w:tab/>
        <w:t>While on the Buyer’s premises, the Supplier will:</w:t>
      </w:r>
    </w:p>
    <w:p w:rsidR="002A3E66" w:rsidRDefault="002A3E66"/>
    <w:p w:rsidR="002A3E66" w:rsidRDefault="00062275">
      <w:pPr>
        <w:ind w:left="1440" w:hanging="720"/>
      </w:pPr>
      <w:r>
        <w:t>25.5.1</w:t>
      </w:r>
      <w:r>
        <w:tab/>
        <w:t>comply with any security requirements at the premises and not do anything to weaken the security of the premises</w:t>
      </w:r>
    </w:p>
    <w:p w:rsidR="002A3E66" w:rsidRDefault="002A3E66">
      <w:pPr>
        <w:ind w:left="720"/>
      </w:pPr>
    </w:p>
    <w:p w:rsidR="002A3E66" w:rsidRDefault="00062275">
      <w:pPr>
        <w:ind w:firstLine="720"/>
      </w:pPr>
      <w:r>
        <w:t>25.5.2</w:t>
      </w:r>
      <w:r>
        <w:tab/>
        <w:t>comply with Buyer requirements for the conduct of personnel</w:t>
      </w:r>
    </w:p>
    <w:p w:rsidR="002A3E66" w:rsidRDefault="002A3E66">
      <w:pPr>
        <w:ind w:firstLine="720"/>
      </w:pPr>
    </w:p>
    <w:p w:rsidR="002A3E66" w:rsidRDefault="00062275">
      <w:pPr>
        <w:ind w:firstLine="720"/>
      </w:pPr>
      <w:r>
        <w:t>25.5.3</w:t>
      </w:r>
      <w:r>
        <w:tab/>
        <w:t>comply with any health and safety measures implemented by the Buyer</w:t>
      </w:r>
    </w:p>
    <w:p w:rsidR="002A3E66" w:rsidRDefault="002A3E66">
      <w:pPr>
        <w:ind w:firstLine="720"/>
      </w:pPr>
    </w:p>
    <w:p w:rsidR="002A3E66" w:rsidRDefault="00062275">
      <w:pPr>
        <w:ind w:left="1440" w:hanging="720"/>
      </w:pPr>
      <w:r>
        <w:t>25.5.4</w:t>
      </w:r>
      <w:r>
        <w:tab/>
        <w:t>immediately notify the Buyer of any incident on the premises that causes any damage to Property which could cause personal injury</w:t>
      </w:r>
    </w:p>
    <w:p w:rsidR="002A3E66" w:rsidRDefault="002A3E66">
      <w:pPr>
        <w:ind w:left="720" w:firstLine="720"/>
      </w:pPr>
    </w:p>
    <w:p w:rsidR="002A3E66" w:rsidRDefault="00062275">
      <w:pPr>
        <w:ind w:left="720" w:hanging="720"/>
      </w:pPr>
      <w:r>
        <w:t>25.6</w:t>
      </w:r>
      <w:r>
        <w:tab/>
        <w:t>The Supplier will ensure that its health and safety policy statement (as required by the Health and Safety at Work etc Act 1974) is made available to the Buyer on request.</w:t>
      </w:r>
    </w:p>
    <w:p w:rsidR="002A3E66" w:rsidRDefault="002A3E66">
      <w:pPr>
        <w:ind w:left="720" w:hanging="720"/>
      </w:pPr>
    </w:p>
    <w:p w:rsidR="002A3E66" w:rsidRDefault="00062275">
      <w:pPr>
        <w:pStyle w:val="Heading3"/>
        <w:rPr>
          <w:color w:val="auto"/>
        </w:rPr>
      </w:pPr>
      <w:r>
        <w:rPr>
          <w:color w:val="auto"/>
        </w:rPr>
        <w:t>26.</w:t>
      </w:r>
      <w:r>
        <w:rPr>
          <w:color w:val="auto"/>
        </w:rPr>
        <w:tab/>
        <w:t>Equipment</w:t>
      </w:r>
    </w:p>
    <w:p w:rsidR="002A3E66" w:rsidRDefault="00062275">
      <w:pPr>
        <w:spacing w:before="240" w:after="240"/>
      </w:pPr>
      <w:r>
        <w:t>26.1</w:t>
      </w:r>
      <w:r>
        <w:tab/>
        <w:t>The Supplier is responsible for providing any Equipment which the Supplier requires to provide the Services.</w:t>
      </w:r>
    </w:p>
    <w:p w:rsidR="002A3E66" w:rsidRDefault="002A3E66">
      <w:pPr>
        <w:ind w:firstLine="720"/>
      </w:pPr>
    </w:p>
    <w:p w:rsidR="002A3E66" w:rsidRDefault="00062275">
      <w:pPr>
        <w:ind w:left="720" w:hanging="720"/>
      </w:pPr>
      <w:r>
        <w:t>26.2</w:t>
      </w:r>
      <w:r>
        <w:tab/>
        <w:t>Any Equipment brought onto the premises will be at the Supplier's own risk and the Buyer will have no liability for any loss of, or damage to, any Equipment.</w:t>
      </w:r>
    </w:p>
    <w:p w:rsidR="002A3E66" w:rsidRDefault="002A3E66">
      <w:pPr>
        <w:ind w:firstLine="720"/>
      </w:pPr>
    </w:p>
    <w:p w:rsidR="002A3E66" w:rsidRDefault="00062275">
      <w:pPr>
        <w:ind w:left="720" w:hanging="720"/>
      </w:pPr>
      <w:r>
        <w:t>26.3</w:t>
      </w:r>
      <w:r>
        <w:tab/>
        <w:t>When the Call-Off Contract Ends or expires, the Supplier will remove the Equipment and any other materials leaving the premises in a safe and clean condition.</w:t>
      </w:r>
    </w:p>
    <w:p w:rsidR="002A3E66" w:rsidRDefault="002A3E66">
      <w:pPr>
        <w:ind w:left="720" w:hanging="720"/>
      </w:pPr>
    </w:p>
    <w:p w:rsidR="002A3E66" w:rsidRDefault="00062275">
      <w:pPr>
        <w:pStyle w:val="Heading3"/>
        <w:rPr>
          <w:color w:val="auto"/>
        </w:rPr>
      </w:pPr>
      <w:r>
        <w:rPr>
          <w:color w:val="auto"/>
        </w:rPr>
        <w:t>27.</w:t>
      </w:r>
      <w:r>
        <w:rPr>
          <w:color w:val="auto"/>
        </w:rPr>
        <w:tab/>
        <w:t>The Contracts (Rights of Third Parties) Act 1999</w:t>
      </w:r>
    </w:p>
    <w:p w:rsidR="002A3E66" w:rsidRDefault="002A3E66"/>
    <w:p w:rsidR="002A3E66" w:rsidRDefault="0006227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2A3E66" w:rsidRDefault="002A3E66">
      <w:pPr>
        <w:ind w:left="720" w:hanging="720"/>
      </w:pPr>
    </w:p>
    <w:p w:rsidR="002A3E66" w:rsidRDefault="00062275">
      <w:pPr>
        <w:pStyle w:val="Heading3"/>
        <w:rPr>
          <w:color w:val="auto"/>
        </w:rPr>
      </w:pPr>
      <w:r>
        <w:rPr>
          <w:color w:val="auto"/>
        </w:rPr>
        <w:lastRenderedPageBreak/>
        <w:t>28.</w:t>
      </w:r>
      <w:r>
        <w:rPr>
          <w:color w:val="auto"/>
        </w:rPr>
        <w:tab/>
        <w:t>Environmental requirements</w:t>
      </w:r>
    </w:p>
    <w:p w:rsidR="002A3E66" w:rsidRDefault="00062275">
      <w:pPr>
        <w:ind w:left="720" w:hanging="720"/>
      </w:pPr>
      <w:r>
        <w:t>28.1</w:t>
      </w:r>
      <w:r>
        <w:tab/>
        <w:t>The Buyer will provide a copy of its environmental policy to the Supplier on request, which the Supplier will comply with.</w:t>
      </w:r>
    </w:p>
    <w:p w:rsidR="002A3E66" w:rsidRDefault="002A3E66">
      <w:pPr>
        <w:ind w:firstLine="720"/>
      </w:pPr>
    </w:p>
    <w:p w:rsidR="002A3E66" w:rsidRDefault="00062275">
      <w:pPr>
        <w:ind w:left="720" w:hanging="720"/>
      </w:pPr>
      <w:r>
        <w:t>28.2</w:t>
      </w:r>
      <w:r>
        <w:tab/>
        <w:t>The Supplier must provide reasonable support to enable Buyers to work in an environmentally friendly way, for example by helping them recycle or lower their carbon footprint.</w:t>
      </w:r>
    </w:p>
    <w:p w:rsidR="002A3E66" w:rsidRDefault="002A3E66">
      <w:pPr>
        <w:ind w:left="720" w:hanging="720"/>
      </w:pPr>
    </w:p>
    <w:p w:rsidR="002A3E66" w:rsidRDefault="00062275">
      <w:pPr>
        <w:pStyle w:val="Heading3"/>
        <w:rPr>
          <w:color w:val="auto"/>
        </w:rPr>
      </w:pPr>
      <w:r>
        <w:rPr>
          <w:color w:val="auto"/>
        </w:rPr>
        <w:t>29.</w:t>
      </w:r>
      <w:r>
        <w:rPr>
          <w:color w:val="auto"/>
        </w:rPr>
        <w:tab/>
        <w:t>The Employment Regulations (TUPE)</w:t>
      </w:r>
    </w:p>
    <w:p w:rsidR="002A3E66" w:rsidRDefault="0006227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2A3E66" w:rsidRDefault="002A3E66">
      <w:pPr>
        <w:ind w:left="720"/>
      </w:pPr>
    </w:p>
    <w:p w:rsidR="002A3E66" w:rsidRDefault="0006227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2A3E66" w:rsidRDefault="002A3E66">
      <w:pPr>
        <w:ind w:left="720"/>
      </w:pPr>
    </w:p>
    <w:p w:rsidR="002A3E66" w:rsidRDefault="00062275">
      <w:pPr>
        <w:ind w:firstLine="720"/>
      </w:pPr>
      <w:r>
        <w:t>29.2.1</w:t>
      </w:r>
      <w:r>
        <w:tab/>
      </w:r>
      <w:r>
        <w:tab/>
        <w:t>the activities they perform</w:t>
      </w:r>
    </w:p>
    <w:p w:rsidR="002A3E66" w:rsidRDefault="00062275">
      <w:pPr>
        <w:ind w:firstLine="720"/>
      </w:pPr>
      <w:r>
        <w:t>29.2.2</w:t>
      </w:r>
      <w:r>
        <w:tab/>
      </w:r>
      <w:r>
        <w:tab/>
        <w:t>age</w:t>
      </w:r>
    </w:p>
    <w:p w:rsidR="002A3E66" w:rsidRDefault="00062275">
      <w:pPr>
        <w:ind w:firstLine="720"/>
      </w:pPr>
      <w:r>
        <w:t>29.2.3</w:t>
      </w:r>
      <w:r>
        <w:tab/>
      </w:r>
      <w:r>
        <w:tab/>
        <w:t>start date</w:t>
      </w:r>
    </w:p>
    <w:p w:rsidR="002A3E66" w:rsidRDefault="00062275">
      <w:pPr>
        <w:ind w:firstLine="720"/>
      </w:pPr>
      <w:r>
        <w:t>29.2.4</w:t>
      </w:r>
      <w:r>
        <w:tab/>
      </w:r>
      <w:r>
        <w:tab/>
        <w:t>place of work</w:t>
      </w:r>
    </w:p>
    <w:p w:rsidR="002A3E66" w:rsidRDefault="00062275">
      <w:pPr>
        <w:ind w:firstLine="720"/>
      </w:pPr>
      <w:r>
        <w:t>29.2.5</w:t>
      </w:r>
      <w:r>
        <w:tab/>
      </w:r>
      <w:r>
        <w:tab/>
        <w:t>notice period</w:t>
      </w:r>
    </w:p>
    <w:p w:rsidR="002A3E66" w:rsidRDefault="00062275">
      <w:pPr>
        <w:ind w:firstLine="720"/>
      </w:pPr>
      <w:r>
        <w:t>29.2.6</w:t>
      </w:r>
      <w:r>
        <w:tab/>
      </w:r>
      <w:r>
        <w:tab/>
        <w:t>redundancy payment entitlement</w:t>
      </w:r>
    </w:p>
    <w:p w:rsidR="002A3E66" w:rsidRDefault="00062275">
      <w:pPr>
        <w:ind w:firstLine="720"/>
      </w:pPr>
      <w:r>
        <w:t>29.2.7</w:t>
      </w:r>
      <w:r>
        <w:tab/>
      </w:r>
      <w:r>
        <w:tab/>
        <w:t>salary, benefits and pension entitlements</w:t>
      </w:r>
    </w:p>
    <w:p w:rsidR="002A3E66" w:rsidRDefault="00062275">
      <w:pPr>
        <w:ind w:firstLine="720"/>
      </w:pPr>
      <w:r>
        <w:t>29.2.8</w:t>
      </w:r>
      <w:r>
        <w:tab/>
      </w:r>
      <w:r>
        <w:tab/>
        <w:t>employment status</w:t>
      </w:r>
    </w:p>
    <w:p w:rsidR="002A3E66" w:rsidRDefault="00062275">
      <w:pPr>
        <w:ind w:firstLine="720"/>
      </w:pPr>
      <w:r>
        <w:t>29.2.9</w:t>
      </w:r>
      <w:r>
        <w:tab/>
      </w:r>
      <w:r>
        <w:tab/>
        <w:t>identity of employer</w:t>
      </w:r>
    </w:p>
    <w:p w:rsidR="002A3E66" w:rsidRDefault="00062275">
      <w:pPr>
        <w:ind w:firstLine="720"/>
      </w:pPr>
      <w:r>
        <w:t>29.2.10</w:t>
      </w:r>
      <w:r>
        <w:tab/>
        <w:t>working arrangements</w:t>
      </w:r>
    </w:p>
    <w:p w:rsidR="002A3E66" w:rsidRDefault="00062275">
      <w:pPr>
        <w:ind w:firstLine="720"/>
      </w:pPr>
      <w:r>
        <w:t>29.2.11</w:t>
      </w:r>
      <w:r>
        <w:tab/>
        <w:t>outstanding liabilities</w:t>
      </w:r>
    </w:p>
    <w:p w:rsidR="002A3E66" w:rsidRDefault="00062275">
      <w:pPr>
        <w:ind w:firstLine="720"/>
      </w:pPr>
      <w:r>
        <w:t>29.2.12</w:t>
      </w:r>
      <w:r>
        <w:tab/>
        <w:t>sickness absence</w:t>
      </w:r>
    </w:p>
    <w:p w:rsidR="002A3E66" w:rsidRDefault="00062275">
      <w:pPr>
        <w:ind w:firstLine="720"/>
      </w:pPr>
      <w:r>
        <w:t>29.2.13</w:t>
      </w:r>
      <w:r>
        <w:tab/>
        <w:t>copies of all relevant employment contracts and related documents</w:t>
      </w:r>
    </w:p>
    <w:p w:rsidR="002A3E66" w:rsidRDefault="00062275">
      <w:pPr>
        <w:ind w:firstLine="720"/>
      </w:pPr>
      <w:r>
        <w:t>29.2.14</w:t>
      </w:r>
      <w:r>
        <w:tab/>
        <w:t>all information required under regulation 11 of TUPE or as reasonably</w:t>
      </w:r>
    </w:p>
    <w:p w:rsidR="002A3E66" w:rsidRDefault="00062275">
      <w:pPr>
        <w:ind w:left="1440" w:firstLine="720"/>
      </w:pPr>
      <w:r>
        <w:t>requested by the Buyer</w:t>
      </w:r>
    </w:p>
    <w:p w:rsidR="002A3E66" w:rsidRDefault="002A3E66">
      <w:pPr>
        <w:ind w:left="720" w:firstLine="720"/>
      </w:pPr>
    </w:p>
    <w:p w:rsidR="002A3E66" w:rsidRDefault="0006227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2A3E66" w:rsidRDefault="002A3E66">
      <w:pPr>
        <w:ind w:left="720"/>
      </w:pPr>
    </w:p>
    <w:p w:rsidR="002A3E66" w:rsidRDefault="00062275">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2A3E66" w:rsidRDefault="002A3E66">
      <w:pPr>
        <w:ind w:left="720"/>
      </w:pPr>
    </w:p>
    <w:p w:rsidR="002A3E66" w:rsidRDefault="00062275">
      <w:pPr>
        <w:ind w:left="720" w:hanging="720"/>
      </w:pPr>
      <w:r>
        <w:t>29.5</w:t>
      </w:r>
      <w:r>
        <w:tab/>
        <w:t>The Supplier will co-operate with the re-tendering of this Call-Off Contract by allowing the Replacement Supplier to communicate with and meet the affected employees or their representatives.</w:t>
      </w:r>
    </w:p>
    <w:p w:rsidR="002A3E66" w:rsidRDefault="002A3E66">
      <w:pPr>
        <w:ind w:left="720"/>
      </w:pPr>
    </w:p>
    <w:p w:rsidR="002A3E66" w:rsidRDefault="00062275">
      <w:pPr>
        <w:ind w:left="720" w:hanging="720"/>
      </w:pPr>
      <w:r>
        <w:t>29.6</w:t>
      </w:r>
      <w:r>
        <w:tab/>
        <w:t>The Supplier will indemnify the Buyer or any Replacement Supplier for all Loss arising from both:</w:t>
      </w:r>
    </w:p>
    <w:p w:rsidR="002A3E66" w:rsidRDefault="002A3E66">
      <w:pPr>
        <w:ind w:firstLine="720"/>
      </w:pPr>
    </w:p>
    <w:p w:rsidR="002A3E66" w:rsidRDefault="00062275">
      <w:pPr>
        <w:ind w:firstLine="720"/>
      </w:pPr>
      <w:r>
        <w:t>29.6.1</w:t>
      </w:r>
      <w:r>
        <w:tab/>
        <w:t>its failure to comply with the provisions of this clause</w:t>
      </w:r>
    </w:p>
    <w:p w:rsidR="002A3E66" w:rsidRDefault="002A3E66">
      <w:pPr>
        <w:ind w:firstLine="720"/>
      </w:pPr>
    </w:p>
    <w:p w:rsidR="002A3E66" w:rsidRDefault="0006227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rsidR="002A3E66" w:rsidRDefault="002A3E66">
      <w:pPr>
        <w:ind w:left="1440"/>
      </w:pPr>
    </w:p>
    <w:p w:rsidR="002A3E66" w:rsidRDefault="00062275">
      <w:pPr>
        <w:ind w:left="720" w:hanging="720"/>
      </w:pPr>
      <w:r>
        <w:t>29.7</w:t>
      </w:r>
      <w:r>
        <w:tab/>
        <w:t>The provisions of this clause apply during the Term of this Call-Off Contract and indefinitely after it Ends or expires.</w:t>
      </w:r>
    </w:p>
    <w:p w:rsidR="002A3E66" w:rsidRDefault="002A3E66">
      <w:pPr>
        <w:ind w:firstLine="720"/>
      </w:pPr>
    </w:p>
    <w:p w:rsidR="002A3E66" w:rsidRDefault="00062275">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rsidR="002A3E66" w:rsidRDefault="002A3E66">
      <w:pPr>
        <w:ind w:left="720" w:hanging="720"/>
      </w:pPr>
    </w:p>
    <w:p w:rsidR="002A3E66" w:rsidRDefault="00062275">
      <w:pPr>
        <w:pStyle w:val="Heading3"/>
        <w:rPr>
          <w:color w:val="auto"/>
        </w:rPr>
      </w:pPr>
      <w:r>
        <w:rPr>
          <w:color w:val="auto"/>
        </w:rPr>
        <w:t>30.</w:t>
      </w:r>
      <w:r>
        <w:rPr>
          <w:color w:val="auto"/>
        </w:rPr>
        <w:tab/>
        <w:t>Additional G-Cloud services</w:t>
      </w:r>
    </w:p>
    <w:p w:rsidR="002A3E66" w:rsidRDefault="00062275">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rsidR="002A3E66" w:rsidRDefault="002A3E66">
      <w:pPr>
        <w:ind w:left="720"/>
      </w:pPr>
    </w:p>
    <w:p w:rsidR="002A3E66" w:rsidRDefault="00062275">
      <w:pPr>
        <w:ind w:left="720" w:hanging="720"/>
      </w:pPr>
      <w:r>
        <w:t>30.2</w:t>
      </w:r>
      <w:r>
        <w:tab/>
        <w:t>If reasonably requested to do so by the Buyer in the Order Form, the Supplier must provide and monitor performance of the Additional Services using an Implementation Plan.</w:t>
      </w:r>
    </w:p>
    <w:p w:rsidR="002A3E66" w:rsidRDefault="002A3E66">
      <w:pPr>
        <w:ind w:left="720" w:hanging="720"/>
      </w:pPr>
    </w:p>
    <w:p w:rsidR="002A3E66" w:rsidRDefault="00062275">
      <w:pPr>
        <w:pStyle w:val="Heading3"/>
        <w:rPr>
          <w:color w:val="auto"/>
        </w:rPr>
      </w:pPr>
      <w:r>
        <w:rPr>
          <w:color w:val="auto"/>
        </w:rPr>
        <w:t>31.</w:t>
      </w:r>
      <w:r>
        <w:rPr>
          <w:color w:val="auto"/>
        </w:rPr>
        <w:tab/>
        <w:t>Collaboration</w:t>
      </w:r>
    </w:p>
    <w:p w:rsidR="002A3E66" w:rsidRDefault="0006227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rsidR="002A3E66" w:rsidRDefault="002A3E66">
      <w:pPr>
        <w:ind w:left="720"/>
      </w:pPr>
    </w:p>
    <w:p w:rsidR="002A3E66" w:rsidRDefault="00062275">
      <w:r>
        <w:t>31.2</w:t>
      </w:r>
      <w:r>
        <w:tab/>
        <w:t>In addition to any obligations under the Collaboration Agreement, the Supplier must:</w:t>
      </w:r>
    </w:p>
    <w:p w:rsidR="002A3E66" w:rsidRDefault="002A3E66"/>
    <w:p w:rsidR="002A3E66" w:rsidRDefault="00062275">
      <w:pPr>
        <w:ind w:firstLine="720"/>
      </w:pPr>
      <w:r>
        <w:t>31.2.1</w:t>
      </w:r>
      <w:r>
        <w:tab/>
        <w:t>work proactively and in good faith with each of the Buyer’s contractors</w:t>
      </w:r>
    </w:p>
    <w:p w:rsidR="002A3E66" w:rsidRDefault="002A3E66">
      <w:pPr>
        <w:ind w:firstLine="720"/>
      </w:pPr>
    </w:p>
    <w:p w:rsidR="002A3E66" w:rsidRDefault="00062275">
      <w:pPr>
        <w:ind w:left="1440" w:hanging="720"/>
      </w:pPr>
      <w:r>
        <w:t>31.2.2</w:t>
      </w:r>
      <w:r>
        <w:tab/>
        <w:t>co-operate and share information with the Buyer’s contractors to enable the efficient operation of the Buyer’s ICT services and G-Cloud Services</w:t>
      </w:r>
    </w:p>
    <w:p w:rsidR="002A3E66" w:rsidRDefault="002A3E66">
      <w:pPr>
        <w:ind w:left="1440" w:hanging="720"/>
      </w:pPr>
    </w:p>
    <w:p w:rsidR="002A3E66" w:rsidRDefault="00062275">
      <w:pPr>
        <w:pStyle w:val="Heading3"/>
        <w:rPr>
          <w:color w:val="auto"/>
        </w:rPr>
      </w:pPr>
      <w:r>
        <w:rPr>
          <w:color w:val="auto"/>
        </w:rPr>
        <w:t>32.</w:t>
      </w:r>
      <w:r>
        <w:rPr>
          <w:color w:val="auto"/>
        </w:rPr>
        <w:tab/>
        <w:t>Variation process</w:t>
      </w:r>
    </w:p>
    <w:p w:rsidR="002A3E66" w:rsidRDefault="00062275">
      <w:pPr>
        <w:ind w:left="720" w:hanging="720"/>
      </w:pPr>
      <w:r>
        <w:t>32.1</w:t>
      </w:r>
      <w:r>
        <w:tab/>
        <w:t>The Buyer can request in writing a change to this Call-Off Contract if it isn’t a material change to the Framework Agreement/or this Call-Off Contract. Once implemented, it is called a Variation.</w:t>
      </w:r>
    </w:p>
    <w:p w:rsidR="002A3E66" w:rsidRDefault="002A3E66">
      <w:pPr>
        <w:ind w:left="720"/>
      </w:pPr>
    </w:p>
    <w:p w:rsidR="002A3E66" w:rsidRDefault="0006227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rsidR="002A3E66" w:rsidRDefault="002A3E66"/>
    <w:p w:rsidR="002A3E66" w:rsidRDefault="00062275">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rsidR="002A3E66" w:rsidRDefault="002A3E66">
      <w:pPr>
        <w:ind w:left="720" w:hanging="720"/>
      </w:pPr>
    </w:p>
    <w:p w:rsidR="002A3E66" w:rsidRDefault="00062275">
      <w:pPr>
        <w:pStyle w:val="Heading3"/>
        <w:rPr>
          <w:color w:val="auto"/>
        </w:rPr>
      </w:pPr>
      <w:r>
        <w:rPr>
          <w:color w:val="auto"/>
        </w:rPr>
        <w:t>33.</w:t>
      </w:r>
      <w:r>
        <w:rPr>
          <w:color w:val="auto"/>
        </w:rPr>
        <w:tab/>
        <w:t>Data Protection Legislation (GDPR)</w:t>
      </w:r>
    </w:p>
    <w:p w:rsidR="002A3E66" w:rsidRDefault="0006227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2A3E66" w:rsidRDefault="002A3E66"/>
    <w:p w:rsidR="002A3E66" w:rsidRDefault="002A3E66">
      <w:pPr>
        <w:pageBreakBefore/>
        <w:rPr>
          <w:b/>
        </w:rPr>
      </w:pPr>
    </w:p>
    <w:p w:rsidR="002A3E66" w:rsidRDefault="00062275">
      <w:pPr>
        <w:pStyle w:val="Heading2"/>
      </w:pPr>
      <w:bookmarkStart w:id="8" w:name="_Toc33176236"/>
      <w:r>
        <w:t>Schedule 3: Collaboration agreement</w:t>
      </w:r>
      <w:bookmarkEnd w:id="8"/>
    </w:p>
    <w:p w:rsidR="002A3E66" w:rsidRDefault="00062275">
      <w:r>
        <w:t>Not Applicable</w:t>
      </w:r>
    </w:p>
    <w:p w:rsidR="002A3E66" w:rsidRDefault="002A3E66"/>
    <w:p w:rsidR="002A3E66" w:rsidRDefault="002A3E66">
      <w:pPr>
        <w:pageBreakBefore/>
      </w:pPr>
    </w:p>
    <w:p w:rsidR="002A3E66" w:rsidRDefault="00062275">
      <w:pPr>
        <w:pStyle w:val="Heading2"/>
      </w:pPr>
      <w:bookmarkStart w:id="9" w:name="_Toc33176237"/>
      <w:r>
        <w:t>Schedule 4: Alternative clauses</w:t>
      </w:r>
      <w:bookmarkEnd w:id="9"/>
    </w:p>
    <w:p w:rsidR="002A3E66" w:rsidRDefault="00062275">
      <w:pPr>
        <w:pStyle w:val="Heading3"/>
        <w:rPr>
          <w:color w:val="auto"/>
        </w:rPr>
      </w:pPr>
      <w:r>
        <w:rPr>
          <w:color w:val="auto"/>
        </w:rPr>
        <w:t>1.</w:t>
      </w:r>
      <w:r>
        <w:rPr>
          <w:color w:val="auto"/>
        </w:rPr>
        <w:tab/>
        <w:t>Introduction</w:t>
      </w:r>
    </w:p>
    <w:p w:rsidR="002A3E66" w:rsidRDefault="00062275">
      <w:pPr>
        <w:ind w:firstLine="720"/>
      </w:pPr>
      <w:r>
        <w:t>1.1</w:t>
      </w:r>
      <w:r>
        <w:tab/>
        <w:t>This Schedule specifies the alternative clauses that may be requested in the</w:t>
      </w:r>
    </w:p>
    <w:p w:rsidR="002A3E66" w:rsidRDefault="00062275">
      <w:pPr>
        <w:ind w:firstLine="720"/>
      </w:pPr>
      <w:r>
        <w:t>Order Form and, if requested in the Order Form, will apply to this Call-Off Contract.</w:t>
      </w:r>
    </w:p>
    <w:p w:rsidR="002A3E66" w:rsidRDefault="002A3E66"/>
    <w:p w:rsidR="002A3E66" w:rsidRDefault="00062275">
      <w:pPr>
        <w:pStyle w:val="Heading3"/>
        <w:rPr>
          <w:color w:val="auto"/>
        </w:rPr>
      </w:pPr>
      <w:r>
        <w:rPr>
          <w:color w:val="auto"/>
        </w:rPr>
        <w:t>2.</w:t>
      </w:r>
      <w:r>
        <w:rPr>
          <w:color w:val="auto"/>
        </w:rPr>
        <w:tab/>
        <w:t>Clauses selected</w:t>
      </w:r>
    </w:p>
    <w:p w:rsidR="002A3E66" w:rsidRDefault="00062275">
      <w:pPr>
        <w:ind w:firstLine="720"/>
      </w:pPr>
      <w:r>
        <w:t>2.1</w:t>
      </w:r>
      <w:r>
        <w:tab/>
        <w:t>The Customer may, in the Order Form, request the following alternative Clauses:</w:t>
      </w:r>
    </w:p>
    <w:p w:rsidR="002A3E66" w:rsidRDefault="002A3E66">
      <w:pPr>
        <w:ind w:left="720" w:firstLine="720"/>
      </w:pPr>
    </w:p>
    <w:p w:rsidR="002A3E66" w:rsidRDefault="00062275">
      <w:pPr>
        <w:ind w:left="720" w:firstLine="720"/>
      </w:pPr>
      <w:r>
        <w:t>2.1.1</w:t>
      </w:r>
      <w:r>
        <w:tab/>
        <w:t>Scots Law and Jurisdiction</w:t>
      </w:r>
    </w:p>
    <w:p w:rsidR="002A3E66" w:rsidRDefault="002A3E66">
      <w:pPr>
        <w:ind w:firstLine="720"/>
      </w:pPr>
    </w:p>
    <w:p w:rsidR="002A3E66" w:rsidRDefault="0006227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rsidR="002A3E66" w:rsidRDefault="002A3E66"/>
    <w:p w:rsidR="002A3E66" w:rsidRDefault="00062275">
      <w:pPr>
        <w:ind w:left="2160" w:hanging="720"/>
      </w:pPr>
      <w:r>
        <w:t>2.1.3</w:t>
      </w:r>
      <w:r>
        <w:tab/>
        <w:t>Reference to England and Wales in Working Days definition within the Glossary and interpretations section will be replaced with Scotland.</w:t>
      </w:r>
    </w:p>
    <w:p w:rsidR="002A3E66" w:rsidRDefault="002A3E66"/>
    <w:p w:rsidR="002A3E66" w:rsidRDefault="00062275">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rsidR="002A3E66" w:rsidRDefault="002A3E66"/>
    <w:p w:rsidR="002A3E66" w:rsidRDefault="00062275">
      <w:pPr>
        <w:ind w:left="2160" w:hanging="720"/>
      </w:pPr>
      <w:r>
        <w:t>2.1.5</w:t>
      </w:r>
      <w:r>
        <w:tab/>
        <w:t>Reference to the Supply of Goods and Services Act 1982 will be removed in incorporated Framework Agreement clause 4.2.</w:t>
      </w:r>
    </w:p>
    <w:p w:rsidR="002A3E66" w:rsidRDefault="002A3E66"/>
    <w:p w:rsidR="002A3E66" w:rsidRDefault="00062275">
      <w:pPr>
        <w:ind w:left="720" w:firstLine="720"/>
      </w:pPr>
      <w:r>
        <w:t>2.1.6</w:t>
      </w:r>
      <w:r>
        <w:tab/>
        <w:t>References to “tort” will be replaced with “delict” throughout</w:t>
      </w:r>
    </w:p>
    <w:p w:rsidR="002A3E66" w:rsidRDefault="002A3E66"/>
    <w:p w:rsidR="002A3E66" w:rsidRDefault="00062275">
      <w:r>
        <w:t>2.2</w:t>
      </w:r>
      <w:r>
        <w:tab/>
        <w:t>The Customer may, in the Order Form, request the following Alternative Clauses:</w:t>
      </w:r>
    </w:p>
    <w:p w:rsidR="002A3E66" w:rsidRDefault="002A3E66"/>
    <w:p w:rsidR="002A3E66" w:rsidRDefault="00062275">
      <w:pPr>
        <w:ind w:left="1440"/>
      </w:pPr>
      <w:r>
        <w:t>2.2.1 Northern Ireland Law (see paragraph 2.3, 2.4, 2.5, 2.6 and 2.7 of this Schedule)</w:t>
      </w:r>
    </w:p>
    <w:p w:rsidR="002A3E66" w:rsidRDefault="002A3E66"/>
    <w:p w:rsidR="002A3E66" w:rsidRDefault="00062275">
      <w:pPr>
        <w:pStyle w:val="Heading3"/>
        <w:rPr>
          <w:color w:val="auto"/>
        </w:rPr>
      </w:pPr>
      <w:r>
        <w:rPr>
          <w:color w:val="auto"/>
        </w:rPr>
        <w:t>2.3</w:t>
      </w:r>
      <w:r>
        <w:rPr>
          <w:color w:val="auto"/>
        </w:rPr>
        <w:tab/>
        <w:t>Discrimination</w:t>
      </w:r>
    </w:p>
    <w:p w:rsidR="002A3E66" w:rsidRDefault="00062275">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rsidR="002A3E66" w:rsidRDefault="002A3E66">
      <w:pPr>
        <w:ind w:left="1440"/>
      </w:pPr>
    </w:p>
    <w:p w:rsidR="002A3E66" w:rsidRDefault="00062275">
      <w:pPr>
        <w:pStyle w:val="ListParagraph"/>
        <w:numPr>
          <w:ilvl w:val="0"/>
          <w:numId w:val="23"/>
        </w:numPr>
      </w:pPr>
      <w:r>
        <w:t>Employment (Northern Ireland) Order 2002</w:t>
      </w:r>
    </w:p>
    <w:p w:rsidR="002A3E66" w:rsidRDefault="00062275">
      <w:pPr>
        <w:pStyle w:val="ListParagraph"/>
        <w:numPr>
          <w:ilvl w:val="0"/>
          <w:numId w:val="23"/>
        </w:numPr>
      </w:pPr>
      <w:r>
        <w:t>Fair Employment and Treatment (Northern Ireland) Order 1998</w:t>
      </w:r>
    </w:p>
    <w:p w:rsidR="002A3E66" w:rsidRDefault="00062275">
      <w:pPr>
        <w:pStyle w:val="ListParagraph"/>
        <w:numPr>
          <w:ilvl w:val="0"/>
          <w:numId w:val="23"/>
        </w:numPr>
      </w:pPr>
      <w:r>
        <w:t>Sex Discrimination (Northern Ireland) Order 1976 and 1988</w:t>
      </w:r>
    </w:p>
    <w:p w:rsidR="002A3E66" w:rsidRDefault="00062275">
      <w:pPr>
        <w:pStyle w:val="ListParagraph"/>
        <w:numPr>
          <w:ilvl w:val="0"/>
          <w:numId w:val="23"/>
        </w:numPr>
      </w:pPr>
      <w:r>
        <w:t>Employment Equality (Sexual   Orientation) Regulations (Northern Ireland) 2003</w:t>
      </w:r>
    </w:p>
    <w:p w:rsidR="002A3E66" w:rsidRDefault="00062275">
      <w:pPr>
        <w:pStyle w:val="ListParagraph"/>
        <w:numPr>
          <w:ilvl w:val="0"/>
          <w:numId w:val="23"/>
        </w:numPr>
      </w:pPr>
      <w:r>
        <w:lastRenderedPageBreak/>
        <w:t>Equal Pay Act (Northern Ireland) 1970</w:t>
      </w:r>
    </w:p>
    <w:p w:rsidR="002A3E66" w:rsidRDefault="00062275">
      <w:pPr>
        <w:pStyle w:val="ListParagraph"/>
        <w:numPr>
          <w:ilvl w:val="0"/>
          <w:numId w:val="23"/>
        </w:numPr>
      </w:pPr>
      <w:r>
        <w:t>Disability Discrimination Act 1995</w:t>
      </w:r>
    </w:p>
    <w:p w:rsidR="002A3E66" w:rsidRDefault="00062275">
      <w:pPr>
        <w:pStyle w:val="ListParagraph"/>
        <w:numPr>
          <w:ilvl w:val="0"/>
          <w:numId w:val="23"/>
        </w:numPr>
      </w:pPr>
      <w:r>
        <w:t>Race Relations (Northern Ireland) Order 1997</w:t>
      </w:r>
    </w:p>
    <w:p w:rsidR="002A3E66" w:rsidRDefault="00062275">
      <w:pPr>
        <w:pStyle w:val="ListParagraph"/>
        <w:numPr>
          <w:ilvl w:val="0"/>
          <w:numId w:val="23"/>
        </w:numPr>
      </w:pPr>
      <w:r>
        <w:t>Employment Relations (Northern Ireland) Order 1999 and Employment Rights (Northern Ireland) Order 1996</w:t>
      </w:r>
    </w:p>
    <w:p w:rsidR="002A3E66" w:rsidRDefault="00062275">
      <w:pPr>
        <w:pStyle w:val="ListParagraph"/>
        <w:numPr>
          <w:ilvl w:val="0"/>
          <w:numId w:val="23"/>
        </w:numPr>
      </w:pPr>
      <w:r>
        <w:t>Employment Equality (Age) Regulations (Northern Ireland) 2006</w:t>
      </w:r>
    </w:p>
    <w:p w:rsidR="002A3E66" w:rsidRDefault="00062275">
      <w:pPr>
        <w:pStyle w:val="ListParagraph"/>
        <w:numPr>
          <w:ilvl w:val="0"/>
          <w:numId w:val="23"/>
        </w:numPr>
      </w:pPr>
      <w:r>
        <w:t>Part-time Workers (Prevention of less Favourable Treatment) Regulation 2000</w:t>
      </w:r>
    </w:p>
    <w:p w:rsidR="002A3E66" w:rsidRDefault="00062275">
      <w:pPr>
        <w:pStyle w:val="ListParagraph"/>
        <w:numPr>
          <w:ilvl w:val="0"/>
          <w:numId w:val="23"/>
        </w:numPr>
      </w:pPr>
      <w:r>
        <w:t>Fixed-term Employees (Prevention of Less Favourable Treatment) Regulations 2002</w:t>
      </w:r>
    </w:p>
    <w:p w:rsidR="002A3E66" w:rsidRDefault="00062275">
      <w:pPr>
        <w:pStyle w:val="ListParagraph"/>
        <w:numPr>
          <w:ilvl w:val="0"/>
          <w:numId w:val="23"/>
        </w:numPr>
      </w:pPr>
      <w:r>
        <w:t>The Disability Discrimination (Northern Ireland) Order 2006</w:t>
      </w:r>
    </w:p>
    <w:p w:rsidR="002A3E66" w:rsidRDefault="00062275">
      <w:pPr>
        <w:pStyle w:val="ListParagraph"/>
        <w:numPr>
          <w:ilvl w:val="0"/>
          <w:numId w:val="23"/>
        </w:numPr>
      </w:pPr>
      <w:r>
        <w:t>The Employment Relations (Northern Ireland) Order 2004</w:t>
      </w:r>
    </w:p>
    <w:p w:rsidR="002A3E66" w:rsidRDefault="00062275">
      <w:pPr>
        <w:pStyle w:val="ListParagraph"/>
        <w:numPr>
          <w:ilvl w:val="0"/>
          <w:numId w:val="23"/>
        </w:numPr>
      </w:pPr>
      <w:r>
        <w:t>Equality Act (Sexual Orientation) Regulations (Northern Ireland) 2006</w:t>
      </w:r>
    </w:p>
    <w:p w:rsidR="002A3E66" w:rsidRDefault="00062275">
      <w:pPr>
        <w:pStyle w:val="ListParagraph"/>
        <w:numPr>
          <w:ilvl w:val="0"/>
          <w:numId w:val="23"/>
        </w:numPr>
      </w:pPr>
      <w:r>
        <w:t>Employment Relations (Northern Ireland) Order 2004</w:t>
      </w:r>
    </w:p>
    <w:p w:rsidR="002A3E66" w:rsidRDefault="00062275">
      <w:pPr>
        <w:pStyle w:val="ListParagraph"/>
        <w:numPr>
          <w:ilvl w:val="0"/>
          <w:numId w:val="23"/>
        </w:numPr>
      </w:pPr>
      <w:r>
        <w:t>Work and Families (Northern Ireland) Order 2006</w:t>
      </w:r>
    </w:p>
    <w:p w:rsidR="002A3E66" w:rsidRDefault="002A3E66">
      <w:pPr>
        <w:ind w:left="360"/>
      </w:pPr>
    </w:p>
    <w:p w:rsidR="002A3E66" w:rsidRDefault="00062275">
      <w:pPr>
        <w:ind w:left="360"/>
      </w:pPr>
      <w:r>
        <w:t>and will use his best endeavours to ensure that in his employment policies and practices and in the delivery of the services required of the Supplier under this Call-Off Contract he promotes equality of treatment and opportunity between:</w:t>
      </w:r>
    </w:p>
    <w:p w:rsidR="002A3E66" w:rsidRDefault="002A3E66"/>
    <w:p w:rsidR="002A3E66" w:rsidRDefault="00062275">
      <w:pPr>
        <w:ind w:left="720" w:firstLine="720"/>
      </w:pPr>
      <w:r>
        <w:t>a.</w:t>
      </w:r>
      <w:r>
        <w:tab/>
        <w:t>persons of different religious beliefs or political opinions</w:t>
      </w:r>
    </w:p>
    <w:p w:rsidR="002A3E66" w:rsidRDefault="00062275">
      <w:pPr>
        <w:ind w:left="720" w:firstLine="720"/>
      </w:pPr>
      <w:r>
        <w:t>b.</w:t>
      </w:r>
      <w:r>
        <w:tab/>
        <w:t>men and women or married and unmarried persons</w:t>
      </w:r>
    </w:p>
    <w:p w:rsidR="002A3E66" w:rsidRDefault="00062275">
      <w:pPr>
        <w:ind w:left="720" w:firstLine="720"/>
      </w:pPr>
      <w:r>
        <w:t>c.</w:t>
      </w:r>
      <w:r>
        <w:tab/>
        <w:t>persons with and without dependants (including women who are</w:t>
      </w:r>
    </w:p>
    <w:p w:rsidR="002A3E66" w:rsidRDefault="00062275">
      <w:pPr>
        <w:ind w:left="1440" w:firstLine="720"/>
      </w:pPr>
      <w:r>
        <w:t>pregnant or on maternity leave and men on paternity leave)</w:t>
      </w:r>
    </w:p>
    <w:p w:rsidR="002A3E66" w:rsidRDefault="00062275">
      <w:pPr>
        <w:ind w:left="720" w:firstLine="720"/>
      </w:pPr>
      <w:r>
        <w:t>d.</w:t>
      </w:r>
      <w:r>
        <w:tab/>
        <w:t>persons of different racial groups (within the meaning of the Race</w:t>
      </w:r>
    </w:p>
    <w:p w:rsidR="002A3E66" w:rsidRDefault="00062275">
      <w:pPr>
        <w:ind w:left="1440" w:firstLine="720"/>
      </w:pPr>
      <w:r>
        <w:t>Relations (Northern Ireland) Order 1997)</w:t>
      </w:r>
    </w:p>
    <w:p w:rsidR="002A3E66" w:rsidRDefault="00062275">
      <w:pPr>
        <w:ind w:left="720" w:firstLine="720"/>
      </w:pPr>
      <w:r>
        <w:t>e.</w:t>
      </w:r>
      <w:r>
        <w:tab/>
        <w:t>persons with and without a disability (within the meaning of the</w:t>
      </w:r>
    </w:p>
    <w:p w:rsidR="002A3E66" w:rsidRDefault="00062275">
      <w:pPr>
        <w:ind w:left="1440" w:firstLine="720"/>
      </w:pPr>
      <w:r>
        <w:t>Disability Discrimination Act 1995)</w:t>
      </w:r>
    </w:p>
    <w:p w:rsidR="002A3E66" w:rsidRDefault="00062275">
      <w:pPr>
        <w:ind w:left="720" w:firstLine="720"/>
      </w:pPr>
      <w:r>
        <w:t>f.</w:t>
      </w:r>
      <w:r>
        <w:tab/>
        <w:t>persons of different ages</w:t>
      </w:r>
    </w:p>
    <w:p w:rsidR="002A3E66" w:rsidRDefault="00062275">
      <w:pPr>
        <w:ind w:left="720" w:firstLine="720"/>
      </w:pPr>
      <w:r>
        <w:t>g.</w:t>
      </w:r>
      <w:r>
        <w:tab/>
        <w:t>persons of differing sexual orientation</w:t>
      </w:r>
    </w:p>
    <w:p w:rsidR="002A3E66" w:rsidRDefault="00062275">
      <w:r>
        <w:t xml:space="preserve"> </w:t>
      </w:r>
    </w:p>
    <w:p w:rsidR="002A3E66" w:rsidRDefault="00062275">
      <w:pPr>
        <w:ind w:firstLine="720"/>
      </w:pPr>
      <w:r>
        <w:t>2.3.2</w:t>
      </w:r>
      <w:r>
        <w:tab/>
        <w:t>The Supplier will take all reasonable steps to secure the observance of clause</w:t>
      </w:r>
    </w:p>
    <w:p w:rsidR="002A3E66" w:rsidRDefault="00062275">
      <w:pPr>
        <w:ind w:left="720" w:firstLine="720"/>
      </w:pPr>
      <w:r>
        <w:t>2.3.1 of this Schedule by all Supplier Staff.</w:t>
      </w:r>
    </w:p>
    <w:p w:rsidR="002A3E66" w:rsidRDefault="00062275">
      <w:pPr>
        <w:spacing w:before="240" w:after="240"/>
        <w:ind w:left="1440"/>
      </w:pPr>
      <w:r>
        <w:rPr>
          <w:sz w:val="20"/>
          <w:szCs w:val="20"/>
        </w:rPr>
        <w:t xml:space="preserve"> </w:t>
      </w:r>
    </w:p>
    <w:p w:rsidR="002A3E66" w:rsidRDefault="00062275">
      <w:pPr>
        <w:pStyle w:val="Heading3"/>
        <w:rPr>
          <w:color w:val="auto"/>
        </w:rPr>
      </w:pPr>
      <w:r>
        <w:rPr>
          <w:color w:val="auto"/>
        </w:rPr>
        <w:t>2.4</w:t>
      </w:r>
      <w:r>
        <w:rPr>
          <w:color w:val="auto"/>
        </w:rPr>
        <w:tab/>
        <w:t>Equality policies and practices</w:t>
      </w:r>
    </w:p>
    <w:p w:rsidR="002A3E66" w:rsidRDefault="0006227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2A3E66" w:rsidRDefault="002A3E66">
      <w:pPr>
        <w:ind w:left="1440" w:hanging="720"/>
      </w:pPr>
    </w:p>
    <w:p w:rsidR="002A3E66" w:rsidRDefault="00062275">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rsidR="002A3E66" w:rsidRDefault="002A3E66">
      <w:pPr>
        <w:ind w:left="1440"/>
      </w:pPr>
    </w:p>
    <w:p w:rsidR="002A3E66" w:rsidRDefault="00062275">
      <w:pPr>
        <w:ind w:left="720" w:firstLine="720"/>
      </w:pPr>
      <w:r>
        <w:t>a.</w:t>
      </w:r>
      <w:r>
        <w:tab/>
        <w:t>the issue of written instructions to staff and other relevant persons</w:t>
      </w:r>
    </w:p>
    <w:p w:rsidR="002A3E66" w:rsidRDefault="00062275">
      <w:pPr>
        <w:ind w:left="2160" w:hanging="720"/>
      </w:pPr>
      <w:r>
        <w:t>b.</w:t>
      </w:r>
      <w:r>
        <w:tab/>
        <w:t>the appointment or designation of a senior manager with responsibility for equal opportunities</w:t>
      </w:r>
    </w:p>
    <w:p w:rsidR="002A3E66" w:rsidRDefault="00062275">
      <w:pPr>
        <w:ind w:left="2160" w:hanging="720"/>
      </w:pPr>
      <w:r>
        <w:lastRenderedPageBreak/>
        <w:t>c.</w:t>
      </w:r>
      <w:r>
        <w:tab/>
        <w:t>training of all staff and other relevant persons in equal opportunities and harassment matters</w:t>
      </w:r>
    </w:p>
    <w:p w:rsidR="002A3E66" w:rsidRDefault="00062275">
      <w:pPr>
        <w:ind w:left="2160" w:hanging="720"/>
      </w:pPr>
      <w:r>
        <w:t>d.</w:t>
      </w:r>
      <w:r>
        <w:tab/>
        <w:t>the inclusion of the topic of equality as an agenda item at team, management and staff meetings</w:t>
      </w:r>
    </w:p>
    <w:p w:rsidR="002A3E66" w:rsidRDefault="002A3E66"/>
    <w:p w:rsidR="002A3E66" w:rsidRDefault="00062275">
      <w:pPr>
        <w:ind w:left="720"/>
      </w:pPr>
      <w:r>
        <w:t>The Supplier will procure that its Subcontractors do likewise with their equal opportunities policies.</w:t>
      </w:r>
    </w:p>
    <w:p w:rsidR="002A3E66" w:rsidRDefault="002A3E66">
      <w:pPr>
        <w:ind w:left="720"/>
      </w:pPr>
    </w:p>
    <w:p w:rsidR="002A3E66" w:rsidRDefault="00062275">
      <w:pPr>
        <w:ind w:firstLine="720"/>
      </w:pPr>
      <w:r>
        <w:t>2.4.3</w:t>
      </w:r>
      <w:r>
        <w:tab/>
        <w:t>The Supplier will inform the Customer as soon as possible in the event of:</w:t>
      </w:r>
    </w:p>
    <w:p w:rsidR="002A3E66" w:rsidRDefault="002A3E66"/>
    <w:p w:rsidR="002A3E66" w:rsidRDefault="00062275">
      <w:pPr>
        <w:ind w:left="2160" w:hanging="720"/>
      </w:pPr>
      <w:r>
        <w:t>A.</w:t>
      </w:r>
      <w:r>
        <w:tab/>
        <w:t>the Equality Commission notifying the Supplier of an alleged breach by it or any Subcontractor (or any of their shareholders or directors) of the Fair Employment and Treatment (Northern Ireland) Order 1998 or</w:t>
      </w:r>
    </w:p>
    <w:p w:rsidR="002A3E66" w:rsidRDefault="0006227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rsidR="002A3E66" w:rsidRDefault="002A3E66">
      <w:pPr>
        <w:ind w:left="2160"/>
      </w:pPr>
    </w:p>
    <w:p w:rsidR="002A3E66" w:rsidRDefault="0006227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2A3E66" w:rsidRDefault="002A3E66"/>
    <w:p w:rsidR="002A3E66" w:rsidRDefault="00062275">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rsidR="002A3E66" w:rsidRDefault="002A3E66">
      <w:pPr>
        <w:ind w:left="1440"/>
      </w:pPr>
    </w:p>
    <w:p w:rsidR="002A3E66" w:rsidRDefault="0006227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rsidR="002A3E66" w:rsidRDefault="002A3E66">
      <w:pPr>
        <w:ind w:left="1440" w:hanging="720"/>
      </w:pPr>
    </w:p>
    <w:p w:rsidR="002A3E66" w:rsidRDefault="00062275">
      <w:pPr>
        <w:pStyle w:val="Heading3"/>
        <w:rPr>
          <w:color w:val="auto"/>
        </w:rPr>
      </w:pPr>
      <w:r>
        <w:rPr>
          <w:color w:val="auto"/>
        </w:rPr>
        <w:t>2.5</w:t>
      </w:r>
      <w:r>
        <w:rPr>
          <w:color w:val="auto"/>
        </w:rPr>
        <w:tab/>
        <w:t>Equality</w:t>
      </w:r>
    </w:p>
    <w:p w:rsidR="002A3E66" w:rsidRDefault="0006227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2A3E66" w:rsidRDefault="002A3E66">
      <w:pPr>
        <w:ind w:left="1440"/>
      </w:pPr>
    </w:p>
    <w:p w:rsidR="002A3E66" w:rsidRDefault="0006227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rsidR="002A3E66" w:rsidRDefault="002A3E66"/>
    <w:p w:rsidR="002A3E66" w:rsidRDefault="00062275">
      <w:pPr>
        <w:pStyle w:val="Heading3"/>
        <w:rPr>
          <w:color w:val="auto"/>
        </w:rPr>
      </w:pPr>
      <w:r>
        <w:rPr>
          <w:color w:val="auto"/>
        </w:rPr>
        <w:t>2.6</w:t>
      </w:r>
      <w:r>
        <w:rPr>
          <w:color w:val="auto"/>
        </w:rPr>
        <w:tab/>
        <w:t>Health and safety</w:t>
      </w:r>
    </w:p>
    <w:p w:rsidR="002A3E66" w:rsidRDefault="0006227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2A3E66" w:rsidRDefault="002A3E66">
      <w:pPr>
        <w:ind w:left="1440"/>
      </w:pPr>
    </w:p>
    <w:p w:rsidR="002A3E66" w:rsidRDefault="00062275">
      <w:pPr>
        <w:ind w:left="1440" w:hanging="720"/>
      </w:pPr>
      <w:r>
        <w:t>2.6.2</w:t>
      </w:r>
      <w:r>
        <w:tab/>
        <w:t>While on the Customer premises, the Supplier will comply with any health and safety measures implemented by the Customer in respect of Supplier Staff and other persons working there.</w:t>
      </w:r>
    </w:p>
    <w:p w:rsidR="002A3E66" w:rsidRDefault="002A3E66"/>
    <w:p w:rsidR="002A3E66" w:rsidRDefault="0006227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2A3E66" w:rsidRDefault="002A3E66"/>
    <w:p w:rsidR="002A3E66" w:rsidRDefault="0006227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2A3E66" w:rsidRDefault="002A3E66"/>
    <w:p w:rsidR="002A3E66" w:rsidRDefault="00062275">
      <w:pPr>
        <w:ind w:left="1440" w:hanging="720"/>
      </w:pPr>
      <w:r>
        <w:t>2.6.5</w:t>
      </w:r>
      <w:r>
        <w:tab/>
        <w:t>The Supplier will ensure that its health and safety policy statement (as required by the Health and Safety at Work (Northern Ireland) Order 1978) is made available to the Customer on request.</w:t>
      </w:r>
    </w:p>
    <w:p w:rsidR="002A3E66" w:rsidRDefault="002A3E66"/>
    <w:p w:rsidR="002A3E66" w:rsidRDefault="00062275">
      <w:pPr>
        <w:pStyle w:val="Heading3"/>
        <w:rPr>
          <w:color w:val="auto"/>
        </w:rPr>
      </w:pPr>
      <w:r>
        <w:rPr>
          <w:color w:val="auto"/>
        </w:rPr>
        <w:t>2.7</w:t>
      </w:r>
      <w:r>
        <w:rPr>
          <w:color w:val="auto"/>
        </w:rPr>
        <w:tab/>
        <w:t>Criminal damage</w:t>
      </w:r>
    </w:p>
    <w:p w:rsidR="002A3E66" w:rsidRDefault="0006227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2A3E66" w:rsidRDefault="002A3E66"/>
    <w:p w:rsidR="002A3E66" w:rsidRDefault="0006227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2A3E66" w:rsidRDefault="002A3E66"/>
    <w:p w:rsidR="002A3E66" w:rsidRDefault="00062275">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2A3E66" w:rsidRDefault="002A3E66"/>
    <w:p w:rsidR="002A3E66" w:rsidRDefault="00062275">
      <w:pPr>
        <w:ind w:left="1440" w:hanging="720"/>
      </w:pPr>
      <w:r>
        <w:t>2.7.4</w:t>
      </w:r>
      <w:r>
        <w:tab/>
        <w:t>The Supplier will apply any compensation paid under the Compensation Order in respect of damage to the relevant assets towards the repair, reinstatement or replacement of the assets affected.</w:t>
      </w:r>
    </w:p>
    <w:p w:rsidR="002A3E66" w:rsidRDefault="002A3E66"/>
    <w:p w:rsidR="002A3E66" w:rsidRDefault="002A3E66">
      <w:pPr>
        <w:rPr>
          <w:b/>
        </w:rPr>
      </w:pPr>
    </w:p>
    <w:p w:rsidR="002A3E66" w:rsidRDefault="002A3E66">
      <w:bookmarkStart w:id="10" w:name="_Toc33176238"/>
    </w:p>
    <w:p w:rsidR="002A3E66" w:rsidRDefault="00062275">
      <w:pPr>
        <w:pStyle w:val="Heading2"/>
        <w:pageBreakBefore/>
      </w:pPr>
      <w:r>
        <w:lastRenderedPageBreak/>
        <w:t>Schedule 5: Guarantee</w:t>
      </w:r>
      <w:bookmarkEnd w:id="10"/>
    </w:p>
    <w:p w:rsidR="002A3E66" w:rsidRDefault="00062275">
      <w:r>
        <w:t xml:space="preserve">Not Applicable </w:t>
      </w:r>
    </w:p>
    <w:p w:rsidR="002A3E66" w:rsidRDefault="002A3E66">
      <w:pPr>
        <w:pageBreakBefore/>
        <w:rPr>
          <w:b/>
        </w:rPr>
      </w:pPr>
    </w:p>
    <w:p w:rsidR="002A3E66" w:rsidRDefault="00062275">
      <w:pPr>
        <w:pStyle w:val="Heading2"/>
      </w:pPr>
      <w:bookmarkStart w:id="11" w:name="_Toc33176239"/>
      <w:r>
        <w:t>Schedule 6: Glossary and interpretations</w:t>
      </w:r>
      <w:bookmarkEnd w:id="11"/>
    </w:p>
    <w:p w:rsidR="002A3E66" w:rsidRDefault="00062275">
      <w:r>
        <w:t>In this Call-Off Contract the following expressions mean:</w:t>
      </w:r>
    </w:p>
    <w:p w:rsidR="002A3E66" w:rsidRDefault="002A3E6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2A3E66">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Meaning</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services ancillary to the G-Cloud Services that are in the scope of Framework Agreement Section 2 (Services Offered) which a Buyer may request.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The agreement to be </w:t>
            </w:r>
            <w:proofErr w:type="gramStart"/>
            <w:r>
              <w:rPr>
                <w:sz w:val="20"/>
                <w:szCs w:val="20"/>
              </w:rPr>
              <w:t>entered into</w:t>
            </w:r>
            <w:proofErr w:type="gramEnd"/>
            <w:r>
              <w:rPr>
                <w:sz w:val="20"/>
                <w:szCs w:val="20"/>
              </w:rPr>
              <w:t xml:space="preserve"> to enable the Supplier to participate in the relevant Civil Service pension scheme(s).</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response submitted by the Supplier to the Invitation to Tender (known as the Invitation to Apply on the Digital Marketplace).</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 audit carried out under the incorporated Framework Agreement clauses specified by the Buyer in the Order (if any).</w:t>
            </w:r>
          </w:p>
        </w:tc>
      </w:tr>
      <w:tr w:rsidR="002A3E66">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For each Party, IPRs:</w:t>
            </w:r>
          </w:p>
          <w:p w:rsidR="002A3E66" w:rsidRDefault="00062275">
            <w:pPr>
              <w:pStyle w:val="ListParagraph"/>
              <w:numPr>
                <w:ilvl w:val="0"/>
                <w:numId w:val="24"/>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rsidR="002A3E66" w:rsidRDefault="00062275">
            <w:pPr>
              <w:pStyle w:val="ListParagraph"/>
              <w:numPr>
                <w:ilvl w:val="0"/>
                <w:numId w:val="24"/>
              </w:numPr>
              <w:rPr>
                <w:sz w:val="20"/>
                <w:szCs w:val="20"/>
              </w:rPr>
            </w:pPr>
            <w:r>
              <w:rPr>
                <w:sz w:val="20"/>
                <w:szCs w:val="20"/>
              </w:rPr>
              <w:t>created by the Party independently of this Call-Off Contract, or</w:t>
            </w:r>
          </w:p>
          <w:p w:rsidR="002A3E66" w:rsidRDefault="00062275">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contracting authority ordering services as set out in the Order Form.</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All data supplied by the Buyer to the Supplier including Personal Data and Service Data that is owned and managed by the Buyer.</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Personal Data supplied by the Buyer to the Supplier for purposes of, or in connection with, this Call-Off Contract.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representative appointed by the Buyer under this Call-Off Contract.</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Software owned by or licensed to the Buyer (other than under this Agreement), which is or will be used by the Supplier to provide the Services.</w:t>
            </w:r>
          </w:p>
        </w:tc>
      </w:tr>
      <w:tr w:rsidR="002A3E6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prices (excluding any applicable VAT), payable to the Supplier by the Buyer under this Call-Off Contract.</w:t>
            </w:r>
          </w:p>
        </w:tc>
      </w:tr>
      <w:tr w:rsidR="002A3E6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A3E66">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Data, Personal Data and any information, which may include (but isn’t limited to) any:</w:t>
            </w:r>
          </w:p>
          <w:p w:rsidR="002A3E66" w:rsidRDefault="00062275">
            <w:pPr>
              <w:pStyle w:val="ListParagraph"/>
              <w:numPr>
                <w:ilvl w:val="0"/>
                <w:numId w:val="25"/>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rsidR="002A3E66" w:rsidRDefault="00062275">
            <w:pPr>
              <w:pStyle w:val="ListParagraph"/>
              <w:numPr>
                <w:ilvl w:val="0"/>
                <w:numId w:val="25"/>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2A3E66">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‘Control’ as defined in section 1124 and 450 of the Corporation Tax</w:t>
            </w:r>
          </w:p>
          <w:p w:rsidR="002A3E66" w:rsidRDefault="00062275">
            <w:pPr>
              <w:spacing w:before="240"/>
              <w:rPr>
                <w:sz w:val="20"/>
                <w:szCs w:val="20"/>
              </w:rPr>
            </w:pPr>
            <w:r>
              <w:rPr>
                <w:sz w:val="20"/>
                <w:szCs w:val="20"/>
              </w:rPr>
              <w:t>Act 2010. 'Controls' and 'Controlled' will be interpreted accordingly.</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Takes the meaning given in the GDPR.</w:t>
            </w:r>
          </w:p>
        </w:tc>
      </w:tr>
      <w:tr w:rsidR="002A3E66">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Crown</w:t>
            </w:r>
          </w:p>
          <w:p w:rsidR="002A3E66" w:rsidRDefault="0006227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Pr>
                <w:sz w:val="20"/>
                <w:szCs w:val="20"/>
              </w:rPr>
              <w:t>particular bodies</w:t>
            </w:r>
            <w:proofErr w:type="gramEnd"/>
            <w:r>
              <w:rPr>
                <w:sz w:val="20"/>
                <w:szCs w:val="20"/>
              </w:rPr>
              <w:t>, persons, commissions or agencies carrying out functions on its behalf.</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 assessment by the Controller of the impact of the envisaged Processing on the protection of Personal Data.</w:t>
            </w:r>
          </w:p>
        </w:tc>
      </w:tr>
      <w:tr w:rsidR="002A3E66">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Data Protection Legislation means:</w:t>
            </w:r>
          </w:p>
          <w:p w:rsidR="002A3E66" w:rsidRDefault="00062275">
            <w:pPr>
              <w:rPr>
                <w:sz w:val="20"/>
                <w:szCs w:val="20"/>
              </w:rPr>
            </w:pPr>
            <w:r>
              <w:rPr>
                <w:sz w:val="20"/>
                <w:szCs w:val="20"/>
              </w:rPr>
              <w:t>(i) the GDPR, the LED and any applicable national implementing Laws as amended from time to time</w:t>
            </w:r>
          </w:p>
          <w:p w:rsidR="002A3E66" w:rsidRDefault="00062275">
            <w:pPr>
              <w:ind w:left="720" w:hanging="720"/>
              <w:rPr>
                <w:sz w:val="20"/>
                <w:szCs w:val="20"/>
              </w:rPr>
            </w:pPr>
            <w:r>
              <w:rPr>
                <w:sz w:val="20"/>
                <w:szCs w:val="20"/>
              </w:rPr>
              <w:t>(ii) the DPA 2018 to the extent that it relates to Processing of Personal Data and privacy</w:t>
            </w:r>
          </w:p>
          <w:p w:rsidR="002A3E66" w:rsidRDefault="0006227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Takes the meaning given in the GDPR</w:t>
            </w:r>
          </w:p>
        </w:tc>
      </w:tr>
      <w:tr w:rsidR="002A3E66">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Default is any:</w:t>
            </w:r>
          </w:p>
          <w:p w:rsidR="002A3E66" w:rsidRDefault="00062275">
            <w:pPr>
              <w:pStyle w:val="ListParagraph"/>
              <w:numPr>
                <w:ilvl w:val="0"/>
                <w:numId w:val="26"/>
              </w:numPr>
              <w:rPr>
                <w:sz w:val="20"/>
                <w:szCs w:val="20"/>
              </w:rPr>
            </w:pPr>
            <w:r>
              <w:rPr>
                <w:sz w:val="20"/>
                <w:szCs w:val="20"/>
              </w:rPr>
              <w:t>breach of the obligations of the Supplier (including any fundamental breach or breach of a fundamental term)</w:t>
            </w:r>
          </w:p>
          <w:p w:rsidR="002A3E66" w:rsidRDefault="00062275">
            <w:pPr>
              <w:pStyle w:val="ListParagraph"/>
              <w:numPr>
                <w:ilvl w:val="0"/>
                <w:numId w:val="26"/>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rsidR="002A3E66" w:rsidRDefault="0006227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G-Cloud Services the Buyer contracts the Supplier to provide under this Call-Off Contract.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sz w:val="20"/>
                <w:szCs w:val="20"/>
              </w:rPr>
              <w:t>The government marketplace where Services are available for Buyers to buy. (</w:t>
            </w:r>
            <w:hyperlink r:id="rId22" w:history="1">
              <w:r>
                <w:rPr>
                  <w:sz w:val="20"/>
                  <w:szCs w:val="20"/>
                  <w:u w:val="single"/>
                </w:rPr>
                <w:t>https://www.digitalmarketplace.service.gov.uk</w:t>
              </w:r>
            </w:hyperlink>
            <w:r>
              <w:rPr>
                <w:sz w:val="20"/>
                <w:szCs w:val="20"/>
              </w:rPr>
              <w:t>/)</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Data Protection Act 2018.</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Transfer of Undertakings (Protection of Employment) Regulations 2006 (SI 2006/246) (‘TUPE’) which implements the Acquired Rights Directive.</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Means to terminate; and Ended and Ending are construed accordingly.</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2A3E66">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HMRC Employment Status Indicator test tool. The most up-to-date version must be used. At the time of drafting the tool may be found here:</w:t>
            </w:r>
          </w:p>
          <w:p w:rsidR="002A3E66" w:rsidRDefault="005E09AE">
            <w:hyperlink r:id="rId23" w:history="1">
              <w:r w:rsidR="00062275">
                <w:rPr>
                  <w:rStyle w:val="Hyperlink"/>
                  <w:color w:val="auto"/>
                </w:rPr>
                <w:t>https://www.gov.uk/guidance/check-employment-status-for-tax</w:t>
              </w:r>
            </w:hyperlink>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expiry date of this Call-Off Contract in the Order Form.</w:t>
            </w:r>
          </w:p>
        </w:tc>
      </w:tr>
      <w:tr w:rsidR="002A3E66">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 force Majeure event means anything affecting either Party's performance of their obligations arising from any:</w:t>
            </w:r>
          </w:p>
          <w:p w:rsidR="002A3E66" w:rsidRDefault="00062275">
            <w:pPr>
              <w:pStyle w:val="ListParagraph"/>
              <w:numPr>
                <w:ilvl w:val="0"/>
                <w:numId w:val="27"/>
              </w:numPr>
              <w:rPr>
                <w:sz w:val="20"/>
                <w:szCs w:val="20"/>
              </w:rPr>
            </w:pPr>
            <w:r>
              <w:rPr>
                <w:sz w:val="20"/>
                <w:szCs w:val="20"/>
              </w:rPr>
              <w:t>acts, events or omissions beyond the reasonable control of the affected Party</w:t>
            </w:r>
          </w:p>
          <w:p w:rsidR="002A3E66" w:rsidRDefault="00062275">
            <w:pPr>
              <w:pStyle w:val="ListParagraph"/>
              <w:numPr>
                <w:ilvl w:val="0"/>
                <w:numId w:val="28"/>
              </w:numPr>
              <w:rPr>
                <w:sz w:val="20"/>
                <w:szCs w:val="20"/>
              </w:rPr>
            </w:pPr>
            <w:r>
              <w:rPr>
                <w:sz w:val="20"/>
                <w:szCs w:val="20"/>
              </w:rPr>
              <w:t>riots, war or armed conflict, acts of terrorism, nuclear, biological or chemical warfare</w:t>
            </w:r>
          </w:p>
          <w:p w:rsidR="002A3E66" w:rsidRDefault="00062275">
            <w:pPr>
              <w:pStyle w:val="ListParagraph"/>
              <w:numPr>
                <w:ilvl w:val="0"/>
                <w:numId w:val="29"/>
              </w:numPr>
            </w:pPr>
            <w:r>
              <w:t xml:space="preserve">acts of government, local government or Regulatory </w:t>
            </w:r>
            <w:r>
              <w:rPr>
                <w:sz w:val="20"/>
                <w:szCs w:val="20"/>
              </w:rPr>
              <w:t>Bodies</w:t>
            </w:r>
          </w:p>
          <w:p w:rsidR="002A3E66" w:rsidRDefault="00062275">
            <w:pPr>
              <w:pStyle w:val="ListParagraph"/>
              <w:numPr>
                <w:ilvl w:val="0"/>
                <w:numId w:val="30"/>
              </w:numPr>
            </w:pPr>
            <w:r>
              <w:rPr>
                <w:sz w:val="14"/>
                <w:szCs w:val="14"/>
              </w:rPr>
              <w:t xml:space="preserve"> </w:t>
            </w:r>
            <w:r>
              <w:rPr>
                <w:sz w:val="20"/>
                <w:szCs w:val="20"/>
              </w:rPr>
              <w:t>fire, flood or disaster and any failure or shortage of power or fuel</w:t>
            </w:r>
          </w:p>
          <w:p w:rsidR="002A3E66" w:rsidRDefault="00062275">
            <w:pPr>
              <w:pStyle w:val="ListParagraph"/>
              <w:numPr>
                <w:ilvl w:val="0"/>
                <w:numId w:val="31"/>
              </w:numPr>
              <w:rPr>
                <w:sz w:val="20"/>
                <w:szCs w:val="20"/>
              </w:rPr>
            </w:pPr>
            <w:r>
              <w:rPr>
                <w:sz w:val="20"/>
                <w:szCs w:val="20"/>
              </w:rPr>
              <w:t>industrial dispute affecting a third party for which a substitute third party isn’t reasonably available</w:t>
            </w:r>
          </w:p>
          <w:p w:rsidR="002A3E66" w:rsidRDefault="00062275">
            <w:pPr>
              <w:spacing w:before="240"/>
              <w:rPr>
                <w:sz w:val="20"/>
                <w:szCs w:val="20"/>
              </w:rPr>
            </w:pPr>
            <w:r>
              <w:rPr>
                <w:sz w:val="20"/>
                <w:szCs w:val="20"/>
              </w:rPr>
              <w:t>The following do not constitute a Force Majeure event:</w:t>
            </w:r>
          </w:p>
          <w:p w:rsidR="002A3E66" w:rsidRDefault="00062275">
            <w:pPr>
              <w:pStyle w:val="ListParagraph"/>
              <w:numPr>
                <w:ilvl w:val="0"/>
                <w:numId w:val="32"/>
              </w:numPr>
              <w:rPr>
                <w:sz w:val="20"/>
                <w:szCs w:val="20"/>
              </w:rPr>
            </w:pPr>
            <w:r>
              <w:rPr>
                <w:sz w:val="20"/>
                <w:szCs w:val="20"/>
              </w:rPr>
              <w:t>any industrial dispute about the Supplier, its staff, or failure in the Supplier’s (or a Subcontractor's) supply chain</w:t>
            </w:r>
          </w:p>
          <w:p w:rsidR="002A3E66" w:rsidRDefault="00062275">
            <w:pPr>
              <w:pStyle w:val="ListParagraph"/>
              <w:numPr>
                <w:ilvl w:val="0"/>
                <w:numId w:val="32"/>
              </w:numPr>
              <w:rPr>
                <w:sz w:val="20"/>
                <w:szCs w:val="20"/>
              </w:rPr>
            </w:pPr>
            <w:r>
              <w:rPr>
                <w:sz w:val="20"/>
                <w:szCs w:val="20"/>
              </w:rPr>
              <w:t>any event which is attributable to the wilful act, neglect or failure to take reasonable precautions by the Party seeking to rely on Force Majeure</w:t>
            </w:r>
          </w:p>
          <w:p w:rsidR="002A3E66" w:rsidRDefault="00062275">
            <w:pPr>
              <w:pStyle w:val="ListParagraph"/>
              <w:numPr>
                <w:ilvl w:val="0"/>
                <w:numId w:val="32"/>
              </w:numPr>
              <w:rPr>
                <w:sz w:val="20"/>
                <w:szCs w:val="20"/>
              </w:rPr>
            </w:pPr>
            <w:r>
              <w:rPr>
                <w:sz w:val="20"/>
                <w:szCs w:val="20"/>
              </w:rPr>
              <w:t xml:space="preserve">the event was foreseeable by the Party seeking to rely on Force Majeure at the time this Call-Off Contract was </w:t>
            </w:r>
            <w:proofErr w:type="gramStart"/>
            <w:r>
              <w:rPr>
                <w:sz w:val="20"/>
                <w:szCs w:val="20"/>
              </w:rPr>
              <w:t>entered into</w:t>
            </w:r>
            <w:proofErr w:type="gramEnd"/>
          </w:p>
          <w:p w:rsidR="002A3E66" w:rsidRDefault="00062275">
            <w:pPr>
              <w:pStyle w:val="ListParagraph"/>
              <w:numPr>
                <w:ilvl w:val="0"/>
                <w:numId w:val="32"/>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A3E66">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clauses of framework agreement RM1557.12 together with the Framework Schedules.</w:t>
            </w:r>
          </w:p>
        </w:tc>
      </w:tr>
      <w:tr w:rsidR="002A3E6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A3E66">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General Data Protection Regulation (Regulation (EU) 2016/679)</w:t>
            </w:r>
          </w:p>
        </w:tc>
      </w:tr>
      <w:tr w:rsidR="002A3E6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government’s preferred method of purchasing and payment for low value goods or services.</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guarantee described in Schedule 5.</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ESI tool completed by contractors on their own behalf at the request of CCS or the Buyer (as applicable) under clause 4.6.</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information security management system and process developed by the Supplier in accordance with clause 16.1.</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Contractual engagements which would be determined to be within the scope of the IR35 Intermediaries legislation if assessed using the ESI tool.</w:t>
            </w:r>
          </w:p>
        </w:tc>
      </w:tr>
      <w:tr w:rsidR="002A3E66">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Can be:</w:t>
            </w:r>
          </w:p>
          <w:p w:rsidR="002A3E66" w:rsidRDefault="00062275">
            <w:pPr>
              <w:pStyle w:val="ListParagraph"/>
              <w:numPr>
                <w:ilvl w:val="0"/>
                <w:numId w:val="33"/>
              </w:numPr>
            </w:pPr>
            <w:r>
              <w:rPr>
                <w:sz w:val="14"/>
                <w:szCs w:val="14"/>
              </w:rPr>
              <w:t xml:space="preserve"> </w:t>
            </w:r>
            <w:r>
              <w:rPr>
                <w:sz w:val="20"/>
                <w:szCs w:val="20"/>
              </w:rPr>
              <w:t>a voluntary arrangement</w:t>
            </w:r>
          </w:p>
          <w:p w:rsidR="002A3E66" w:rsidRDefault="00062275">
            <w:pPr>
              <w:pStyle w:val="ListParagraph"/>
              <w:numPr>
                <w:ilvl w:val="0"/>
                <w:numId w:val="33"/>
              </w:numPr>
              <w:rPr>
                <w:sz w:val="20"/>
                <w:szCs w:val="20"/>
              </w:rPr>
            </w:pPr>
            <w:r>
              <w:rPr>
                <w:sz w:val="20"/>
                <w:szCs w:val="20"/>
              </w:rPr>
              <w:t>a winding-up petition</w:t>
            </w:r>
          </w:p>
          <w:p w:rsidR="002A3E66" w:rsidRDefault="00062275">
            <w:pPr>
              <w:pStyle w:val="ListParagraph"/>
              <w:numPr>
                <w:ilvl w:val="0"/>
                <w:numId w:val="33"/>
              </w:numPr>
              <w:rPr>
                <w:sz w:val="20"/>
                <w:szCs w:val="20"/>
              </w:rPr>
            </w:pPr>
            <w:r>
              <w:rPr>
                <w:sz w:val="20"/>
                <w:szCs w:val="20"/>
              </w:rPr>
              <w:t>the appointment of a receiver or administrator</w:t>
            </w:r>
          </w:p>
          <w:p w:rsidR="002A3E66" w:rsidRDefault="00062275">
            <w:pPr>
              <w:pStyle w:val="ListParagraph"/>
              <w:numPr>
                <w:ilvl w:val="0"/>
                <w:numId w:val="33"/>
              </w:numPr>
              <w:rPr>
                <w:sz w:val="20"/>
                <w:szCs w:val="20"/>
              </w:rPr>
            </w:pPr>
            <w:r>
              <w:rPr>
                <w:sz w:val="20"/>
                <w:szCs w:val="20"/>
              </w:rPr>
              <w:t>an unresolved statutory demand</w:t>
            </w:r>
          </w:p>
          <w:p w:rsidR="002A3E66" w:rsidRDefault="00062275">
            <w:pPr>
              <w:pStyle w:val="ListParagraph"/>
              <w:numPr>
                <w:ilvl w:val="0"/>
                <w:numId w:val="33"/>
              </w:numPr>
            </w:pPr>
            <w:r>
              <w:t>a S</w:t>
            </w:r>
            <w:r>
              <w:rPr>
                <w:sz w:val="20"/>
                <w:szCs w:val="20"/>
              </w:rPr>
              <w:t>chedule A1 moratorium</w:t>
            </w:r>
          </w:p>
        </w:tc>
      </w:tr>
      <w:tr w:rsidR="002A3E66">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Intellectual Property Rights are:</w:t>
            </w:r>
          </w:p>
          <w:p w:rsidR="002A3E66" w:rsidRDefault="00062275">
            <w:pPr>
              <w:pStyle w:val="ListParagraph"/>
              <w:numPr>
                <w:ilvl w:val="0"/>
                <w:numId w:val="34"/>
              </w:numPr>
              <w:rPr>
                <w:sz w:val="20"/>
                <w:szCs w:val="20"/>
              </w:rPr>
            </w:pPr>
            <w:r>
              <w:rPr>
                <w:sz w:val="20"/>
                <w:szCs w:val="20"/>
              </w:rPr>
              <w:t xml:space="preserve">copyright, rights related to or affording protection </w:t>
            </w:r>
            <w:proofErr w:type="gramStart"/>
            <w:r>
              <w:rPr>
                <w:sz w:val="20"/>
                <w:szCs w:val="20"/>
              </w:rPr>
              <w:t>similar to</w:t>
            </w:r>
            <w:proofErr w:type="gramEnd"/>
            <w:r>
              <w:rPr>
                <w:sz w:val="20"/>
                <w:szCs w:val="20"/>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2A3E66" w:rsidRDefault="00062275">
            <w:pPr>
              <w:pStyle w:val="ListParagraph"/>
              <w:numPr>
                <w:ilvl w:val="0"/>
                <w:numId w:val="34"/>
              </w:numPr>
              <w:rPr>
                <w:sz w:val="20"/>
                <w:szCs w:val="20"/>
              </w:rPr>
            </w:pPr>
            <w:r>
              <w:rPr>
                <w:sz w:val="20"/>
                <w:szCs w:val="20"/>
              </w:rPr>
              <w:t>applications for registration, and the right to apply for registration, for any of the rights listed at (a) that are capable of being registered in any country or jurisdiction</w:t>
            </w:r>
          </w:p>
          <w:p w:rsidR="002A3E66" w:rsidRDefault="00062275">
            <w:pPr>
              <w:pStyle w:val="ListParagraph"/>
              <w:numPr>
                <w:ilvl w:val="0"/>
                <w:numId w:val="34"/>
              </w:numPr>
              <w:rPr>
                <w:sz w:val="20"/>
                <w:szCs w:val="20"/>
              </w:rPr>
            </w:pPr>
            <w:r>
              <w:rPr>
                <w:sz w:val="20"/>
                <w:szCs w:val="20"/>
              </w:rPr>
              <w:t>all other rights having equivalent or similar effect in any country or jurisdiction</w:t>
            </w:r>
          </w:p>
        </w:tc>
      </w:tr>
      <w:tr w:rsidR="002A3E66">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For the purposes of the IR35 rules an intermediary can be:</w:t>
            </w:r>
          </w:p>
          <w:p w:rsidR="002A3E66" w:rsidRDefault="00062275">
            <w:pPr>
              <w:pStyle w:val="ListParagraph"/>
              <w:numPr>
                <w:ilvl w:val="0"/>
                <w:numId w:val="35"/>
              </w:numPr>
              <w:rPr>
                <w:sz w:val="20"/>
                <w:szCs w:val="20"/>
              </w:rPr>
            </w:pPr>
            <w:r>
              <w:rPr>
                <w:sz w:val="20"/>
                <w:szCs w:val="20"/>
              </w:rPr>
              <w:t>the supplier's own limited company</w:t>
            </w:r>
          </w:p>
          <w:p w:rsidR="002A3E66" w:rsidRDefault="00062275">
            <w:pPr>
              <w:pStyle w:val="ListParagraph"/>
              <w:numPr>
                <w:ilvl w:val="0"/>
                <w:numId w:val="35"/>
              </w:numPr>
              <w:rPr>
                <w:sz w:val="20"/>
                <w:szCs w:val="20"/>
              </w:rPr>
            </w:pPr>
            <w:r>
              <w:rPr>
                <w:sz w:val="20"/>
                <w:szCs w:val="20"/>
              </w:rPr>
              <w:t>a service or a personal service company</w:t>
            </w:r>
          </w:p>
          <w:p w:rsidR="002A3E66" w:rsidRDefault="00062275">
            <w:pPr>
              <w:pStyle w:val="ListParagraph"/>
              <w:numPr>
                <w:ilvl w:val="0"/>
                <w:numId w:val="35"/>
              </w:numPr>
              <w:rPr>
                <w:sz w:val="20"/>
                <w:szCs w:val="20"/>
              </w:rPr>
            </w:pPr>
            <w:r>
              <w:rPr>
                <w:sz w:val="20"/>
                <w:szCs w:val="20"/>
              </w:rPr>
              <w:t>a partnership</w:t>
            </w:r>
          </w:p>
          <w:p w:rsidR="002A3E66" w:rsidRDefault="00062275">
            <w:pPr>
              <w:spacing w:before="240"/>
              <w:rPr>
                <w:sz w:val="20"/>
                <w:szCs w:val="20"/>
              </w:rPr>
            </w:pPr>
            <w:r>
              <w:rPr>
                <w:sz w:val="20"/>
                <w:szCs w:val="20"/>
              </w:rPr>
              <w:t>It does not apply if you work for a client through a Managed Service Company (MSC) or agency (for example, an employment agency).</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As set out in clause 11.5.</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Assessment of employment status using the ESI tool to determine if engagement is Inside or Outside IR35.</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A3E66">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Law Enforcement Directive (EU) 2016/680.</w:t>
            </w:r>
          </w:p>
        </w:tc>
      </w:tr>
      <w:tr w:rsidR="002A3E66">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of the 3 Lots specified in the ITT and Lots will be construed accordingly.</w:t>
            </w:r>
          </w:p>
        </w:tc>
      </w:tr>
      <w:tr w:rsidR="002A3E66">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p>
        </w:tc>
      </w:tr>
      <w:tr w:rsidR="002A3E6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management information specified in Framework Agreement section 6 (What you report to CCS).</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 order for G-Cloud Services placed by a contracting body with the Supplier in accordance with the ordering processes.</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order form set out in Part A of the Call-Off Contract to be used by a Buyer to order G-Cloud Services.</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G-Cloud Services which are the subject of an order by the Buyer.</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Buyer or the Supplier and ‘Parties’ will be interpreted accordingly.</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Takes the meaning given in the GDPR.</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Takes the meaning given in the GDPR.</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Takes the meaning given in the GDPR.</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Takes the meaning given in the GDPR.</w:t>
            </w:r>
          </w:p>
        </w:tc>
      </w:tr>
      <w:tr w:rsidR="002A3E66">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line="240" w:lineRule="auto"/>
              <w:rPr>
                <w:sz w:val="20"/>
                <w:szCs w:val="20"/>
              </w:rPr>
            </w:pPr>
            <w:r>
              <w:rPr>
                <w:sz w:val="20"/>
                <w:szCs w:val="20"/>
              </w:rPr>
              <w:t>To directly or indirectly offer, promise or give any person working for or engaged by a Buyer or CCS a financial or other advantage to:</w:t>
            </w:r>
          </w:p>
          <w:p w:rsidR="002A3E66" w:rsidRDefault="00062275">
            <w:pPr>
              <w:pStyle w:val="ListParagraph"/>
              <w:numPr>
                <w:ilvl w:val="0"/>
                <w:numId w:val="36"/>
              </w:numPr>
              <w:rPr>
                <w:sz w:val="20"/>
                <w:szCs w:val="20"/>
              </w:rPr>
            </w:pPr>
            <w:r>
              <w:rPr>
                <w:sz w:val="20"/>
                <w:szCs w:val="20"/>
              </w:rPr>
              <w:t>induce that person to perform improperly a relevant function or activity</w:t>
            </w:r>
          </w:p>
          <w:p w:rsidR="002A3E66" w:rsidRDefault="00062275">
            <w:pPr>
              <w:pStyle w:val="ListParagraph"/>
              <w:numPr>
                <w:ilvl w:val="0"/>
                <w:numId w:val="36"/>
              </w:numPr>
              <w:rPr>
                <w:sz w:val="20"/>
                <w:szCs w:val="20"/>
              </w:rPr>
            </w:pPr>
            <w:r>
              <w:rPr>
                <w:sz w:val="20"/>
                <w:szCs w:val="20"/>
              </w:rPr>
              <w:t>reward that person for improper performance of a relevant function or activity</w:t>
            </w:r>
          </w:p>
          <w:p w:rsidR="002A3E66" w:rsidRDefault="00062275">
            <w:pPr>
              <w:pStyle w:val="ListParagraph"/>
              <w:numPr>
                <w:ilvl w:val="0"/>
                <w:numId w:val="36"/>
              </w:numPr>
              <w:rPr>
                <w:sz w:val="20"/>
                <w:szCs w:val="20"/>
              </w:rPr>
            </w:pPr>
            <w:r>
              <w:rPr>
                <w:sz w:val="20"/>
                <w:szCs w:val="20"/>
              </w:rPr>
              <w:t>commit any offence:</w:t>
            </w:r>
          </w:p>
          <w:p w:rsidR="002A3E66" w:rsidRDefault="00062275">
            <w:pPr>
              <w:pStyle w:val="ListParagraph"/>
              <w:numPr>
                <w:ilvl w:val="1"/>
                <w:numId w:val="36"/>
              </w:numPr>
              <w:rPr>
                <w:sz w:val="20"/>
                <w:szCs w:val="20"/>
              </w:rPr>
            </w:pPr>
            <w:r>
              <w:rPr>
                <w:sz w:val="20"/>
                <w:szCs w:val="20"/>
              </w:rPr>
              <w:t>under the Bribery Act 2010</w:t>
            </w:r>
          </w:p>
          <w:p w:rsidR="002A3E66" w:rsidRDefault="00062275">
            <w:pPr>
              <w:pStyle w:val="ListParagraph"/>
              <w:numPr>
                <w:ilvl w:val="1"/>
                <w:numId w:val="36"/>
              </w:numPr>
              <w:rPr>
                <w:sz w:val="20"/>
                <w:szCs w:val="20"/>
              </w:rPr>
            </w:pPr>
            <w:r>
              <w:rPr>
                <w:sz w:val="20"/>
                <w:szCs w:val="20"/>
              </w:rPr>
              <w:t>under legislation creating offences concerning Fraud</w:t>
            </w:r>
          </w:p>
          <w:p w:rsidR="002A3E66" w:rsidRDefault="00062275">
            <w:pPr>
              <w:pStyle w:val="ListParagraph"/>
              <w:numPr>
                <w:ilvl w:val="1"/>
                <w:numId w:val="36"/>
              </w:numPr>
            </w:pPr>
            <w:r>
              <w:t>at common Law concerning Fraud</w:t>
            </w:r>
          </w:p>
          <w:p w:rsidR="002A3E66" w:rsidRDefault="00062275">
            <w:pPr>
              <w:pStyle w:val="ListParagraph"/>
              <w:numPr>
                <w:ilvl w:val="1"/>
                <w:numId w:val="36"/>
              </w:numPr>
              <w:rPr>
                <w:sz w:val="20"/>
                <w:szCs w:val="20"/>
              </w:rPr>
            </w:pPr>
            <w:r>
              <w:rPr>
                <w:sz w:val="20"/>
                <w:szCs w:val="20"/>
              </w:rPr>
              <w:t>committing or attempting or conspiring to commit Fraud</w:t>
            </w:r>
          </w:p>
        </w:tc>
      </w:tr>
      <w:tr w:rsidR="002A3E66">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Assets and property including technical infrastructure, IPRs and equipment.</w:t>
            </w:r>
          </w:p>
        </w:tc>
      </w:tr>
      <w:tr w:rsidR="002A3E66">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 transfer of employment to which the employment regulations applies.</w:t>
            </w:r>
          </w:p>
        </w:tc>
      </w:tr>
      <w:tr w:rsidR="002A3E6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 xml:space="preserve">Any services which are the same as or substantially </w:t>
            </w:r>
            <w:proofErr w:type="gramStart"/>
            <w:r>
              <w:rPr>
                <w:sz w:val="20"/>
                <w:szCs w:val="20"/>
              </w:rPr>
              <w:t>similar to</w:t>
            </w:r>
            <w:proofErr w:type="gramEnd"/>
            <w:r>
              <w:rPr>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Supplier's security management plan developed by the Supplier in accordance with clause 16.1.</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services ordered by the Buyer as set out in the Order Form.</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Data that is owned or managed by the Buyer and used for the G-Cloud Services, including backup data.</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description of the Supplier service offering as published on the Digital Marketplace.</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pPr>
            <w:r>
              <w:rPr>
                <w:sz w:val="20"/>
                <w:szCs w:val="20"/>
              </w:rPr>
              <w:t>The approval process used by a central government Buyer if it needs to spend money on certain digital or technology services, see</w:t>
            </w:r>
            <w:hyperlink r:id="rId24" w:history="1">
              <w:r>
                <w:t xml:space="preserve"> </w:t>
              </w:r>
            </w:hyperlink>
            <w:hyperlink r:id="rId25" w:history="1">
              <w:r>
                <w:rPr>
                  <w:sz w:val="20"/>
                  <w:szCs w:val="20"/>
                  <w:u w:val="single"/>
                </w:rPr>
                <w:t>https://www.gov.uk/service-manual/agile-delivery/spend-controls-check-if-you-need-approval-to-spend-money-on-a-service</w:t>
              </w:r>
            </w:hyperlink>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Start date of this Call-Off Contract as set out in the Order Form.</w:t>
            </w:r>
          </w:p>
        </w:tc>
      </w:tr>
      <w:tr w:rsidR="002A3E66">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A3E66">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third party appointed to process Personal Data on behalf of the Supplier under this Call-Off Contract.</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person, firm or company identified in the Order Form.</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representative appointed by the Supplier from time to time in relation to the Call-Off Contract.</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2A3E66">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relevant G-Cloud Service terms and conditions as set out in the Terms and Conditions document supplied as part of the Supplier’s Application.</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The term of this Call-Off Contract as set out in the Order Form.</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This has the meaning given to it in clause 32 (Variation process).</w:t>
            </w:r>
          </w:p>
        </w:tc>
      </w:tr>
      <w:tr w:rsidR="002A3E66">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Any day other than a Saturday, Sunday or public holiday in England and Wales.</w:t>
            </w:r>
          </w:p>
        </w:tc>
      </w:tr>
      <w:tr w:rsidR="002A3E66">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3E66" w:rsidRDefault="00062275">
            <w:pPr>
              <w:spacing w:before="240"/>
              <w:rPr>
                <w:sz w:val="20"/>
                <w:szCs w:val="20"/>
              </w:rPr>
            </w:pPr>
            <w:r>
              <w:rPr>
                <w:sz w:val="20"/>
                <w:szCs w:val="20"/>
              </w:rPr>
              <w:t>A contract year.</w:t>
            </w:r>
          </w:p>
        </w:tc>
      </w:tr>
    </w:tbl>
    <w:p w:rsidR="002A3E66" w:rsidRDefault="00062275">
      <w:pPr>
        <w:spacing w:before="240" w:after="240"/>
      </w:pPr>
      <w:r>
        <w:t xml:space="preserve"> </w:t>
      </w:r>
    </w:p>
    <w:p w:rsidR="002A3E66" w:rsidRDefault="002A3E66">
      <w:pPr>
        <w:pageBreakBefore/>
      </w:pPr>
    </w:p>
    <w:p w:rsidR="002A3E66" w:rsidRDefault="00062275">
      <w:pPr>
        <w:pStyle w:val="Heading2"/>
      </w:pPr>
      <w:bookmarkStart w:id="12" w:name="_Toc33176240"/>
      <w:r>
        <w:t>Schedule 7: GDPR Information</w:t>
      </w:r>
      <w:bookmarkEnd w:id="12"/>
    </w:p>
    <w:p w:rsidR="002A3E66" w:rsidRDefault="00062275">
      <w:r>
        <w:t>This schedule reproduces the annexes to the GDPR schedule contained within the Framework Agreement and incorporated into this Call-off Contract.</w:t>
      </w:r>
    </w:p>
    <w:p w:rsidR="002A3E66" w:rsidRDefault="00062275">
      <w:pPr>
        <w:pStyle w:val="Heading3"/>
        <w:rPr>
          <w:color w:val="auto"/>
        </w:rPr>
      </w:pPr>
      <w:r>
        <w:rPr>
          <w:color w:val="auto"/>
        </w:rPr>
        <w:t>Annex 1: Processing Personal Data</w:t>
      </w:r>
    </w:p>
    <w:p w:rsidR="002A3E66" w:rsidRDefault="00860460">
      <w:pPr>
        <w:spacing w:before="240" w:after="240"/>
        <w:rPr>
          <w:b/>
        </w:rPr>
      </w:pP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r w:rsidRPr="00860460">
        <w:rPr>
          <w:highlight w:val="black"/>
        </w:rPr>
        <w:t xml:space="preserve"> </w:t>
      </w:r>
      <w:r w:rsidRPr="00561229">
        <w:rPr>
          <w:highlight w:val="black"/>
        </w:rPr>
        <w:t>XXXXXXXXXXXXXXXXXXXXXXXXXXXXXXXXXXXXXXXXXXXXXXXXXXXXXXXXXXXXXXXXXXXXXXXXXXXXXXXXXXXXXXXXXXXXXXXXXXXXXXXXXXXXXXXXXXXXXXXXXXXXXXXXXX</w:t>
      </w:r>
    </w:p>
    <w:p w:rsidR="002A3E66" w:rsidRDefault="002A3E66">
      <w:pPr>
        <w:pageBreakBefore/>
        <w:rPr>
          <w:sz w:val="24"/>
          <w:szCs w:val="24"/>
        </w:rPr>
      </w:pPr>
    </w:p>
    <w:p w:rsidR="002A3E66" w:rsidRDefault="00062275">
      <w:pPr>
        <w:pStyle w:val="Heading3"/>
        <w:rPr>
          <w:color w:val="auto"/>
        </w:rPr>
      </w:pPr>
      <w:r>
        <w:rPr>
          <w:color w:val="auto"/>
        </w:rPr>
        <w:t>Annex 2: Joint Controller Agreement</w:t>
      </w:r>
    </w:p>
    <w:p w:rsidR="002A3E66" w:rsidRDefault="00062275">
      <w:r>
        <w:t>Not Applicable</w:t>
      </w:r>
    </w:p>
    <w:p w:rsidR="002A3E66" w:rsidRDefault="002A3E66">
      <w:pPr>
        <w:pageBreakBefore/>
        <w:suppressAutoHyphens w:val="0"/>
      </w:pPr>
    </w:p>
    <w:p w:rsidR="002A3E66" w:rsidRDefault="00062275">
      <w:pPr>
        <w:ind w:left="142" w:right="394"/>
        <w:jc w:val="center"/>
      </w:pPr>
      <w:r>
        <w:rPr>
          <w:noProof/>
        </w:rPr>
        <w:drawing>
          <wp:anchor distT="0" distB="0" distL="114300" distR="114300" simplePos="0" relativeHeight="251658240" behindDoc="0" locked="0" layoutInCell="1" allowOverlap="1">
            <wp:simplePos x="0" y="0"/>
            <wp:positionH relativeFrom="column">
              <wp:posOffset>67098</wp:posOffset>
            </wp:positionH>
            <wp:positionV relativeFrom="paragraph">
              <wp:posOffset>210</wp:posOffset>
            </wp:positionV>
            <wp:extent cx="1435095" cy="853436"/>
            <wp:effectExtent l="0" t="0" r="0" b="3814"/>
            <wp:wrapTight wrapText="bothSides">
              <wp:wrapPolygon edited="0">
                <wp:start x="0" y="0"/>
                <wp:lineTo x="0" y="21230"/>
                <wp:lineTo x="21227" y="21230"/>
                <wp:lineTo x="21227" y="0"/>
                <wp:lineTo x="0" y="0"/>
              </wp:wrapPolygon>
            </wp:wrapTight>
            <wp:docPr id="3"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435095" cy="853436"/>
                    </a:xfrm>
                    <a:prstGeom prst="rect">
                      <a:avLst/>
                    </a:prstGeom>
                    <a:noFill/>
                    <a:ln>
                      <a:noFill/>
                      <a:prstDash/>
                    </a:ln>
                  </pic:spPr>
                </pic:pic>
              </a:graphicData>
            </a:graphic>
          </wp:anchor>
        </w:drawing>
      </w:r>
    </w:p>
    <w:p w:rsidR="002A3E66" w:rsidRDefault="002A3E66">
      <w:pPr>
        <w:ind w:left="142" w:right="394"/>
        <w:jc w:val="center"/>
        <w:rPr>
          <w:rFonts w:cs="Calibri"/>
          <w:b/>
          <w:shd w:val="clear" w:color="auto" w:fill="FFFF00"/>
        </w:rPr>
      </w:pPr>
    </w:p>
    <w:p w:rsidR="002A3E66" w:rsidRDefault="002A3E66">
      <w:pPr>
        <w:ind w:left="142" w:right="394"/>
        <w:jc w:val="center"/>
        <w:rPr>
          <w:rFonts w:cs="Calibri"/>
          <w:b/>
          <w:shd w:val="clear" w:color="auto" w:fill="FFFF00"/>
        </w:rPr>
      </w:pPr>
    </w:p>
    <w:p w:rsidR="002A3E66" w:rsidRDefault="002A3E66">
      <w:pPr>
        <w:ind w:left="142" w:right="394"/>
        <w:jc w:val="center"/>
        <w:rPr>
          <w:rFonts w:cs="Calibri"/>
          <w:b/>
          <w:shd w:val="clear" w:color="auto" w:fill="FFFF00"/>
        </w:rPr>
      </w:pPr>
    </w:p>
    <w:p w:rsidR="002A3E66" w:rsidRDefault="002A3E66">
      <w:pPr>
        <w:ind w:left="142" w:right="394"/>
        <w:jc w:val="center"/>
        <w:rPr>
          <w:rFonts w:cs="Calibri"/>
          <w:b/>
          <w:shd w:val="clear" w:color="auto" w:fill="FFFF00"/>
        </w:rPr>
      </w:pPr>
    </w:p>
    <w:p w:rsidR="002A3E66" w:rsidRDefault="002A3E66">
      <w:pPr>
        <w:ind w:left="142" w:right="394"/>
        <w:jc w:val="center"/>
        <w:rPr>
          <w:rFonts w:cs="Calibri"/>
          <w:b/>
          <w:shd w:val="clear" w:color="auto" w:fill="FFFF00"/>
        </w:rPr>
      </w:pPr>
    </w:p>
    <w:p w:rsidR="002A3E66" w:rsidRDefault="00062275">
      <w:pPr>
        <w:ind w:left="142" w:right="394"/>
      </w:pPr>
      <w:r>
        <w:rPr>
          <w:rFonts w:cs="Calibri"/>
          <w:sz w:val="32"/>
          <w:szCs w:val="32"/>
        </w:rPr>
        <w:t>Schedule 8 - Authority’s Mandatory Terms</w:t>
      </w:r>
    </w:p>
    <w:p w:rsidR="002A3E66" w:rsidRDefault="00062275">
      <w:pPr>
        <w:pStyle w:val="BodyText"/>
        <w:numPr>
          <w:ilvl w:val="0"/>
          <w:numId w:val="40"/>
        </w:numPr>
        <w:spacing w:before="121"/>
        <w:ind w:left="567" w:right="394" w:hanging="425"/>
        <w:jc w:val="both"/>
      </w:pPr>
      <w:r>
        <w:rPr>
          <w:rFonts w:ascii="Calibri" w:hAnsi="Calibri" w:cs="Calibri"/>
          <w:sz w:val="22"/>
          <w:szCs w:val="22"/>
        </w:rPr>
        <w:t>For the avoidance of doubt, references to ‘the Agreement’ mean the attached Call-Off Contract between</w:t>
      </w:r>
      <w:r>
        <w:rPr>
          <w:rFonts w:ascii="Calibri" w:hAnsi="Calibri" w:cs="Calibri"/>
          <w:spacing w:val="-8"/>
          <w:sz w:val="22"/>
          <w:szCs w:val="22"/>
        </w:rPr>
        <w:t xml:space="preserve"> </w:t>
      </w:r>
      <w:r>
        <w:rPr>
          <w:rFonts w:ascii="Calibri" w:hAnsi="Calibri" w:cs="Calibri"/>
          <w:sz w:val="22"/>
          <w:szCs w:val="22"/>
        </w:rPr>
        <w:t>the Supplier and</w:t>
      </w:r>
      <w:r>
        <w:rPr>
          <w:rFonts w:ascii="Calibri" w:hAnsi="Calibri" w:cs="Calibri"/>
          <w:spacing w:val="-9"/>
          <w:sz w:val="22"/>
          <w:szCs w:val="22"/>
        </w:rPr>
        <w:t xml:space="preserve"> </w:t>
      </w:r>
      <w:r>
        <w:rPr>
          <w:rFonts w:ascii="Calibri" w:hAnsi="Calibri" w:cs="Calibri"/>
          <w:sz w:val="22"/>
          <w:szCs w:val="22"/>
        </w:rPr>
        <w:t xml:space="preserve">the Authority. </w:t>
      </w:r>
      <w:r>
        <w:rPr>
          <w:rFonts w:ascii="Calibri" w:hAnsi="Calibri" w:cs="Calibri"/>
          <w:spacing w:val="-9"/>
          <w:sz w:val="22"/>
          <w:szCs w:val="22"/>
        </w:rPr>
        <w:t>References to ‘the Authority’ mean ‘the Buyer’ (the Commissioners for Her Majesty’s Revenue and Customs).</w:t>
      </w:r>
    </w:p>
    <w:p w:rsidR="002A3E66" w:rsidRDefault="00062275">
      <w:pPr>
        <w:pStyle w:val="BodyText"/>
        <w:numPr>
          <w:ilvl w:val="0"/>
          <w:numId w:val="40"/>
        </w:numPr>
        <w:spacing w:before="121"/>
        <w:ind w:left="567" w:right="394" w:hanging="425"/>
        <w:jc w:val="both"/>
      </w:pPr>
      <w:r>
        <w:rPr>
          <w:rFonts w:ascii="Calibri" w:hAnsi="Calibri" w:cs="Calibri"/>
          <w:sz w:val="22"/>
          <w:szCs w:val="22"/>
        </w:rPr>
        <w:t>The Agreement incorporates the Authority’s mandatory terms set out in this Schedule.</w:t>
      </w:r>
      <w:r>
        <w:rPr>
          <w:rFonts w:ascii="Calibri" w:hAnsi="Calibri" w:cs="Calibri"/>
          <w:spacing w:val="-9"/>
          <w:sz w:val="22"/>
          <w:szCs w:val="22"/>
        </w:rPr>
        <w:t xml:space="preserve"> </w:t>
      </w:r>
    </w:p>
    <w:p w:rsidR="002A3E66" w:rsidRDefault="00062275">
      <w:pPr>
        <w:pStyle w:val="BodyText"/>
        <w:numPr>
          <w:ilvl w:val="0"/>
          <w:numId w:val="40"/>
        </w:numPr>
        <w:spacing w:before="121"/>
        <w:ind w:left="567" w:right="394" w:hanging="425"/>
        <w:jc w:val="both"/>
        <w:rPr>
          <w:rFonts w:ascii="Calibri" w:hAnsi="Calibri" w:cs="Calibri"/>
          <w:sz w:val="22"/>
          <w:szCs w:val="22"/>
        </w:rPr>
      </w:pPr>
      <w:r>
        <w:rPr>
          <w:rFonts w:ascii="Calibri" w:hAnsi="Calibri" w:cs="Calibri"/>
          <w:sz w:val="22"/>
          <w:szCs w:val="22"/>
        </w:rPr>
        <w:t xml:space="preserve">In case of any ambiguity or conflict, the Authority’s mandatory terms in this Schedule will supersede any other terms in the Agreement.  </w:t>
      </w:r>
    </w:p>
    <w:p w:rsidR="002A3E66" w:rsidRDefault="002A3E66">
      <w:pPr>
        <w:pStyle w:val="ListParagraph"/>
        <w:ind w:left="426"/>
        <w:rPr>
          <w:rFonts w:cs="Calibri"/>
          <w:b/>
        </w:rPr>
      </w:pPr>
    </w:p>
    <w:p w:rsidR="002A3E66" w:rsidRDefault="00062275">
      <w:pPr>
        <w:pStyle w:val="ListParagraph"/>
        <w:numPr>
          <w:ilvl w:val="0"/>
          <w:numId w:val="41"/>
        </w:numPr>
        <w:suppressAutoHyphens w:val="0"/>
        <w:spacing w:after="160" w:line="240" w:lineRule="auto"/>
        <w:ind w:left="426" w:hanging="426"/>
        <w:textAlignment w:val="auto"/>
        <w:rPr>
          <w:rFonts w:cs="Calibri"/>
          <w:b/>
        </w:rPr>
      </w:pPr>
      <w:r>
        <w:rPr>
          <w:rFonts w:cs="Calibri"/>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“Affiliate”</w:t>
            </w:r>
          </w:p>
        </w:tc>
        <w:tc>
          <w:tcPr>
            <w:tcW w:w="6758" w:type="dxa"/>
            <w:shd w:val="clear" w:color="auto" w:fill="auto"/>
            <w:tcMar>
              <w:top w:w="0" w:type="dxa"/>
              <w:left w:w="108" w:type="dxa"/>
              <w:bottom w:w="0" w:type="dxa"/>
              <w:right w:w="108" w:type="dxa"/>
            </w:tcMar>
          </w:tcPr>
          <w:p w:rsidR="002A3E66" w:rsidRDefault="00062275">
            <w:r>
              <w:t>in relation to a body corporate, any other entity which directly or indirectly Controls, is Controlled by, or is under direct or indirect common Control with, that body corporate from time to time;</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“Authority Data”</w:t>
            </w:r>
          </w:p>
        </w:tc>
        <w:tc>
          <w:tcPr>
            <w:tcW w:w="6758" w:type="dxa"/>
            <w:shd w:val="clear" w:color="auto" w:fill="auto"/>
            <w:tcMar>
              <w:top w:w="0" w:type="dxa"/>
              <w:left w:w="108" w:type="dxa"/>
              <w:bottom w:w="0" w:type="dxa"/>
              <w:right w:w="108" w:type="dxa"/>
            </w:tcMar>
          </w:tcPr>
          <w:p w:rsidR="002A3E66" w:rsidRDefault="00062275">
            <w:pPr>
              <w:pStyle w:val="ListParagraph"/>
              <w:numPr>
                <w:ilvl w:val="0"/>
                <w:numId w:val="42"/>
              </w:numPr>
              <w:suppressAutoHyphens w:val="0"/>
              <w:spacing w:after="160" w:line="240" w:lineRule="auto"/>
              <w:textAlignment w:val="auto"/>
              <w:rPr>
                <w:rFonts w:cs="Calibri"/>
              </w:rPr>
            </w:pPr>
            <w:r>
              <w:rPr>
                <w:rFonts w:cs="Calibri"/>
              </w:rPr>
              <w:t>the data, text, drawings, diagrams, images or sounds (together with any database made up of any of these) which are embodied in any electronic, magnetic, optical or tangible media, and which are:</w:t>
            </w:r>
          </w:p>
          <w:p w:rsidR="002A3E66" w:rsidRDefault="00062275">
            <w:pPr>
              <w:numPr>
                <w:ilvl w:val="3"/>
                <w:numId w:val="42"/>
              </w:numPr>
              <w:tabs>
                <w:tab w:val="left" w:pos="759"/>
              </w:tabs>
              <w:suppressAutoHyphens w:val="0"/>
              <w:spacing w:after="160" w:line="240" w:lineRule="auto"/>
              <w:ind w:left="829" w:hanging="283"/>
              <w:textAlignment w:val="auto"/>
              <w:rPr>
                <w:rFonts w:cs="Calibri"/>
              </w:rPr>
            </w:pPr>
            <w:r>
              <w:rPr>
                <w:rFonts w:cs="Calibri"/>
              </w:rPr>
              <w:t xml:space="preserve">supplied to the Supplier by or on behalf of the Authority; and/or </w:t>
            </w:r>
          </w:p>
          <w:p w:rsidR="002A3E66" w:rsidRDefault="00062275">
            <w:pPr>
              <w:numPr>
                <w:ilvl w:val="3"/>
                <w:numId w:val="42"/>
              </w:numPr>
              <w:tabs>
                <w:tab w:val="left" w:pos="759"/>
              </w:tabs>
              <w:suppressAutoHyphens w:val="0"/>
              <w:spacing w:after="160" w:line="240" w:lineRule="auto"/>
              <w:ind w:left="829" w:hanging="283"/>
              <w:textAlignment w:val="auto"/>
              <w:rPr>
                <w:rFonts w:cs="Calibri"/>
              </w:rPr>
            </w:pPr>
            <w:r>
              <w:rPr>
                <w:rFonts w:cs="Calibri"/>
              </w:rPr>
              <w:t>which the Supplier is required to generate, process, store or transmit pursuant to this Agreement; or</w:t>
            </w:r>
          </w:p>
          <w:p w:rsidR="002A3E66" w:rsidRDefault="00062275">
            <w:pPr>
              <w:pStyle w:val="ListParagraph"/>
              <w:numPr>
                <w:ilvl w:val="0"/>
                <w:numId w:val="42"/>
              </w:numPr>
              <w:suppressAutoHyphens w:val="0"/>
              <w:spacing w:after="160" w:line="240" w:lineRule="auto"/>
              <w:textAlignment w:val="auto"/>
              <w:rPr>
                <w:rFonts w:cs="Calibri"/>
              </w:rPr>
            </w:pPr>
            <w:r>
              <w:rPr>
                <w:rFonts w:cs="Calibri"/>
              </w:rPr>
              <w:t>any Personal Data for which the Authority is the Controller, or any data derived from such Personal Data which has had any designatory data identifiers removed so that an individual cannot be identified;</w:t>
            </w:r>
          </w:p>
        </w:tc>
      </w:tr>
      <w:tr w:rsidR="002A3E66">
        <w:tc>
          <w:tcPr>
            <w:tcW w:w="2160" w:type="dxa"/>
            <w:shd w:val="clear" w:color="auto" w:fill="auto"/>
            <w:tcMar>
              <w:top w:w="0" w:type="dxa"/>
              <w:left w:w="108" w:type="dxa"/>
              <w:bottom w:w="0" w:type="dxa"/>
              <w:right w:w="108" w:type="dxa"/>
            </w:tcMar>
          </w:tcPr>
          <w:p w:rsidR="002A3E66" w:rsidRDefault="00062275">
            <w:r>
              <w:rPr>
                <w:rFonts w:ascii="Calibri" w:eastAsia="Times New Roman" w:hAnsi="Calibri" w:cs="Calibri"/>
                <w:b/>
                <w:bCs/>
              </w:rPr>
              <w:t>“Charges”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rsidR="002A3E66" w:rsidRDefault="00062275">
            <w:r>
              <w:rPr>
                <w:rFonts w:ascii="Calibri" w:eastAsia="Times New Roman" w:hAnsi="Calibri" w:cs="Calibri"/>
              </w:rPr>
              <w:t>the charges for the Services as specified in the contract;</w:t>
            </w:r>
          </w:p>
        </w:tc>
      </w:tr>
      <w:tr w:rsidR="002A3E66">
        <w:tc>
          <w:tcPr>
            <w:tcW w:w="2160" w:type="dxa"/>
            <w:shd w:val="clear" w:color="auto" w:fill="auto"/>
            <w:tcMar>
              <w:top w:w="0" w:type="dxa"/>
              <w:left w:w="108" w:type="dxa"/>
              <w:bottom w:w="0" w:type="dxa"/>
              <w:right w:w="108" w:type="dxa"/>
            </w:tcMar>
          </w:tcPr>
          <w:p w:rsidR="002A3E66" w:rsidRDefault="00062275">
            <w:r>
              <w:rPr>
                <w:rFonts w:cs="Calibri"/>
                <w:b/>
              </w:rPr>
              <w:t>“Connected Company”</w:t>
            </w:r>
          </w:p>
        </w:tc>
        <w:tc>
          <w:tcPr>
            <w:tcW w:w="6758" w:type="dxa"/>
            <w:shd w:val="clear" w:color="auto" w:fill="auto"/>
            <w:tcMar>
              <w:top w:w="0" w:type="dxa"/>
              <w:left w:w="108" w:type="dxa"/>
              <w:bottom w:w="0" w:type="dxa"/>
              <w:right w:w="108" w:type="dxa"/>
            </w:tcMar>
          </w:tcPr>
          <w:p w:rsidR="002A3E66" w:rsidRDefault="00062275">
            <w:pPr>
              <w:jc w:val="both"/>
              <w:rPr>
                <w:rFonts w:eastAsia="Times New Roman" w:cs="Calibri"/>
              </w:rPr>
            </w:pPr>
            <w:r>
              <w:rPr>
                <w:rFonts w:eastAsia="Times New Roman" w:cs="Calibri"/>
              </w:rPr>
              <w:t>means, in relation to a company, entity or other person, the Affiliates of that company, entity or other person or any other person associated with such company, entity or other person;</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“Control”</w:t>
            </w:r>
          </w:p>
        </w:tc>
        <w:tc>
          <w:tcPr>
            <w:tcW w:w="6758" w:type="dxa"/>
            <w:shd w:val="clear" w:color="auto" w:fill="auto"/>
            <w:tcMar>
              <w:top w:w="0" w:type="dxa"/>
              <w:left w:w="108" w:type="dxa"/>
              <w:bottom w:w="0" w:type="dxa"/>
              <w:right w:w="108" w:type="dxa"/>
            </w:tcMar>
          </w:tcPr>
          <w:p w:rsidR="002A3E66" w:rsidRDefault="00062275">
            <w:pPr>
              <w:jc w:val="both"/>
            </w:pPr>
            <w:r>
              <w:t xml:space="preserve">the possession by a person,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“Controller”, “Processor”, “Data Subject”,</w:t>
            </w:r>
          </w:p>
        </w:tc>
        <w:tc>
          <w:tcPr>
            <w:tcW w:w="6758" w:type="dxa"/>
            <w:shd w:val="clear" w:color="auto" w:fill="auto"/>
            <w:tcMar>
              <w:top w:w="0" w:type="dxa"/>
              <w:left w:w="108" w:type="dxa"/>
              <w:bottom w:w="0" w:type="dxa"/>
              <w:right w:w="108" w:type="dxa"/>
            </w:tcMar>
          </w:tcPr>
          <w:p w:rsidR="002A3E66" w:rsidRDefault="00062275">
            <w:pPr>
              <w:jc w:val="both"/>
            </w:pPr>
            <w:r>
              <w:rPr>
                <w:rFonts w:cs="Calibri"/>
              </w:rPr>
              <w:t xml:space="preserve">take the meaning given in the GDPR;  </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“Data Protection Legislation”</w:t>
            </w:r>
          </w:p>
        </w:tc>
        <w:tc>
          <w:tcPr>
            <w:tcW w:w="6758" w:type="dxa"/>
            <w:shd w:val="clear" w:color="auto" w:fill="auto"/>
            <w:tcMar>
              <w:top w:w="0" w:type="dxa"/>
              <w:left w:w="108" w:type="dxa"/>
              <w:bottom w:w="0" w:type="dxa"/>
              <w:right w:w="108" w:type="dxa"/>
            </w:tcMar>
          </w:tcPr>
          <w:p w:rsidR="002A3E66" w:rsidRDefault="00062275">
            <w:pPr>
              <w:pStyle w:val="ListParagraph"/>
              <w:numPr>
                <w:ilvl w:val="1"/>
                <w:numId w:val="40"/>
              </w:numPr>
              <w:suppressAutoHyphens w:val="0"/>
              <w:spacing w:after="160" w:line="240" w:lineRule="auto"/>
              <w:jc w:val="both"/>
              <w:textAlignment w:val="auto"/>
            </w:pPr>
            <w:r>
              <w:rPr>
                <w:rFonts w:cs="Calibri"/>
              </w:rPr>
              <w:t xml:space="preserve">the GDPR, the Law Enforcement Directive (Directive EU 2016/680) and any applicable national implementing Laws as amended from time to time; </w:t>
            </w:r>
          </w:p>
          <w:p w:rsidR="002A3E66" w:rsidRDefault="00062275">
            <w:pPr>
              <w:pStyle w:val="ListParagraph"/>
              <w:numPr>
                <w:ilvl w:val="1"/>
                <w:numId w:val="40"/>
              </w:numPr>
              <w:suppressAutoHyphens w:val="0"/>
              <w:spacing w:after="160" w:line="240" w:lineRule="auto"/>
              <w:ind w:left="459" w:hanging="425"/>
              <w:jc w:val="both"/>
              <w:textAlignment w:val="auto"/>
            </w:pPr>
            <w:r>
              <w:rPr>
                <w:rFonts w:cs="Calibri"/>
              </w:rPr>
              <w:lastRenderedPageBreak/>
              <w:t xml:space="preserve">the Data Protection Act 2018 to the extent that it relates to processing of personal data and privacy; </w:t>
            </w:r>
          </w:p>
          <w:p w:rsidR="002A3E66" w:rsidRDefault="00062275">
            <w:pPr>
              <w:pStyle w:val="ListParagraph"/>
              <w:numPr>
                <w:ilvl w:val="1"/>
                <w:numId w:val="40"/>
              </w:numPr>
              <w:suppressAutoHyphens w:val="0"/>
              <w:spacing w:after="160" w:line="240" w:lineRule="auto"/>
              <w:ind w:left="459" w:hanging="425"/>
              <w:jc w:val="both"/>
              <w:textAlignment w:val="auto"/>
            </w:pPr>
            <w:r>
              <w:rPr>
                <w:rFonts w:cs="Calibri"/>
              </w:rPr>
              <w:t>all applicable Law about the processing of personal data and privacy;</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lastRenderedPageBreak/>
              <w:t>“GDPR”</w:t>
            </w:r>
            <w:r>
              <w:rPr>
                <w:rFonts w:cs="Calibri"/>
                <w:b/>
              </w:rPr>
              <w:tab/>
            </w:r>
          </w:p>
        </w:tc>
        <w:tc>
          <w:tcPr>
            <w:tcW w:w="6758" w:type="dxa"/>
            <w:shd w:val="clear" w:color="auto" w:fill="auto"/>
            <w:tcMar>
              <w:top w:w="0" w:type="dxa"/>
              <w:left w:w="108" w:type="dxa"/>
              <w:bottom w:w="0" w:type="dxa"/>
              <w:right w:w="108" w:type="dxa"/>
            </w:tcMar>
          </w:tcPr>
          <w:p w:rsidR="002A3E66" w:rsidRDefault="00062275">
            <w:pPr>
              <w:jc w:val="both"/>
              <w:rPr>
                <w:rFonts w:cs="Calibri"/>
              </w:rPr>
            </w:pPr>
            <w:r>
              <w:rPr>
                <w:rFonts w:cs="Calibri"/>
              </w:rPr>
              <w:t>the General Data Protection Regulation (Regulation (EU) 2016/679);</w:t>
            </w:r>
          </w:p>
        </w:tc>
      </w:tr>
      <w:tr w:rsidR="002A3E66">
        <w:tc>
          <w:tcPr>
            <w:tcW w:w="2160" w:type="dxa"/>
            <w:shd w:val="clear" w:color="auto" w:fill="auto"/>
            <w:tcMar>
              <w:top w:w="0" w:type="dxa"/>
              <w:left w:w="108" w:type="dxa"/>
              <w:bottom w:w="0" w:type="dxa"/>
              <w:right w:w="108" w:type="dxa"/>
            </w:tcMar>
          </w:tcPr>
          <w:p w:rsidR="002A3E66" w:rsidRDefault="00062275">
            <w:r>
              <w:rPr>
                <w:rFonts w:cs="Calibri"/>
                <w:b/>
              </w:rPr>
              <w:t>“Key Subcontractor”</w:t>
            </w:r>
          </w:p>
        </w:tc>
        <w:tc>
          <w:tcPr>
            <w:tcW w:w="6758" w:type="dxa"/>
            <w:shd w:val="clear" w:color="auto" w:fill="auto"/>
            <w:tcMar>
              <w:top w:w="0" w:type="dxa"/>
              <w:left w:w="108" w:type="dxa"/>
              <w:bottom w:w="0" w:type="dxa"/>
              <w:right w:w="108" w:type="dxa"/>
            </w:tcMar>
          </w:tcPr>
          <w:p w:rsidR="002A3E66" w:rsidRDefault="00062275">
            <w:pPr>
              <w:jc w:val="both"/>
              <w:rPr>
                <w:rFonts w:eastAsia="Times New Roman" w:cs="Calibri"/>
              </w:rPr>
            </w:pPr>
            <w:r>
              <w:rPr>
                <w:rFonts w:eastAsia="Times New Roman" w:cs="Calibri"/>
              </w:rPr>
              <w:t>any Subcontractor:</w:t>
            </w:r>
          </w:p>
          <w:p w:rsidR="002A3E66" w:rsidRDefault="00062275">
            <w:pPr>
              <w:pStyle w:val="ListParagraph"/>
              <w:numPr>
                <w:ilvl w:val="0"/>
                <w:numId w:val="43"/>
              </w:numPr>
              <w:suppressAutoHyphens w:val="0"/>
              <w:spacing w:after="160" w:line="240" w:lineRule="auto"/>
              <w:ind w:left="459" w:hanging="425"/>
              <w:jc w:val="both"/>
              <w:textAlignment w:val="auto"/>
              <w:rPr>
                <w:rFonts w:eastAsia="Times New Roman" w:cs="Calibri"/>
              </w:rPr>
            </w:pPr>
            <w:r>
              <w:rPr>
                <w:rFonts w:eastAsia="Times New Roman" w:cs="Calibri"/>
              </w:rPr>
              <w:t>which, in the opinion of the Authority, performs (or would perform if appointed) a critical role in the provision of all or any part of the Services; and/or</w:t>
            </w:r>
          </w:p>
          <w:p w:rsidR="002A3E66" w:rsidRDefault="00062275">
            <w:pPr>
              <w:pStyle w:val="ListParagraph"/>
              <w:numPr>
                <w:ilvl w:val="0"/>
                <w:numId w:val="43"/>
              </w:numPr>
              <w:suppressAutoHyphens w:val="0"/>
              <w:spacing w:after="160" w:line="240" w:lineRule="auto"/>
              <w:ind w:left="459" w:hanging="425"/>
              <w:jc w:val="both"/>
              <w:textAlignment w:val="auto"/>
              <w:rPr>
                <w:rFonts w:eastAsia="Times New Roman" w:cs="Calibri"/>
              </w:rPr>
            </w:pPr>
            <w:r>
              <w:rPr>
                <w:rFonts w:eastAsia="Times New Roman" w:cs="Calibri"/>
              </w:rPr>
              <w:t>with a Subcontract with a contract value which at the time of appointment exceeds (or would exceed if appointed) ten per cent (10%) of the aggregate Charges forecast to be payable under this Call-Off Contract;</w:t>
            </w:r>
          </w:p>
        </w:tc>
      </w:tr>
      <w:tr w:rsidR="002A3E66">
        <w:tc>
          <w:tcPr>
            <w:tcW w:w="2160" w:type="dxa"/>
            <w:shd w:val="clear" w:color="auto" w:fill="auto"/>
            <w:tcMar>
              <w:top w:w="0" w:type="dxa"/>
              <w:left w:w="108" w:type="dxa"/>
              <w:bottom w:w="0" w:type="dxa"/>
              <w:right w:w="108" w:type="dxa"/>
            </w:tcMar>
          </w:tcPr>
          <w:p w:rsidR="002A3E66" w:rsidRDefault="00062275">
            <w:r>
              <w:rPr>
                <w:rFonts w:cs="Calibri"/>
                <w:b/>
              </w:rPr>
              <w:t>“Law”</w:t>
            </w:r>
          </w:p>
        </w:tc>
        <w:tc>
          <w:tcPr>
            <w:tcW w:w="6758" w:type="dxa"/>
            <w:shd w:val="clear" w:color="auto" w:fill="auto"/>
            <w:tcMar>
              <w:top w:w="0" w:type="dxa"/>
              <w:left w:w="108" w:type="dxa"/>
              <w:bottom w:w="0" w:type="dxa"/>
              <w:right w:w="108" w:type="dxa"/>
            </w:tcMar>
          </w:tcPr>
          <w:p w:rsidR="002A3E66" w:rsidRDefault="00062275">
            <w:r>
              <w:rPr>
                <w:rStyle w:val="normaltextrun1"/>
                <w:rFonts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2A3E66">
        <w:tc>
          <w:tcPr>
            <w:tcW w:w="2160" w:type="dxa"/>
            <w:shd w:val="clear" w:color="auto" w:fill="auto"/>
            <w:tcMar>
              <w:top w:w="0" w:type="dxa"/>
              <w:left w:w="108" w:type="dxa"/>
              <w:bottom w:w="0" w:type="dxa"/>
              <w:right w:w="108" w:type="dxa"/>
            </w:tcMar>
          </w:tcPr>
          <w:p w:rsidR="002A3E66" w:rsidRDefault="00062275">
            <w:r>
              <w:rPr>
                <w:rFonts w:cs="Calibri"/>
                <w:b/>
              </w:rPr>
              <w:t>“Personal Data”</w:t>
            </w:r>
          </w:p>
        </w:tc>
        <w:tc>
          <w:tcPr>
            <w:tcW w:w="6758" w:type="dxa"/>
            <w:shd w:val="clear" w:color="auto" w:fill="auto"/>
            <w:tcMar>
              <w:top w:w="0" w:type="dxa"/>
              <w:left w:w="108" w:type="dxa"/>
              <w:bottom w:w="0" w:type="dxa"/>
              <w:right w:w="108" w:type="dxa"/>
            </w:tcMar>
          </w:tcPr>
          <w:p w:rsidR="002A3E66" w:rsidRDefault="00062275">
            <w:pPr>
              <w:rPr>
                <w:rFonts w:cs="Calibri"/>
              </w:rPr>
            </w:pPr>
            <w:r>
              <w:rPr>
                <w:rFonts w:cs="Calibri"/>
              </w:rPr>
              <w:t xml:space="preserve">has the meaning given in the GDPR; </w:t>
            </w:r>
          </w:p>
        </w:tc>
      </w:tr>
      <w:tr w:rsidR="002A3E66">
        <w:tc>
          <w:tcPr>
            <w:tcW w:w="2160" w:type="dxa"/>
            <w:shd w:val="clear" w:color="auto" w:fill="auto"/>
            <w:tcMar>
              <w:top w:w="0" w:type="dxa"/>
              <w:left w:w="108" w:type="dxa"/>
              <w:bottom w:w="0" w:type="dxa"/>
              <w:right w:w="108" w:type="dxa"/>
            </w:tcMar>
          </w:tcPr>
          <w:p w:rsidR="002A3E66" w:rsidRDefault="00062275">
            <w:r>
              <w:rPr>
                <w:rFonts w:ascii="Calibri" w:eastAsia="Times New Roman" w:hAnsi="Calibri" w:cs="Calibri"/>
                <w:b/>
                <w:bCs/>
              </w:rPr>
              <w:t>“Purchase Order Number”</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rsidR="002A3E66" w:rsidRDefault="00062275">
            <w:r>
              <w:rPr>
                <w:rFonts w:ascii="Calibri" w:eastAsia="Times New Roman" w:hAnsi="Calibri" w:cs="Calibri"/>
              </w:rPr>
              <w:t>the Authority’s unique number relating to the supply of the Services;  </w:t>
            </w:r>
          </w:p>
        </w:tc>
      </w:tr>
      <w:tr w:rsidR="002A3E66">
        <w:tc>
          <w:tcPr>
            <w:tcW w:w="2160" w:type="dxa"/>
            <w:shd w:val="clear" w:color="auto" w:fill="auto"/>
            <w:tcMar>
              <w:top w:w="0" w:type="dxa"/>
              <w:left w:w="108" w:type="dxa"/>
              <w:bottom w:w="0" w:type="dxa"/>
              <w:right w:w="108" w:type="dxa"/>
            </w:tcMar>
          </w:tcPr>
          <w:p w:rsidR="002A3E66" w:rsidRDefault="00062275">
            <w:r>
              <w:rPr>
                <w:rFonts w:ascii="Calibri" w:eastAsia="Times New Roman" w:hAnsi="Calibri" w:cs="Calibri"/>
                <w:b/>
                <w:bCs/>
              </w:rPr>
              <w:t>“Services”</w:t>
            </w:r>
            <w:r>
              <w:rPr>
                <w:rFonts w:ascii="Calibri" w:eastAsia="Times New Roman" w:hAnsi="Calibri" w:cs="Calibri"/>
              </w:rPr>
              <w:t> </w:t>
            </w:r>
          </w:p>
        </w:tc>
        <w:tc>
          <w:tcPr>
            <w:tcW w:w="6758" w:type="dxa"/>
            <w:shd w:val="clear" w:color="auto" w:fill="auto"/>
            <w:tcMar>
              <w:top w:w="0" w:type="dxa"/>
              <w:left w:w="108" w:type="dxa"/>
              <w:bottom w:w="0" w:type="dxa"/>
              <w:right w:w="108" w:type="dxa"/>
            </w:tcMar>
          </w:tcPr>
          <w:p w:rsidR="002A3E66" w:rsidRDefault="00062275">
            <w:r>
              <w:rPr>
                <w:rFonts w:ascii="Calibri" w:eastAsia="Times New Roman" w:hAnsi="Calibri" w:cs="Calibri"/>
              </w:rPr>
              <w:t>the services to be supplied by the Supplier to the Authority under the Agreement, including the provision of any Goods;</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“Subcontract”</w:t>
            </w:r>
          </w:p>
        </w:tc>
        <w:tc>
          <w:tcPr>
            <w:tcW w:w="6758" w:type="dxa"/>
            <w:shd w:val="clear" w:color="auto" w:fill="auto"/>
            <w:tcMar>
              <w:top w:w="0" w:type="dxa"/>
              <w:left w:w="108" w:type="dxa"/>
              <w:bottom w:w="0" w:type="dxa"/>
              <w:right w:w="108" w:type="dxa"/>
            </w:tcMar>
          </w:tcPr>
          <w:p w:rsidR="002A3E66" w:rsidRDefault="00062275">
            <w:pPr>
              <w:rPr>
                <w:rFonts w:cs="Calibri"/>
              </w:rPr>
            </w:pPr>
            <w:r>
              <w:rPr>
                <w:rFonts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A3E66">
        <w:tc>
          <w:tcPr>
            <w:tcW w:w="2160" w:type="dxa"/>
            <w:shd w:val="clear" w:color="auto" w:fill="auto"/>
            <w:tcMar>
              <w:top w:w="0" w:type="dxa"/>
              <w:left w:w="108" w:type="dxa"/>
              <w:bottom w:w="0" w:type="dxa"/>
              <w:right w:w="108" w:type="dxa"/>
            </w:tcMar>
          </w:tcPr>
          <w:p w:rsidR="002A3E66" w:rsidRDefault="00062275">
            <w:r>
              <w:rPr>
                <w:rFonts w:cs="Calibri"/>
                <w:b/>
              </w:rPr>
              <w:t>“</w:t>
            </w:r>
            <w:r>
              <w:rPr>
                <w:rFonts w:cs="Calibri"/>
                <w:b/>
                <w:spacing w:val="-2"/>
              </w:rPr>
              <w:t>Subcontractor</w:t>
            </w:r>
            <w:r>
              <w:rPr>
                <w:rFonts w:cs="Calibri"/>
                <w:b/>
              </w:rPr>
              <w:t>”</w:t>
            </w:r>
          </w:p>
        </w:tc>
        <w:tc>
          <w:tcPr>
            <w:tcW w:w="6758" w:type="dxa"/>
            <w:shd w:val="clear" w:color="auto" w:fill="auto"/>
            <w:tcMar>
              <w:top w:w="0" w:type="dxa"/>
              <w:left w:w="108" w:type="dxa"/>
              <w:bottom w:w="0" w:type="dxa"/>
              <w:right w:w="108" w:type="dxa"/>
            </w:tcMar>
          </w:tcPr>
          <w:p w:rsidR="002A3E66" w:rsidRDefault="00062275">
            <w:pPr>
              <w:widowControl w:val="0"/>
              <w:spacing w:before="120" w:after="120"/>
              <w:rPr>
                <w:rFonts w:cs="Calibri"/>
              </w:rPr>
            </w:pPr>
            <w:r>
              <w:rPr>
                <w:rFonts w:cs="Calibri"/>
              </w:rPr>
              <w:t>any third party with whom:</w:t>
            </w:r>
          </w:p>
          <w:p w:rsidR="002A3E66" w:rsidRDefault="00062275">
            <w:pPr>
              <w:numPr>
                <w:ilvl w:val="0"/>
                <w:numId w:val="44"/>
              </w:numPr>
              <w:tabs>
                <w:tab w:val="left" w:pos="-75"/>
              </w:tabs>
              <w:suppressAutoHyphens w:val="0"/>
              <w:spacing w:before="120" w:after="120" w:line="240" w:lineRule="auto"/>
              <w:ind w:left="507" w:hanging="507"/>
              <w:jc w:val="both"/>
              <w:textAlignment w:val="auto"/>
              <w:rPr>
                <w:rFonts w:cs="Calibri"/>
              </w:rPr>
            </w:pPr>
            <w:r>
              <w:rPr>
                <w:rFonts w:cs="Calibri"/>
              </w:rPr>
              <w:t xml:space="preserve">the Supplier </w:t>
            </w:r>
            <w:proofErr w:type="gramStart"/>
            <w:r>
              <w:rPr>
                <w:rFonts w:cs="Calibri"/>
              </w:rPr>
              <w:t>enters into</w:t>
            </w:r>
            <w:proofErr w:type="gramEnd"/>
            <w:r>
              <w:rPr>
                <w:rFonts w:cs="Calibri"/>
              </w:rPr>
              <w:t xml:space="preserve"> a Subcontract; or </w:t>
            </w:r>
          </w:p>
          <w:p w:rsidR="002A3E66" w:rsidRDefault="00062275">
            <w:pPr>
              <w:numPr>
                <w:ilvl w:val="0"/>
                <w:numId w:val="44"/>
              </w:numPr>
              <w:tabs>
                <w:tab w:val="left" w:pos="-75"/>
              </w:tabs>
              <w:suppressAutoHyphens w:val="0"/>
              <w:spacing w:before="120" w:after="120" w:line="240" w:lineRule="auto"/>
              <w:ind w:left="507" w:hanging="507"/>
              <w:jc w:val="both"/>
              <w:textAlignment w:val="auto"/>
              <w:rPr>
                <w:rFonts w:cs="Calibri"/>
              </w:rPr>
            </w:pPr>
            <w:r>
              <w:rPr>
                <w:rFonts w:cs="Calibri"/>
              </w:rPr>
              <w:t xml:space="preserve">a third party under (a) above </w:t>
            </w:r>
            <w:proofErr w:type="gramStart"/>
            <w:r>
              <w:rPr>
                <w:rFonts w:cs="Calibri"/>
              </w:rPr>
              <w:t>enters into</w:t>
            </w:r>
            <w:proofErr w:type="gramEnd"/>
            <w:r>
              <w:rPr>
                <w:rFonts w:cs="Calibri"/>
              </w:rPr>
              <w:t xml:space="preserve"> a Subcontract,</w:t>
            </w:r>
          </w:p>
          <w:p w:rsidR="002A3E66" w:rsidRDefault="00062275">
            <w:pPr>
              <w:widowControl w:val="0"/>
              <w:spacing w:before="120" w:after="120"/>
              <w:ind w:left="-15"/>
              <w:outlineLvl w:val="2"/>
              <w:rPr>
                <w:rFonts w:cs="Calibri"/>
                <w:bCs/>
                <w:spacing w:val="-2"/>
              </w:rPr>
            </w:pPr>
            <w:r>
              <w:rPr>
                <w:rFonts w:cs="Calibri"/>
                <w:bCs/>
                <w:spacing w:val="-2"/>
              </w:rPr>
              <w:t>or the servants or agents of that third party;</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“Supplier Personnel”</w:t>
            </w:r>
          </w:p>
        </w:tc>
        <w:tc>
          <w:tcPr>
            <w:tcW w:w="6758" w:type="dxa"/>
            <w:shd w:val="clear" w:color="auto" w:fill="auto"/>
            <w:tcMar>
              <w:top w:w="0" w:type="dxa"/>
              <w:left w:w="108" w:type="dxa"/>
              <w:bottom w:w="0" w:type="dxa"/>
              <w:right w:w="108" w:type="dxa"/>
            </w:tcMar>
          </w:tcPr>
          <w:p w:rsidR="002A3E66" w:rsidRDefault="00062275">
            <w:r>
              <w:rPr>
                <w:rStyle w:val="normaltextrun1"/>
                <w:rFonts w:cs="Calibri"/>
              </w:rPr>
              <w:t>all directors, officers, employees, agents, consultants and contractors of the Supplier and/or of any Subcontractor of the Supplier engaged in the performance of the Supplier’s obligations under the Agreement; </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“Supporting Documentation”</w:t>
            </w:r>
          </w:p>
        </w:tc>
        <w:tc>
          <w:tcPr>
            <w:tcW w:w="6758" w:type="dxa"/>
            <w:shd w:val="clear" w:color="auto" w:fill="auto"/>
            <w:tcMar>
              <w:top w:w="0" w:type="dxa"/>
              <w:left w:w="108" w:type="dxa"/>
              <w:bottom w:w="0" w:type="dxa"/>
              <w:right w:w="108" w:type="dxa"/>
            </w:tcMar>
          </w:tcPr>
          <w:p w:rsidR="002A3E66" w:rsidRDefault="00062275">
            <w:proofErr w:type="gramStart"/>
            <w:r>
              <w:rPr>
                <w:color w:val="000000"/>
              </w:rPr>
              <w:t>sufficient</w:t>
            </w:r>
            <w:proofErr w:type="gramEnd"/>
            <w:r>
              <w:rPr>
                <w:color w:val="000000"/>
              </w:rPr>
              <w:t xml:space="preserve"> information in writing to enable the Authority to reasonably verify the accuracy of any invoice; </w:t>
            </w:r>
          </w:p>
        </w:tc>
      </w:tr>
      <w:tr w:rsidR="002A3E66">
        <w:tc>
          <w:tcPr>
            <w:tcW w:w="2160" w:type="dxa"/>
            <w:shd w:val="clear" w:color="auto" w:fill="auto"/>
            <w:tcMar>
              <w:top w:w="0" w:type="dxa"/>
              <w:left w:w="108" w:type="dxa"/>
              <w:bottom w:w="0" w:type="dxa"/>
              <w:right w:w="108" w:type="dxa"/>
            </w:tcMar>
          </w:tcPr>
          <w:p w:rsidR="002A3E66" w:rsidRDefault="00062275">
            <w:pPr>
              <w:rPr>
                <w:rFonts w:cs="Calibri"/>
                <w:b/>
              </w:rPr>
            </w:pPr>
            <w:r>
              <w:rPr>
                <w:rFonts w:cs="Calibri"/>
                <w:b/>
              </w:rPr>
              <w:t>“Tax”</w:t>
            </w:r>
          </w:p>
        </w:tc>
        <w:tc>
          <w:tcPr>
            <w:tcW w:w="6758" w:type="dxa"/>
            <w:shd w:val="clear" w:color="auto" w:fill="auto"/>
            <w:tcMar>
              <w:top w:w="0" w:type="dxa"/>
              <w:left w:w="108" w:type="dxa"/>
              <w:bottom w:w="0" w:type="dxa"/>
              <w:right w:w="108" w:type="dxa"/>
            </w:tcMar>
          </w:tcPr>
          <w:p w:rsidR="002A3E66" w:rsidRDefault="00062275">
            <w:pPr>
              <w:numPr>
                <w:ilvl w:val="0"/>
                <w:numId w:val="45"/>
              </w:numPr>
              <w:tabs>
                <w:tab w:val="left" w:pos="-3531"/>
              </w:tabs>
              <w:suppressAutoHyphens w:val="0"/>
              <w:spacing w:before="120" w:after="120" w:line="240" w:lineRule="auto"/>
              <w:jc w:val="both"/>
              <w:textAlignment w:val="auto"/>
              <w:rPr>
                <w:rFonts w:cs="Calibri"/>
                <w:spacing w:val="-2"/>
              </w:rPr>
            </w:pPr>
            <w:r>
              <w:rPr>
                <w:rFonts w:cs="Calibri"/>
                <w:spacing w:val="-2"/>
              </w:rPr>
              <w:t>all forms of tax whether direct or indirect;</w:t>
            </w:r>
          </w:p>
          <w:p w:rsidR="002A3E66" w:rsidRDefault="00062275">
            <w:pPr>
              <w:numPr>
                <w:ilvl w:val="0"/>
                <w:numId w:val="45"/>
              </w:numPr>
              <w:tabs>
                <w:tab w:val="left" w:pos="-3531"/>
              </w:tabs>
              <w:suppressAutoHyphens w:val="0"/>
              <w:spacing w:before="120" w:after="120" w:line="240" w:lineRule="auto"/>
              <w:jc w:val="both"/>
              <w:textAlignment w:val="auto"/>
              <w:rPr>
                <w:rFonts w:cs="Calibri"/>
                <w:spacing w:val="-2"/>
              </w:rPr>
            </w:pPr>
            <w:r>
              <w:rPr>
                <w:rFonts w:cs="Calibri"/>
                <w:spacing w:val="-2"/>
              </w:rPr>
              <w:t>national insurance contributions in the United Kingdom and similar contributions or obligations in any other jurisdiction;</w:t>
            </w:r>
          </w:p>
          <w:p w:rsidR="002A3E66" w:rsidRDefault="00062275">
            <w:pPr>
              <w:numPr>
                <w:ilvl w:val="0"/>
                <w:numId w:val="45"/>
              </w:numPr>
              <w:tabs>
                <w:tab w:val="left" w:pos="-3531"/>
              </w:tabs>
              <w:suppressAutoHyphens w:val="0"/>
              <w:spacing w:before="120" w:after="120" w:line="240" w:lineRule="auto"/>
              <w:jc w:val="both"/>
              <w:textAlignment w:val="auto"/>
              <w:rPr>
                <w:rFonts w:cs="Calibri"/>
                <w:spacing w:val="-2"/>
              </w:rPr>
            </w:pPr>
            <w:r>
              <w:rPr>
                <w:rFonts w:cs="Calibri"/>
                <w:spacing w:val="-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rsidR="002A3E66" w:rsidRDefault="00062275">
            <w:pPr>
              <w:numPr>
                <w:ilvl w:val="0"/>
                <w:numId w:val="45"/>
              </w:numPr>
              <w:tabs>
                <w:tab w:val="left" w:pos="-3531"/>
              </w:tabs>
              <w:suppressAutoHyphens w:val="0"/>
              <w:spacing w:before="120" w:after="120" w:line="240" w:lineRule="auto"/>
              <w:jc w:val="both"/>
              <w:textAlignment w:val="auto"/>
              <w:rPr>
                <w:rFonts w:cs="Calibri"/>
                <w:spacing w:val="-2"/>
              </w:rPr>
            </w:pPr>
            <w:r>
              <w:rPr>
                <w:rFonts w:cs="Calibri"/>
                <w:spacing w:val="-2"/>
              </w:rPr>
              <w:t>any penalty, fine, surcharge, interest, charges or costs relating to any of the above,</w:t>
            </w:r>
          </w:p>
          <w:p w:rsidR="002A3E66" w:rsidRDefault="00062275">
            <w:r>
              <w:rPr>
                <w:rFonts w:cs="Calibri"/>
                <w:spacing w:val="-2"/>
              </w:rPr>
              <w:t>in each case wherever chargeable and whether of the United Kingdom and any other jurisdiction;</w:t>
            </w:r>
          </w:p>
        </w:tc>
      </w:tr>
      <w:tr w:rsidR="002A3E66">
        <w:tc>
          <w:tcPr>
            <w:tcW w:w="2160" w:type="dxa"/>
            <w:shd w:val="clear" w:color="auto" w:fill="auto"/>
            <w:tcMar>
              <w:top w:w="0" w:type="dxa"/>
              <w:left w:w="108" w:type="dxa"/>
              <w:bottom w:w="0" w:type="dxa"/>
              <w:right w:w="108" w:type="dxa"/>
            </w:tcMar>
          </w:tcPr>
          <w:p w:rsidR="002A3E66" w:rsidRDefault="00062275">
            <w:pPr>
              <w:spacing w:before="120" w:after="120"/>
              <w:rPr>
                <w:rFonts w:cs="Calibri"/>
                <w:b/>
              </w:rPr>
            </w:pPr>
            <w:r>
              <w:rPr>
                <w:rFonts w:cs="Calibri"/>
                <w:b/>
              </w:rPr>
              <w:lastRenderedPageBreak/>
              <w:t>“Tax Non-Compliance”</w:t>
            </w:r>
          </w:p>
          <w:p w:rsidR="002A3E66" w:rsidRDefault="002A3E66">
            <w:pPr>
              <w:rPr>
                <w:rFonts w:cs="Calibri"/>
                <w:b/>
              </w:rPr>
            </w:pPr>
          </w:p>
        </w:tc>
        <w:tc>
          <w:tcPr>
            <w:tcW w:w="6758" w:type="dxa"/>
            <w:shd w:val="clear" w:color="auto" w:fill="auto"/>
            <w:tcMar>
              <w:top w:w="0" w:type="dxa"/>
              <w:left w:w="108" w:type="dxa"/>
              <w:bottom w:w="0" w:type="dxa"/>
              <w:right w:w="108" w:type="dxa"/>
            </w:tcMar>
          </w:tcPr>
          <w:p w:rsidR="002A3E66" w:rsidRDefault="00062275">
            <w:pPr>
              <w:tabs>
                <w:tab w:val="left" w:pos="-75"/>
              </w:tabs>
              <w:spacing w:before="120" w:after="120"/>
              <w:jc w:val="both"/>
              <w:rPr>
                <w:rFonts w:cs="Calibri"/>
                <w:spacing w:val="-2"/>
              </w:rPr>
            </w:pPr>
            <w:r>
              <w:rPr>
                <w:rFonts w:cs="Calibri"/>
                <w:spacing w:val="-2"/>
              </w:rPr>
              <w:t>where an entity or person under consideration meets all 3 conditions contained in the relevant excerpt from HMRC’s “Test for Tax Non-Compliance”, as set out in Annex 1, where:</w:t>
            </w:r>
          </w:p>
          <w:p w:rsidR="002A3E66" w:rsidRDefault="00062275">
            <w:pPr>
              <w:pStyle w:val="ListParagraph"/>
              <w:numPr>
                <w:ilvl w:val="0"/>
                <w:numId w:val="46"/>
              </w:numPr>
              <w:tabs>
                <w:tab w:val="left" w:pos="2445"/>
              </w:tabs>
              <w:suppressAutoHyphens w:val="0"/>
              <w:spacing w:before="120" w:after="120" w:line="240" w:lineRule="auto"/>
              <w:jc w:val="both"/>
              <w:textAlignment w:val="auto"/>
            </w:pPr>
            <w:r>
              <w:rPr>
                <w:rFonts w:cs="Calibri"/>
                <w:spacing w:val="-2"/>
              </w:rPr>
              <w:t xml:space="preserve">the “Economic Operator” means the Supplier </w:t>
            </w:r>
            <w:r>
              <w:rPr>
                <w:spacing w:val="-2"/>
              </w:rPr>
              <w:t>or</w:t>
            </w:r>
            <w:r>
              <w:t xml:space="preserve"> any agent, supplier or Subcontractor of the Supplier requested to be replaced pursuant to Clause 4.3</w:t>
            </w:r>
            <w:r>
              <w:rPr>
                <w:rFonts w:cs="Calibri"/>
                <w:spacing w:val="-2"/>
              </w:rPr>
              <w:t xml:space="preserve">; and </w:t>
            </w:r>
          </w:p>
          <w:p w:rsidR="002A3E66" w:rsidRDefault="00062275">
            <w:pPr>
              <w:pStyle w:val="ListParagraph"/>
              <w:numPr>
                <w:ilvl w:val="0"/>
                <w:numId w:val="46"/>
              </w:numPr>
              <w:suppressAutoHyphens w:val="0"/>
              <w:spacing w:after="160" w:line="240" w:lineRule="auto"/>
              <w:textAlignment w:val="auto"/>
            </w:pPr>
            <w:r>
              <w:rPr>
                <w:rFonts w:cs="Calibri"/>
                <w:spacing w:val="-2"/>
              </w:rPr>
              <w:t>any “Essential Subcontractor” means any Key Subcontractor;</w:t>
            </w:r>
          </w:p>
        </w:tc>
      </w:tr>
      <w:tr w:rsidR="002A3E66">
        <w:tc>
          <w:tcPr>
            <w:tcW w:w="2160" w:type="dxa"/>
            <w:shd w:val="clear" w:color="auto" w:fill="auto"/>
            <w:tcMar>
              <w:top w:w="0" w:type="dxa"/>
              <w:left w:w="108" w:type="dxa"/>
              <w:bottom w:w="0" w:type="dxa"/>
              <w:right w:w="108" w:type="dxa"/>
            </w:tcMar>
          </w:tcPr>
          <w:p w:rsidR="002A3E66" w:rsidRDefault="00062275">
            <w:pPr>
              <w:spacing w:before="120" w:after="120"/>
              <w:rPr>
                <w:rFonts w:cs="Calibri"/>
                <w:b/>
              </w:rPr>
            </w:pPr>
            <w:r>
              <w:rPr>
                <w:rFonts w:cs="Calibri"/>
                <w:b/>
              </w:rPr>
              <w:t>“VAT”</w:t>
            </w:r>
          </w:p>
        </w:tc>
        <w:tc>
          <w:tcPr>
            <w:tcW w:w="6758" w:type="dxa"/>
            <w:shd w:val="clear" w:color="auto" w:fill="auto"/>
            <w:tcMar>
              <w:top w:w="0" w:type="dxa"/>
              <w:left w:w="108" w:type="dxa"/>
              <w:bottom w:w="0" w:type="dxa"/>
              <w:right w:w="108" w:type="dxa"/>
            </w:tcMar>
          </w:tcPr>
          <w:p w:rsidR="002A3E66" w:rsidRDefault="00062275">
            <w:pPr>
              <w:tabs>
                <w:tab w:val="left" w:pos="-75"/>
              </w:tabs>
              <w:spacing w:before="120" w:after="120"/>
              <w:jc w:val="both"/>
            </w:pPr>
            <w:r>
              <w:rPr>
                <w:rFonts w:cs="Calibri"/>
              </w:rPr>
              <w:t>value added tax as provided for in the Value Added Tax Act 1994.</w:t>
            </w:r>
          </w:p>
        </w:tc>
      </w:tr>
    </w:tbl>
    <w:p w:rsidR="002A3E66" w:rsidRDefault="002A3E66">
      <w:pPr>
        <w:rPr>
          <w:rFonts w:cs="Calibri"/>
          <w:b/>
        </w:rPr>
      </w:pPr>
    </w:p>
    <w:p w:rsidR="002A3E66" w:rsidRDefault="00062275">
      <w:pPr>
        <w:pStyle w:val="ListParagraph"/>
        <w:numPr>
          <w:ilvl w:val="0"/>
          <w:numId w:val="41"/>
        </w:numPr>
        <w:suppressAutoHyphens w:val="0"/>
        <w:spacing w:line="240" w:lineRule="auto"/>
        <w:ind w:left="426" w:hanging="426"/>
      </w:pPr>
      <w:bookmarkStart w:id="13" w:name="_Ref22568790"/>
      <w:r>
        <w:rPr>
          <w:rFonts w:ascii="Calibri" w:eastAsia="Times New Roman" w:hAnsi="Calibri" w:cs="Calibri"/>
          <w:b/>
          <w:bCs/>
        </w:rPr>
        <w:t>Payment and Recovery of Sums Due</w:t>
      </w:r>
      <w:bookmarkEnd w:id="13"/>
      <w:r>
        <w:rPr>
          <w:rFonts w:ascii="Calibri" w:eastAsia="Times New Roman" w:hAnsi="Calibri" w:cs="Calibri"/>
        </w:rPr>
        <w:t> </w:t>
      </w:r>
    </w:p>
    <w:p w:rsidR="002A3E66" w:rsidRDefault="00062275">
      <w:pPr>
        <w:pStyle w:val="Heading2"/>
        <w:keepNext w:val="0"/>
        <w:keepLines w:val="0"/>
        <w:numPr>
          <w:ilvl w:val="1"/>
          <w:numId w:val="41"/>
        </w:numPr>
        <w:suppressAutoHyphens w:val="0"/>
        <w:spacing w:before="0" w:after="0" w:line="240" w:lineRule="auto"/>
        <w:ind w:left="426" w:hanging="426"/>
        <w:jc w:val="both"/>
        <w:textAlignment w:val="auto"/>
      </w:pPr>
      <w:r>
        <w:rPr>
          <w:rFonts w:ascii="Calibri" w:eastAsia="Times New Roman" w:hAnsi="Calibri" w:cs="Calibri"/>
          <w:sz w:val="22"/>
          <w:szCs w:val="22"/>
        </w:rPr>
        <w:t xml:space="preserve">The Supplier shall invoice the Authority as specified in the Agreement. </w:t>
      </w:r>
      <w:bookmarkStart w:id="14" w:name="_Ref449355781"/>
      <w:r>
        <w:rPr>
          <w:rFonts w:ascii="Calibri" w:hAnsi="Calibri"/>
          <w:sz w:val="22"/>
          <w:szCs w:val="22"/>
        </w:rPr>
        <w:t xml:space="preserve">Without prejudice to the generality of the invoicing procedure specified in the Agreement, the Supplier </w:t>
      </w:r>
      <w:bookmarkEnd w:id="14"/>
      <w:r>
        <w:rPr>
          <w:rFonts w:ascii="Calibri" w:hAnsi="Calibri"/>
          <w:sz w:val="22"/>
          <w:szCs w:val="22"/>
        </w:rPr>
        <w:t xml:space="preserve">shall procure a Purchase Order Number from the Authority prior to the commencement of any Services and the Supplier acknowledges and agrees that should it commence Services without a Purchase Order Number: </w:t>
      </w:r>
    </w:p>
    <w:p w:rsidR="002A3E66" w:rsidRDefault="00062275">
      <w:pPr>
        <w:pStyle w:val="Heading3"/>
        <w:keepNext w:val="0"/>
        <w:keepLines w:val="0"/>
        <w:widowControl w:val="0"/>
        <w:numPr>
          <w:ilvl w:val="2"/>
          <w:numId w:val="41"/>
        </w:numPr>
        <w:suppressAutoHyphens w:val="0"/>
        <w:spacing w:before="0" w:after="0" w:line="240" w:lineRule="auto"/>
        <w:ind w:left="1134" w:hanging="708"/>
        <w:jc w:val="both"/>
        <w:textAlignment w:val="auto"/>
        <w:rPr>
          <w:rFonts w:ascii="Calibri" w:hAnsi="Calibri"/>
          <w:color w:val="auto"/>
          <w:sz w:val="22"/>
          <w:szCs w:val="22"/>
        </w:rPr>
      </w:pPr>
      <w:r>
        <w:rPr>
          <w:rFonts w:ascii="Calibri" w:hAnsi="Calibri"/>
          <w:color w:val="auto"/>
          <w:sz w:val="22"/>
          <w:szCs w:val="22"/>
        </w:rPr>
        <w:t>the Supplier does so at its own risk; and</w:t>
      </w:r>
    </w:p>
    <w:p w:rsidR="002A3E66" w:rsidRDefault="00062275">
      <w:pPr>
        <w:pStyle w:val="Heading3"/>
        <w:keepNext w:val="0"/>
        <w:keepLines w:val="0"/>
        <w:widowControl w:val="0"/>
        <w:numPr>
          <w:ilvl w:val="2"/>
          <w:numId w:val="41"/>
        </w:numPr>
        <w:suppressAutoHyphens w:val="0"/>
        <w:spacing w:before="0" w:after="0" w:line="240" w:lineRule="auto"/>
        <w:ind w:left="1134" w:hanging="708"/>
        <w:jc w:val="both"/>
        <w:textAlignment w:val="auto"/>
        <w:rPr>
          <w:rFonts w:ascii="Calibri" w:hAnsi="Calibri"/>
          <w:color w:val="auto"/>
          <w:sz w:val="22"/>
          <w:szCs w:val="22"/>
        </w:rPr>
      </w:pPr>
      <w:r>
        <w:rPr>
          <w:rFonts w:ascii="Calibri" w:hAnsi="Calibri"/>
          <w:color w:val="auto"/>
          <w:sz w:val="22"/>
          <w:szCs w:val="22"/>
        </w:rPr>
        <w:t>the Authority shall not be obliged to pay any invoice without a valid Purchase Order Number having been provided to the Supplier.</w:t>
      </w:r>
    </w:p>
    <w:p w:rsidR="002A3E66" w:rsidRDefault="00062275">
      <w:pPr>
        <w:pStyle w:val="ListParagraph"/>
        <w:numPr>
          <w:ilvl w:val="1"/>
          <w:numId w:val="41"/>
        </w:numPr>
        <w:suppressAutoHyphens w:val="0"/>
        <w:spacing w:line="240" w:lineRule="auto"/>
        <w:ind w:left="426" w:hanging="426"/>
      </w:pPr>
      <w:r>
        <w:rPr>
          <w:rFonts w:ascii="Calibri" w:eastAsia="Times New Roman" w:hAnsi="Calibri" w:cs="Calibri"/>
        </w:rPr>
        <w:t xml:space="preserve">Each invoice and any Supporting Documentation required to be submitted in accordance with </w:t>
      </w:r>
      <w:r>
        <w:t>the invoicing procedure specified in the Agreement</w:t>
      </w:r>
      <w:r>
        <w:rPr>
          <w:rFonts w:ascii="Calibri" w:eastAsia="Times New Roman" w:hAnsi="Calibri" w:cs="Calibri"/>
        </w:rPr>
        <w:t xml:space="preserve"> shall be submitted by the Supplier, as directed by the Authority from time to time via the Authority’s electronic transaction system.</w:t>
      </w:r>
    </w:p>
    <w:p w:rsidR="002A3E66" w:rsidRDefault="00062275">
      <w:pPr>
        <w:pStyle w:val="ListParagraph"/>
        <w:numPr>
          <w:ilvl w:val="1"/>
          <w:numId w:val="41"/>
        </w:numPr>
        <w:suppressAutoHyphens w:val="0"/>
        <w:spacing w:line="240" w:lineRule="auto"/>
        <w:ind w:left="426" w:hanging="426"/>
      </w:pPr>
      <w:r>
        <w:rPr>
          <w:rFonts w:ascii="Calibri" w:eastAsia="Times New Roman"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rsidR="002A3E66" w:rsidRDefault="002A3E66">
      <w:pPr>
        <w:pStyle w:val="ListParagraph"/>
        <w:spacing w:line="240" w:lineRule="auto"/>
        <w:ind w:left="1287"/>
        <w:rPr>
          <w:rFonts w:ascii="Calibri" w:eastAsia="Times New Roman" w:hAnsi="Calibri" w:cs="Calibri"/>
        </w:rPr>
      </w:pPr>
    </w:p>
    <w:p w:rsidR="002A3E66" w:rsidRDefault="002A3E66">
      <w:pPr>
        <w:pStyle w:val="ListParagraph"/>
        <w:spacing w:line="240" w:lineRule="auto"/>
        <w:ind w:left="1287"/>
        <w:rPr>
          <w:rFonts w:ascii="&amp;quot" w:eastAsia="Times New Roman" w:hAnsi="&amp;quot" w:cs="Times New Roman"/>
          <w:sz w:val="18"/>
          <w:szCs w:val="18"/>
        </w:rPr>
      </w:pPr>
    </w:p>
    <w:p w:rsidR="002A3E66" w:rsidRDefault="002A3E66">
      <w:pPr>
        <w:pStyle w:val="ListParagraph"/>
        <w:spacing w:line="240" w:lineRule="auto"/>
        <w:ind w:left="360"/>
        <w:rPr>
          <w:rFonts w:ascii="&amp;quot" w:eastAsia="Times New Roman" w:hAnsi="&amp;quot" w:cs="Times New Roman"/>
          <w:sz w:val="18"/>
          <w:szCs w:val="18"/>
        </w:rPr>
      </w:pPr>
    </w:p>
    <w:p w:rsidR="002A3E66" w:rsidRDefault="00062275">
      <w:pPr>
        <w:pStyle w:val="ListParagraph"/>
        <w:numPr>
          <w:ilvl w:val="0"/>
          <w:numId w:val="41"/>
        </w:numPr>
        <w:suppressAutoHyphens w:val="0"/>
        <w:spacing w:after="160" w:line="240" w:lineRule="auto"/>
        <w:ind w:left="426" w:hanging="426"/>
        <w:textAlignment w:val="auto"/>
        <w:rPr>
          <w:rFonts w:cs="Calibri"/>
          <w:b/>
        </w:rPr>
      </w:pPr>
      <w:r>
        <w:rPr>
          <w:rFonts w:cs="Calibri"/>
          <w:b/>
        </w:rPr>
        <w:t>Warranties</w:t>
      </w:r>
    </w:p>
    <w:p w:rsidR="002A3E66" w:rsidRDefault="00062275">
      <w:pPr>
        <w:pStyle w:val="ListParagraph"/>
        <w:numPr>
          <w:ilvl w:val="1"/>
          <w:numId w:val="41"/>
        </w:numPr>
        <w:suppressAutoHyphens w:val="0"/>
        <w:spacing w:after="160" w:line="240" w:lineRule="auto"/>
        <w:ind w:left="426" w:hanging="426"/>
        <w:textAlignment w:val="auto"/>
      </w:pPr>
      <w:r>
        <w:rPr>
          <w:rFonts w:cs="Calibri"/>
        </w:rPr>
        <w:t>The Supplier represents and warrants that:</w:t>
      </w:r>
    </w:p>
    <w:p w:rsidR="002A3E66" w:rsidRDefault="00062275">
      <w:pPr>
        <w:pStyle w:val="ListParagraph"/>
        <w:numPr>
          <w:ilvl w:val="2"/>
          <w:numId w:val="41"/>
        </w:numPr>
        <w:suppressAutoHyphens w:val="0"/>
        <w:spacing w:after="160" w:line="240" w:lineRule="auto"/>
        <w:ind w:left="1134" w:hanging="708"/>
        <w:textAlignment w:val="auto"/>
      </w:pPr>
      <w:bookmarkStart w:id="15" w:name="_Ref19804150"/>
      <w:r>
        <w:rPr>
          <w:rFonts w:cs="Calibri"/>
        </w:rPr>
        <w:t>in the three years prior to the 06/05/2021, it has been in full compliance with all applicable securities and Laws related to Tax in the United Kingdom and in the jurisdiction in which it is established;</w:t>
      </w:r>
      <w:bookmarkEnd w:id="15"/>
    </w:p>
    <w:p w:rsidR="002A3E66" w:rsidRDefault="00062275">
      <w:pPr>
        <w:pStyle w:val="ListParagraph"/>
        <w:numPr>
          <w:ilvl w:val="2"/>
          <w:numId w:val="41"/>
        </w:numPr>
        <w:suppressAutoHyphens w:val="0"/>
        <w:spacing w:after="160" w:line="240" w:lineRule="auto"/>
        <w:ind w:left="1134" w:hanging="708"/>
        <w:textAlignment w:val="auto"/>
        <w:rPr>
          <w:rFonts w:cs="Calibri"/>
        </w:rPr>
      </w:pPr>
      <w:bookmarkStart w:id="16" w:name="_Ref19804166"/>
      <w:r>
        <w:rPr>
          <w:rFonts w:cs="Calibri"/>
        </w:rPr>
        <w:t>it has notified the Authority in writing of any Tax Non-Compliance it is involved in; and</w:t>
      </w:r>
      <w:bookmarkEnd w:id="16"/>
    </w:p>
    <w:p w:rsidR="002A3E66" w:rsidRDefault="00062275">
      <w:pPr>
        <w:pStyle w:val="ListParagraph"/>
        <w:numPr>
          <w:ilvl w:val="2"/>
          <w:numId w:val="41"/>
        </w:numPr>
        <w:suppressAutoHyphens w:val="0"/>
        <w:spacing w:after="160" w:line="240" w:lineRule="auto"/>
        <w:ind w:left="1134" w:hanging="708"/>
        <w:textAlignment w:val="auto"/>
      </w:pPr>
      <w:bookmarkStart w:id="17" w:name="_Ref19804201"/>
      <w:r>
        <w:rPr>
          <w:rFonts w:cs="Calibr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06/05/2021. </w:t>
      </w:r>
      <w:bookmarkEnd w:id="17"/>
    </w:p>
    <w:p w:rsidR="002A3E66" w:rsidRDefault="00062275">
      <w:pPr>
        <w:pStyle w:val="ListParagraph"/>
        <w:numPr>
          <w:ilvl w:val="1"/>
          <w:numId w:val="41"/>
        </w:numPr>
        <w:suppressAutoHyphens w:val="0"/>
        <w:spacing w:after="160" w:line="240" w:lineRule="auto"/>
        <w:ind w:left="426" w:hanging="426"/>
        <w:textAlignment w:val="auto"/>
        <w:rPr>
          <w:rFonts w:cs="Calibri"/>
        </w:rPr>
      </w:pPr>
      <w:r>
        <w:rPr>
          <w:rFonts w:cs="Calibri"/>
        </w:rPr>
        <w:lastRenderedPageBreak/>
        <w:t xml:space="preserve">If at any time the Supplier becomes aware that a representation or warranty given by it under Clause 3.1.1, 3.1.2 and/or 3.1.3 has been breached, is untrue, or is misleading, it shall immediately notify the Authority of the relevant occurrence in </w:t>
      </w:r>
      <w:proofErr w:type="gramStart"/>
      <w:r>
        <w:rPr>
          <w:rFonts w:cs="Calibri"/>
        </w:rPr>
        <w:t>sufficient</w:t>
      </w:r>
      <w:proofErr w:type="gramEnd"/>
      <w:r>
        <w:rPr>
          <w:rFonts w:cs="Calibri"/>
        </w:rPr>
        <w:t xml:space="preserve"> detail to enable the Authority to make an accurate assessment of the situation. </w:t>
      </w:r>
    </w:p>
    <w:p w:rsidR="002A3E66" w:rsidRDefault="00062275">
      <w:pPr>
        <w:pStyle w:val="ListParagraph"/>
        <w:numPr>
          <w:ilvl w:val="1"/>
          <w:numId w:val="41"/>
        </w:numPr>
        <w:suppressAutoHyphens w:val="0"/>
        <w:spacing w:after="160" w:line="240" w:lineRule="auto"/>
        <w:ind w:left="426" w:hanging="426"/>
        <w:textAlignment w:val="auto"/>
        <w:rPr>
          <w:rFonts w:cs="Calibri"/>
        </w:rPr>
      </w:pPr>
      <w:proofErr w:type="gramStart"/>
      <w:r>
        <w:rPr>
          <w:rFonts w:cs="Calibri"/>
        </w:rPr>
        <w:t>In the event that</w:t>
      </w:r>
      <w:proofErr w:type="gramEnd"/>
      <w:r>
        <w:rPr>
          <w:rFonts w:cs="Calibri"/>
        </w:rPr>
        <w:t xml:space="preserve">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rsidR="002A3E66" w:rsidRDefault="002A3E66">
      <w:pPr>
        <w:pStyle w:val="ListParagraph"/>
        <w:ind w:left="426"/>
        <w:rPr>
          <w:rFonts w:cs="Calibri"/>
        </w:rPr>
      </w:pPr>
    </w:p>
    <w:p w:rsidR="002A3E66" w:rsidRDefault="00062275">
      <w:pPr>
        <w:pStyle w:val="ListParagraph"/>
        <w:numPr>
          <w:ilvl w:val="0"/>
          <w:numId w:val="41"/>
        </w:numPr>
        <w:suppressAutoHyphens w:val="0"/>
        <w:spacing w:after="160" w:line="240" w:lineRule="auto"/>
        <w:ind w:left="426" w:hanging="426"/>
        <w:textAlignment w:val="auto"/>
        <w:rPr>
          <w:rFonts w:cs="Calibri"/>
          <w:b/>
        </w:rPr>
      </w:pPr>
      <w:r>
        <w:rPr>
          <w:rFonts w:cs="Calibri"/>
          <w:b/>
        </w:rPr>
        <w:t>Promoting Tax Compliance</w:t>
      </w:r>
    </w:p>
    <w:p w:rsidR="002A3E66" w:rsidRDefault="00062275">
      <w:pPr>
        <w:pStyle w:val="ListParagraph"/>
        <w:numPr>
          <w:ilvl w:val="1"/>
          <w:numId w:val="41"/>
        </w:numPr>
        <w:suppressAutoHyphens w:val="0"/>
        <w:spacing w:after="160" w:line="240" w:lineRule="auto"/>
        <w:ind w:left="426" w:hanging="426"/>
        <w:textAlignment w:val="auto"/>
      </w:pPr>
      <w:r>
        <w:rPr>
          <w:rFonts w:cs="Calibri"/>
        </w:rPr>
        <w:t xml:space="preserve">All amounts stated </w:t>
      </w:r>
      <w:r>
        <w:rPr>
          <w:rFonts w:cs="Calibri"/>
          <w:szCs w:val="20"/>
        </w:rPr>
        <w:t>are stated exclusive of VAT, which shall be added at the prevailing rate as applicable and paid by the Authority following delivery of a valid VAT invoice.</w:t>
      </w:r>
    </w:p>
    <w:p w:rsidR="002A3E66" w:rsidRDefault="00062275">
      <w:pPr>
        <w:pStyle w:val="ListParagraph"/>
        <w:numPr>
          <w:ilvl w:val="1"/>
          <w:numId w:val="41"/>
        </w:numPr>
        <w:suppressAutoHyphens w:val="0"/>
        <w:spacing w:after="160" w:line="240" w:lineRule="auto"/>
        <w:ind w:left="426" w:hanging="426"/>
        <w:textAlignment w:val="auto"/>
        <w:rPr>
          <w:rFonts w:cs="Calibri"/>
        </w:rPr>
      </w:pPr>
      <w:bookmarkStart w:id="18" w:name="_Ref20319270"/>
      <w:r>
        <w:rPr>
          <w:rFonts w:cs="Calibri"/>
        </w:rPr>
        <w:t xml:space="preserve">To the extent applicable to the Supplier, the Supplier shall </w:t>
      </w:r>
      <w:proofErr w:type="gramStart"/>
      <w:r>
        <w:rPr>
          <w:rFonts w:cs="Calibri"/>
        </w:rPr>
        <w:t>at all times</w:t>
      </w:r>
      <w:proofErr w:type="gramEnd"/>
      <w:r>
        <w:rPr>
          <w:rFonts w:cs="Calibri"/>
        </w:rPr>
        <w:t xml:space="preserve"> comply with all Laws relating to Tax and with the equivalent legal provisions of the country in which the Supplier is established.</w:t>
      </w:r>
      <w:bookmarkEnd w:id="18"/>
      <w:r>
        <w:rPr>
          <w:rFonts w:cs="Calibri"/>
        </w:rPr>
        <w:t xml:space="preserve"> </w:t>
      </w:r>
    </w:p>
    <w:p w:rsidR="002A3E66" w:rsidRDefault="00062275">
      <w:pPr>
        <w:pStyle w:val="ListParagraph"/>
        <w:numPr>
          <w:ilvl w:val="1"/>
          <w:numId w:val="41"/>
        </w:numPr>
        <w:suppressAutoHyphens w:val="0"/>
        <w:spacing w:after="160" w:line="240" w:lineRule="auto"/>
        <w:ind w:left="426" w:hanging="426"/>
        <w:textAlignment w:val="auto"/>
        <w:rPr>
          <w:rFonts w:cs="Calibri"/>
        </w:rPr>
      </w:pPr>
      <w:bookmarkStart w:id="19" w:name="_Ref20993847"/>
      <w:bookmarkStart w:id="20" w:name="_Ref20319306"/>
      <w:r>
        <w:rPr>
          <w:rFonts w:cs="Calibr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9"/>
      <w:r>
        <w:rPr>
          <w:rFonts w:cs="Calibri"/>
        </w:rPr>
        <w:t xml:space="preserve">  </w:t>
      </w:r>
      <w:bookmarkEnd w:id="20"/>
    </w:p>
    <w:p w:rsidR="002A3E66" w:rsidRDefault="00062275">
      <w:pPr>
        <w:pStyle w:val="ListParagraph"/>
        <w:numPr>
          <w:ilvl w:val="1"/>
          <w:numId w:val="41"/>
        </w:numPr>
        <w:suppressAutoHyphens w:val="0"/>
        <w:spacing w:after="160" w:line="240" w:lineRule="auto"/>
        <w:ind w:left="426" w:hanging="426"/>
        <w:textAlignment w:val="auto"/>
      </w:pPr>
      <w:bookmarkStart w:id="21" w:name="_Ref20993857"/>
      <w:r>
        <w:rPr>
          <w:rFonts w:cs="Calibri"/>
        </w:rPr>
        <w:t>If, at any point during the term, there is Tax Non-Compliance, the Supplier shall:</w:t>
      </w:r>
      <w:bookmarkEnd w:id="21"/>
    </w:p>
    <w:p w:rsidR="002A3E66" w:rsidRDefault="00062275">
      <w:pPr>
        <w:pStyle w:val="ListParagraph"/>
        <w:numPr>
          <w:ilvl w:val="2"/>
          <w:numId w:val="41"/>
        </w:numPr>
        <w:suppressAutoHyphens w:val="0"/>
        <w:spacing w:after="160" w:line="240" w:lineRule="auto"/>
        <w:ind w:left="1134" w:hanging="708"/>
        <w:textAlignment w:val="auto"/>
        <w:rPr>
          <w:rFonts w:cs="Calibri"/>
        </w:rPr>
      </w:pPr>
      <w:bookmarkStart w:id="22" w:name="_Ref20319279"/>
      <w:r>
        <w:rPr>
          <w:rFonts w:cs="Calibri"/>
        </w:rPr>
        <w:t>notify the Authority in writing of such fact within five (5) Working Days of its occurrence; and</w:t>
      </w:r>
      <w:bookmarkEnd w:id="22"/>
    </w:p>
    <w:p w:rsidR="002A3E66" w:rsidRDefault="00062275">
      <w:pPr>
        <w:pStyle w:val="ListParagraph"/>
        <w:numPr>
          <w:ilvl w:val="2"/>
          <w:numId w:val="41"/>
        </w:numPr>
        <w:suppressAutoHyphens w:val="0"/>
        <w:spacing w:after="160" w:line="240" w:lineRule="auto"/>
        <w:ind w:left="1134" w:hanging="708"/>
        <w:textAlignment w:val="auto"/>
        <w:rPr>
          <w:rFonts w:cs="Calibri"/>
        </w:rPr>
      </w:pPr>
      <w:bookmarkStart w:id="23" w:name="_Ref20319317"/>
      <w:r>
        <w:rPr>
          <w:rFonts w:cs="Calibri"/>
        </w:rPr>
        <w:t>promptly provide to the Authority:</w:t>
      </w:r>
      <w:bookmarkEnd w:id="23"/>
    </w:p>
    <w:p w:rsidR="002A3E66" w:rsidRDefault="00062275">
      <w:pPr>
        <w:pStyle w:val="ListParagraph"/>
        <w:numPr>
          <w:ilvl w:val="0"/>
          <w:numId w:val="47"/>
        </w:numPr>
        <w:suppressAutoHyphens w:val="0"/>
        <w:spacing w:after="160" w:line="240" w:lineRule="auto"/>
        <w:textAlignment w:val="auto"/>
        <w:rPr>
          <w:rFonts w:cs="Calibri"/>
        </w:rPr>
      </w:pPr>
      <w:r>
        <w:rPr>
          <w:rFonts w:cs="Calibri"/>
        </w:rPr>
        <w:t xml:space="preserve">details of the steps which the Supplier is taking to resolve the Tax Non-Compliance and to prevent the same from recurring, together with any mitigating factors that it considers relevant; and </w:t>
      </w:r>
    </w:p>
    <w:p w:rsidR="002A3E66" w:rsidRDefault="00062275">
      <w:pPr>
        <w:pStyle w:val="ListParagraph"/>
        <w:numPr>
          <w:ilvl w:val="0"/>
          <w:numId w:val="47"/>
        </w:numPr>
        <w:suppressAutoHyphens w:val="0"/>
        <w:spacing w:after="160" w:line="240" w:lineRule="auto"/>
        <w:textAlignment w:val="auto"/>
        <w:rPr>
          <w:rFonts w:cs="Calibri"/>
        </w:rPr>
      </w:pPr>
      <w:r>
        <w:rPr>
          <w:rFonts w:cs="Calibri"/>
        </w:rPr>
        <w:t>such other information in relation to the Tax Non-Compliance as the Authority may reasonably require.</w:t>
      </w:r>
    </w:p>
    <w:p w:rsidR="002A3E66" w:rsidRDefault="00062275">
      <w:pPr>
        <w:pStyle w:val="ListParagraph"/>
        <w:numPr>
          <w:ilvl w:val="1"/>
          <w:numId w:val="41"/>
        </w:numPr>
        <w:suppressAutoHyphens w:val="0"/>
        <w:spacing w:after="160" w:line="240" w:lineRule="auto"/>
        <w:ind w:left="426" w:hanging="426"/>
        <w:textAlignment w:val="auto"/>
        <w:rPr>
          <w:rFonts w:cs="Calibri"/>
        </w:rPr>
      </w:pPr>
      <w:bookmarkStart w:id="24" w:name="_Ref20319101"/>
      <w:r>
        <w:rPr>
          <w:rFonts w:cs="Calibri"/>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24"/>
      <w:r>
        <w:rPr>
          <w:rFonts w:cs="Calibri"/>
        </w:rPr>
        <w:t xml:space="preserve">  </w:t>
      </w:r>
    </w:p>
    <w:p w:rsidR="002A3E66" w:rsidRDefault="00062275">
      <w:pPr>
        <w:pStyle w:val="ListParagraph"/>
        <w:numPr>
          <w:ilvl w:val="1"/>
          <w:numId w:val="41"/>
        </w:numPr>
        <w:suppressAutoHyphens w:val="0"/>
        <w:spacing w:after="160" w:line="240" w:lineRule="auto"/>
        <w:ind w:left="426" w:hanging="426"/>
        <w:textAlignment w:val="auto"/>
        <w:rPr>
          <w:rFonts w:cs="Calibri"/>
        </w:rPr>
      </w:pPr>
      <w:bookmarkStart w:id="25" w:name="_Ref20319292"/>
      <w:r>
        <w:rPr>
          <w:rFonts w:cs="Calibri"/>
        </w:rPr>
        <w:t>Upon the Authority’s request, the Supplier shall provide (promptly or within such other period notified by the Authority) information which demonstrates how the Supplier complies with its Tax obligations.</w:t>
      </w:r>
      <w:bookmarkEnd w:id="25"/>
      <w:r>
        <w:rPr>
          <w:rFonts w:cs="Calibri"/>
        </w:rPr>
        <w:t xml:space="preserve"> </w:t>
      </w:r>
    </w:p>
    <w:p w:rsidR="002A3E66" w:rsidRDefault="00062275">
      <w:pPr>
        <w:pStyle w:val="ListParagraph"/>
        <w:numPr>
          <w:ilvl w:val="1"/>
          <w:numId w:val="41"/>
        </w:numPr>
        <w:suppressAutoHyphens w:val="0"/>
        <w:spacing w:after="160" w:line="240" w:lineRule="auto"/>
        <w:ind w:left="426" w:hanging="426"/>
        <w:textAlignment w:val="auto"/>
      </w:pPr>
      <w:r>
        <w:rPr>
          <w:rStyle w:val="normaltextrun1"/>
          <w:rFonts w:cs="Calibri"/>
        </w:rPr>
        <w:t xml:space="preserve">If the Supplier: </w:t>
      </w:r>
    </w:p>
    <w:p w:rsidR="002A3E66" w:rsidRDefault="00062275">
      <w:pPr>
        <w:pStyle w:val="paragraph"/>
        <w:numPr>
          <w:ilvl w:val="2"/>
          <w:numId w:val="41"/>
        </w:numPr>
        <w:ind w:left="1276" w:hanging="709"/>
        <w:textAlignment w:val="baseline"/>
      </w:pPr>
      <w:r>
        <w:rPr>
          <w:rStyle w:val="normaltextrun1"/>
          <w:rFonts w:ascii="Calibri" w:hAnsi="Calibri" w:cs="Calibri"/>
          <w:sz w:val="22"/>
          <w:szCs w:val="22"/>
        </w:rPr>
        <w:t xml:space="preserve">fails to comply (or if the Authority receives information which demonstrates to it that the Supplier has failed to comply) with Clauses 4.2, 4.4.1 and/or 4.6 this may be a material breach of the Agreement; </w:t>
      </w:r>
    </w:p>
    <w:p w:rsidR="002A3E66" w:rsidRDefault="00062275">
      <w:pPr>
        <w:pStyle w:val="paragraph"/>
        <w:numPr>
          <w:ilvl w:val="2"/>
          <w:numId w:val="41"/>
        </w:numPr>
        <w:ind w:left="1276" w:hanging="709"/>
        <w:textAlignment w:val="baseline"/>
      </w:pPr>
      <w:r>
        <w:rPr>
          <w:rStyle w:val="normaltextrun1"/>
          <w:rFonts w:ascii="Calibri" w:hAnsi="Calibri" w:cs="Calibri"/>
          <w:sz w:val="22"/>
          <w:szCs w:val="22"/>
        </w:rPr>
        <w:t xml:space="preserve">fails to comply (or if the Authority receives information which demonstrates to it that the Supplier has failed to comply) </w:t>
      </w:r>
      <w:r>
        <w:rPr>
          <w:rFonts w:ascii="Calibri" w:hAnsi="Calibri" w:cs="Calibri"/>
          <w:sz w:val="22"/>
          <w:szCs w:val="22"/>
        </w:rPr>
        <w:t xml:space="preserve">with a reasonable request by the Authority that it must not contract, or must cease to contract, with any agent, supplier or Subcontractor of the Supplier as required by Clause 4.3 on the grounds that the agent, supplier or Subcontractor of the </w:t>
      </w:r>
      <w:r>
        <w:rPr>
          <w:rFonts w:ascii="Calibri" w:hAnsi="Calibri" w:cs="Calibri"/>
          <w:sz w:val="22"/>
          <w:szCs w:val="22"/>
        </w:rPr>
        <w:lastRenderedPageBreak/>
        <w:t>Supplier is involved in Tax Non-Compliance</w:t>
      </w:r>
      <w:r>
        <w:rPr>
          <w:rStyle w:val="normaltextrun1"/>
          <w:rFonts w:ascii="Calibri" w:hAnsi="Calibri" w:cs="Calibri"/>
          <w:sz w:val="22"/>
          <w:szCs w:val="22"/>
        </w:rPr>
        <w:t xml:space="preserve"> this shall be a material breach of the Agreement; and/or</w:t>
      </w:r>
    </w:p>
    <w:p w:rsidR="002A3E66" w:rsidRDefault="00062275">
      <w:pPr>
        <w:pStyle w:val="paragraph"/>
        <w:numPr>
          <w:ilvl w:val="2"/>
          <w:numId w:val="41"/>
        </w:numPr>
        <w:ind w:left="1276" w:hanging="709"/>
        <w:textAlignment w:val="baseline"/>
      </w:pPr>
      <w:r>
        <w:rPr>
          <w:rStyle w:val="normaltextrun1"/>
          <w:rFonts w:ascii="Calibri" w:hAnsi="Calibri" w:cs="Calibri"/>
          <w:sz w:val="22"/>
          <w:szCs w:val="22"/>
        </w:rPr>
        <w:t>fails to provide details of steps being taken and mitigating factors pursuant to Clause 4.4.2 which in the reasonable opinion of the Authority are acceptable this shall be a material breach of the Agreement;</w:t>
      </w:r>
    </w:p>
    <w:p w:rsidR="002A3E66" w:rsidRDefault="002A3E66">
      <w:pPr>
        <w:pStyle w:val="paragraph"/>
        <w:ind w:left="426" w:hanging="426"/>
        <w:textAlignment w:val="baseline"/>
      </w:pPr>
    </w:p>
    <w:p w:rsidR="002A3E66" w:rsidRDefault="00062275">
      <w:pPr>
        <w:pStyle w:val="paragraph"/>
        <w:ind w:left="426"/>
        <w:textAlignment w:val="baseline"/>
      </w:pPr>
      <w:r>
        <w:rPr>
          <w:rStyle w:val="normaltextrun1"/>
          <w:rFonts w:ascii="Calibri" w:hAnsi="Calibri" w:cs="Calibri"/>
          <w:sz w:val="22"/>
          <w:szCs w:val="22"/>
        </w:rPr>
        <w:t xml:space="preserve">and any such material breach shall allow the Authority to </w:t>
      </w:r>
      <w:r>
        <w:rPr>
          <w:rFonts w:ascii="Calibri" w:hAnsi="Calibri" w:cs="Calibri"/>
          <w:sz w:val="22"/>
          <w:szCs w:val="22"/>
        </w:rPr>
        <w:t xml:space="preserve">terminate the Agreement pursuant to the Call-Off Clause which provides the Authority the right to terminate the Agreement for Supplier fault (termination for Supplier cause or equivalent clause). </w:t>
      </w:r>
    </w:p>
    <w:p w:rsidR="002A3E66" w:rsidRDefault="00062275">
      <w:pPr>
        <w:pStyle w:val="ListParagraph"/>
        <w:numPr>
          <w:ilvl w:val="1"/>
          <w:numId w:val="41"/>
        </w:numPr>
        <w:suppressAutoHyphens w:val="0"/>
        <w:spacing w:after="160" w:line="240" w:lineRule="auto"/>
        <w:ind w:left="426" w:hanging="426"/>
        <w:textAlignment w:val="auto"/>
        <w:rPr>
          <w:rFonts w:cs="Calibri"/>
        </w:rPr>
      </w:pPr>
      <w:r>
        <w:rPr>
          <w:rFonts w:cs="Calibri"/>
        </w:rPr>
        <w:t xml:space="preserve">The Authority may internally share any information which it receives under Clauses 4.3 to 4.4 (inclusive) and 4.6, for the purpose of the collection and management of revenue for which the Authority is responsible. </w:t>
      </w:r>
    </w:p>
    <w:p w:rsidR="002A3E66" w:rsidRDefault="002A3E66">
      <w:pPr>
        <w:pStyle w:val="ListParagraph"/>
        <w:ind w:left="426"/>
        <w:rPr>
          <w:rFonts w:cs="Calibri"/>
        </w:rPr>
      </w:pPr>
    </w:p>
    <w:p w:rsidR="002A3E66" w:rsidRDefault="00062275">
      <w:pPr>
        <w:pStyle w:val="ListParagraph"/>
        <w:numPr>
          <w:ilvl w:val="0"/>
          <w:numId w:val="41"/>
        </w:numPr>
        <w:suppressAutoHyphens w:val="0"/>
        <w:spacing w:after="160" w:line="240" w:lineRule="auto"/>
        <w:ind w:left="426" w:hanging="426"/>
        <w:textAlignment w:val="auto"/>
        <w:rPr>
          <w:rFonts w:cs="Calibri"/>
          <w:b/>
          <w:lang w:val="en-US"/>
        </w:rPr>
      </w:pPr>
      <w:r>
        <w:rPr>
          <w:rFonts w:cs="Calibri"/>
          <w:b/>
          <w:lang w:val="en-US"/>
        </w:rPr>
        <w:t>Use of Off-shore Tax Structures</w:t>
      </w:r>
      <w:bookmarkStart w:id="26" w:name="_Ref456277829"/>
    </w:p>
    <w:p w:rsidR="002A3E66" w:rsidRDefault="00062275">
      <w:pPr>
        <w:pStyle w:val="ListParagraph"/>
        <w:numPr>
          <w:ilvl w:val="1"/>
          <w:numId w:val="48"/>
        </w:numPr>
        <w:suppressAutoHyphens w:val="0"/>
        <w:spacing w:after="160" w:line="240" w:lineRule="auto"/>
        <w:ind w:left="426" w:hanging="426"/>
        <w:textAlignment w:val="auto"/>
      </w:pPr>
      <w:bookmarkStart w:id="27" w:name="_Ref19805004"/>
      <w:r>
        <w:rPr>
          <w:rFonts w:cs="Calibr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cs="Calibri"/>
          <w:b/>
          <w:bCs/>
          <w:iCs/>
        </w:rPr>
        <w:t>“Prohibited Transactions”</w:t>
      </w:r>
      <w:r>
        <w:rPr>
          <w:rFonts w:cs="Calibri"/>
          <w:bCs/>
          <w:iCs/>
        </w:rPr>
        <w:t xml:space="preserve">). Prohibited Transactions shall not include transactions made between the Supplier and its Connected Companies or a Key Subcontractor and its Connected Companies on terms which are at arms-length and are </w:t>
      </w:r>
      <w:proofErr w:type="gramStart"/>
      <w:r>
        <w:rPr>
          <w:rFonts w:cs="Calibri"/>
          <w:bCs/>
          <w:iCs/>
        </w:rPr>
        <w:t>entered into</w:t>
      </w:r>
      <w:proofErr w:type="gramEnd"/>
      <w:r>
        <w:rPr>
          <w:rFonts w:cs="Calibri"/>
          <w:bCs/>
          <w:iCs/>
        </w:rPr>
        <w:t xml:space="preserve"> in the ordinary course of the transacting parties’ business.</w:t>
      </w:r>
      <w:bookmarkStart w:id="28" w:name="_Ref454350421"/>
      <w:bookmarkEnd w:id="26"/>
      <w:bookmarkEnd w:id="27"/>
    </w:p>
    <w:p w:rsidR="002A3E66" w:rsidRDefault="00062275">
      <w:pPr>
        <w:pStyle w:val="ListParagraph"/>
        <w:numPr>
          <w:ilvl w:val="1"/>
          <w:numId w:val="48"/>
        </w:numPr>
        <w:suppressAutoHyphens w:val="0"/>
        <w:spacing w:after="160" w:line="240" w:lineRule="auto"/>
        <w:ind w:left="426" w:hanging="426"/>
        <w:textAlignment w:val="auto"/>
      </w:pPr>
      <w:bookmarkStart w:id="29" w:name="_Ref19805057"/>
      <w:r>
        <w:rPr>
          <w:rFonts w:cs="Calibr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0" w:name="_Ref454350981"/>
      <w:bookmarkEnd w:id="28"/>
      <w:bookmarkEnd w:id="29"/>
    </w:p>
    <w:p w:rsidR="002A3E66" w:rsidRDefault="00062275">
      <w:pPr>
        <w:pStyle w:val="ListParagraph"/>
        <w:numPr>
          <w:ilvl w:val="1"/>
          <w:numId w:val="48"/>
        </w:numPr>
        <w:suppressAutoHyphens w:val="0"/>
        <w:spacing w:after="160" w:line="240" w:lineRule="auto"/>
        <w:ind w:left="426" w:hanging="426"/>
        <w:textAlignment w:val="auto"/>
      </w:pPr>
      <w:bookmarkStart w:id="31" w:name="_Ref19805096"/>
      <w:r>
        <w:rPr>
          <w:rFonts w:cs="Calibri"/>
          <w:bCs/>
          <w:iC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2" w:name="_Ref519588655"/>
      <w:bookmarkEnd w:id="30"/>
      <w:bookmarkEnd w:id="31"/>
    </w:p>
    <w:p w:rsidR="002A3E66" w:rsidRDefault="00062275">
      <w:pPr>
        <w:pStyle w:val="ListParagraph"/>
        <w:numPr>
          <w:ilvl w:val="1"/>
          <w:numId w:val="48"/>
        </w:numPr>
        <w:suppressAutoHyphens w:val="0"/>
        <w:spacing w:after="160" w:line="240" w:lineRule="auto"/>
        <w:ind w:left="426" w:hanging="426"/>
        <w:textAlignment w:val="auto"/>
      </w:pPr>
      <w:r>
        <w:rPr>
          <w:rFonts w:cs="Calibri"/>
          <w:bCs/>
          <w:iCs/>
        </w:rPr>
        <w:t xml:space="preserve">Failure by the Supplier (or a Key Subcontractor) to comply with the obligations set out in Clauses 5.2 and 5.3 shall allow the Authority to terminate the Agreement pursuant to the Clause that </w:t>
      </w:r>
      <w:bookmarkEnd w:id="32"/>
      <w:r>
        <w:rPr>
          <w:rFonts w:cs="Calibri"/>
        </w:rPr>
        <w:t>provides the Authority the right to terminate the Agreement for Supplier fault (termination for Supplier cause).</w:t>
      </w:r>
    </w:p>
    <w:p w:rsidR="002A3E66" w:rsidRDefault="002A3E66">
      <w:pPr>
        <w:pStyle w:val="Body2"/>
        <w:keepLines/>
        <w:spacing w:after="0"/>
        <w:ind w:left="426"/>
        <w:rPr>
          <w:rFonts w:ascii="Calibri" w:hAnsi="Calibri" w:cs="Calibri"/>
          <w:b/>
          <w:spacing w:val="-3"/>
          <w:sz w:val="22"/>
          <w:szCs w:val="22"/>
          <w:lang w:val="en-US"/>
        </w:rPr>
      </w:pPr>
    </w:p>
    <w:p w:rsidR="002A3E66" w:rsidRDefault="00062275">
      <w:pPr>
        <w:pStyle w:val="Body2"/>
        <w:keepLines/>
        <w:numPr>
          <w:ilvl w:val="0"/>
          <w:numId w:val="48"/>
        </w:numPr>
        <w:spacing w:after="0"/>
        <w:ind w:left="426" w:hanging="426"/>
        <w:rPr>
          <w:rFonts w:ascii="Calibri" w:hAnsi="Calibri" w:cs="Calibri"/>
          <w:b/>
          <w:spacing w:val="-3"/>
          <w:sz w:val="22"/>
          <w:szCs w:val="22"/>
          <w:lang w:val="en-US"/>
        </w:rPr>
      </w:pPr>
      <w:r>
        <w:rPr>
          <w:rFonts w:ascii="Calibri" w:hAnsi="Calibri" w:cs="Calibri"/>
          <w:b/>
          <w:spacing w:val="-3"/>
          <w:sz w:val="22"/>
          <w:szCs w:val="22"/>
          <w:lang w:val="en-US"/>
        </w:rPr>
        <w:t>Data Protection and off-shoring</w:t>
      </w:r>
    </w:p>
    <w:p w:rsidR="002A3E66" w:rsidRDefault="00062275">
      <w:pPr>
        <w:pStyle w:val="Body2"/>
        <w:keepLines/>
        <w:numPr>
          <w:ilvl w:val="1"/>
          <w:numId w:val="48"/>
        </w:numPr>
        <w:spacing w:after="0"/>
        <w:ind w:left="426" w:hanging="426"/>
        <w:jc w:val="left"/>
        <w:rPr>
          <w:rFonts w:ascii="Calibri" w:hAnsi="Calibri" w:cs="Calibri"/>
          <w:spacing w:val="-3"/>
          <w:sz w:val="22"/>
          <w:szCs w:val="22"/>
          <w:lang w:val="en-US"/>
        </w:rPr>
      </w:pPr>
      <w:bookmarkStart w:id="33" w:name="_Ref19805122"/>
      <w:r>
        <w:rPr>
          <w:rFonts w:ascii="Calibri" w:hAnsi="Calibri" w:cs="Calibri"/>
          <w:spacing w:val="-3"/>
          <w:sz w:val="22"/>
          <w:szCs w:val="22"/>
          <w:lang w:val="en-US"/>
        </w:rPr>
        <w:t>The Processor shall, in relation to any Personal Data processed in connection with its obligations under the Agreement:</w:t>
      </w:r>
      <w:bookmarkEnd w:id="33"/>
    </w:p>
    <w:p w:rsidR="002A3E66" w:rsidRDefault="00062275">
      <w:pPr>
        <w:pStyle w:val="Body2"/>
        <w:keepLines/>
        <w:numPr>
          <w:ilvl w:val="2"/>
          <w:numId w:val="48"/>
        </w:numPr>
        <w:spacing w:after="240"/>
        <w:ind w:left="1134" w:hanging="708"/>
        <w:jc w:val="left"/>
        <w:rPr>
          <w:rFonts w:ascii="Calibri" w:hAnsi="Calibri" w:cs="Calibri"/>
          <w:spacing w:val="-3"/>
          <w:sz w:val="22"/>
          <w:szCs w:val="22"/>
          <w:lang w:val="en-US"/>
        </w:rPr>
      </w:pPr>
      <w:r>
        <w:rPr>
          <w:rFonts w:ascii="Calibri" w:hAnsi="Calibri" w:cs="Calibri"/>
          <w:spacing w:val="-3"/>
          <w:sz w:val="22"/>
          <w:szCs w:val="22"/>
          <w:lang w:val="en-US"/>
        </w:rPr>
        <w:t>not transfer Personal Data outside of the United Kingdom unless the prior written consent of the Controller has been obtained and the following conditions are fulfilled:</w:t>
      </w:r>
    </w:p>
    <w:p w:rsidR="002A3E66" w:rsidRDefault="00062275">
      <w:pPr>
        <w:pStyle w:val="Body2"/>
        <w:keepLines/>
        <w:numPr>
          <w:ilvl w:val="1"/>
          <w:numId w:val="4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lastRenderedPageBreak/>
        <w:t>the Controller or the Processor has provided appropriate safeguards in relation to the transfer (whether in accordance with GDPR Article 46 or LED Article 37) as determined by the Controller;</w:t>
      </w:r>
    </w:p>
    <w:p w:rsidR="002A3E66" w:rsidRDefault="00062275">
      <w:pPr>
        <w:pStyle w:val="Body2"/>
        <w:keepLines/>
        <w:numPr>
          <w:ilvl w:val="1"/>
          <w:numId w:val="4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Data Subject has enforceable rights and effective legal remedies;</w:t>
      </w:r>
    </w:p>
    <w:p w:rsidR="002A3E66" w:rsidRDefault="00062275">
      <w:pPr>
        <w:pStyle w:val="Body2"/>
        <w:keepLines/>
        <w:numPr>
          <w:ilvl w:val="1"/>
          <w:numId w:val="4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Pr>
          <w:rFonts w:ascii="Calibri" w:hAnsi="Calibri" w:cs="Calibri"/>
          <w:spacing w:val="-3"/>
          <w:sz w:val="22"/>
          <w:szCs w:val="22"/>
          <w:lang w:val="en-US"/>
        </w:rPr>
        <w:t>endeavours</w:t>
      </w:r>
      <w:proofErr w:type="spellEnd"/>
      <w:r>
        <w:rPr>
          <w:rFonts w:ascii="Calibri" w:hAnsi="Calibri" w:cs="Calibri"/>
          <w:spacing w:val="-3"/>
          <w:sz w:val="22"/>
          <w:szCs w:val="22"/>
          <w:lang w:val="en-US"/>
        </w:rPr>
        <w:t xml:space="preserve"> to assist the Controller in meeting its obligations); and</w:t>
      </w:r>
    </w:p>
    <w:p w:rsidR="002A3E66" w:rsidRDefault="00062275">
      <w:pPr>
        <w:pStyle w:val="Body2"/>
        <w:keepLines/>
        <w:numPr>
          <w:ilvl w:val="1"/>
          <w:numId w:val="49"/>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the Processor complies with any reasonable instructions notified to it in advance by the Controller with respect to the processing of the Personal Data;</w:t>
      </w:r>
    </w:p>
    <w:p w:rsidR="002A3E66" w:rsidRDefault="00062275">
      <w:pPr>
        <w:pStyle w:val="ListParagraph"/>
        <w:numPr>
          <w:ilvl w:val="1"/>
          <w:numId w:val="48"/>
        </w:numPr>
        <w:suppressAutoHyphens w:val="0"/>
        <w:spacing w:after="160" w:line="240" w:lineRule="auto"/>
        <w:ind w:left="426" w:hanging="426"/>
        <w:textAlignment w:val="auto"/>
      </w:pPr>
      <w:r>
        <w:rPr>
          <w:rFonts w:cs="Calibri"/>
          <w:bCs/>
          <w:iCs/>
        </w:rPr>
        <w:t>Failure by the Processor to comply with the obligations set out in Clause 6.1</w:t>
      </w:r>
      <w:r>
        <w:rPr>
          <w:rFonts w:cs="Calibri"/>
        </w:rPr>
        <w:t xml:space="preserve"> s</w:t>
      </w:r>
      <w:r>
        <w:rPr>
          <w:rFonts w:cs="Calibri"/>
          <w:bCs/>
          <w:iCs/>
        </w:rPr>
        <w:t xml:space="preserve">hall allow the Authority to terminate the Agreement pursuant to the Clause that </w:t>
      </w:r>
      <w:r>
        <w:rPr>
          <w:rFonts w:cs="Calibri"/>
        </w:rPr>
        <w:t>provides the Authority the right to terminate the Agreement for Supplier fault (termination for Supplier cause or equivalent clause).</w:t>
      </w:r>
    </w:p>
    <w:p w:rsidR="002A3E66" w:rsidRDefault="002A3E66">
      <w:pPr>
        <w:pStyle w:val="ListParagraph"/>
        <w:ind w:left="426"/>
        <w:rPr>
          <w:rFonts w:cs="Calibri"/>
          <w:b/>
        </w:rPr>
      </w:pPr>
    </w:p>
    <w:p w:rsidR="002A3E66" w:rsidRDefault="00062275">
      <w:pPr>
        <w:pStyle w:val="ListParagraph"/>
        <w:numPr>
          <w:ilvl w:val="0"/>
          <w:numId w:val="48"/>
        </w:numPr>
        <w:suppressAutoHyphens w:val="0"/>
        <w:spacing w:after="160" w:line="240" w:lineRule="auto"/>
        <w:ind w:left="426" w:hanging="426"/>
        <w:textAlignment w:val="auto"/>
        <w:rPr>
          <w:rFonts w:cs="Calibri"/>
          <w:b/>
        </w:rPr>
      </w:pPr>
      <w:bookmarkStart w:id="34" w:name="_Ref24987602"/>
      <w:bookmarkStart w:id="35" w:name="_Ref25767967"/>
      <w:r>
        <w:rPr>
          <w:rFonts w:cs="Calibri"/>
          <w:b/>
        </w:rPr>
        <w:t>Commissioners for Revenue and Customs Act 2005</w:t>
      </w:r>
      <w:bookmarkEnd w:id="34"/>
      <w:r>
        <w:rPr>
          <w:rFonts w:cs="Calibri"/>
          <w:b/>
        </w:rPr>
        <w:t xml:space="preserve"> and related Legislation</w:t>
      </w:r>
      <w:bookmarkEnd w:id="35"/>
      <w:r>
        <w:rPr>
          <w:rFonts w:cs="Calibri"/>
          <w:b/>
        </w:rPr>
        <w:t xml:space="preserve"> </w:t>
      </w:r>
    </w:p>
    <w:p w:rsidR="002A3E66" w:rsidRDefault="00062275">
      <w:pPr>
        <w:pStyle w:val="ListParagraph"/>
        <w:numPr>
          <w:ilvl w:val="1"/>
          <w:numId w:val="48"/>
        </w:numPr>
        <w:suppressAutoHyphens w:val="0"/>
        <w:spacing w:after="160" w:line="240" w:lineRule="auto"/>
        <w:ind w:left="426" w:hanging="426"/>
        <w:textAlignment w:val="auto"/>
        <w:rPr>
          <w:rFonts w:cs="Calibri"/>
        </w:rPr>
      </w:pPr>
      <w:bookmarkStart w:id="36" w:name="_Ref19805143"/>
      <w:r>
        <w:rPr>
          <w:rFonts w:cs="Calibri"/>
        </w:rPr>
        <w:t>The Supplier shall comply with and shall ensure that all Supplier Personnel who will have access to, or are provided with, Authority Data comply with</w:t>
      </w:r>
      <w:bookmarkEnd w:id="36"/>
      <w:r>
        <w:rPr>
          <w:rFonts w:cs="Calibr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rsidR="002A3E66" w:rsidRDefault="00062275">
      <w:pPr>
        <w:pStyle w:val="ListParagraph"/>
        <w:numPr>
          <w:ilvl w:val="1"/>
          <w:numId w:val="48"/>
        </w:numPr>
        <w:suppressAutoHyphens w:val="0"/>
        <w:spacing w:after="160" w:line="240" w:lineRule="auto"/>
        <w:ind w:left="426" w:hanging="426"/>
        <w:textAlignment w:val="auto"/>
      </w:pPr>
      <w:r>
        <w:rPr>
          <w:rFonts w:cs="Calibri"/>
        </w:rPr>
        <w:t xml:space="preserve">The Supplier shall comply </w:t>
      </w:r>
      <w:proofErr w:type="gramStart"/>
      <w:r>
        <w:rPr>
          <w:rFonts w:cs="Calibri"/>
        </w:rPr>
        <w:t>with, and</w:t>
      </w:r>
      <w:proofErr w:type="gramEnd"/>
      <w:r>
        <w:rPr>
          <w:rFonts w:cs="Calibri"/>
        </w:rPr>
        <w:t xml:space="preserve">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rsidR="002A3E66" w:rsidRDefault="00062275">
      <w:pPr>
        <w:pStyle w:val="ListParagraph"/>
        <w:numPr>
          <w:ilvl w:val="1"/>
          <w:numId w:val="48"/>
        </w:numPr>
        <w:suppressAutoHyphens w:val="0"/>
        <w:spacing w:after="160" w:line="240" w:lineRule="auto"/>
        <w:ind w:left="426" w:hanging="426"/>
        <w:textAlignment w:val="auto"/>
        <w:rPr>
          <w:rFonts w:cs="Calibri"/>
        </w:rPr>
      </w:pPr>
      <w:r>
        <w:rPr>
          <w:rFonts w:cs="Calibri"/>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rsidR="002A3E66" w:rsidRDefault="00062275">
      <w:pPr>
        <w:pStyle w:val="ListParagraph"/>
        <w:numPr>
          <w:ilvl w:val="1"/>
          <w:numId w:val="48"/>
        </w:numPr>
        <w:suppressAutoHyphens w:val="0"/>
        <w:spacing w:after="160" w:line="240" w:lineRule="auto"/>
        <w:ind w:left="426" w:hanging="426"/>
        <w:textAlignment w:val="auto"/>
        <w:rPr>
          <w:rFonts w:cs="Calibri"/>
        </w:rPr>
      </w:pPr>
      <w:r>
        <w:rPr>
          <w:rFonts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rsidR="002A3E66" w:rsidRDefault="00062275">
      <w:pPr>
        <w:pStyle w:val="ListParagraph"/>
        <w:numPr>
          <w:ilvl w:val="1"/>
          <w:numId w:val="48"/>
        </w:numPr>
        <w:suppressAutoHyphens w:val="0"/>
        <w:spacing w:after="160" w:line="240" w:lineRule="auto"/>
        <w:ind w:left="426" w:hanging="426"/>
        <w:textAlignment w:val="auto"/>
      </w:pPr>
      <w:proofErr w:type="gramStart"/>
      <w:r>
        <w:rPr>
          <w:rFonts w:cs="Calibri"/>
        </w:rPr>
        <w:t>In the event that</w:t>
      </w:r>
      <w:proofErr w:type="gramEnd"/>
      <w:r>
        <w:rPr>
          <w:rFonts w:cs="Calibri"/>
        </w:rPr>
        <w:t xml:space="preserve"> the Supplier or the Supplier Personnel fail to comply with this Clause 7, the Authority reserves the right to terminate the Agreement with immediate effect pursuant</w:t>
      </w:r>
      <w:r>
        <w:rPr>
          <w:rFonts w:cs="Calibri"/>
          <w:bCs/>
          <w:iCs/>
        </w:rPr>
        <w:t xml:space="preserve"> to the clause that </w:t>
      </w:r>
      <w:r>
        <w:rPr>
          <w:rFonts w:cs="Calibri"/>
        </w:rPr>
        <w:t>provides the Authority the right to terminate the Agreement for Supplier fault (termination for Supplier cause).</w:t>
      </w:r>
    </w:p>
    <w:p w:rsidR="002A3E66" w:rsidRDefault="002A3E66">
      <w:pPr>
        <w:rPr>
          <w:rFonts w:cs="Calibri"/>
        </w:rPr>
      </w:pPr>
    </w:p>
    <w:p w:rsidR="002A3E66" w:rsidRDefault="00062275">
      <w:pPr>
        <w:pageBreakBefore/>
        <w:jc w:val="center"/>
      </w:pPr>
      <w:r>
        <w:rPr>
          <w:rFonts w:cs="Calibri"/>
          <w:b/>
        </w:rPr>
        <w:lastRenderedPageBreak/>
        <w:t>Annex 1</w:t>
      </w:r>
    </w:p>
    <w:p w:rsidR="002A3E66" w:rsidRDefault="00062275">
      <w:pPr>
        <w:jc w:val="center"/>
      </w:pPr>
      <w:r>
        <w:rPr>
          <w:rFonts w:cs="Calibri"/>
          <w:b/>
        </w:rPr>
        <w:t xml:space="preserve">Excerpt from </w:t>
      </w:r>
      <w:r>
        <w:rPr>
          <w:rFonts w:cs="Calibri"/>
          <w:b/>
          <w:spacing w:val="-2"/>
        </w:rPr>
        <w:t>HMRC’s “Test for Tax Non-Compliance”</w:t>
      </w:r>
    </w:p>
    <w:p w:rsidR="002A3E66" w:rsidRDefault="00062275">
      <w:pPr>
        <w:pStyle w:val="NormalWeb"/>
        <w:spacing w:after="0"/>
        <w:jc w:val="both"/>
      </w:pPr>
      <w:r>
        <w:rPr>
          <w:rFonts w:ascii="Calibri" w:hAnsi="Calibri" w:cs="Calibri"/>
          <w:i/>
          <w:iCs/>
          <w:color w:val="000000"/>
          <w:sz w:val="22"/>
          <w:szCs w:val="22"/>
        </w:rPr>
        <w:t>Condition one (An in-scope entity or person)</w:t>
      </w:r>
    </w:p>
    <w:p w:rsidR="002A3E66" w:rsidRDefault="002A3E66">
      <w:pPr>
        <w:pStyle w:val="NormalWeb"/>
        <w:spacing w:after="0"/>
        <w:jc w:val="both"/>
        <w:rPr>
          <w:rFonts w:ascii="Calibri" w:hAnsi="Calibri" w:cs="Calibri"/>
          <w:color w:val="000000"/>
          <w:sz w:val="22"/>
          <w:szCs w:val="22"/>
        </w:rPr>
      </w:pPr>
    </w:p>
    <w:p w:rsidR="002A3E66" w:rsidRDefault="00062275">
      <w:pPr>
        <w:pStyle w:val="NormalWeb"/>
        <w:numPr>
          <w:ilvl w:val="0"/>
          <w:numId w:val="50"/>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There is a person or entity which is either: (“X”)</w:t>
      </w:r>
    </w:p>
    <w:p w:rsidR="002A3E66" w:rsidRDefault="002A3E66">
      <w:pPr>
        <w:pStyle w:val="NormalWeb"/>
        <w:spacing w:after="0"/>
        <w:ind w:left="284" w:firstLine="60"/>
        <w:jc w:val="both"/>
        <w:rPr>
          <w:rFonts w:ascii="Calibri" w:hAnsi="Calibri" w:cs="Calibri"/>
          <w:sz w:val="22"/>
          <w:szCs w:val="22"/>
        </w:rPr>
      </w:pPr>
    </w:p>
    <w:p w:rsidR="002A3E66" w:rsidRDefault="00062275">
      <w:pPr>
        <w:pStyle w:val="NormalWeb"/>
        <w:numPr>
          <w:ilvl w:val="0"/>
          <w:numId w:val="51"/>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The Economic Operator or Essential Subcontractor (EOS)</w:t>
      </w:r>
    </w:p>
    <w:p w:rsidR="002A3E66" w:rsidRDefault="00062275">
      <w:pPr>
        <w:pStyle w:val="NormalWeb"/>
        <w:numPr>
          <w:ilvl w:val="0"/>
          <w:numId w:val="51"/>
        </w:numPr>
        <w:suppressAutoHyphens w:val="0"/>
        <w:spacing w:before="0" w:after="0"/>
        <w:ind w:left="709" w:hanging="283"/>
        <w:jc w:val="both"/>
      </w:pPr>
      <w:r>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hAnsi="Calibri" w:cs="Calibri"/>
          <w:i/>
          <w:color w:val="000000"/>
          <w:sz w:val="22"/>
          <w:szCs w:val="22"/>
        </w:rPr>
        <w:t>IFRS 10 Consolidated Financial Accounts</w:t>
      </w:r>
      <w:r>
        <w:rPr>
          <w:rStyle w:val="FootnoteReference"/>
          <w:rFonts w:ascii="Calibri" w:hAnsi="Calibri" w:cs="Calibri"/>
          <w:i/>
          <w:color w:val="000000"/>
          <w:sz w:val="22"/>
          <w:szCs w:val="22"/>
        </w:rPr>
        <w:footnoteReference w:id="1"/>
      </w:r>
      <w:r>
        <w:rPr>
          <w:rFonts w:ascii="Calibri" w:hAnsi="Calibri" w:cs="Calibri"/>
          <w:color w:val="000000"/>
          <w:sz w:val="22"/>
          <w:szCs w:val="22"/>
        </w:rPr>
        <w:t>;</w:t>
      </w:r>
    </w:p>
    <w:p w:rsidR="002A3E66" w:rsidRDefault="00062275">
      <w:pPr>
        <w:pStyle w:val="NormalWeb"/>
        <w:numPr>
          <w:ilvl w:val="0"/>
          <w:numId w:val="51"/>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rsidR="002A3E66" w:rsidRDefault="00062275">
      <w:pPr>
        <w:pStyle w:val="NormalWeb"/>
        <w:spacing w:after="120"/>
        <w:jc w:val="both"/>
        <w:rPr>
          <w:rFonts w:ascii="Calibri" w:hAnsi="Calibri" w:cs="Calibri"/>
          <w:sz w:val="22"/>
          <w:szCs w:val="22"/>
        </w:rPr>
      </w:pPr>
      <w:r>
        <w:rPr>
          <w:rFonts w:ascii="Calibri" w:hAnsi="Calibri" w:cs="Calibri"/>
          <w:sz w:val="22"/>
          <w:szCs w:val="22"/>
        </w:rPr>
        <w:t> </w:t>
      </w:r>
    </w:p>
    <w:p w:rsidR="002A3E66" w:rsidRDefault="00062275">
      <w:pPr>
        <w:pStyle w:val="NormalWeb"/>
        <w:spacing w:after="120"/>
        <w:jc w:val="both"/>
      </w:pPr>
      <w:r>
        <w:rPr>
          <w:rFonts w:ascii="Calibri" w:hAnsi="Calibri" w:cs="Calibri"/>
          <w:i/>
          <w:iCs/>
          <w:color w:val="000000"/>
          <w:sz w:val="22"/>
          <w:szCs w:val="22"/>
        </w:rPr>
        <w:t>Condition two (Arrangements involving evasion, abuse or tax avoidance)</w:t>
      </w:r>
    </w:p>
    <w:p w:rsidR="002A3E66" w:rsidRDefault="00062275">
      <w:pPr>
        <w:pStyle w:val="NormalWeb"/>
        <w:numPr>
          <w:ilvl w:val="0"/>
          <w:numId w:val="50"/>
        </w:numPr>
        <w:suppressAutoHyphens w:val="0"/>
        <w:spacing w:before="0" w:after="0"/>
        <w:jc w:val="both"/>
        <w:rPr>
          <w:rFonts w:ascii="Calibri" w:hAnsi="Calibri" w:cs="Calibri"/>
          <w:color w:val="000000"/>
          <w:sz w:val="22"/>
          <w:szCs w:val="22"/>
        </w:rPr>
      </w:pPr>
      <w:r>
        <w:rPr>
          <w:rFonts w:ascii="Calibri" w:hAnsi="Calibri" w:cs="Calibri"/>
          <w:color w:val="000000"/>
          <w:sz w:val="22"/>
          <w:szCs w:val="22"/>
        </w:rPr>
        <w:t>X has been engaged in one or more of the following:</w:t>
      </w:r>
    </w:p>
    <w:p w:rsidR="002A3E66" w:rsidRDefault="002A3E66">
      <w:pPr>
        <w:pStyle w:val="NormalWeb"/>
        <w:spacing w:after="0"/>
        <w:jc w:val="both"/>
        <w:rPr>
          <w:rFonts w:ascii="Calibri" w:hAnsi="Calibri" w:cs="Calibri"/>
          <w:color w:val="000000"/>
          <w:sz w:val="22"/>
          <w:szCs w:val="22"/>
        </w:rPr>
      </w:pPr>
    </w:p>
    <w:p w:rsidR="002A3E66" w:rsidRDefault="00062275">
      <w:pPr>
        <w:pStyle w:val="NormalWeb"/>
        <w:numPr>
          <w:ilvl w:val="1"/>
          <w:numId w:val="52"/>
        </w:numPr>
        <w:suppressAutoHyphens w:val="0"/>
        <w:spacing w:before="0" w:after="0"/>
        <w:ind w:left="709" w:hanging="283"/>
        <w:jc w:val="both"/>
      </w:pPr>
      <w:r>
        <w:rPr>
          <w:rFonts w:ascii="Calibri" w:hAnsi="Calibri" w:cs="Calibri"/>
          <w:color w:val="000000"/>
          <w:sz w:val="22"/>
          <w:szCs w:val="22"/>
        </w:rPr>
        <w:t>Fraudulent evasion</w:t>
      </w:r>
      <w:r>
        <w:rPr>
          <w:rStyle w:val="FootnoteReference"/>
          <w:rFonts w:ascii="Calibri" w:hAnsi="Calibri" w:cs="Calibri"/>
          <w:color w:val="000000"/>
          <w:sz w:val="22"/>
          <w:szCs w:val="22"/>
        </w:rPr>
        <w:footnoteReference w:id="2"/>
      </w:r>
      <w:r>
        <w:rPr>
          <w:rFonts w:ascii="Calibri" w:hAnsi="Calibri" w:cs="Calibri"/>
          <w:color w:val="000000"/>
          <w:sz w:val="22"/>
          <w:szCs w:val="22"/>
        </w:rPr>
        <w:t>;</w:t>
      </w:r>
    </w:p>
    <w:p w:rsidR="002A3E66" w:rsidRDefault="00062275">
      <w:pPr>
        <w:pStyle w:val="NormalWeb"/>
        <w:numPr>
          <w:ilvl w:val="1"/>
          <w:numId w:val="52"/>
        </w:numPr>
        <w:suppressAutoHyphens w:val="0"/>
        <w:spacing w:before="0" w:after="0"/>
        <w:ind w:left="709" w:hanging="283"/>
        <w:jc w:val="both"/>
      </w:pPr>
      <w:r>
        <w:rPr>
          <w:rFonts w:ascii="Calibri" w:hAnsi="Calibri" w:cs="Calibri"/>
          <w:color w:val="000000"/>
          <w:sz w:val="22"/>
          <w:szCs w:val="22"/>
        </w:rPr>
        <w:t>Conduct caught by the General Anti-Abuse Rule</w:t>
      </w:r>
      <w:r>
        <w:rPr>
          <w:rStyle w:val="FootnoteReference"/>
          <w:rFonts w:ascii="Calibri" w:hAnsi="Calibri" w:cs="Calibri"/>
          <w:color w:val="000000"/>
          <w:sz w:val="22"/>
          <w:szCs w:val="22"/>
        </w:rPr>
        <w:footnoteReference w:id="3"/>
      </w:r>
      <w:r>
        <w:rPr>
          <w:rFonts w:ascii="Calibri" w:hAnsi="Calibri" w:cs="Calibri"/>
          <w:color w:val="000000"/>
          <w:sz w:val="22"/>
          <w:szCs w:val="22"/>
        </w:rPr>
        <w:t>;</w:t>
      </w:r>
    </w:p>
    <w:p w:rsidR="002A3E66" w:rsidRDefault="00062275">
      <w:pPr>
        <w:pStyle w:val="NormalWeb"/>
        <w:numPr>
          <w:ilvl w:val="1"/>
          <w:numId w:val="52"/>
        </w:numPr>
        <w:suppressAutoHyphens w:val="0"/>
        <w:spacing w:before="0" w:after="0"/>
        <w:ind w:left="709" w:hanging="283"/>
        <w:jc w:val="both"/>
      </w:pPr>
      <w:r>
        <w:rPr>
          <w:rFonts w:ascii="Calibri" w:hAnsi="Calibri" w:cs="Calibri"/>
          <w:color w:val="000000"/>
          <w:sz w:val="22"/>
          <w:szCs w:val="22"/>
        </w:rPr>
        <w:t>Conduct caught by the Halifax Abuse principle</w:t>
      </w:r>
      <w:r>
        <w:rPr>
          <w:rStyle w:val="FootnoteReference"/>
          <w:rFonts w:ascii="Calibri" w:hAnsi="Calibri" w:cs="Calibri"/>
          <w:color w:val="000000"/>
          <w:sz w:val="22"/>
          <w:szCs w:val="22"/>
        </w:rPr>
        <w:footnoteReference w:id="4"/>
      </w:r>
      <w:r>
        <w:rPr>
          <w:rFonts w:ascii="Calibri" w:hAnsi="Calibri" w:cs="Calibri"/>
          <w:color w:val="000000"/>
          <w:sz w:val="22"/>
          <w:szCs w:val="22"/>
        </w:rPr>
        <w:t>;</w:t>
      </w:r>
    </w:p>
    <w:p w:rsidR="002A3E66" w:rsidRDefault="00062275">
      <w:pPr>
        <w:pStyle w:val="NormalWeb"/>
        <w:numPr>
          <w:ilvl w:val="1"/>
          <w:numId w:val="52"/>
        </w:numPr>
        <w:suppressAutoHyphens w:val="0"/>
        <w:spacing w:before="0" w:after="0"/>
        <w:ind w:left="709" w:hanging="283"/>
        <w:jc w:val="both"/>
      </w:pPr>
      <w:r>
        <w:rPr>
          <w:rFonts w:ascii="Calibri" w:hAnsi="Calibri" w:cs="Calibri"/>
          <w:color w:val="000000"/>
          <w:sz w:val="22"/>
          <w:szCs w:val="22"/>
        </w:rPr>
        <w:t>Entered into arrangements caught by a DOTAS or VADR scheme</w:t>
      </w:r>
      <w:r>
        <w:rPr>
          <w:rStyle w:val="FootnoteReference"/>
          <w:rFonts w:ascii="Calibri" w:hAnsi="Calibri" w:cs="Calibri"/>
          <w:color w:val="000000"/>
          <w:sz w:val="22"/>
          <w:szCs w:val="22"/>
        </w:rPr>
        <w:footnoteReference w:id="5"/>
      </w:r>
      <w:r>
        <w:rPr>
          <w:rFonts w:ascii="Calibri" w:hAnsi="Calibri" w:cs="Calibri"/>
          <w:color w:val="000000"/>
          <w:sz w:val="22"/>
          <w:szCs w:val="22"/>
        </w:rPr>
        <w:t>;</w:t>
      </w:r>
    </w:p>
    <w:p w:rsidR="002A3E66" w:rsidRDefault="00062275">
      <w:pPr>
        <w:pStyle w:val="NormalWeb"/>
        <w:numPr>
          <w:ilvl w:val="1"/>
          <w:numId w:val="52"/>
        </w:numPr>
        <w:suppressAutoHyphens w:val="0"/>
        <w:spacing w:after="0"/>
        <w:ind w:left="709" w:hanging="283"/>
        <w:jc w:val="both"/>
      </w:pPr>
      <w:r>
        <w:rPr>
          <w:rFonts w:ascii="Calibri" w:hAnsi="Calibri" w:cs="Calibri"/>
          <w:color w:val="000000"/>
          <w:sz w:val="22"/>
          <w:szCs w:val="22"/>
        </w:rPr>
        <w:t>Conduct caught by a recognised ‘anti-avoidance rule’</w:t>
      </w:r>
      <w:r>
        <w:rPr>
          <w:rStyle w:val="FootnoteReference"/>
          <w:rFonts w:ascii="Calibri" w:hAnsi="Calibri" w:cs="Calibri"/>
          <w:color w:val="000000"/>
          <w:sz w:val="22"/>
          <w:szCs w:val="22"/>
        </w:rPr>
        <w:footnoteReference w:id="6"/>
      </w:r>
      <w:r>
        <w:rPr>
          <w:rFonts w:ascii="Calibri" w:hAnsi="Calibri" w:cs="Calibr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rsidR="002A3E66" w:rsidRDefault="00062275">
      <w:pPr>
        <w:pStyle w:val="NormalWeb"/>
        <w:numPr>
          <w:ilvl w:val="1"/>
          <w:numId w:val="52"/>
        </w:numPr>
        <w:suppressAutoHyphens w:val="0"/>
        <w:spacing w:before="0" w:after="0"/>
        <w:ind w:left="709" w:hanging="283"/>
        <w:jc w:val="both"/>
      </w:pPr>
      <w:proofErr w:type="gramStart"/>
      <w:r>
        <w:rPr>
          <w:rFonts w:ascii="Calibri" w:hAnsi="Calibri" w:cs="Calibri"/>
          <w:color w:val="000000"/>
          <w:sz w:val="22"/>
          <w:szCs w:val="22"/>
        </w:rPr>
        <w:t>Entered into</w:t>
      </w:r>
      <w:proofErr w:type="gramEnd"/>
      <w:r>
        <w:rPr>
          <w:rFonts w:ascii="Calibri" w:hAnsi="Calibri" w:cs="Calibri"/>
          <w:color w:val="000000"/>
          <w:sz w:val="22"/>
          <w:szCs w:val="22"/>
        </w:rPr>
        <w:t xml:space="preserve"> an avoidance scheme identified by HMRC’s published Spotlights list</w:t>
      </w:r>
      <w:r>
        <w:rPr>
          <w:rStyle w:val="FootnoteReference"/>
          <w:rFonts w:ascii="Calibri" w:hAnsi="Calibri" w:cs="Calibri"/>
          <w:color w:val="000000"/>
          <w:sz w:val="22"/>
          <w:szCs w:val="22"/>
        </w:rPr>
        <w:footnoteReference w:id="7"/>
      </w:r>
      <w:r>
        <w:rPr>
          <w:rFonts w:ascii="Calibri" w:hAnsi="Calibri" w:cs="Calibri"/>
          <w:color w:val="000000"/>
          <w:sz w:val="22"/>
          <w:szCs w:val="22"/>
        </w:rPr>
        <w:t>;</w:t>
      </w:r>
    </w:p>
    <w:p w:rsidR="002A3E66" w:rsidRDefault="00062275">
      <w:pPr>
        <w:pStyle w:val="NormalWeb"/>
        <w:numPr>
          <w:ilvl w:val="1"/>
          <w:numId w:val="52"/>
        </w:numPr>
        <w:suppressAutoHyphens w:val="0"/>
        <w:spacing w:after="120"/>
        <w:ind w:left="709" w:hanging="283"/>
        <w:jc w:val="both"/>
        <w:rPr>
          <w:rFonts w:ascii="Calibri" w:hAnsi="Calibri" w:cs="Calibri"/>
          <w:color w:val="000000"/>
          <w:sz w:val="22"/>
          <w:szCs w:val="22"/>
        </w:rPr>
      </w:pPr>
      <w:r>
        <w:rPr>
          <w:rFonts w:ascii="Calibri" w:hAnsi="Calibri" w:cs="Calibri"/>
          <w:color w:val="000000"/>
          <w:sz w:val="22"/>
          <w:szCs w:val="22"/>
        </w:rPr>
        <w:t xml:space="preserve">Engaged in conduct which falls under rules in other jurisdictions which are equivalent or </w:t>
      </w:r>
      <w:proofErr w:type="gramStart"/>
      <w:r>
        <w:rPr>
          <w:rFonts w:ascii="Calibri" w:hAnsi="Calibri" w:cs="Calibri"/>
          <w:color w:val="000000"/>
          <w:sz w:val="22"/>
          <w:szCs w:val="22"/>
        </w:rPr>
        <w:t>similar to</w:t>
      </w:r>
      <w:proofErr w:type="gramEnd"/>
      <w:r>
        <w:rPr>
          <w:rFonts w:ascii="Calibri" w:hAnsi="Calibri" w:cs="Calibri"/>
          <w:color w:val="000000"/>
          <w:sz w:val="22"/>
          <w:szCs w:val="22"/>
        </w:rPr>
        <w:t xml:space="preserve"> (a) to (f) above.</w:t>
      </w:r>
    </w:p>
    <w:p w:rsidR="002A3E66" w:rsidRDefault="00062275">
      <w:pPr>
        <w:pStyle w:val="NormalWeb"/>
        <w:spacing w:after="120"/>
        <w:jc w:val="both"/>
      </w:pPr>
      <w:r>
        <w:rPr>
          <w:rFonts w:ascii="Calibri" w:hAnsi="Calibri" w:cs="Calibri"/>
          <w:i/>
          <w:iCs/>
          <w:color w:val="000000"/>
          <w:sz w:val="22"/>
          <w:szCs w:val="22"/>
        </w:rPr>
        <w:t>Condition three (Arrangements are admitted, or subject to litigation/prosecution or identified in a published list (Spotlights))</w:t>
      </w:r>
    </w:p>
    <w:p w:rsidR="002A3E66" w:rsidRDefault="00062275">
      <w:pPr>
        <w:pStyle w:val="NormalWeb"/>
        <w:numPr>
          <w:ilvl w:val="0"/>
          <w:numId w:val="50"/>
        </w:numPr>
        <w:suppressAutoHyphens w:val="0"/>
        <w:spacing w:before="0" w:after="0"/>
        <w:jc w:val="both"/>
      </w:pPr>
      <w:r>
        <w:rPr>
          <w:rFonts w:ascii="Calibri" w:hAnsi="Calibri" w:cs="Calibri"/>
          <w:color w:val="000000"/>
          <w:sz w:val="22"/>
          <w:szCs w:val="22"/>
        </w:rPr>
        <w:lastRenderedPageBreak/>
        <w:t xml:space="preserve">X’s activity in </w:t>
      </w:r>
      <w:r>
        <w:rPr>
          <w:rFonts w:ascii="Calibri" w:hAnsi="Calibri" w:cs="Calibri"/>
          <w:i/>
          <w:color w:val="000000"/>
          <w:sz w:val="22"/>
          <w:szCs w:val="22"/>
        </w:rPr>
        <w:t>Condition 2</w:t>
      </w:r>
      <w:r>
        <w:rPr>
          <w:rFonts w:ascii="Calibri" w:hAnsi="Calibri" w:cs="Calibri"/>
          <w:color w:val="000000"/>
          <w:sz w:val="22"/>
          <w:szCs w:val="22"/>
        </w:rPr>
        <w:t xml:space="preserve"> is, where applicable, subject to dispute and/or litigation as follows:</w:t>
      </w:r>
    </w:p>
    <w:p w:rsidR="002A3E66" w:rsidRDefault="002A3E66">
      <w:pPr>
        <w:pStyle w:val="NormalWeb"/>
        <w:spacing w:after="0"/>
        <w:ind w:firstLine="60"/>
        <w:rPr>
          <w:rFonts w:ascii="Calibri" w:hAnsi="Calibri" w:cs="Calibri"/>
          <w:sz w:val="22"/>
          <w:szCs w:val="22"/>
        </w:rPr>
      </w:pPr>
    </w:p>
    <w:p w:rsidR="002A3E66" w:rsidRDefault="00062275">
      <w:pPr>
        <w:pStyle w:val="NormalWeb"/>
        <w:numPr>
          <w:ilvl w:val="1"/>
          <w:numId w:val="5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(a), either X:</w:t>
      </w:r>
    </w:p>
    <w:p w:rsidR="002A3E66" w:rsidRDefault="00062275">
      <w:pPr>
        <w:pStyle w:val="NormalWeb"/>
        <w:numPr>
          <w:ilvl w:val="2"/>
          <w:numId w:val="53"/>
        </w:numPr>
        <w:tabs>
          <w:tab w:val="left" w:pos="1418"/>
        </w:tabs>
        <w:suppressAutoHyphens w:val="0"/>
        <w:spacing w:before="0" w:after="0"/>
        <w:ind w:left="1418" w:hanging="425"/>
        <w:jc w:val="both"/>
      </w:pPr>
      <w:r>
        <w:rPr>
          <w:rFonts w:ascii="Calibri" w:hAnsi="Calibri" w:cs="Calibri"/>
          <w:color w:val="000000"/>
          <w:sz w:val="22"/>
          <w:szCs w:val="22"/>
        </w:rPr>
        <w:t>Has accepted the terms of an offer made under a Contractual Disclosure Facility (CDF) pursuant to the Code of Practice 9 (COP9) procedure</w:t>
      </w:r>
      <w:r>
        <w:rPr>
          <w:rStyle w:val="FootnoteReference"/>
          <w:rFonts w:ascii="Calibri" w:hAnsi="Calibri" w:cs="Calibri"/>
          <w:color w:val="000000"/>
          <w:sz w:val="22"/>
          <w:szCs w:val="22"/>
        </w:rPr>
        <w:footnoteReference w:id="8"/>
      </w:r>
      <w:r>
        <w:rPr>
          <w:rFonts w:ascii="Calibri" w:hAnsi="Calibri" w:cs="Calibri"/>
          <w:color w:val="000000"/>
          <w:sz w:val="22"/>
          <w:szCs w:val="22"/>
        </w:rPr>
        <w:t>; or,</w:t>
      </w:r>
    </w:p>
    <w:p w:rsidR="002A3E66" w:rsidRDefault="00062275">
      <w:pPr>
        <w:pStyle w:val="NormalWeb"/>
        <w:numPr>
          <w:ilvl w:val="2"/>
          <w:numId w:val="53"/>
        </w:numPr>
        <w:tabs>
          <w:tab w:val="left" w:pos="1418"/>
          <w:tab w:val="left" w:pos="2160"/>
        </w:tabs>
        <w:suppressAutoHyphens w:val="0"/>
        <w:spacing w:before="0" w:after="0"/>
        <w:ind w:left="1418" w:hanging="425"/>
        <w:jc w:val="both"/>
        <w:rPr>
          <w:rFonts w:ascii="Calibri" w:hAnsi="Calibri" w:cs="Calibri"/>
          <w:color w:val="000000"/>
          <w:sz w:val="22"/>
          <w:szCs w:val="22"/>
        </w:rPr>
      </w:pPr>
      <w:r>
        <w:rPr>
          <w:rFonts w:ascii="Calibri" w:hAnsi="Calibri" w:cs="Calibri"/>
          <w:color w:val="000000"/>
          <w:sz w:val="22"/>
          <w:szCs w:val="22"/>
        </w:rPr>
        <w:t xml:space="preserve">Has been charged with an offence of fraudulent evasion. </w:t>
      </w:r>
    </w:p>
    <w:p w:rsidR="002A3E66" w:rsidRDefault="00062275">
      <w:pPr>
        <w:pStyle w:val="NormalWeb"/>
        <w:numPr>
          <w:ilvl w:val="1"/>
          <w:numId w:val="5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2A3E66" w:rsidRDefault="00062275">
      <w:pPr>
        <w:pStyle w:val="NormalWeb"/>
        <w:numPr>
          <w:ilvl w:val="1"/>
          <w:numId w:val="5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(b) to (e), during an HMRC enquiry, if it has been agreed between HMRC and X that there is a pause with the enquiry in order to await the outcome of related litigation.</w:t>
      </w:r>
    </w:p>
    <w:p w:rsidR="002A3E66" w:rsidRDefault="00062275">
      <w:pPr>
        <w:pStyle w:val="NormalWeb"/>
        <w:numPr>
          <w:ilvl w:val="1"/>
          <w:numId w:val="5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(f) this condition is satisfied without any further steps being taken.</w:t>
      </w:r>
    </w:p>
    <w:p w:rsidR="002A3E66" w:rsidRDefault="00062275">
      <w:pPr>
        <w:pStyle w:val="NormalWeb"/>
        <w:numPr>
          <w:ilvl w:val="1"/>
          <w:numId w:val="53"/>
        </w:numPr>
        <w:suppressAutoHyphens w:val="0"/>
        <w:spacing w:before="0" w:after="0"/>
        <w:ind w:left="709" w:hanging="283"/>
        <w:jc w:val="both"/>
        <w:rPr>
          <w:rFonts w:ascii="Calibri" w:hAnsi="Calibri" w:cs="Calibri"/>
          <w:color w:val="000000"/>
          <w:sz w:val="22"/>
          <w:szCs w:val="22"/>
        </w:rPr>
      </w:pPr>
      <w:r>
        <w:rPr>
          <w:rFonts w:ascii="Calibri" w:hAnsi="Calibri" w:cs="Calibri"/>
          <w:color w:val="000000"/>
          <w:sz w:val="22"/>
          <w:szCs w:val="22"/>
        </w:rPr>
        <w:t>In respect of (g) the foreign equivalent to each of the corresponding steps set out above in (i) to (iii).</w:t>
      </w:r>
    </w:p>
    <w:p w:rsidR="002A3E66" w:rsidRDefault="00062275">
      <w:pPr>
        <w:pStyle w:val="NormalWeb"/>
        <w:spacing w:after="120"/>
        <w:jc w:val="both"/>
        <w:rPr>
          <w:rFonts w:ascii="Calibri" w:hAnsi="Calibri" w:cs="Calibri"/>
          <w:sz w:val="22"/>
          <w:szCs w:val="22"/>
        </w:rPr>
      </w:pPr>
      <w:r>
        <w:rPr>
          <w:rFonts w:ascii="Calibri" w:hAnsi="Calibri" w:cs="Calibri"/>
          <w:sz w:val="22"/>
          <w:szCs w:val="22"/>
        </w:rPr>
        <w:t> </w:t>
      </w:r>
    </w:p>
    <w:p w:rsidR="002A3E66" w:rsidRDefault="00062275">
      <w:pPr>
        <w:pStyle w:val="Heading3"/>
        <w:keepNext w:val="0"/>
        <w:keepLines w:val="0"/>
        <w:tabs>
          <w:tab w:val="left" w:pos="1701"/>
        </w:tabs>
        <w:spacing w:before="0" w:after="220" w:line="240" w:lineRule="auto"/>
        <w:jc w:val="both"/>
        <w:rPr>
          <w:rFonts w:ascii="Calibri" w:hAnsi="Calibri" w:cs="Calibri"/>
          <w:color w:val="auto"/>
          <w:sz w:val="22"/>
          <w:szCs w:val="22"/>
        </w:rPr>
      </w:pPr>
      <w:r>
        <w:rPr>
          <w:rFonts w:ascii="Calibri" w:hAnsi="Calibri" w:cs="Calibri"/>
          <w:color w:val="auto"/>
          <w:sz w:val="22"/>
          <w:szCs w:val="22"/>
        </w:rPr>
        <w:t>For the avoidance of doubt, any reference in this Annex 1 to any Law includes a reference to that Law as amended, extended, consolidated or re</w:t>
      </w:r>
      <w:r>
        <w:rPr>
          <w:rFonts w:ascii="Calibri" w:hAnsi="Calibri" w:cs="Calibri"/>
          <w:color w:val="auto"/>
          <w:sz w:val="22"/>
          <w:szCs w:val="22"/>
        </w:rPr>
        <w:noBreakHyphen/>
        <w:t xml:space="preserve">enacted from time to time including any implementing or successor legislation. </w:t>
      </w:r>
    </w:p>
    <w:p w:rsidR="002A3E66" w:rsidRDefault="002A3E66">
      <w:pPr>
        <w:pageBreakBefore/>
        <w:rPr>
          <w:rFonts w:cs="Calibri"/>
        </w:rPr>
      </w:pPr>
    </w:p>
    <w:p w:rsidR="002A3E66" w:rsidRDefault="00062275">
      <w:pPr>
        <w:jc w:val="center"/>
        <w:rPr>
          <w:rFonts w:cs="Calibri"/>
          <w:b/>
        </w:rPr>
      </w:pPr>
      <w:r>
        <w:rPr>
          <w:rFonts w:cs="Calibri"/>
          <w:b/>
        </w:rPr>
        <w:t xml:space="preserve">Annex 2 Form </w:t>
      </w:r>
    </w:p>
    <w:p w:rsidR="002A3E66" w:rsidRDefault="00062275">
      <w:pPr>
        <w:jc w:val="center"/>
        <w:rPr>
          <w:rFonts w:cs="Calibri"/>
          <w:b/>
        </w:rPr>
      </w:pPr>
      <w:r>
        <w:rPr>
          <w:rFonts w:cs="Calibri"/>
          <w:b/>
        </w:rPr>
        <w:t xml:space="preserve">CONFIDENTIALITY DECLARATION </w:t>
      </w:r>
    </w:p>
    <w:p w:rsidR="002A3E66" w:rsidRDefault="00062275">
      <w:pPr>
        <w:jc w:val="both"/>
      </w:pPr>
      <w:r>
        <w:rPr>
          <w:rFonts w:cs="Calibri"/>
        </w:rPr>
        <w:t>CONTRACT REFERENCE: (‘the Agreement’)</w:t>
      </w:r>
    </w:p>
    <w:p w:rsidR="002A3E66" w:rsidRDefault="00062275">
      <w:pPr>
        <w:jc w:val="both"/>
        <w:rPr>
          <w:rFonts w:cs="Calibri"/>
        </w:rPr>
      </w:pPr>
      <w:r>
        <w:rPr>
          <w:rFonts w:cs="Calibri"/>
        </w:rPr>
        <w:t>DECLARATION:</w:t>
      </w:r>
    </w:p>
    <w:p w:rsidR="002A3E66" w:rsidRDefault="00062275">
      <w:pPr>
        <w:jc w:val="both"/>
        <w:rPr>
          <w:rFonts w:cs="Calibri"/>
        </w:rPr>
      </w:pPr>
      <w:r>
        <w:rPr>
          <w:rFonts w:cs="Calibri"/>
        </w:rPr>
        <w:t xml:space="preserve">I solemnly declare that: </w:t>
      </w:r>
    </w:p>
    <w:p w:rsidR="002A3E66" w:rsidRDefault="00062275">
      <w:pPr>
        <w:pStyle w:val="ListParagraph"/>
        <w:numPr>
          <w:ilvl w:val="0"/>
          <w:numId w:val="54"/>
        </w:numPr>
        <w:suppressAutoHyphens w:val="0"/>
        <w:spacing w:after="160"/>
        <w:ind w:left="426" w:hanging="426"/>
        <w:jc w:val="both"/>
        <w:textAlignment w:val="auto"/>
      </w:pPr>
      <w:r>
        <w:rPr>
          <w:rFonts w:cs="Calibri"/>
        </w:rPr>
        <w:t xml:space="preserve">I am aware that the duty of confidentiality imposed by section 18 of the Commissioners for Revenue and Customs Act 2005 applies to </w:t>
      </w:r>
      <w:r>
        <w:t xml:space="preserve">Authority Data (as defined in the Agreement) </w:t>
      </w:r>
      <w:r>
        <w:rPr>
          <w:rFonts w:cs="Calibri"/>
        </w:rPr>
        <w:t>that has been or will be provided to me in accordance with the Agreement.</w:t>
      </w:r>
    </w:p>
    <w:p w:rsidR="002A3E66" w:rsidRDefault="00062275">
      <w:pPr>
        <w:pStyle w:val="ListParagraph"/>
        <w:numPr>
          <w:ilvl w:val="0"/>
          <w:numId w:val="54"/>
        </w:numPr>
        <w:suppressAutoHyphens w:val="0"/>
        <w:spacing w:after="160"/>
        <w:ind w:left="426" w:hanging="426"/>
        <w:jc w:val="both"/>
        <w:textAlignment w:val="auto"/>
        <w:rPr>
          <w:rFonts w:cs="Calibri"/>
        </w:rPr>
      </w:pPr>
      <w:r>
        <w:rPr>
          <w:rFonts w:cs="Calibri"/>
        </w:rPr>
        <w:t xml:space="preserve">I understand and acknowledge that under Section 19 of the Commissioners for Revenue and Customs Act 2005 it may be a criminal offence to disclose any Authority Data provided to me. </w:t>
      </w:r>
    </w:p>
    <w:p w:rsidR="002A3E66" w:rsidRDefault="002A3E66">
      <w:pPr>
        <w:pStyle w:val="ListParagraph"/>
        <w:ind w:left="426"/>
        <w:jc w:val="both"/>
        <w:rPr>
          <w:rFonts w:cs="Calibri"/>
        </w:rPr>
      </w:pPr>
    </w:p>
    <w:tbl>
      <w:tblPr>
        <w:tblW w:w="5670" w:type="dxa"/>
        <w:tblInd w:w="421" w:type="dxa"/>
        <w:tblCellMar>
          <w:left w:w="10" w:type="dxa"/>
          <w:right w:w="10" w:type="dxa"/>
        </w:tblCellMar>
        <w:tblLook w:val="0000" w:firstRow="0" w:lastRow="0" w:firstColumn="0" w:lastColumn="0" w:noHBand="0" w:noVBand="0"/>
      </w:tblPr>
      <w:tblGrid>
        <w:gridCol w:w="5670"/>
      </w:tblGrid>
      <w:tr w:rsidR="002A3E66">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E66" w:rsidRDefault="00062275">
            <w:pPr>
              <w:spacing w:line="360" w:lineRule="auto"/>
              <w:textAlignment w:val="auto"/>
              <w:rPr>
                <w:rFonts w:ascii="Calibri" w:eastAsia="Calibri" w:hAnsi="Calibri" w:cs="Calibri"/>
                <w:lang w:eastAsia="en-US"/>
              </w:rPr>
            </w:pPr>
            <w:r>
              <w:rPr>
                <w:rFonts w:ascii="Calibri" w:eastAsia="Calibri" w:hAnsi="Calibri" w:cs="Calibri"/>
                <w:lang w:eastAsia="en-US"/>
              </w:rPr>
              <w:t>SIGNED:</w:t>
            </w:r>
            <w:r w:rsidR="00860460">
              <w:rPr>
                <w:rFonts w:ascii="Calibri" w:eastAsia="Calibri" w:hAnsi="Calibri" w:cs="Calibri"/>
                <w:lang w:eastAsia="en-US"/>
              </w:rPr>
              <w:t xml:space="preserve"> </w:t>
            </w:r>
            <w:r w:rsidR="00860460" w:rsidRPr="00860460">
              <w:rPr>
                <w:rFonts w:ascii="Calibri" w:eastAsia="Calibri" w:hAnsi="Calibri" w:cs="Calibri"/>
                <w:highlight w:val="black"/>
                <w:lang w:eastAsia="en-US"/>
              </w:rPr>
              <w:t>XXXXXXXXXXXXXXXXXXXXXXXXXXXXXXXXXXXXXXXXXXXXXXX</w:t>
            </w:r>
          </w:p>
        </w:tc>
      </w:tr>
      <w:tr w:rsidR="002A3E66">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E66" w:rsidRDefault="00062275">
            <w:pPr>
              <w:spacing w:line="360" w:lineRule="auto"/>
              <w:textAlignment w:val="auto"/>
              <w:rPr>
                <w:rFonts w:ascii="Calibri" w:eastAsia="Calibri" w:hAnsi="Calibri" w:cs="Calibri"/>
                <w:lang w:eastAsia="en-US"/>
              </w:rPr>
            </w:pPr>
            <w:r>
              <w:rPr>
                <w:rFonts w:ascii="Calibri" w:eastAsia="Calibri" w:hAnsi="Calibri" w:cs="Calibri"/>
                <w:lang w:eastAsia="en-US"/>
              </w:rPr>
              <w:t>FULL NAME:</w:t>
            </w:r>
            <w:r w:rsidR="00860460" w:rsidRPr="00561229">
              <w:rPr>
                <w:highlight w:val="black"/>
              </w:rPr>
              <w:t xml:space="preserve"> </w:t>
            </w:r>
            <w:r w:rsidR="00860460" w:rsidRPr="00860460">
              <w:rPr>
                <w:rFonts w:ascii="Calibri" w:eastAsia="Calibri" w:hAnsi="Calibri" w:cs="Calibri"/>
                <w:highlight w:val="black"/>
                <w:lang w:eastAsia="en-US"/>
              </w:rPr>
              <w:t>XXXXXXXXXXXXXXXXXXXXXXXXXXXXXXXXXXXXXXXXXXXXXXX</w:t>
            </w:r>
          </w:p>
        </w:tc>
      </w:tr>
      <w:tr w:rsidR="002A3E66">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E66" w:rsidRDefault="00062275">
            <w:pPr>
              <w:spacing w:line="360" w:lineRule="auto"/>
              <w:textAlignment w:val="auto"/>
              <w:rPr>
                <w:rFonts w:ascii="Calibri" w:eastAsia="Calibri" w:hAnsi="Calibri" w:cs="Calibri"/>
                <w:lang w:eastAsia="en-US"/>
              </w:rPr>
            </w:pPr>
            <w:r>
              <w:rPr>
                <w:rFonts w:ascii="Calibri" w:eastAsia="Calibri" w:hAnsi="Calibri" w:cs="Calibri"/>
                <w:lang w:eastAsia="en-US"/>
              </w:rPr>
              <w:t>POSITION:</w:t>
            </w:r>
          </w:p>
          <w:p w:rsidR="00860460" w:rsidRDefault="00860460">
            <w:pPr>
              <w:spacing w:line="360" w:lineRule="auto"/>
              <w:textAlignment w:val="auto"/>
              <w:rPr>
                <w:rFonts w:ascii="Calibri" w:eastAsia="Calibri" w:hAnsi="Calibri" w:cs="Calibri"/>
                <w:lang w:eastAsia="en-US"/>
              </w:rPr>
            </w:pPr>
            <w:r w:rsidRPr="00860460">
              <w:rPr>
                <w:rFonts w:ascii="Calibri" w:eastAsia="Calibri" w:hAnsi="Calibri" w:cs="Calibri"/>
                <w:highlight w:val="black"/>
                <w:lang w:eastAsia="en-US"/>
              </w:rPr>
              <w:t>XXXXXXXXXXXXXXXXXXXXXXXXXXXXXXXXXXXXXXXXXXXXXXX</w:t>
            </w:r>
          </w:p>
        </w:tc>
      </w:tr>
      <w:tr w:rsidR="002A3E66">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E66" w:rsidRDefault="00062275">
            <w:pPr>
              <w:spacing w:line="360" w:lineRule="auto"/>
              <w:textAlignment w:val="auto"/>
              <w:rPr>
                <w:rFonts w:ascii="Calibri" w:eastAsia="Calibri" w:hAnsi="Calibri" w:cs="Calibri"/>
                <w:lang w:eastAsia="en-US"/>
              </w:rPr>
            </w:pPr>
            <w:r>
              <w:rPr>
                <w:rFonts w:ascii="Calibri" w:eastAsia="Calibri" w:hAnsi="Calibri" w:cs="Calibri"/>
                <w:lang w:eastAsia="en-US"/>
              </w:rPr>
              <w:t xml:space="preserve">COMPANY: </w:t>
            </w:r>
          </w:p>
          <w:p w:rsidR="00860460" w:rsidRDefault="00860460">
            <w:pPr>
              <w:spacing w:line="360" w:lineRule="auto"/>
              <w:textAlignment w:val="auto"/>
              <w:rPr>
                <w:rFonts w:ascii="Calibri" w:eastAsia="Calibri" w:hAnsi="Calibri" w:cs="Calibri"/>
                <w:lang w:eastAsia="en-US"/>
              </w:rPr>
            </w:pPr>
            <w:r w:rsidRPr="00860460">
              <w:rPr>
                <w:rFonts w:ascii="Calibri" w:eastAsia="Calibri" w:hAnsi="Calibri" w:cs="Calibri"/>
                <w:highlight w:val="black"/>
                <w:lang w:eastAsia="en-US"/>
              </w:rPr>
              <w:t>XXXXXXXXXXXXXXXXXXXXXXXXXXXXXXXXXXXXXXXXXXXXXXX</w:t>
            </w:r>
          </w:p>
        </w:tc>
      </w:tr>
      <w:tr w:rsidR="002A3E66">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E66" w:rsidRDefault="00062275">
            <w:pPr>
              <w:spacing w:line="360" w:lineRule="auto"/>
              <w:textAlignment w:val="auto"/>
              <w:rPr>
                <w:rFonts w:ascii="Calibri" w:eastAsia="Calibri" w:hAnsi="Calibri" w:cs="Times New Roman"/>
                <w:lang w:eastAsia="en-US"/>
              </w:rPr>
            </w:pPr>
            <w:r>
              <w:rPr>
                <w:rFonts w:ascii="Calibri" w:eastAsia="Calibri" w:hAnsi="Calibri" w:cs="Times New Roman"/>
                <w:lang w:eastAsia="en-US"/>
              </w:rPr>
              <w:t xml:space="preserve">DATE OF SIGNATURE: </w:t>
            </w:r>
          </w:p>
          <w:p w:rsidR="00860460" w:rsidRDefault="00860460">
            <w:pPr>
              <w:spacing w:line="360" w:lineRule="auto"/>
              <w:textAlignment w:val="auto"/>
              <w:rPr>
                <w:rFonts w:ascii="Calibri" w:eastAsia="Calibri" w:hAnsi="Calibri" w:cs="Times New Roman"/>
                <w:lang w:eastAsia="en-US"/>
              </w:rPr>
            </w:pPr>
            <w:r w:rsidRPr="00860460">
              <w:rPr>
                <w:rFonts w:ascii="Calibri" w:eastAsia="Calibri" w:hAnsi="Calibri" w:cs="Calibri"/>
                <w:highlight w:val="black"/>
                <w:lang w:eastAsia="en-US"/>
              </w:rPr>
              <w:t>XXXXXXXXXXXXXXXXXXXXXXXXXXXXXXXXXXXXXXXXXXXXXXX</w:t>
            </w:r>
          </w:p>
        </w:tc>
      </w:tr>
    </w:tbl>
    <w:p w:rsidR="002A3E66" w:rsidRDefault="002A3E66">
      <w:pPr>
        <w:rPr>
          <w:rFonts w:cs="Calibri"/>
        </w:rPr>
      </w:pPr>
    </w:p>
    <w:p w:rsidR="002A3E66" w:rsidRDefault="002A3E66">
      <w:pPr>
        <w:rPr>
          <w:rFonts w:cs="Calibri"/>
        </w:rPr>
      </w:pPr>
    </w:p>
    <w:p w:rsidR="002A3E66" w:rsidRDefault="002A3E66">
      <w:pPr>
        <w:rPr>
          <w:rFonts w:cs="Calibri"/>
        </w:rPr>
      </w:pPr>
    </w:p>
    <w:p w:rsidR="002A3E66" w:rsidRDefault="002A3E66">
      <w:pPr>
        <w:jc w:val="right"/>
        <w:rPr>
          <w:rFonts w:cs="Calibri"/>
        </w:rPr>
      </w:pPr>
    </w:p>
    <w:p w:rsidR="002A3E66" w:rsidRDefault="002A3E66"/>
    <w:p w:rsidR="002A3E66" w:rsidRDefault="002A3E66">
      <w:pPr>
        <w:ind w:left="720" w:hanging="720"/>
      </w:pPr>
    </w:p>
    <w:p w:rsidR="002A3E66" w:rsidRDefault="002A3E66">
      <w:pPr>
        <w:pageBreakBefore/>
        <w:suppressAutoHyphens w:val="0"/>
      </w:pPr>
    </w:p>
    <w:p w:rsidR="002A3E66" w:rsidRDefault="00062275">
      <w:pPr>
        <w:ind w:left="142" w:right="394"/>
      </w:pPr>
      <w:r>
        <w:rPr>
          <w:rFonts w:cs="Calibri"/>
          <w:sz w:val="32"/>
          <w:szCs w:val="32"/>
        </w:rPr>
        <w:t>Schedule 9 – Security Questionnaire Response</w:t>
      </w:r>
    </w:p>
    <w:p w:rsidR="002A3E66" w:rsidRDefault="00860460" w:rsidP="00860460">
      <w:pPr>
        <w:ind w:left="720" w:hanging="720"/>
      </w:pPr>
      <w:r w:rsidRPr="00860460">
        <w:rPr>
          <w:rFonts w:ascii="Calibri" w:eastAsia="Calibri" w:hAnsi="Calibri" w:cs="Calibri"/>
          <w:highlight w:val="black"/>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sectPr w:rsidR="002A3E66">
      <w:headerReference w:type="even" r:id="rId27"/>
      <w:headerReference w:type="default" r:id="rId28"/>
      <w:footerReference w:type="even" r:id="rId29"/>
      <w:footerReference w:type="default" r:id="rId30"/>
      <w:headerReference w:type="first" r:id="rId31"/>
      <w:footerReference w:type="first" r:id="rId32"/>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4B7" w:rsidRDefault="00BB64B7">
      <w:pPr>
        <w:spacing w:line="240" w:lineRule="auto"/>
      </w:pPr>
      <w:r>
        <w:separator/>
      </w:r>
    </w:p>
  </w:endnote>
  <w:endnote w:type="continuationSeparator" w:id="0">
    <w:p w:rsidR="00BB64B7" w:rsidRDefault="00BB6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variable"/>
  </w:font>
  <w:font w:name="&amp;quo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60" w:rsidRDefault="0086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9AE" w:rsidRDefault="005E09AE">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10225406</wp:posOffset>
              </wp:positionV>
              <wp:extent cx="7562216" cy="272418"/>
              <wp:effectExtent l="0" t="0" r="0" b="13332"/>
              <wp:wrapNone/>
              <wp:docPr id="1" name="MSIPCM8deb428f9ec63a11642b416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rsidR="005E09AE" w:rsidRDefault="005E09AE">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MSIPCM8deb428f9ec63a11642b4160"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" filled="f" stroked="f">
              <v:textbox inset=",0,,0">
                <w:txbxContent>
                  <w:p w:rsidR="005E09AE" w:rsidRDefault="005E09AE">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2</w:t>
    </w:r>
    <w:r>
      <w:fldChar w:fldCharType="end"/>
    </w:r>
  </w:p>
  <w:p w:rsidR="005E09AE" w:rsidRDefault="005E09A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60" w:rsidRDefault="0086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4B7" w:rsidRDefault="00BB64B7">
      <w:pPr>
        <w:spacing w:line="240" w:lineRule="auto"/>
      </w:pPr>
      <w:r>
        <w:rPr>
          <w:color w:val="000000"/>
        </w:rPr>
        <w:separator/>
      </w:r>
    </w:p>
  </w:footnote>
  <w:footnote w:type="continuationSeparator" w:id="0">
    <w:p w:rsidR="00BB64B7" w:rsidRDefault="00BB64B7">
      <w:pPr>
        <w:spacing w:line="240" w:lineRule="auto"/>
      </w:pPr>
      <w:r>
        <w:continuationSeparator/>
      </w:r>
    </w:p>
  </w:footnote>
  <w:footnote w:id="1">
    <w:p w:rsidR="005E09AE" w:rsidRDefault="005E09AE">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rsidR="005E09AE" w:rsidRDefault="005E09A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rsidR="005E09AE" w:rsidRDefault="005E09AE">
      <w:pPr>
        <w:pStyle w:val="FootnoteText"/>
        <w:jc w:val="both"/>
      </w:pPr>
      <w:r>
        <w:rPr>
          <w:rStyle w:val="FootnoteReference"/>
        </w:rPr>
        <w:footnoteRef/>
      </w:r>
      <w:r>
        <w:t xml:space="preserve"> “General Anti-Abuse Rule” means (a) the legislation in Part 5 of the Finance Act 2013; and (b) any</w:t>
      </w:r>
    </w:p>
    <w:p w:rsidR="005E09AE" w:rsidRDefault="005E09AE">
      <w:pPr>
        <w:pStyle w:val="FootnoteText"/>
        <w:jc w:val="both"/>
      </w:pPr>
      <w:r>
        <w:t>future legislation introduced into Parliament to counteract tax advantages arising from abusive</w:t>
      </w:r>
    </w:p>
    <w:p w:rsidR="005E09AE" w:rsidRDefault="005E09AE">
      <w:pPr>
        <w:pStyle w:val="FootnoteText"/>
      </w:pPr>
      <w:r>
        <w:t>arrangements to avoid national insurance contributions</w:t>
      </w:r>
    </w:p>
  </w:footnote>
  <w:footnote w:id="4">
    <w:p w:rsidR="005E09AE" w:rsidRDefault="005E09AE">
      <w:pPr>
        <w:pStyle w:val="FootnoteText"/>
      </w:pPr>
      <w:r>
        <w:rPr>
          <w:rStyle w:val="FootnoteReference"/>
        </w:rPr>
        <w:footnoteRef/>
      </w:r>
      <w:r>
        <w:t xml:space="preserve"> “Halifax Abuse Principle” means the principle explained in the CJEU Case C-255/02 Halifax and others</w:t>
      </w:r>
    </w:p>
  </w:footnote>
  <w:footnote w:id="5">
    <w:p w:rsidR="005E09AE" w:rsidRDefault="005E09AE">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rsidR="005E09AE" w:rsidRDefault="005E09AE">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rsidR="005E09AE" w:rsidRDefault="005E09AE">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rsidR="005E09AE" w:rsidRDefault="005E09AE">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60" w:rsidRDefault="00860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60" w:rsidRDefault="00860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60" w:rsidRDefault="00860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D92"/>
    <w:multiLevelType w:val="multilevel"/>
    <w:tmpl w:val="3370DC38"/>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04CB0"/>
    <w:multiLevelType w:val="multilevel"/>
    <w:tmpl w:val="72B038CC"/>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2" w15:restartNumberingAfterBreak="0">
    <w:nsid w:val="092323A2"/>
    <w:multiLevelType w:val="multilevel"/>
    <w:tmpl w:val="5688015A"/>
    <w:lvl w:ilvl="0">
      <w:start w:val="1"/>
      <w:numFmt w:val="lowerRoman"/>
      <w:lvlText w:val="%1)"/>
      <w:lvlJc w:val="left"/>
      <w:pPr>
        <w:ind w:left="720" w:hanging="72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8A704B"/>
    <w:multiLevelType w:val="multilevel"/>
    <w:tmpl w:val="53F2C3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606062"/>
    <w:multiLevelType w:val="multilevel"/>
    <w:tmpl w:val="924CD3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106F3658"/>
    <w:multiLevelType w:val="multilevel"/>
    <w:tmpl w:val="0944AFC2"/>
    <w:lvl w:ilvl="0">
      <w:start w:val="1"/>
      <w:numFmt w:val="lowerRoman"/>
      <w:lvlText w:val="%1)"/>
      <w:lvlJc w:val="left"/>
      <w:pPr>
        <w:ind w:left="720" w:hanging="72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C91FD0"/>
    <w:multiLevelType w:val="multilevel"/>
    <w:tmpl w:val="439E7E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2BD064A"/>
    <w:multiLevelType w:val="multilevel"/>
    <w:tmpl w:val="0FF231D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135A1629"/>
    <w:multiLevelType w:val="multilevel"/>
    <w:tmpl w:val="C1DCB82E"/>
    <w:lvl w:ilvl="0">
      <w:start w:val="1"/>
      <w:numFmt w:val="decimal"/>
      <w:lvlText w:val="%1)"/>
      <w:lvlJc w:val="left"/>
      <w:pPr>
        <w:ind w:left="720" w:hanging="360"/>
      </w:pPr>
      <w:rPr>
        <w:b/>
      </w:rPr>
    </w:lvl>
    <w:lvl w:ilvl="1">
      <w:start w:val="1"/>
      <w:numFmt w:val="lowerRoman"/>
      <w:lvlText w:val="%2."/>
      <w:lvlJc w:val="righ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E03AEF"/>
    <w:multiLevelType w:val="multilevel"/>
    <w:tmpl w:val="62468716"/>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A1C48D2"/>
    <w:multiLevelType w:val="multilevel"/>
    <w:tmpl w:val="BDDAD65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A859E9"/>
    <w:multiLevelType w:val="multilevel"/>
    <w:tmpl w:val="06D6B8A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BA95CC2"/>
    <w:multiLevelType w:val="multilevel"/>
    <w:tmpl w:val="9E20D14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4E5F9A"/>
    <w:multiLevelType w:val="multilevel"/>
    <w:tmpl w:val="DBDC19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EE7346D"/>
    <w:multiLevelType w:val="multilevel"/>
    <w:tmpl w:val="E9ACF0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03F47B4"/>
    <w:multiLevelType w:val="multilevel"/>
    <w:tmpl w:val="0686B2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3AC2AFB"/>
    <w:multiLevelType w:val="multilevel"/>
    <w:tmpl w:val="443ACE78"/>
    <w:lvl w:ilvl="0">
      <w:numFmt w:val="bullet"/>
      <w:lvlText w:val=""/>
      <w:lvlJc w:val="left"/>
      <w:pPr>
        <w:ind w:left="720" w:hanging="360"/>
      </w:pPr>
      <w:rPr>
        <w:rFonts w:ascii="Symbol" w:hAnsi="Symbol"/>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704E96"/>
    <w:multiLevelType w:val="multilevel"/>
    <w:tmpl w:val="1E063F0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FB2FC0"/>
    <w:multiLevelType w:val="multilevel"/>
    <w:tmpl w:val="19F4E3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C753E1D"/>
    <w:multiLevelType w:val="multilevel"/>
    <w:tmpl w:val="44AE1A7E"/>
    <w:lvl w:ilvl="0">
      <w:numFmt w:val="bullet"/>
      <w:lvlText w:val=""/>
      <w:lvlJc w:val="left"/>
      <w:pPr>
        <w:ind w:left="1080" w:hanging="360"/>
      </w:pPr>
      <w:rPr>
        <w:rFonts w:ascii="Symbol" w:hAnsi="Symbol"/>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DBD6A9F"/>
    <w:multiLevelType w:val="multilevel"/>
    <w:tmpl w:val="4330F5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18B664E"/>
    <w:multiLevelType w:val="multilevel"/>
    <w:tmpl w:val="055276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4B149D"/>
    <w:multiLevelType w:val="multilevel"/>
    <w:tmpl w:val="ECEA8D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2F764FD"/>
    <w:multiLevelType w:val="multilevel"/>
    <w:tmpl w:val="31DE73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34BB3492"/>
    <w:multiLevelType w:val="multilevel"/>
    <w:tmpl w:val="04D4BB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5CF08DB"/>
    <w:multiLevelType w:val="multilevel"/>
    <w:tmpl w:val="B2C6C7F8"/>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26" w15:restartNumberingAfterBreak="0">
    <w:nsid w:val="3879427C"/>
    <w:multiLevelType w:val="multilevel"/>
    <w:tmpl w:val="90DA8E2E"/>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75016E"/>
    <w:multiLevelType w:val="multilevel"/>
    <w:tmpl w:val="15385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78265C"/>
    <w:multiLevelType w:val="multilevel"/>
    <w:tmpl w:val="B64407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49671CB"/>
    <w:multiLevelType w:val="multilevel"/>
    <w:tmpl w:val="A802E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BD7C19"/>
    <w:multiLevelType w:val="multilevel"/>
    <w:tmpl w:val="17404AC8"/>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88F644E"/>
    <w:multiLevelType w:val="multilevel"/>
    <w:tmpl w:val="B4D02D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A6C5982"/>
    <w:multiLevelType w:val="multilevel"/>
    <w:tmpl w:val="1354E5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3904D7"/>
    <w:multiLevelType w:val="multilevel"/>
    <w:tmpl w:val="BF8E1C9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53B62443"/>
    <w:multiLevelType w:val="multilevel"/>
    <w:tmpl w:val="D1C4CE7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7AD45B6"/>
    <w:multiLevelType w:val="multilevel"/>
    <w:tmpl w:val="23E45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A01101F"/>
    <w:multiLevelType w:val="multilevel"/>
    <w:tmpl w:val="664CDDDC"/>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7" w15:restartNumberingAfterBreak="0">
    <w:nsid w:val="5A651CA6"/>
    <w:multiLevelType w:val="multilevel"/>
    <w:tmpl w:val="7D9E9A6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5BA22368"/>
    <w:multiLevelType w:val="multilevel"/>
    <w:tmpl w:val="28BE5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5C807229"/>
    <w:multiLevelType w:val="multilevel"/>
    <w:tmpl w:val="CBEEF56A"/>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FA2F1D"/>
    <w:multiLevelType w:val="multilevel"/>
    <w:tmpl w:val="67488C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346316"/>
    <w:multiLevelType w:val="multilevel"/>
    <w:tmpl w:val="0C0682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32378FE"/>
    <w:multiLevelType w:val="multilevel"/>
    <w:tmpl w:val="D0365CE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95411"/>
    <w:multiLevelType w:val="multilevel"/>
    <w:tmpl w:val="972CD9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6E116403"/>
    <w:multiLevelType w:val="multilevel"/>
    <w:tmpl w:val="471A3F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E324415"/>
    <w:multiLevelType w:val="multilevel"/>
    <w:tmpl w:val="3A4E0F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6" w15:restartNumberingAfterBreak="0">
    <w:nsid w:val="6E8A6672"/>
    <w:multiLevelType w:val="multilevel"/>
    <w:tmpl w:val="C95A2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1E47D6B"/>
    <w:multiLevelType w:val="multilevel"/>
    <w:tmpl w:val="91CCD14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43A25EA"/>
    <w:multiLevelType w:val="multilevel"/>
    <w:tmpl w:val="724E8D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74D31261"/>
    <w:multiLevelType w:val="multilevel"/>
    <w:tmpl w:val="6FDCD7E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8A11643"/>
    <w:multiLevelType w:val="multilevel"/>
    <w:tmpl w:val="9856C870"/>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1" w15:restartNumberingAfterBreak="0">
    <w:nsid w:val="79213636"/>
    <w:multiLevelType w:val="multilevel"/>
    <w:tmpl w:val="C6CCF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283A03"/>
    <w:multiLevelType w:val="multilevel"/>
    <w:tmpl w:val="972C1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45"/>
  </w:num>
  <w:num w:numId="3">
    <w:abstractNumId w:val="2"/>
  </w:num>
  <w:num w:numId="4">
    <w:abstractNumId w:val="5"/>
  </w:num>
  <w:num w:numId="5">
    <w:abstractNumId w:val="3"/>
  </w:num>
  <w:num w:numId="6">
    <w:abstractNumId w:val="6"/>
  </w:num>
  <w:num w:numId="7">
    <w:abstractNumId w:val="12"/>
  </w:num>
  <w:num w:numId="8">
    <w:abstractNumId w:val="32"/>
  </w:num>
  <w:num w:numId="9">
    <w:abstractNumId w:val="51"/>
  </w:num>
  <w:num w:numId="10">
    <w:abstractNumId w:val="51"/>
    <w:lvlOverride w:ilvl="0">
      <w:startOverride w:val="1"/>
    </w:lvlOverride>
    <w:lvlOverride w:ilvl="1">
      <w:startOverride w:val="1"/>
    </w:lvlOverride>
    <w:lvlOverride w:ilvl="2">
      <w:startOverride w:val="1"/>
    </w:lvlOverride>
  </w:num>
  <w:num w:numId="11">
    <w:abstractNumId w:val="29"/>
  </w:num>
  <w:num w:numId="12">
    <w:abstractNumId w:val="11"/>
  </w:num>
  <w:num w:numId="13">
    <w:abstractNumId w:val="8"/>
  </w:num>
  <w:num w:numId="14">
    <w:abstractNumId w:val="9"/>
  </w:num>
  <w:num w:numId="15">
    <w:abstractNumId w:val="49"/>
  </w:num>
  <w:num w:numId="16">
    <w:abstractNumId w:val="10"/>
  </w:num>
  <w:num w:numId="17">
    <w:abstractNumId w:val="16"/>
  </w:num>
  <w:num w:numId="18">
    <w:abstractNumId w:val="27"/>
  </w:num>
  <w:num w:numId="19">
    <w:abstractNumId w:val="19"/>
  </w:num>
  <w:num w:numId="20">
    <w:abstractNumId w:val="46"/>
  </w:num>
  <w:num w:numId="21">
    <w:abstractNumId w:val="34"/>
  </w:num>
  <w:num w:numId="22">
    <w:abstractNumId w:val="4"/>
  </w:num>
  <w:num w:numId="23">
    <w:abstractNumId w:val="33"/>
  </w:num>
  <w:num w:numId="24">
    <w:abstractNumId w:val="20"/>
  </w:num>
  <w:num w:numId="25">
    <w:abstractNumId w:val="35"/>
  </w:num>
  <w:num w:numId="26">
    <w:abstractNumId w:val="44"/>
  </w:num>
  <w:num w:numId="27">
    <w:abstractNumId w:val="15"/>
  </w:num>
  <w:num w:numId="28">
    <w:abstractNumId w:val="38"/>
  </w:num>
  <w:num w:numId="29">
    <w:abstractNumId w:val="14"/>
  </w:num>
  <w:num w:numId="30">
    <w:abstractNumId w:val="18"/>
  </w:num>
  <w:num w:numId="31">
    <w:abstractNumId w:val="24"/>
  </w:num>
  <w:num w:numId="32">
    <w:abstractNumId w:val="22"/>
  </w:num>
  <w:num w:numId="33">
    <w:abstractNumId w:val="13"/>
  </w:num>
  <w:num w:numId="34">
    <w:abstractNumId w:val="28"/>
  </w:num>
  <w:num w:numId="35">
    <w:abstractNumId w:val="31"/>
  </w:num>
  <w:num w:numId="36">
    <w:abstractNumId w:val="48"/>
  </w:num>
  <w:num w:numId="37">
    <w:abstractNumId w:val="47"/>
  </w:num>
  <w:num w:numId="38">
    <w:abstractNumId w:val="43"/>
  </w:num>
  <w:num w:numId="39">
    <w:abstractNumId w:val="37"/>
  </w:num>
  <w:num w:numId="40">
    <w:abstractNumId w:val="42"/>
  </w:num>
  <w:num w:numId="41">
    <w:abstractNumId w:val="25"/>
  </w:num>
  <w:num w:numId="42">
    <w:abstractNumId w:val="1"/>
  </w:num>
  <w:num w:numId="43">
    <w:abstractNumId w:val="17"/>
  </w:num>
  <w:num w:numId="44">
    <w:abstractNumId w:val="39"/>
  </w:num>
  <w:num w:numId="45">
    <w:abstractNumId w:val="26"/>
  </w:num>
  <w:num w:numId="46">
    <w:abstractNumId w:val="7"/>
  </w:num>
  <w:num w:numId="47">
    <w:abstractNumId w:val="36"/>
  </w:num>
  <w:num w:numId="48">
    <w:abstractNumId w:val="50"/>
  </w:num>
  <w:num w:numId="49">
    <w:abstractNumId w:val="0"/>
  </w:num>
  <w:num w:numId="50">
    <w:abstractNumId w:val="52"/>
  </w:num>
  <w:num w:numId="51">
    <w:abstractNumId w:val="21"/>
  </w:num>
  <w:num w:numId="52">
    <w:abstractNumId w:val="30"/>
  </w:num>
  <w:num w:numId="53">
    <w:abstractNumId w:val="23"/>
  </w:num>
  <w:num w:numId="54">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66"/>
    <w:rsid w:val="00034785"/>
    <w:rsid w:val="00062275"/>
    <w:rsid w:val="000968CF"/>
    <w:rsid w:val="001A2949"/>
    <w:rsid w:val="00235F5C"/>
    <w:rsid w:val="002739A2"/>
    <w:rsid w:val="002A3E66"/>
    <w:rsid w:val="0049075A"/>
    <w:rsid w:val="004E5A22"/>
    <w:rsid w:val="00543676"/>
    <w:rsid w:val="00561229"/>
    <w:rsid w:val="005E09AE"/>
    <w:rsid w:val="00717F1C"/>
    <w:rsid w:val="00817B09"/>
    <w:rsid w:val="00860460"/>
    <w:rsid w:val="008954F7"/>
    <w:rsid w:val="008D4D95"/>
    <w:rsid w:val="00A32E5B"/>
    <w:rsid w:val="00BB64B7"/>
    <w:rsid w:val="00E96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4691E"/>
  <w15:docId w15:val="{CA7B474C-6CDA-4734-A918-527B27CA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TableParagraph">
    <w:name w:val="Table Paragraph"/>
    <w:basedOn w:val="Normal"/>
    <w:pPr>
      <w:widowControl w:val="0"/>
      <w:suppressAutoHyphens w:val="0"/>
      <w:spacing w:line="240" w:lineRule="auto"/>
      <w:textAlignment w:val="auto"/>
    </w:pPr>
    <w:rPr>
      <w:rFonts w:ascii="Calibri" w:eastAsia="Calibri" w:hAnsi="Calibri" w:cs="Times New Roman"/>
      <w:lang w:eastAsia="en-US"/>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Body2">
    <w:name w:val="Body2"/>
    <w:basedOn w:val="Normal"/>
    <w:pPr>
      <w:suppressAutoHyphens w:val="0"/>
      <w:spacing w:after="220" w:line="240" w:lineRule="auto"/>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pPr>
      <w:suppressAutoHyphens w:val="0"/>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rPr>
      <w:rFonts w:ascii="Times New Roman" w:eastAsia="Times New Roman" w:hAnsi="Times New Roman" w:cs="Times New Roman"/>
      <w:sz w:val="24"/>
      <w:szCs w:val="24"/>
    </w:rPr>
  </w:style>
  <w:style w:type="paragraph" w:styleId="FootnoteText">
    <w:name w:val="footnote text"/>
    <w:basedOn w:val="Normal"/>
    <w:pPr>
      <w:suppressAutoHyphens w:val="0"/>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rPr>
      <w:rFonts w:ascii="Calibri" w:eastAsia="Calibri" w:hAnsi="Calibri" w:cs="Times New Roman"/>
      <w:sz w:val="20"/>
      <w:szCs w:val="20"/>
      <w:lang w:eastAsia="en-US"/>
    </w:rPr>
  </w:style>
  <w:style w:type="character" w:styleId="FootnoteReference">
    <w:name w:val="footnote reference"/>
    <w:rPr>
      <w:position w:val="0"/>
      <w:vertAlign w:val="superscript"/>
    </w:rPr>
  </w:style>
  <w:style w:type="paragraph" w:customStyle="1" w:styleId="paragraph">
    <w:name w:val="paragraph"/>
    <w:basedOn w:val="Normal"/>
    <w:pPr>
      <w:suppressAutoHyphens w:val="0"/>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2.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digitalmarketplace.service.gov.uk/"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63</Pages>
  <Words>18021</Words>
  <Characters>102724</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Yeates, Rebecca (Commercial)</cp:lastModifiedBy>
  <cp:revision>7</cp:revision>
  <cp:lastPrinted>2020-06-10T10:41:00Z</cp:lastPrinted>
  <dcterms:created xsi:type="dcterms:W3CDTF">2021-05-07T10:38:00Z</dcterms:created>
  <dcterms:modified xsi:type="dcterms:W3CDTF">2021-05-14T10:10:00Z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2021-03-22T15:30:24Z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f53af5f0-ae49-49b4-937b-f38e31c3c32c</vt:lpwstr>
  </property>
  <property fmtid="{D5CDD505-2E9C-101B-9397-08002B2CF9AE}" pid="8" name="MSIP_Label_f9af038e-07b4-4369-a678-c835687cb272_ContentBits">
    <vt:lpwstr>2</vt:lpwstr>
  </property>
</Properties>
</file>