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02" w:rsidRPr="00210D02" w:rsidRDefault="00210D02" w:rsidP="00210D02">
      <w:pPr>
        <w:pStyle w:val="NoSpacing"/>
        <w:rPr>
          <w:b/>
          <w:sz w:val="24"/>
        </w:rPr>
      </w:pPr>
      <w:r w:rsidRPr="00210D02">
        <w:rPr>
          <w:b/>
          <w:sz w:val="24"/>
        </w:rPr>
        <w:t>Document No. 00</w:t>
      </w:r>
    </w:p>
    <w:p w:rsidR="00210D02" w:rsidRDefault="00210D02" w:rsidP="00210D02">
      <w:pPr>
        <w:pStyle w:val="NoSpacing"/>
        <w:rPr>
          <w:b/>
        </w:rPr>
      </w:pP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>Invitation to offer for</w:t>
      </w:r>
      <w:r>
        <w:rPr>
          <w:b/>
        </w:rPr>
        <w:t xml:space="preserve"> </w:t>
      </w:r>
      <w:r w:rsidRPr="00BF7BA7">
        <w:rPr>
          <w:b/>
        </w:rPr>
        <w:t>NHS National Pharmaceuticals Transition 2019_1</w:t>
      </w: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>Offer reference number:</w:t>
      </w:r>
      <w:r>
        <w:rPr>
          <w:b/>
        </w:rPr>
        <w:t xml:space="preserve"> CM/PHG/17/5547</w:t>
      </w: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 xml:space="preserve">Period of framework agreement: </w:t>
      </w:r>
      <w:r w:rsidRPr="000E5EE8">
        <w:rPr>
          <w:b/>
        </w:rPr>
        <w:t>The total maximum duration of the framework agreement to be no more than 34 months</w:t>
      </w: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>Potential periods of call-offs under the framework agreement:</w:t>
      </w:r>
    </w:p>
    <w:p w:rsidR="00DD5644" w:rsidRPr="005041C6" w:rsidRDefault="00DD5644" w:rsidP="00DD5644">
      <w:pPr>
        <w:pStyle w:val="NoSpacing"/>
        <w:rPr>
          <w:b/>
        </w:rPr>
      </w:pPr>
      <w:r>
        <w:rPr>
          <w:b/>
        </w:rPr>
        <w:t>LSNE</w:t>
      </w:r>
      <w:r w:rsidRPr="00481098">
        <w:rPr>
          <w:b/>
        </w:rPr>
        <w:t xml:space="preserve">: </w:t>
      </w:r>
      <w:r w:rsidRPr="00481098">
        <w:rPr>
          <w:b/>
        </w:rPr>
        <w:tab/>
        <w:t xml:space="preserve"> </w:t>
      </w:r>
      <w:r w:rsidRPr="00481098">
        <w:rPr>
          <w:b/>
        </w:rPr>
        <w:tab/>
      </w:r>
      <w:r>
        <w:rPr>
          <w:b/>
        </w:rPr>
        <w:t>01/10/2019 to 30/04/2020 (7 months)</w:t>
      </w:r>
    </w:p>
    <w:p w:rsidR="00DD5644" w:rsidRPr="005041C6" w:rsidRDefault="00DD5644" w:rsidP="00DD5644">
      <w:pPr>
        <w:pStyle w:val="NoSpacing"/>
        <w:rPr>
          <w:b/>
        </w:rPr>
      </w:pPr>
      <w:r>
        <w:rPr>
          <w:b/>
        </w:rPr>
        <w:t>CESW:</w:t>
      </w:r>
      <w:r>
        <w:rPr>
          <w:b/>
        </w:rPr>
        <w:tab/>
      </w:r>
      <w:r>
        <w:rPr>
          <w:b/>
        </w:rPr>
        <w:tab/>
        <w:t>01/10/2019 to 30/09/2020 (12 months)</w:t>
      </w:r>
    </w:p>
    <w:p w:rsidR="00DD5644" w:rsidRDefault="00DD5644" w:rsidP="00DD5644">
      <w:pPr>
        <w:pStyle w:val="NoSpacing"/>
        <w:rPr>
          <w:b/>
        </w:rPr>
      </w:pPr>
      <w:r>
        <w:rPr>
          <w:b/>
        </w:rPr>
        <w:t>NWLN:</w:t>
      </w:r>
      <w:r>
        <w:rPr>
          <w:b/>
        </w:rPr>
        <w:tab/>
      </w:r>
      <w:r>
        <w:rPr>
          <w:b/>
        </w:rPr>
        <w:tab/>
        <w:t>01/10/2019 to 28/02/2021 (17 months)</w:t>
      </w:r>
    </w:p>
    <w:p w:rsidR="00210D02" w:rsidRDefault="00210D02" w:rsidP="00210D02">
      <w:pPr>
        <w:rPr>
          <w:rFonts w:ascii="Arial" w:hAnsi="Arial" w:cs="Arial"/>
        </w:rPr>
      </w:pPr>
    </w:p>
    <w:p w:rsidR="00210D02" w:rsidRPr="00056DB7" w:rsidRDefault="00210D02" w:rsidP="00210D02">
      <w:pPr>
        <w:rPr>
          <w:rFonts w:ascii="Arial" w:hAnsi="Arial" w:cs="Arial"/>
        </w:rPr>
      </w:pPr>
      <w:r w:rsidRPr="00056DB7">
        <w:rPr>
          <w:rFonts w:ascii="Arial" w:hAnsi="Arial" w:cs="Arial"/>
        </w:rPr>
        <w:t xml:space="preserve">This procurement is for a variety of drugs, we would like to bring the following information, pertinent to the specific drugs within this procurement to your attention. </w:t>
      </w:r>
    </w:p>
    <w:p w:rsidR="00210D02" w:rsidRPr="00056DB7" w:rsidRDefault="00210D02" w:rsidP="00210D02">
      <w:pPr>
        <w:rPr>
          <w:rFonts w:ascii="Arial" w:hAnsi="Arial" w:cs="Arial"/>
        </w:rPr>
      </w:pPr>
      <w:r w:rsidRPr="00056DB7">
        <w:rPr>
          <w:rFonts w:ascii="Arial" w:hAnsi="Arial" w:cs="Arial"/>
        </w:rPr>
        <w:t xml:space="preserve">This is </w:t>
      </w:r>
      <w:r w:rsidR="00DA53A3" w:rsidRPr="00056DB7">
        <w:rPr>
          <w:rFonts w:ascii="Arial" w:hAnsi="Arial" w:cs="Arial"/>
        </w:rPr>
        <w:t>procurement</w:t>
      </w:r>
      <w:r w:rsidRPr="00056DB7">
        <w:rPr>
          <w:rFonts w:ascii="Arial" w:hAnsi="Arial" w:cs="Arial"/>
        </w:rPr>
        <w:t xml:space="preserve"> for generic drugs:</w:t>
      </w:r>
    </w:p>
    <w:tbl>
      <w:tblPr>
        <w:tblW w:w="3380" w:type="dxa"/>
        <w:tblInd w:w="93" w:type="dxa"/>
        <w:tblLook w:val="04A0" w:firstRow="1" w:lastRow="0" w:firstColumn="1" w:lastColumn="0" w:noHBand="0" w:noVBand="1"/>
      </w:tblPr>
      <w:tblGrid>
        <w:gridCol w:w="3380"/>
      </w:tblGrid>
      <w:tr w:rsidR="00DD5644" w:rsidRPr="00DD5644" w:rsidTr="00DD5644">
        <w:trPr>
          <w:trHeight w:val="255"/>
        </w:trPr>
        <w:tc>
          <w:tcPr>
            <w:tcW w:w="33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D5644" w:rsidRPr="00DD5644" w:rsidRDefault="00DD5644" w:rsidP="00DD564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D5644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CARGLUMIC ACID DISPERSIBLE TABLETS SUGAR FREE 200MG</w:t>
            </w:r>
          </w:p>
        </w:tc>
      </w:tr>
      <w:tr w:rsidR="00DD5644" w:rsidRPr="00DD5644" w:rsidTr="00DD5644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D5644" w:rsidRPr="00DD5644" w:rsidRDefault="00DD5644" w:rsidP="00DD564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D5644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CARGLUMIC ACID DISPERSIBLE TABLETS SUGAR FREE 200MG</w:t>
            </w:r>
          </w:p>
        </w:tc>
      </w:tr>
      <w:tr w:rsidR="00DD5644" w:rsidRPr="00DD5644" w:rsidTr="00DD5644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D5644" w:rsidRPr="00DD5644" w:rsidRDefault="00DD5644" w:rsidP="00DD564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D5644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CARGLUMIC ACID DISPERSIBLE TABLETS SUGAR FREE 200MG</w:t>
            </w:r>
          </w:p>
        </w:tc>
        <w:bookmarkStart w:id="0" w:name="_GoBack"/>
        <w:bookmarkEnd w:id="0"/>
      </w:tr>
    </w:tbl>
    <w:p w:rsidR="00DF6FDE" w:rsidRDefault="00A509DD"/>
    <w:p w:rsidR="00210D02" w:rsidRDefault="00210D02" w:rsidP="00DA53A3">
      <w:pPr>
        <w:rPr>
          <w:rFonts w:ascii="Calibri" w:hAnsi="Calibri" w:cs="Calibri"/>
        </w:rPr>
      </w:pPr>
      <w:r>
        <w:t xml:space="preserve">For all uses except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use</w:t>
      </w:r>
      <w:proofErr w:type="spellEnd"/>
      <w:r>
        <w:rPr>
          <w:lang w:val="en-US"/>
        </w:rPr>
        <w:t xml:space="preserve"> </w:t>
      </w:r>
      <w:r w:rsidR="00DA53A3">
        <w:rPr>
          <w:lang w:val="en-US"/>
        </w:rPr>
        <w:t>“</w:t>
      </w:r>
      <w:r w:rsidR="00DA53A3">
        <w:t xml:space="preserve">for the treatment of Organic </w:t>
      </w:r>
      <w:proofErr w:type="spellStart"/>
      <w:r w:rsidR="00DA53A3">
        <w:t>Acidaemias</w:t>
      </w:r>
      <w:proofErr w:type="spellEnd"/>
      <w:r w:rsidR="00DA53A3">
        <w:t xml:space="preserve">, including (but not restricted to) propionic, </w:t>
      </w:r>
      <w:proofErr w:type="spellStart"/>
      <w:r w:rsidR="00DA53A3">
        <w:t>methylmalonic</w:t>
      </w:r>
      <w:proofErr w:type="spellEnd"/>
      <w:r w:rsidR="00DA53A3">
        <w:t xml:space="preserve"> and </w:t>
      </w:r>
      <w:proofErr w:type="spellStart"/>
      <w:r w:rsidR="00DA53A3">
        <w:t>isovaleric</w:t>
      </w:r>
      <w:proofErr w:type="spellEnd"/>
      <w:r>
        <w:rPr>
          <w:lang w:val="en-US"/>
        </w:rPr>
        <w:t>.”</w:t>
      </w:r>
    </w:p>
    <w:p w:rsidR="00DA53A3" w:rsidRPr="00056DB7" w:rsidRDefault="00DA53A3" w:rsidP="00DA53A3">
      <w:pPr>
        <w:rPr>
          <w:rFonts w:ascii="Arial" w:hAnsi="Arial" w:cs="Arial"/>
        </w:rPr>
      </w:pPr>
      <w:r w:rsidRPr="00056DB7">
        <w:rPr>
          <w:rFonts w:ascii="Arial" w:hAnsi="Arial" w:cs="Arial"/>
        </w:rPr>
        <w:t xml:space="preserve">This is </w:t>
      </w:r>
      <w:r w:rsidRPr="00056DB7">
        <w:rPr>
          <w:rFonts w:ascii="Arial" w:hAnsi="Arial" w:cs="Arial"/>
        </w:rPr>
        <w:t>procurement</w:t>
      </w:r>
      <w:r w:rsidRPr="00056DB7">
        <w:rPr>
          <w:rFonts w:ascii="Arial" w:hAnsi="Arial" w:cs="Arial"/>
        </w:rPr>
        <w:t xml:space="preserve"> for generic drugs:</w:t>
      </w:r>
    </w:p>
    <w:tbl>
      <w:tblPr>
        <w:tblW w:w="3380" w:type="dxa"/>
        <w:tblInd w:w="93" w:type="dxa"/>
        <w:tblLook w:val="04A0" w:firstRow="1" w:lastRow="0" w:firstColumn="1" w:lastColumn="0" w:noHBand="0" w:noVBand="1"/>
      </w:tblPr>
      <w:tblGrid>
        <w:gridCol w:w="3380"/>
      </w:tblGrid>
      <w:tr w:rsidR="00DA53A3" w:rsidRPr="00DA53A3" w:rsidTr="00DA53A3">
        <w:trPr>
          <w:trHeight w:val="255"/>
        </w:trPr>
        <w:tc>
          <w:tcPr>
            <w:tcW w:w="33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DASATINIB TABLETS 100MG</w:t>
            </w:r>
          </w:p>
        </w:tc>
      </w:tr>
      <w:tr w:rsidR="00DA53A3" w:rsidRPr="00DA53A3" w:rsidTr="00DA53A3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DASATINIB TABLETS 140MG</w:t>
            </w:r>
          </w:p>
        </w:tc>
      </w:tr>
      <w:tr w:rsidR="00DA53A3" w:rsidRPr="00DA53A3" w:rsidTr="00DA53A3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DASATINIB TABLETS 20MG</w:t>
            </w:r>
          </w:p>
        </w:tc>
      </w:tr>
      <w:tr w:rsidR="00DA53A3" w:rsidRPr="00DA53A3" w:rsidTr="00DA53A3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DASATINIB TABLETS 50MG</w:t>
            </w:r>
          </w:p>
        </w:tc>
      </w:tr>
      <w:tr w:rsidR="00DA53A3" w:rsidRPr="00DA53A3" w:rsidTr="00DA53A3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DASATINIB TABLETS 70MG</w:t>
            </w:r>
          </w:p>
        </w:tc>
      </w:tr>
      <w:tr w:rsidR="00DA53A3" w:rsidRPr="00DA53A3" w:rsidTr="00DA53A3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DASATINIB TABLETS 80MG</w:t>
            </w:r>
          </w:p>
        </w:tc>
      </w:tr>
    </w:tbl>
    <w:p w:rsidR="00210D02" w:rsidRDefault="00210D02">
      <w:pPr>
        <w:rPr>
          <w:b/>
        </w:rPr>
      </w:pPr>
    </w:p>
    <w:p w:rsidR="00DA53A3" w:rsidRDefault="00DA53A3">
      <w:pPr>
        <w:rPr>
          <w:lang w:val="en-US"/>
        </w:rPr>
      </w:pPr>
      <w:proofErr w:type="gramStart"/>
      <w:r>
        <w:t xml:space="preserve">For all uses except </w:t>
      </w:r>
      <w:r>
        <w:rPr>
          <w:lang w:val="en-US"/>
        </w:rPr>
        <w:t>the use</w:t>
      </w:r>
      <w:r>
        <w:rPr>
          <w:lang w:val="en-US"/>
        </w:rPr>
        <w:t xml:space="preserve"> “for the treatment of CML.”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(Where “CML” is understood to be the abbreviation for Chronic Myeloid Leukemia.)</w:t>
      </w:r>
      <w:proofErr w:type="gramEnd"/>
    </w:p>
    <w:p w:rsidR="00DA53A3" w:rsidRPr="00DA53A3" w:rsidRDefault="00DA53A3">
      <w:pPr>
        <w:rPr>
          <w:rFonts w:ascii="Arial" w:hAnsi="Arial" w:cs="Arial"/>
        </w:rPr>
      </w:pPr>
      <w:r w:rsidRPr="00056DB7">
        <w:rPr>
          <w:rFonts w:ascii="Arial" w:hAnsi="Arial" w:cs="Arial"/>
        </w:rPr>
        <w:t>This is procurement for generic drugs:</w:t>
      </w:r>
    </w:p>
    <w:tbl>
      <w:tblPr>
        <w:tblW w:w="3380" w:type="dxa"/>
        <w:tblInd w:w="93" w:type="dxa"/>
        <w:tblLook w:val="04A0" w:firstRow="1" w:lastRow="0" w:firstColumn="1" w:lastColumn="0" w:noHBand="0" w:noVBand="1"/>
      </w:tblPr>
      <w:tblGrid>
        <w:gridCol w:w="3380"/>
      </w:tblGrid>
      <w:tr w:rsidR="00DA53A3" w:rsidRPr="00DA53A3" w:rsidTr="00DA53A3">
        <w:trPr>
          <w:trHeight w:val="255"/>
        </w:trPr>
        <w:tc>
          <w:tcPr>
            <w:tcW w:w="33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EVEROLIMUS TABLET 10MG</w:t>
            </w:r>
          </w:p>
        </w:tc>
      </w:tr>
      <w:tr w:rsidR="00DA53A3" w:rsidRPr="00DA53A3" w:rsidTr="00DA53A3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EVEROLIMUS TABLET 2.5MG</w:t>
            </w:r>
          </w:p>
        </w:tc>
      </w:tr>
      <w:tr w:rsidR="00DA53A3" w:rsidRPr="00DA53A3" w:rsidTr="00DA53A3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A53A3" w:rsidRPr="00DA53A3" w:rsidRDefault="00DA53A3" w:rsidP="00DA53A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A53A3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EVEROLIMUS TABLET 5MG</w:t>
            </w:r>
          </w:p>
        </w:tc>
      </w:tr>
    </w:tbl>
    <w:p w:rsidR="00DA53A3" w:rsidRDefault="00DA53A3">
      <w:pPr>
        <w:rPr>
          <w:b/>
        </w:rPr>
      </w:pPr>
    </w:p>
    <w:p w:rsidR="00A509DD" w:rsidRDefault="00DA53A3" w:rsidP="00A509DD">
      <w:pPr>
        <w:pStyle w:val="Default"/>
        <w:rPr>
          <w:lang w:val="en-US"/>
        </w:rPr>
      </w:pPr>
      <w:r>
        <w:t xml:space="preserve">For all uses except </w:t>
      </w:r>
      <w:r w:rsidR="00A509DD">
        <w:rPr>
          <w:lang w:val="en-US"/>
        </w:rPr>
        <w:t>the:</w:t>
      </w:r>
    </w:p>
    <w:p w:rsidR="00A509DD" w:rsidRDefault="00A509DD" w:rsidP="00A509DD">
      <w:pPr>
        <w:pStyle w:val="Default"/>
      </w:pPr>
      <w:r>
        <w:rPr>
          <w:lang w:val="en-US"/>
        </w:rPr>
        <w:t xml:space="preserve"> </w:t>
      </w:r>
    </w:p>
    <w:p w:rsidR="00DA53A3" w:rsidRPr="00A509DD" w:rsidRDefault="00A509DD" w:rsidP="00A509DD">
      <w:pPr>
        <w:rPr>
          <w:rFonts w:ascii="Arial" w:hAnsi="Arial" w:cs="Arial"/>
          <w:sz w:val="24"/>
          <w:szCs w:val="24"/>
        </w:rPr>
      </w:pPr>
      <w:r>
        <w:t>“</w:t>
      </w:r>
      <w:r w:rsidRPr="00A509DD">
        <w:rPr>
          <w:rFonts w:ascii="Arial" w:hAnsi="Arial" w:cs="Arial"/>
          <w:sz w:val="24"/>
          <w:szCs w:val="24"/>
        </w:rPr>
        <w:t>use of everolimus in the treatment of hormone receptor-positive, HER2/</w:t>
      </w:r>
      <w:proofErr w:type="spellStart"/>
      <w:r w:rsidRPr="00A509DD">
        <w:rPr>
          <w:rFonts w:ascii="Arial" w:hAnsi="Arial" w:cs="Arial"/>
          <w:sz w:val="24"/>
          <w:szCs w:val="24"/>
        </w:rPr>
        <w:t>neu</w:t>
      </w:r>
      <w:proofErr w:type="spellEnd"/>
      <w:r w:rsidRPr="00A509DD">
        <w:rPr>
          <w:rFonts w:ascii="Arial" w:hAnsi="Arial" w:cs="Arial"/>
          <w:sz w:val="24"/>
          <w:szCs w:val="24"/>
        </w:rPr>
        <w:t xml:space="preserve"> negative advanced </w:t>
      </w:r>
      <w:r w:rsidRPr="00A509DD">
        <w:rPr>
          <w:rFonts w:ascii="Arial" w:hAnsi="Arial" w:cs="Arial"/>
          <w:b/>
          <w:bCs/>
          <w:sz w:val="24"/>
          <w:szCs w:val="24"/>
        </w:rPr>
        <w:t>breast cancer</w:t>
      </w:r>
      <w:r w:rsidRPr="00A509DD">
        <w:rPr>
          <w:rFonts w:ascii="Arial" w:hAnsi="Arial" w:cs="Arial"/>
          <w:sz w:val="24"/>
          <w:szCs w:val="24"/>
        </w:rPr>
        <w:t xml:space="preserve">, in combination with </w:t>
      </w:r>
      <w:proofErr w:type="spellStart"/>
      <w:r w:rsidRPr="00A509DD">
        <w:rPr>
          <w:rFonts w:ascii="Arial" w:hAnsi="Arial" w:cs="Arial"/>
          <w:sz w:val="24"/>
          <w:szCs w:val="24"/>
        </w:rPr>
        <w:t>exemestane</w:t>
      </w:r>
      <w:proofErr w:type="spellEnd"/>
      <w:r w:rsidRPr="00A509DD">
        <w:rPr>
          <w:rFonts w:ascii="Arial" w:hAnsi="Arial" w:cs="Arial"/>
          <w:sz w:val="24"/>
          <w:szCs w:val="24"/>
        </w:rPr>
        <w:t>, in postmenopausal women without symptomatic visceral disease after recurrence or progression following a non-steroidal aromatase inhibitor.</w:t>
      </w:r>
      <w:r>
        <w:rPr>
          <w:rFonts w:ascii="Arial" w:hAnsi="Arial" w:cs="Arial"/>
          <w:sz w:val="24"/>
          <w:szCs w:val="24"/>
        </w:rPr>
        <w:t>”</w:t>
      </w:r>
    </w:p>
    <w:p w:rsidR="00A509DD" w:rsidRDefault="00A509DD" w:rsidP="00A509DD">
      <w:pPr>
        <w:pStyle w:val="Default"/>
      </w:pPr>
    </w:p>
    <w:p w:rsidR="00A509DD" w:rsidRPr="00A509DD" w:rsidRDefault="00A509DD" w:rsidP="00A509DD">
      <w:pPr>
        <w:rPr>
          <w:rFonts w:ascii="Arial" w:hAnsi="Arial" w:cs="Arial"/>
          <w:sz w:val="24"/>
          <w:szCs w:val="24"/>
        </w:rPr>
      </w:pPr>
      <w:r>
        <w:t>“</w:t>
      </w:r>
      <w:proofErr w:type="gramStart"/>
      <w:r w:rsidRPr="00A509DD">
        <w:rPr>
          <w:rFonts w:ascii="Arial" w:hAnsi="Arial" w:cs="Arial"/>
          <w:sz w:val="24"/>
          <w:szCs w:val="24"/>
        </w:rPr>
        <w:t>use</w:t>
      </w:r>
      <w:proofErr w:type="gramEnd"/>
      <w:r w:rsidRPr="00A509DD">
        <w:rPr>
          <w:rFonts w:ascii="Arial" w:hAnsi="Arial" w:cs="Arial"/>
          <w:sz w:val="24"/>
          <w:szCs w:val="24"/>
        </w:rPr>
        <w:t xml:space="preserve"> of everolimus in the treatment of patients with </w:t>
      </w:r>
      <w:r w:rsidRPr="00A509DD">
        <w:rPr>
          <w:rFonts w:ascii="Arial" w:hAnsi="Arial" w:cs="Arial"/>
          <w:b/>
          <w:bCs/>
          <w:sz w:val="24"/>
          <w:szCs w:val="24"/>
        </w:rPr>
        <w:t>advanced renal cell carcinoma</w:t>
      </w:r>
      <w:r w:rsidRPr="00A509DD">
        <w:rPr>
          <w:rFonts w:ascii="Arial" w:hAnsi="Arial" w:cs="Arial"/>
          <w:sz w:val="24"/>
          <w:szCs w:val="24"/>
        </w:rPr>
        <w:t>, whose disease has progressed on or after treatment with VEGF-targeted therapy</w:t>
      </w:r>
      <w:r>
        <w:rPr>
          <w:rFonts w:ascii="Arial" w:hAnsi="Arial" w:cs="Arial"/>
          <w:sz w:val="24"/>
          <w:szCs w:val="24"/>
        </w:rPr>
        <w:t>.”</w:t>
      </w:r>
    </w:p>
    <w:p w:rsidR="00A509DD" w:rsidRDefault="00A509DD" w:rsidP="00A509DD">
      <w:pPr>
        <w:pStyle w:val="Default"/>
      </w:pPr>
    </w:p>
    <w:p w:rsidR="00A509DD" w:rsidRPr="00A509DD" w:rsidRDefault="00A509DD" w:rsidP="00A509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gramStart"/>
      <w:r w:rsidRPr="00A509DD">
        <w:rPr>
          <w:rFonts w:ascii="Arial" w:hAnsi="Arial" w:cs="Arial"/>
          <w:sz w:val="24"/>
          <w:szCs w:val="24"/>
        </w:rPr>
        <w:t>the</w:t>
      </w:r>
      <w:proofErr w:type="gramEnd"/>
      <w:r w:rsidRPr="00A509DD">
        <w:rPr>
          <w:rFonts w:ascii="Arial" w:hAnsi="Arial" w:cs="Arial"/>
          <w:sz w:val="24"/>
          <w:szCs w:val="24"/>
        </w:rPr>
        <w:t xml:space="preserve"> use of everolimus in treating </w:t>
      </w:r>
      <w:proofErr w:type="spellStart"/>
      <w:r w:rsidRPr="00A509DD">
        <w:rPr>
          <w:rFonts w:ascii="Arial" w:hAnsi="Arial" w:cs="Arial"/>
          <w:sz w:val="24"/>
          <w:szCs w:val="24"/>
        </w:rPr>
        <w:t>unresectable</w:t>
      </w:r>
      <w:proofErr w:type="spellEnd"/>
      <w:r w:rsidRPr="00A509DD">
        <w:rPr>
          <w:rFonts w:ascii="Arial" w:hAnsi="Arial" w:cs="Arial"/>
          <w:sz w:val="24"/>
          <w:szCs w:val="24"/>
        </w:rPr>
        <w:t xml:space="preserve"> or metastatic, well-differentiated (Grade 1or 2) non-functional </w:t>
      </w:r>
      <w:r w:rsidRPr="00A509DD">
        <w:rPr>
          <w:rFonts w:ascii="Arial" w:hAnsi="Arial" w:cs="Arial"/>
          <w:b/>
          <w:bCs/>
          <w:sz w:val="24"/>
          <w:szCs w:val="24"/>
        </w:rPr>
        <w:t xml:space="preserve">neuroendocrine tumours of lung origin </w:t>
      </w:r>
      <w:r w:rsidRPr="00A509DD">
        <w:rPr>
          <w:rFonts w:ascii="Arial" w:hAnsi="Arial" w:cs="Arial"/>
          <w:sz w:val="24"/>
          <w:szCs w:val="24"/>
        </w:rPr>
        <w:t>in adults with progressive disease</w:t>
      </w:r>
      <w:r>
        <w:rPr>
          <w:rFonts w:ascii="Arial" w:hAnsi="Arial" w:cs="Arial"/>
          <w:sz w:val="24"/>
          <w:szCs w:val="24"/>
        </w:rPr>
        <w:t>.”</w:t>
      </w:r>
    </w:p>
    <w:p w:rsidR="00A509DD" w:rsidRDefault="00A509DD" w:rsidP="00A509DD">
      <w:pPr>
        <w:pStyle w:val="Default"/>
      </w:pPr>
      <w:r>
        <w:t xml:space="preserve">The use of everolimus for </w:t>
      </w:r>
    </w:p>
    <w:p w:rsidR="00A509DD" w:rsidRPr="00A509DD" w:rsidRDefault="00A509DD" w:rsidP="00A509DD">
      <w:pPr>
        <w:pStyle w:val="Default"/>
        <w:numPr>
          <w:ilvl w:val="0"/>
          <w:numId w:val="4"/>
        </w:numPr>
      </w:pPr>
      <w:r w:rsidRPr="00A509DD">
        <w:t>“</w:t>
      </w:r>
      <w:r w:rsidRPr="00A509DD">
        <w:t xml:space="preserve">renal </w:t>
      </w:r>
      <w:proofErr w:type="spellStart"/>
      <w:r w:rsidRPr="00A509DD">
        <w:t>angiomyolipoma</w:t>
      </w:r>
      <w:proofErr w:type="spellEnd"/>
      <w:r w:rsidRPr="00A509DD">
        <w:t xml:space="preserve"> (AML) associated with tuberous sclerosis complex (“TSC”) </w:t>
      </w:r>
    </w:p>
    <w:p w:rsidR="00A509DD" w:rsidRPr="00A509DD" w:rsidRDefault="00A509DD" w:rsidP="00A509DD">
      <w:pPr>
        <w:pStyle w:val="Default"/>
        <w:numPr>
          <w:ilvl w:val="0"/>
          <w:numId w:val="4"/>
        </w:numPr>
      </w:pPr>
      <w:proofErr w:type="spellStart"/>
      <w:r w:rsidRPr="00A509DD">
        <w:t>subependymal</w:t>
      </w:r>
      <w:proofErr w:type="spellEnd"/>
      <w:r w:rsidRPr="00A509DD">
        <w:t xml:space="preserve"> giant cell astrocytoma (“SEGA”) associated with TSC </w:t>
      </w:r>
    </w:p>
    <w:p w:rsidR="00A509DD" w:rsidRPr="00A509DD" w:rsidRDefault="00A509DD" w:rsidP="00A509D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gramStart"/>
      <w:r w:rsidRPr="00A509DD">
        <w:rPr>
          <w:rFonts w:ascii="Arial" w:hAnsi="Arial" w:cs="Arial"/>
          <w:sz w:val="24"/>
          <w:szCs w:val="24"/>
        </w:rPr>
        <w:t>refractory</w:t>
      </w:r>
      <w:proofErr w:type="gramEnd"/>
      <w:r w:rsidRPr="00A509DD">
        <w:rPr>
          <w:rFonts w:ascii="Arial" w:hAnsi="Arial" w:cs="Arial"/>
          <w:sz w:val="24"/>
          <w:szCs w:val="24"/>
        </w:rPr>
        <w:t xml:space="preserve"> partial-onset seizures, with or without secondary generalization, associated with TSC (indication of dispersible tablet formulations).</w:t>
      </w:r>
      <w:r w:rsidRPr="00A509DD">
        <w:rPr>
          <w:rFonts w:ascii="Arial" w:hAnsi="Arial" w:cs="Arial"/>
          <w:sz w:val="24"/>
          <w:szCs w:val="24"/>
        </w:rPr>
        <w:t>”</w:t>
      </w:r>
    </w:p>
    <w:p w:rsidR="00DA53A3" w:rsidRDefault="00DA53A3"/>
    <w:p w:rsidR="00210D02" w:rsidRPr="00210D02" w:rsidRDefault="00210D02">
      <w:pPr>
        <w:rPr>
          <w:rFonts w:ascii="Arial" w:hAnsi="Arial" w:cs="Arial"/>
        </w:rPr>
      </w:pPr>
      <w:r w:rsidRPr="00056DB7">
        <w:rPr>
          <w:rFonts w:ascii="Arial" w:hAnsi="Arial" w:cs="Arial"/>
        </w:rPr>
        <w:t>Please note that the full list of products included in the procurement a</w:t>
      </w:r>
      <w:r w:rsidR="00DA53A3">
        <w:rPr>
          <w:rFonts w:ascii="Arial" w:hAnsi="Arial" w:cs="Arial"/>
        </w:rPr>
        <w:t xml:space="preserve">re listed within Document No. </w:t>
      </w:r>
      <w:proofErr w:type="gramStart"/>
      <w:r w:rsidR="00DA53A3">
        <w:rPr>
          <w:rFonts w:ascii="Arial" w:hAnsi="Arial" w:cs="Arial"/>
        </w:rPr>
        <w:t>05</w:t>
      </w:r>
      <w:r w:rsidRPr="00056DB7">
        <w:rPr>
          <w:rFonts w:ascii="Arial" w:hAnsi="Arial" w:cs="Arial"/>
        </w:rPr>
        <w:t>a(</w:t>
      </w:r>
      <w:proofErr w:type="spellStart"/>
      <w:proofErr w:type="gramEnd"/>
      <w:r w:rsidRPr="00056DB7">
        <w:rPr>
          <w:rFonts w:ascii="Arial" w:hAnsi="Arial" w:cs="Arial"/>
        </w:rPr>
        <w:t>i</w:t>
      </w:r>
      <w:proofErr w:type="spellEnd"/>
      <w:r w:rsidRPr="00056DB7">
        <w:rPr>
          <w:rFonts w:ascii="Arial" w:hAnsi="Arial" w:cs="Arial"/>
        </w:rPr>
        <w:t>) of this Invitation to Offer pack.</w:t>
      </w:r>
    </w:p>
    <w:sectPr w:rsidR="00210D02" w:rsidRPr="00210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DD7"/>
    <w:multiLevelType w:val="hybridMultilevel"/>
    <w:tmpl w:val="5D6C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C622C"/>
    <w:multiLevelType w:val="hybridMultilevel"/>
    <w:tmpl w:val="0166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B6D26"/>
    <w:multiLevelType w:val="hybridMultilevel"/>
    <w:tmpl w:val="59DA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0276B"/>
    <w:multiLevelType w:val="hybridMultilevel"/>
    <w:tmpl w:val="1420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E9A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02"/>
    <w:rsid w:val="000A00CE"/>
    <w:rsid w:val="00210D02"/>
    <w:rsid w:val="00335E9F"/>
    <w:rsid w:val="00A509DD"/>
    <w:rsid w:val="00DA53A3"/>
    <w:rsid w:val="00DD5644"/>
    <w:rsid w:val="00F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0D0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10D02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0D02"/>
    <w:pPr>
      <w:ind w:left="720"/>
    </w:pPr>
    <w:rPr>
      <w:rFonts w:ascii="Calibri" w:hAnsi="Calibri" w:cs="Calibri"/>
      <w:lang w:eastAsia="en-GB"/>
    </w:rPr>
  </w:style>
  <w:style w:type="paragraph" w:customStyle="1" w:styleId="Default">
    <w:name w:val="Default"/>
    <w:rsid w:val="00A50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0D0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10D02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0D02"/>
    <w:pPr>
      <w:ind w:left="720"/>
    </w:pPr>
    <w:rPr>
      <w:rFonts w:ascii="Calibri" w:hAnsi="Calibri" w:cs="Calibri"/>
      <w:lang w:eastAsia="en-GB"/>
    </w:rPr>
  </w:style>
  <w:style w:type="paragraph" w:customStyle="1" w:styleId="Default">
    <w:name w:val="Default"/>
    <w:rsid w:val="00A50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customXml" Target="/customXML/item2.xml" Id="Rbdf685d18fa54a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A2479098</value>
    </field>
    <field name="Objective-Title">
      <value order="0">Document No. 00 - Read Me First Document 2019_1</value>
    </field>
    <field name="Objective-Description">
      <value order="0"/>
    </field>
    <field name="Objective-CreationStamp">
      <value order="0">2019-05-03T13:16:51Z</value>
    </field>
    <field name="Objective-IsApproved">
      <value order="0">false</value>
    </field>
    <field name="Objective-IsPublished">
      <value order="0">true</value>
    </field>
    <field name="Objective-DatePublished">
      <value order="0">2019-05-03T13:37:55Z</value>
    </field>
    <field name="Objective-ModificationStamp">
      <value order="0">2019-05-03T13:39:11Z</value>
    </field>
    <field name="Objective-Owner">
      <value order="0">Allen, Ian</value>
    </field>
    <field name="Objective-Path">
      <value order="0">Global Folder:03 Generic Medicine Projects and Contracts:Live Projects:14 Generic Pharmaceuticals Projects 2017:CM/PHG/17/5547 NHS National Pharmaceuticals Transition 2019_1:03 Tender for CM/PHG/17/5547 - NHS National Pharmaceuticals Transition 2019_1:02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vA3761830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qA18647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Rachel</dc:creator>
  <cp:lastModifiedBy>Allen, Ian</cp:lastModifiedBy>
  <cp:revision>4</cp:revision>
  <dcterms:created xsi:type="dcterms:W3CDTF">2019-05-03T13:16:00Z</dcterms:created>
  <dcterms:modified xsi:type="dcterms:W3CDTF">2019-05-03T13:37:00Z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A2479098</vt:lpwstr>
  </property>
  <property fmtid="{D5CDD505-2E9C-101B-9397-08002B2CF9AE}" pid="4" name="Objective-Title">
    <vt:lpwstr>Document No. 00 - Read Me First Document 2019_1</vt:lpwstr>
  </property>
  <property fmtid="{D5CDD505-2E9C-101B-9397-08002B2CF9AE}" pid="5" name="Objective-Comment">
    <vt:lpwstr/>
  </property>
  <property fmtid="{D5CDD505-2E9C-101B-9397-08002B2CF9AE}" pid="6" name="Objective-CreationStamp">
    <vt:filetime>2019-05-03T13:16:51Z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2019-05-03T13:37:55Z</vt:filetime>
  </property>
  <property fmtid="{D5CDD505-2E9C-101B-9397-08002B2CF9AE}" pid="10" name="Objective-ModificationStamp">
    <vt:filetime>2019-05-03T13:39:11Z</vt:filetime>
  </property>
  <property fmtid="{D5CDD505-2E9C-101B-9397-08002B2CF9AE}" pid="11" name="Objective-Owner">
    <vt:lpwstr>Allen, Ian</vt:lpwstr>
  </property>
  <property fmtid="{D5CDD505-2E9C-101B-9397-08002B2CF9AE}" pid="12" name="Objective-Path">
    <vt:lpwstr>Global Folder:03 Generic Medicine Projects and Contracts:Live Projects:14 Generic Pharmaceuticals Projects 2017:CM/PHG/17/5547 NHS National Pharmaceuticals Transition 2019_1:03 Tender for CM/PHG/17/5547 - NHS National Pharmaceuticals Transition 2019_1:02 ITO Documentation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qA18647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vA3761830</vt:lpwstr>
  </property>
</Properties>
</file>