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7418EF">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243762" w:rsidRPr="00243762">
              <w:rPr>
                <w:rFonts w:asciiTheme="minorHAnsi" w:hAnsiTheme="minorHAnsi" w:cstheme="minorHAnsi"/>
                <w:b/>
                <w:iCs/>
                <w:color w:val="FFFFFF" w:themeColor="background1"/>
                <w:sz w:val="24"/>
              </w:rPr>
              <w:t xml:space="preserve">UK HPR1000 Generic Design Assessment – </w:t>
            </w:r>
            <w:r w:rsidR="007418EF">
              <w:rPr>
                <w:rFonts w:asciiTheme="minorHAnsi" w:hAnsiTheme="minorHAnsi" w:cstheme="minorHAnsi"/>
                <w:b/>
                <w:iCs/>
                <w:color w:val="FFFFFF" w:themeColor="background1"/>
                <w:sz w:val="24"/>
              </w:rPr>
              <w:t>Independent Review of PSA Submissions</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243762" w:rsidRPr="00243762" w:rsidRDefault="00243762" w:rsidP="0039459B">
            <w:pPr>
              <w:pStyle w:val="TSNumberedParagraph11"/>
              <w:jc w:val="both"/>
              <w:rPr>
                <w:rFonts w:asciiTheme="minorHAnsi" w:hAnsiTheme="minorHAnsi" w:cstheme="minorHAnsi"/>
              </w:rPr>
            </w:pPr>
            <w:r w:rsidRPr="00243762">
              <w:rPr>
                <w:rFonts w:asciiTheme="minorHAnsi" w:hAnsiTheme="minorHAnsi" w:cstheme="minorHAnsi"/>
              </w:rPr>
              <w:t xml:space="preserve">In January 2017 the UK Government formally asked ONR and EA to begin the GDA of the UK HPR1000. The UK HPR1000 is a reactor design proposed for deployment at </w:t>
            </w:r>
            <w:proofErr w:type="spellStart"/>
            <w:r w:rsidRPr="00243762">
              <w:rPr>
                <w:rFonts w:asciiTheme="minorHAnsi" w:hAnsiTheme="minorHAnsi" w:cstheme="minorHAnsi"/>
              </w:rPr>
              <w:t>Bradwell</w:t>
            </w:r>
            <w:proofErr w:type="spellEnd"/>
            <w:r w:rsidRPr="00243762">
              <w:rPr>
                <w:rFonts w:asciiTheme="minorHAnsi" w:hAnsiTheme="minorHAnsi" w:cstheme="minorHAnsi"/>
              </w:rPr>
              <w:t>-on-Sea, Essex. General Nuclear System LTD (GNS) is a UK-registered company that was established as the Requesting Party (RP) to implement the GDA on the UK HPR1000 reactor on behalf of three joint requesting parties, i.e. China General Nuclear Power Corporation (CGN), EDF and General Nuclear International (GNI).</w:t>
            </w:r>
          </w:p>
          <w:p w:rsidR="00243762" w:rsidRPr="00243762" w:rsidRDefault="00243762" w:rsidP="0039459B">
            <w:pPr>
              <w:pStyle w:val="TSNumberedParagraph11"/>
              <w:jc w:val="both"/>
              <w:rPr>
                <w:rFonts w:asciiTheme="minorHAnsi" w:hAnsiTheme="minorHAnsi" w:cstheme="minorHAnsi"/>
              </w:rPr>
            </w:pPr>
            <w:r w:rsidRPr="00243762">
              <w:rPr>
                <w:rFonts w:asciiTheme="minorHAnsi" w:hAnsiTheme="minorHAnsi" w:cstheme="minorHAnsi"/>
              </w:rPr>
              <w:t>The GDA process calls for a step-wise assessment of the RP’s safety and security submissions with the assessments increasing in detail as the project progresses. Step 1 of the UK HPR1000 GDA commenced in January 2017 and Step 2 finished in November 2018. Step 3 commence</w:t>
            </w:r>
            <w:r w:rsidR="00D55571">
              <w:rPr>
                <w:rFonts w:asciiTheme="minorHAnsi" w:hAnsiTheme="minorHAnsi" w:cstheme="minorHAnsi"/>
              </w:rPr>
              <w:t>d</w:t>
            </w:r>
            <w:r w:rsidRPr="00243762">
              <w:rPr>
                <w:rFonts w:asciiTheme="minorHAnsi" w:hAnsiTheme="minorHAnsi" w:cstheme="minorHAnsi"/>
              </w:rPr>
              <w:t xml:space="preserve"> thereafter and</w:t>
            </w:r>
            <w:r w:rsidR="00D55571">
              <w:rPr>
                <w:rFonts w:asciiTheme="minorHAnsi" w:hAnsiTheme="minorHAnsi" w:cstheme="minorHAnsi"/>
              </w:rPr>
              <w:t xml:space="preserve"> will</w:t>
            </w:r>
            <w:r w:rsidRPr="00243762">
              <w:rPr>
                <w:rFonts w:asciiTheme="minorHAnsi" w:hAnsiTheme="minorHAnsi" w:cstheme="minorHAnsi"/>
              </w:rPr>
              <w:t xml:space="preserve"> last for approximately 13 months. Step 4 is currently planned to last for 24 months, starting in December 2019.</w:t>
            </w:r>
          </w:p>
          <w:p w:rsidR="00CC48DC" w:rsidRDefault="00CC48DC" w:rsidP="0039459B">
            <w:pPr>
              <w:pStyle w:val="TSNumberedParagraph11"/>
              <w:jc w:val="both"/>
              <w:rPr>
                <w:rFonts w:asciiTheme="minorHAnsi" w:hAnsiTheme="minorHAnsi" w:cstheme="minorHAnsi"/>
              </w:rPr>
            </w:pPr>
            <w:r>
              <w:rPr>
                <w:rFonts w:asciiTheme="minorHAnsi" w:hAnsiTheme="minorHAnsi" w:cstheme="minorHAnsi"/>
              </w:rPr>
              <w:t xml:space="preserve">To support its assessment, ONR </w:t>
            </w:r>
            <w:r w:rsidRPr="00243762">
              <w:rPr>
                <w:rFonts w:asciiTheme="minorHAnsi" w:hAnsiTheme="minorHAnsi" w:cstheme="minorHAnsi"/>
              </w:rPr>
              <w:t xml:space="preserve">requires a meaningful review of the </w:t>
            </w:r>
            <w:r>
              <w:rPr>
                <w:rFonts w:asciiTheme="minorHAnsi" w:hAnsiTheme="minorHAnsi" w:cstheme="minorHAnsi"/>
              </w:rPr>
              <w:t xml:space="preserve">submitted body of work related to PSA. </w:t>
            </w:r>
            <w:r w:rsidRPr="00243762">
              <w:rPr>
                <w:rFonts w:asciiTheme="minorHAnsi" w:hAnsiTheme="minorHAnsi" w:cstheme="minorHAnsi"/>
              </w:rPr>
              <w:t xml:space="preserve"> Considering the </w:t>
            </w:r>
            <w:r>
              <w:rPr>
                <w:rFonts w:asciiTheme="minorHAnsi" w:hAnsiTheme="minorHAnsi" w:cstheme="minorHAnsi"/>
              </w:rPr>
              <w:t xml:space="preserve">size and number of the methodologies, models and analysis reports, </w:t>
            </w:r>
            <w:r w:rsidRPr="00243762">
              <w:rPr>
                <w:rFonts w:asciiTheme="minorHAnsi" w:hAnsiTheme="minorHAnsi" w:cstheme="minorHAnsi"/>
              </w:rPr>
              <w:t>ONR needs to be supported by external contractors of suitable qua</w:t>
            </w:r>
            <w:r>
              <w:rPr>
                <w:rFonts w:asciiTheme="minorHAnsi" w:hAnsiTheme="minorHAnsi" w:cstheme="minorHAnsi"/>
              </w:rPr>
              <w:t>lification and experience in</w:t>
            </w:r>
            <w:r w:rsidRPr="00243762">
              <w:rPr>
                <w:rFonts w:asciiTheme="minorHAnsi" w:hAnsiTheme="minorHAnsi" w:cstheme="minorHAnsi"/>
              </w:rPr>
              <w:t xml:space="preserve"> PSA</w:t>
            </w:r>
            <w:r>
              <w:rPr>
                <w:rFonts w:asciiTheme="minorHAnsi" w:hAnsiTheme="minorHAnsi" w:cstheme="minorHAnsi"/>
              </w:rPr>
              <w:t>.</w:t>
            </w:r>
          </w:p>
          <w:p w:rsidR="0060365E" w:rsidRDefault="00243762" w:rsidP="003B5C2F">
            <w:pPr>
              <w:pStyle w:val="TSNumberedParagraph11"/>
              <w:rPr>
                <w:rFonts w:asciiTheme="minorHAnsi" w:hAnsiTheme="minorHAnsi" w:cstheme="minorHAnsi"/>
              </w:rPr>
            </w:pPr>
            <w:r w:rsidRPr="003B5C2F">
              <w:rPr>
                <w:rFonts w:asciiTheme="minorHAnsi" w:hAnsiTheme="minorHAnsi" w:cstheme="minorHAnsi"/>
              </w:rPr>
              <w:t xml:space="preserve">The RP </w:t>
            </w:r>
            <w:r w:rsidR="0060365E">
              <w:rPr>
                <w:rFonts w:asciiTheme="minorHAnsi" w:hAnsiTheme="minorHAnsi" w:cstheme="minorHAnsi"/>
              </w:rPr>
              <w:t xml:space="preserve">has begun to </w:t>
            </w:r>
            <w:r w:rsidR="007418EF" w:rsidRPr="003B5C2F">
              <w:rPr>
                <w:rFonts w:asciiTheme="minorHAnsi" w:hAnsiTheme="minorHAnsi" w:cstheme="minorHAnsi"/>
              </w:rPr>
              <w:t>submit a body of work addressing the</w:t>
            </w:r>
            <w:r w:rsidR="004103F8" w:rsidRPr="003B5C2F">
              <w:rPr>
                <w:rFonts w:asciiTheme="minorHAnsi" w:hAnsiTheme="minorHAnsi" w:cstheme="minorHAnsi"/>
              </w:rPr>
              <w:t xml:space="preserve"> probabilistic safety analysis</w:t>
            </w:r>
            <w:r w:rsidR="007418EF" w:rsidRPr="003B5C2F">
              <w:rPr>
                <w:rFonts w:asciiTheme="minorHAnsi" w:hAnsiTheme="minorHAnsi" w:cstheme="minorHAnsi"/>
              </w:rPr>
              <w:t xml:space="preserve"> </w:t>
            </w:r>
            <w:r w:rsidR="004103F8" w:rsidRPr="003B5C2F">
              <w:rPr>
                <w:rFonts w:asciiTheme="minorHAnsi" w:hAnsiTheme="minorHAnsi" w:cstheme="minorHAnsi"/>
              </w:rPr>
              <w:t>(</w:t>
            </w:r>
            <w:r w:rsidR="007418EF" w:rsidRPr="003B5C2F">
              <w:rPr>
                <w:rFonts w:asciiTheme="minorHAnsi" w:hAnsiTheme="minorHAnsi" w:cstheme="minorHAnsi"/>
              </w:rPr>
              <w:t>PSA</w:t>
            </w:r>
            <w:r w:rsidR="004103F8" w:rsidRPr="003B5C2F">
              <w:rPr>
                <w:rFonts w:asciiTheme="minorHAnsi" w:hAnsiTheme="minorHAnsi" w:cstheme="minorHAnsi"/>
              </w:rPr>
              <w:t>)</w:t>
            </w:r>
            <w:r w:rsidR="007418EF" w:rsidRPr="003B5C2F">
              <w:rPr>
                <w:rFonts w:asciiTheme="minorHAnsi" w:hAnsiTheme="minorHAnsi" w:cstheme="minorHAnsi"/>
              </w:rPr>
              <w:t xml:space="preserve"> topic area including methodologies, models and analysis reports. This body of work will address:</w:t>
            </w:r>
          </w:p>
          <w:p w:rsidR="0060365E" w:rsidRPr="0060365E" w:rsidRDefault="0060365E" w:rsidP="0060365E">
            <w:pPr>
              <w:pStyle w:val="TSBullet1Square"/>
              <w:rPr>
                <w:rFonts w:asciiTheme="minorHAnsi" w:hAnsiTheme="minorHAnsi"/>
              </w:rPr>
            </w:pPr>
            <w:r w:rsidRPr="0060365E">
              <w:rPr>
                <w:rFonts w:asciiTheme="minorHAnsi" w:hAnsiTheme="minorHAnsi"/>
              </w:rPr>
              <w:t xml:space="preserve">internal events </w:t>
            </w:r>
            <w:r w:rsidR="004103F8" w:rsidRPr="0060365E">
              <w:rPr>
                <w:rFonts w:asciiTheme="minorHAnsi" w:hAnsiTheme="minorHAnsi"/>
              </w:rPr>
              <w:t>Level 1</w:t>
            </w:r>
            <w:r w:rsidR="007418EF" w:rsidRPr="0060365E">
              <w:rPr>
                <w:rFonts w:asciiTheme="minorHAnsi" w:hAnsiTheme="minorHAnsi"/>
              </w:rPr>
              <w:t xml:space="preserve"> PSA</w:t>
            </w:r>
          </w:p>
          <w:p w:rsidR="0060365E" w:rsidRPr="0060365E" w:rsidRDefault="0060365E" w:rsidP="0060365E">
            <w:pPr>
              <w:pStyle w:val="TSBullet1Square"/>
              <w:rPr>
                <w:rFonts w:asciiTheme="minorHAnsi" w:hAnsiTheme="minorHAnsi"/>
              </w:rPr>
            </w:pPr>
            <w:r w:rsidRPr="0060365E">
              <w:rPr>
                <w:rFonts w:asciiTheme="minorHAnsi" w:hAnsiTheme="minorHAnsi"/>
              </w:rPr>
              <w:t>internal events Level 2 PSA</w:t>
            </w:r>
          </w:p>
          <w:p w:rsidR="0060365E" w:rsidRPr="0060365E" w:rsidRDefault="0060365E" w:rsidP="0060365E">
            <w:pPr>
              <w:pStyle w:val="TSBullet1Square"/>
              <w:rPr>
                <w:rFonts w:asciiTheme="minorHAnsi" w:hAnsiTheme="minorHAnsi"/>
              </w:rPr>
            </w:pPr>
            <w:r w:rsidRPr="0060365E">
              <w:rPr>
                <w:rFonts w:asciiTheme="minorHAnsi" w:hAnsiTheme="minorHAnsi"/>
              </w:rPr>
              <w:t>spent fuel pool PSA</w:t>
            </w:r>
          </w:p>
          <w:p w:rsidR="0060365E" w:rsidRPr="0060365E" w:rsidRDefault="007418EF" w:rsidP="0060365E">
            <w:pPr>
              <w:pStyle w:val="TSBullet1Square"/>
              <w:rPr>
                <w:rFonts w:asciiTheme="minorHAnsi" w:hAnsiTheme="minorHAnsi"/>
              </w:rPr>
            </w:pPr>
            <w:r w:rsidRPr="0060365E">
              <w:rPr>
                <w:rFonts w:asciiTheme="minorHAnsi" w:hAnsiTheme="minorHAnsi"/>
              </w:rPr>
              <w:t>internal fire</w:t>
            </w:r>
            <w:r w:rsidR="0060365E" w:rsidRPr="0060365E">
              <w:rPr>
                <w:rFonts w:asciiTheme="minorHAnsi" w:hAnsiTheme="minorHAnsi"/>
              </w:rPr>
              <w:t xml:space="preserve"> PSA</w:t>
            </w:r>
          </w:p>
          <w:p w:rsidR="0060365E" w:rsidRPr="0060365E" w:rsidRDefault="007418EF" w:rsidP="0060365E">
            <w:pPr>
              <w:pStyle w:val="TSBullet1Square"/>
              <w:rPr>
                <w:rFonts w:asciiTheme="minorHAnsi" w:hAnsiTheme="minorHAnsi"/>
              </w:rPr>
            </w:pPr>
            <w:r w:rsidRPr="0060365E">
              <w:rPr>
                <w:rFonts w:asciiTheme="minorHAnsi" w:hAnsiTheme="minorHAnsi"/>
              </w:rPr>
              <w:t>internal flooding</w:t>
            </w:r>
            <w:r w:rsidR="0060365E" w:rsidRPr="0060365E">
              <w:rPr>
                <w:rFonts w:asciiTheme="minorHAnsi" w:hAnsiTheme="minorHAnsi"/>
              </w:rPr>
              <w:t xml:space="preserve"> PSA</w:t>
            </w:r>
          </w:p>
          <w:p w:rsidR="0060365E" w:rsidRDefault="0060365E" w:rsidP="0060365E">
            <w:pPr>
              <w:pStyle w:val="TSBullet1Square"/>
              <w:rPr>
                <w:rFonts w:asciiTheme="minorHAnsi" w:hAnsiTheme="minorHAnsi"/>
              </w:rPr>
            </w:pPr>
            <w:r w:rsidRPr="0060365E">
              <w:rPr>
                <w:rFonts w:asciiTheme="minorHAnsi" w:hAnsiTheme="minorHAnsi"/>
              </w:rPr>
              <w:t>external hazards PSA</w:t>
            </w:r>
          </w:p>
          <w:p w:rsidR="00243762" w:rsidRPr="0060365E" w:rsidRDefault="007418EF" w:rsidP="0039459B">
            <w:pPr>
              <w:pStyle w:val="TSNumberedParagraph11"/>
              <w:jc w:val="both"/>
              <w:rPr>
                <w:rFonts w:asciiTheme="minorHAnsi" w:hAnsiTheme="minorHAnsi"/>
              </w:rPr>
            </w:pPr>
            <w:r w:rsidRPr="0060365E">
              <w:rPr>
                <w:rFonts w:asciiTheme="minorHAnsi" w:hAnsiTheme="minorHAnsi"/>
              </w:rPr>
              <w:t>ONR will assess</w:t>
            </w:r>
            <w:r w:rsidR="003B5C2F" w:rsidRPr="0060365E">
              <w:rPr>
                <w:rFonts w:asciiTheme="minorHAnsi" w:hAnsiTheme="minorHAnsi"/>
              </w:rPr>
              <w:t xml:space="preserve"> the evidence by conducting in-depth reviews, on a sampling basis, of the PSA models, data, documentation and supporting analyses, to </w:t>
            </w:r>
            <w:r w:rsidR="00D55571">
              <w:rPr>
                <w:rFonts w:asciiTheme="minorHAnsi" w:hAnsiTheme="minorHAnsi"/>
              </w:rPr>
              <w:t>get confidence</w:t>
            </w:r>
            <w:r w:rsidR="00D55571" w:rsidRPr="0060365E">
              <w:rPr>
                <w:rFonts w:asciiTheme="minorHAnsi" w:hAnsiTheme="minorHAnsi"/>
              </w:rPr>
              <w:t xml:space="preserve"> </w:t>
            </w:r>
            <w:r w:rsidR="003B5C2F" w:rsidRPr="0060365E">
              <w:rPr>
                <w:rFonts w:asciiTheme="minorHAnsi" w:hAnsiTheme="minorHAnsi"/>
              </w:rPr>
              <w:t>that the claims and arguments are underpinned by robust evidence</w:t>
            </w:r>
            <w:r w:rsidR="00D55571">
              <w:rPr>
                <w:rFonts w:asciiTheme="minorHAnsi" w:hAnsiTheme="minorHAnsi"/>
              </w:rPr>
              <w:t>, that the PSA meets ONR’s regulatory expectations and that it has been used to appropriately inform the design.</w:t>
            </w:r>
          </w:p>
          <w:p w:rsidR="00D30DD5" w:rsidRPr="00460DA9" w:rsidRDefault="00243762" w:rsidP="0039459B">
            <w:pPr>
              <w:pStyle w:val="TSNumberedParagraph11"/>
              <w:spacing w:after="0"/>
              <w:jc w:val="both"/>
            </w:pPr>
            <w:r w:rsidRPr="008A510C">
              <w:rPr>
                <w:rFonts w:asciiTheme="minorHAnsi" w:hAnsiTheme="minorHAnsi" w:cstheme="minorHAnsi"/>
              </w:rPr>
              <w:t xml:space="preserve">The purpose of this contract is therefore to provide ONR with an independent view on the adequacy, or otherwise, </w:t>
            </w:r>
            <w:r w:rsidR="00D55571">
              <w:rPr>
                <w:rFonts w:asciiTheme="minorHAnsi" w:hAnsiTheme="minorHAnsi" w:cstheme="minorHAnsi"/>
              </w:rPr>
              <w:t xml:space="preserve">on a sample </w:t>
            </w:r>
            <w:r w:rsidRPr="008A510C">
              <w:rPr>
                <w:rFonts w:asciiTheme="minorHAnsi" w:hAnsiTheme="minorHAnsi" w:cstheme="minorHAnsi"/>
              </w:rPr>
              <w:t xml:space="preserve">of the </w:t>
            </w:r>
            <w:r w:rsidR="004103F8" w:rsidRPr="008A510C">
              <w:rPr>
                <w:rFonts w:asciiTheme="minorHAnsi" w:hAnsiTheme="minorHAnsi" w:cstheme="minorHAnsi"/>
              </w:rPr>
              <w:t>submitted body of work in PSA</w:t>
            </w:r>
            <w:r w:rsidRPr="008A510C">
              <w:rPr>
                <w:rFonts w:asciiTheme="minorHAnsi" w:hAnsiTheme="minorHAnsi" w:cstheme="minorHAnsi"/>
              </w:rPr>
              <w:t xml:space="preserve"> for </w:t>
            </w:r>
            <w:r w:rsidR="008A510C">
              <w:rPr>
                <w:rFonts w:asciiTheme="minorHAnsi" w:hAnsiTheme="minorHAnsi" w:cstheme="minorHAnsi"/>
              </w:rPr>
              <w:t xml:space="preserve">the </w:t>
            </w:r>
            <w:r w:rsidRPr="008A510C">
              <w:rPr>
                <w:rFonts w:asciiTheme="minorHAnsi" w:hAnsiTheme="minorHAnsi" w:cstheme="minorHAnsi"/>
              </w:rPr>
              <w:t>UK HPR1000 against relevant ONR and international standards and guidance.</w:t>
            </w:r>
            <w:r w:rsidR="00460DA9">
              <w:rPr>
                <w:rFonts w:asciiTheme="minorHAnsi" w:hAnsiTheme="minorHAnsi" w:cstheme="minorHAnsi"/>
              </w:rPr>
              <w:t xml:space="preserve"> This is expected to be undertaken in two phases:</w:t>
            </w:r>
          </w:p>
          <w:p w:rsidR="00460DA9" w:rsidRPr="00460DA9" w:rsidRDefault="00460DA9" w:rsidP="00460DA9">
            <w:pPr>
              <w:pStyle w:val="TSNumberedParagraph11"/>
              <w:numPr>
                <w:ilvl w:val="0"/>
                <w:numId w:val="0"/>
              </w:numPr>
              <w:spacing w:after="0"/>
              <w:ind w:left="720"/>
            </w:pPr>
          </w:p>
          <w:p w:rsidR="00460DA9" w:rsidRDefault="00460DA9" w:rsidP="00460DA9">
            <w:pPr>
              <w:pStyle w:val="TSBullet1Square"/>
              <w:rPr>
                <w:rFonts w:asciiTheme="minorHAnsi" w:hAnsiTheme="minorHAnsi"/>
              </w:rPr>
            </w:pPr>
            <w:r w:rsidRPr="00460DA9">
              <w:rPr>
                <w:rFonts w:asciiTheme="minorHAnsi" w:hAnsiTheme="minorHAnsi"/>
              </w:rPr>
              <w:t xml:space="preserve">Phase 1: </w:t>
            </w:r>
            <w:r>
              <w:rPr>
                <w:rFonts w:asciiTheme="minorHAnsi" w:hAnsiTheme="minorHAnsi"/>
              </w:rPr>
              <w:t>Based on the RP’s submitted body of work, responses to regulatory questions and the contractor’s own knowledge and experience; conduct a review of the methods, selection of initiating events and success criteria against relevant good practice.</w:t>
            </w:r>
          </w:p>
          <w:p w:rsidR="00460DA9" w:rsidRPr="00460DA9" w:rsidRDefault="00460DA9" w:rsidP="00D55571">
            <w:pPr>
              <w:pStyle w:val="TSBullet1Square"/>
              <w:rPr>
                <w:rFonts w:asciiTheme="minorHAnsi" w:hAnsiTheme="minorHAnsi"/>
              </w:rPr>
            </w:pPr>
            <w:r>
              <w:rPr>
                <w:rFonts w:asciiTheme="minorHAnsi" w:hAnsiTheme="minorHAnsi"/>
              </w:rPr>
              <w:t xml:space="preserve">Phase 2: Using the results of Phase 1’s </w:t>
            </w:r>
            <w:r w:rsidR="003312C7">
              <w:rPr>
                <w:rFonts w:asciiTheme="minorHAnsi" w:hAnsiTheme="minorHAnsi"/>
              </w:rPr>
              <w:t>review</w:t>
            </w:r>
            <w:r w:rsidR="008B04DB">
              <w:rPr>
                <w:rFonts w:asciiTheme="minorHAnsi" w:hAnsiTheme="minorHAnsi"/>
              </w:rPr>
              <w:t xml:space="preserve">, conduct a </w:t>
            </w:r>
            <w:r w:rsidR="00D55571">
              <w:rPr>
                <w:rFonts w:asciiTheme="minorHAnsi" w:hAnsiTheme="minorHAnsi"/>
              </w:rPr>
              <w:t xml:space="preserve">thorough </w:t>
            </w:r>
            <w:r w:rsidR="008B04DB">
              <w:rPr>
                <w:rFonts w:asciiTheme="minorHAnsi" w:hAnsiTheme="minorHAnsi"/>
              </w:rPr>
              <w:t xml:space="preserve">review </w:t>
            </w:r>
            <w:r w:rsidR="00D55571">
              <w:rPr>
                <w:rFonts w:asciiTheme="minorHAnsi" w:hAnsiTheme="minorHAnsi"/>
              </w:rPr>
              <w:t xml:space="preserve">of selected </w:t>
            </w:r>
            <w:r w:rsidR="00D55571">
              <w:rPr>
                <w:rFonts w:asciiTheme="minorHAnsi" w:hAnsiTheme="minorHAnsi"/>
              </w:rPr>
              <w:lastRenderedPageBreak/>
              <w:t xml:space="preserve">aspects </w:t>
            </w:r>
            <w:proofErr w:type="gramStart"/>
            <w:r w:rsidR="00D55571">
              <w:rPr>
                <w:rFonts w:asciiTheme="minorHAnsi" w:hAnsiTheme="minorHAnsi"/>
              </w:rPr>
              <w:t xml:space="preserve">of </w:t>
            </w:r>
            <w:r w:rsidR="008B04DB">
              <w:rPr>
                <w:rFonts w:asciiTheme="minorHAnsi" w:hAnsiTheme="minorHAnsi"/>
              </w:rPr>
              <w:t xml:space="preserve"> version</w:t>
            </w:r>
            <w:proofErr w:type="gramEnd"/>
            <w:r w:rsidR="008B04DB">
              <w:rPr>
                <w:rFonts w:asciiTheme="minorHAnsi" w:hAnsiTheme="minorHAnsi"/>
              </w:rPr>
              <w:t xml:space="preserve"> 1 of the UK HPR1000 PSA against relevant good practice</w:t>
            </w:r>
            <w:r w:rsidR="00D55571">
              <w:rPr>
                <w:rFonts w:asciiTheme="minorHAnsi" w:hAnsiTheme="minorHAnsi"/>
              </w:rPr>
              <w:t>, based upon a scope of review agreed with ONR</w:t>
            </w:r>
            <w:r w:rsidR="008B04DB">
              <w:rPr>
                <w:rFonts w:asciiTheme="minorHAnsi" w:hAnsiTheme="minorHAnsi"/>
              </w:rPr>
              <w:t>.</w:t>
            </w:r>
          </w:p>
        </w:tc>
      </w:tr>
      <w:tr w:rsidR="00AF4C0F" w:rsidTr="00971BA8">
        <w:trPr>
          <w:jc w:val="center"/>
        </w:trPr>
        <w:tc>
          <w:tcPr>
            <w:tcW w:w="9709" w:type="dxa"/>
          </w:tcPr>
          <w:p w:rsidR="00AF4C0F" w:rsidRPr="00D27AC0" w:rsidRDefault="00AF4C0F" w:rsidP="00D27AC0">
            <w:pPr>
              <w:pStyle w:val="TSHeadingNumbered1"/>
              <w:rPr>
                <w:rFonts w:asciiTheme="minorHAnsi" w:hAnsiTheme="minorHAnsi"/>
              </w:rPr>
            </w:pPr>
            <w:r w:rsidRPr="00D27AC0">
              <w:rPr>
                <w:rFonts w:asciiTheme="minorHAnsi" w:hAnsiTheme="minorHAnsi"/>
              </w:rPr>
              <w:lastRenderedPageBreak/>
              <w:t>SCOPE OF THE SERVICES REQUIRED</w:t>
            </w:r>
          </w:p>
          <w:p w:rsidR="0003496C" w:rsidRPr="008B04DB" w:rsidRDefault="0003496C" w:rsidP="008B04DB">
            <w:pPr>
              <w:pStyle w:val="TSHeadingNumbered11"/>
              <w:numPr>
                <w:ilvl w:val="0"/>
                <w:numId w:val="0"/>
              </w:numPr>
              <w:ind w:left="720"/>
              <w:rPr>
                <w:rFonts w:asciiTheme="minorHAnsi" w:hAnsiTheme="minorHAnsi"/>
                <w:u w:val="single"/>
              </w:rPr>
            </w:pPr>
            <w:r w:rsidRPr="008B04DB">
              <w:rPr>
                <w:rFonts w:asciiTheme="minorHAnsi" w:hAnsiTheme="minorHAnsi"/>
                <w:u w:val="single"/>
              </w:rPr>
              <w:t>SCOPE</w:t>
            </w:r>
            <w:r w:rsidR="008B04DB" w:rsidRPr="008B04DB">
              <w:rPr>
                <w:rFonts w:asciiTheme="minorHAnsi" w:hAnsiTheme="minorHAnsi"/>
                <w:u w:val="single"/>
              </w:rPr>
              <w:t xml:space="preserve"> of Work</w:t>
            </w:r>
          </w:p>
          <w:p w:rsidR="00E44D3D" w:rsidRPr="00D27AC0" w:rsidRDefault="00FE6B21" w:rsidP="0039459B">
            <w:pPr>
              <w:pStyle w:val="TSNumberedParagraph11"/>
              <w:jc w:val="both"/>
              <w:rPr>
                <w:rFonts w:asciiTheme="minorHAnsi" w:hAnsiTheme="minorHAnsi"/>
              </w:rPr>
            </w:pPr>
            <w:r w:rsidRPr="00D27AC0">
              <w:rPr>
                <w:rFonts w:asciiTheme="minorHAnsi" w:hAnsiTheme="minorHAnsi"/>
              </w:rPr>
              <w:t>ONR is seeking technical service resources of a small team of PSA experts</w:t>
            </w:r>
            <w:r w:rsidR="00CA733D" w:rsidRPr="00D27AC0">
              <w:rPr>
                <w:rFonts w:asciiTheme="minorHAnsi" w:hAnsiTheme="minorHAnsi"/>
              </w:rPr>
              <w:t xml:space="preserve"> for </w:t>
            </w:r>
            <w:r w:rsidR="008B04DB">
              <w:rPr>
                <w:rFonts w:asciiTheme="minorHAnsi" w:hAnsiTheme="minorHAnsi"/>
              </w:rPr>
              <w:t xml:space="preserve">steps 3 and 4 of </w:t>
            </w:r>
            <w:r w:rsidR="00CA733D" w:rsidRPr="00D27AC0">
              <w:rPr>
                <w:rFonts w:asciiTheme="minorHAnsi" w:hAnsiTheme="minorHAnsi"/>
              </w:rPr>
              <w:t>GDA</w:t>
            </w:r>
            <w:r w:rsidR="00B91D6A" w:rsidRPr="00D27AC0">
              <w:rPr>
                <w:rFonts w:asciiTheme="minorHAnsi" w:hAnsiTheme="minorHAnsi"/>
              </w:rPr>
              <w:t>,</w:t>
            </w:r>
            <w:r w:rsidRPr="00D27AC0">
              <w:rPr>
                <w:rFonts w:asciiTheme="minorHAnsi" w:hAnsiTheme="minorHAnsi"/>
              </w:rPr>
              <w:t xml:space="preserve"> who are experienced in Risk Spectrum</w:t>
            </w:r>
            <w:r w:rsidR="003C51FB" w:rsidRPr="00D27AC0">
              <w:rPr>
                <w:rFonts w:asciiTheme="minorHAnsi" w:hAnsiTheme="minorHAnsi"/>
              </w:rPr>
              <w:t>, have expertise</w:t>
            </w:r>
            <w:r w:rsidR="00CA733D" w:rsidRPr="00D27AC0">
              <w:rPr>
                <w:rFonts w:asciiTheme="minorHAnsi" w:hAnsiTheme="minorHAnsi"/>
              </w:rPr>
              <w:t xml:space="preserve"> and experience</w:t>
            </w:r>
            <w:r w:rsidR="003C51FB" w:rsidRPr="00D27AC0">
              <w:rPr>
                <w:rFonts w:asciiTheme="minorHAnsi" w:hAnsiTheme="minorHAnsi"/>
              </w:rPr>
              <w:t xml:space="preserve"> in all </w:t>
            </w:r>
            <w:r w:rsidR="00CA733D" w:rsidRPr="00D27AC0">
              <w:rPr>
                <w:rFonts w:asciiTheme="minorHAnsi" w:hAnsiTheme="minorHAnsi"/>
              </w:rPr>
              <w:t>areas</w:t>
            </w:r>
            <w:r w:rsidR="003C51FB" w:rsidRPr="00D27AC0">
              <w:rPr>
                <w:rFonts w:asciiTheme="minorHAnsi" w:hAnsiTheme="minorHAnsi"/>
              </w:rPr>
              <w:t xml:space="preserve"> of PSA including hazards PSA and are</w:t>
            </w:r>
            <w:r w:rsidR="00B91D6A" w:rsidRPr="00D27AC0">
              <w:rPr>
                <w:rFonts w:asciiTheme="minorHAnsi" w:hAnsiTheme="minorHAnsi"/>
              </w:rPr>
              <w:t xml:space="preserve"> </w:t>
            </w:r>
            <w:r w:rsidRPr="00D27AC0">
              <w:rPr>
                <w:rFonts w:asciiTheme="minorHAnsi" w:hAnsiTheme="minorHAnsi"/>
              </w:rPr>
              <w:t>familiar with PWR PSA</w:t>
            </w:r>
            <w:r w:rsidR="00B91D6A" w:rsidRPr="00D27AC0">
              <w:rPr>
                <w:rFonts w:asciiTheme="minorHAnsi" w:hAnsiTheme="minorHAnsi"/>
              </w:rPr>
              <w:t>s</w:t>
            </w:r>
            <w:r w:rsidRPr="00D27AC0">
              <w:rPr>
                <w:rFonts w:asciiTheme="minorHAnsi" w:hAnsiTheme="minorHAnsi"/>
              </w:rPr>
              <w:t xml:space="preserve"> to review the UK HPR1000 PSA and provide advice to ONR </w:t>
            </w:r>
            <w:r w:rsidR="00CC48DC" w:rsidRPr="00D27AC0">
              <w:rPr>
                <w:rFonts w:asciiTheme="minorHAnsi" w:hAnsiTheme="minorHAnsi"/>
              </w:rPr>
              <w:t xml:space="preserve">of </w:t>
            </w:r>
            <w:r w:rsidRPr="00D27AC0">
              <w:rPr>
                <w:rFonts w:asciiTheme="minorHAnsi" w:hAnsiTheme="minorHAnsi"/>
              </w:rPr>
              <w:t>shortfalls</w:t>
            </w:r>
            <w:r w:rsidR="00CC48DC" w:rsidRPr="00D27AC0">
              <w:rPr>
                <w:rFonts w:asciiTheme="minorHAnsi" w:hAnsiTheme="minorHAnsi"/>
              </w:rPr>
              <w:t xml:space="preserve"> found</w:t>
            </w:r>
            <w:r w:rsidRPr="00D27AC0">
              <w:rPr>
                <w:rFonts w:asciiTheme="minorHAnsi" w:hAnsiTheme="minorHAnsi"/>
              </w:rPr>
              <w:t xml:space="preserve"> against relevant good practice (RGP) and international PSA standard methods.</w:t>
            </w:r>
            <w:r w:rsidR="007217B5">
              <w:rPr>
                <w:rFonts w:asciiTheme="minorHAnsi" w:hAnsiTheme="minorHAnsi"/>
              </w:rPr>
              <w:t xml:space="preserve"> </w:t>
            </w:r>
            <w:r w:rsidRPr="00D27AC0">
              <w:rPr>
                <w:rFonts w:asciiTheme="minorHAnsi" w:hAnsiTheme="minorHAnsi"/>
              </w:rPr>
              <w:t xml:space="preserve"> ONR is not seeking a review of the design</w:t>
            </w:r>
            <w:r w:rsidR="00CC48DC" w:rsidRPr="00D27AC0">
              <w:rPr>
                <w:rFonts w:asciiTheme="minorHAnsi" w:hAnsiTheme="minorHAnsi"/>
              </w:rPr>
              <w:t xml:space="preserve"> or the results/insights of the UK HPR1000 PSA.</w:t>
            </w:r>
          </w:p>
          <w:p w:rsidR="00FE6B21" w:rsidRPr="00D27AC0" w:rsidRDefault="00FE6B21" w:rsidP="0039459B">
            <w:pPr>
              <w:pStyle w:val="TSNumberedParagraph11"/>
              <w:jc w:val="both"/>
              <w:rPr>
                <w:rFonts w:asciiTheme="minorHAnsi" w:hAnsiTheme="minorHAnsi"/>
              </w:rPr>
            </w:pPr>
            <w:r w:rsidRPr="00D27AC0">
              <w:rPr>
                <w:rFonts w:asciiTheme="minorHAnsi" w:hAnsiTheme="minorHAnsi"/>
              </w:rPr>
              <w:t xml:space="preserve">ONR has received or will shortly be receiving </w:t>
            </w:r>
            <w:r w:rsidR="00CA733D" w:rsidRPr="00D27AC0">
              <w:rPr>
                <w:rFonts w:asciiTheme="minorHAnsi" w:hAnsiTheme="minorHAnsi"/>
              </w:rPr>
              <w:t>the</w:t>
            </w:r>
            <w:r w:rsidR="006071D6">
              <w:rPr>
                <w:rFonts w:asciiTheme="minorHAnsi" w:hAnsiTheme="minorHAnsi"/>
              </w:rPr>
              <w:t xml:space="preserve"> ‘Version 0’</w:t>
            </w:r>
            <w:r w:rsidR="00CA733D" w:rsidRPr="00D27AC0">
              <w:rPr>
                <w:rFonts w:asciiTheme="minorHAnsi" w:hAnsiTheme="minorHAnsi"/>
              </w:rPr>
              <w:t xml:space="preserve"> </w:t>
            </w:r>
            <w:r w:rsidRPr="00D27AC0">
              <w:rPr>
                <w:rFonts w:asciiTheme="minorHAnsi" w:hAnsiTheme="minorHAnsi"/>
              </w:rPr>
              <w:t>Risk Spectrum PSA models, PSA methodologies and analysis reports for all operating conditions including low power and shutdown for the follow</w:t>
            </w:r>
            <w:r w:rsidR="00CA733D" w:rsidRPr="00D27AC0">
              <w:rPr>
                <w:rFonts w:asciiTheme="minorHAnsi" w:hAnsiTheme="minorHAnsi"/>
              </w:rPr>
              <w:t>ing</w:t>
            </w:r>
            <w:r w:rsidRPr="00D27AC0">
              <w:rPr>
                <w:rFonts w:asciiTheme="minorHAnsi" w:hAnsiTheme="minorHAnsi"/>
              </w:rPr>
              <w:t xml:space="preserve"> areas:</w:t>
            </w:r>
          </w:p>
          <w:p w:rsidR="00FE6B21" w:rsidRPr="002105EA" w:rsidRDefault="00FE6B21" w:rsidP="0005217B">
            <w:pPr>
              <w:pStyle w:val="TSBullet1Square"/>
              <w:numPr>
                <w:ilvl w:val="0"/>
                <w:numId w:val="35"/>
              </w:numPr>
              <w:rPr>
                <w:rFonts w:asciiTheme="minorHAnsi" w:hAnsiTheme="minorHAnsi"/>
              </w:rPr>
            </w:pPr>
            <w:r w:rsidRPr="002105EA">
              <w:rPr>
                <w:rFonts w:asciiTheme="minorHAnsi" w:hAnsiTheme="minorHAnsi"/>
              </w:rPr>
              <w:t>Level 1 internal events PSA</w:t>
            </w:r>
            <w:r w:rsidR="00CC48DC">
              <w:rPr>
                <w:rFonts w:asciiTheme="minorHAnsi" w:hAnsiTheme="minorHAnsi"/>
              </w:rPr>
              <w:t>;</w:t>
            </w:r>
          </w:p>
          <w:p w:rsidR="00FE6B21" w:rsidRPr="002105EA" w:rsidRDefault="00FE6B21" w:rsidP="0005217B">
            <w:pPr>
              <w:pStyle w:val="TSBullet1Square"/>
              <w:numPr>
                <w:ilvl w:val="0"/>
                <w:numId w:val="35"/>
              </w:numPr>
              <w:rPr>
                <w:rFonts w:asciiTheme="minorHAnsi" w:hAnsiTheme="minorHAnsi"/>
              </w:rPr>
            </w:pPr>
            <w:r w:rsidRPr="002105EA">
              <w:rPr>
                <w:rFonts w:asciiTheme="minorHAnsi" w:hAnsiTheme="minorHAnsi"/>
              </w:rPr>
              <w:t>Level 2 PSA</w:t>
            </w:r>
            <w:r w:rsidR="00CC48DC">
              <w:rPr>
                <w:rFonts w:asciiTheme="minorHAnsi" w:hAnsiTheme="minorHAnsi"/>
              </w:rPr>
              <w:t>;</w:t>
            </w:r>
          </w:p>
          <w:p w:rsidR="00FE6B21" w:rsidRPr="002105EA" w:rsidRDefault="00CC48DC" w:rsidP="0005217B">
            <w:pPr>
              <w:pStyle w:val="TSBullet1Square"/>
              <w:numPr>
                <w:ilvl w:val="0"/>
                <w:numId w:val="35"/>
              </w:numPr>
              <w:rPr>
                <w:rFonts w:asciiTheme="minorHAnsi" w:hAnsiTheme="minorHAnsi"/>
              </w:rPr>
            </w:pPr>
            <w:r>
              <w:rPr>
                <w:rFonts w:asciiTheme="minorHAnsi" w:hAnsiTheme="minorHAnsi"/>
              </w:rPr>
              <w:t>i</w:t>
            </w:r>
            <w:r w:rsidR="00FE6B21" w:rsidRPr="002105EA">
              <w:rPr>
                <w:rFonts w:asciiTheme="minorHAnsi" w:hAnsiTheme="minorHAnsi"/>
              </w:rPr>
              <w:t xml:space="preserve">nternal </w:t>
            </w:r>
            <w:r>
              <w:rPr>
                <w:rFonts w:asciiTheme="minorHAnsi" w:hAnsiTheme="minorHAnsi"/>
              </w:rPr>
              <w:t>f</w:t>
            </w:r>
            <w:r w:rsidR="00FE6B21" w:rsidRPr="002105EA">
              <w:rPr>
                <w:rFonts w:asciiTheme="minorHAnsi" w:hAnsiTheme="minorHAnsi"/>
              </w:rPr>
              <w:t>ire PSA</w:t>
            </w:r>
            <w:r>
              <w:rPr>
                <w:rFonts w:asciiTheme="minorHAnsi" w:hAnsiTheme="minorHAnsi"/>
              </w:rPr>
              <w:t>;</w:t>
            </w:r>
          </w:p>
          <w:p w:rsidR="00FE6B21" w:rsidRPr="002105EA" w:rsidRDefault="00CC48DC" w:rsidP="0005217B">
            <w:pPr>
              <w:pStyle w:val="TSBullet1Square"/>
              <w:numPr>
                <w:ilvl w:val="0"/>
                <w:numId w:val="35"/>
              </w:numPr>
              <w:rPr>
                <w:rFonts w:asciiTheme="minorHAnsi" w:hAnsiTheme="minorHAnsi"/>
              </w:rPr>
            </w:pPr>
            <w:r>
              <w:rPr>
                <w:rFonts w:asciiTheme="minorHAnsi" w:hAnsiTheme="minorHAnsi"/>
              </w:rPr>
              <w:t>i</w:t>
            </w:r>
            <w:r w:rsidR="00FE6B21" w:rsidRPr="002105EA">
              <w:rPr>
                <w:rFonts w:asciiTheme="minorHAnsi" w:hAnsiTheme="minorHAnsi"/>
              </w:rPr>
              <w:t xml:space="preserve">nternal </w:t>
            </w:r>
            <w:r>
              <w:rPr>
                <w:rFonts w:asciiTheme="minorHAnsi" w:hAnsiTheme="minorHAnsi"/>
              </w:rPr>
              <w:t>f</w:t>
            </w:r>
            <w:r w:rsidR="00FE6B21" w:rsidRPr="002105EA">
              <w:rPr>
                <w:rFonts w:asciiTheme="minorHAnsi" w:hAnsiTheme="minorHAnsi"/>
              </w:rPr>
              <w:t>looding PSA</w:t>
            </w:r>
            <w:r>
              <w:rPr>
                <w:rFonts w:asciiTheme="minorHAnsi" w:hAnsiTheme="minorHAnsi"/>
              </w:rPr>
              <w:t>;</w:t>
            </w:r>
          </w:p>
          <w:p w:rsidR="006071D6" w:rsidRDefault="00CC48DC" w:rsidP="0005217B">
            <w:pPr>
              <w:pStyle w:val="TSBullet1Square"/>
              <w:numPr>
                <w:ilvl w:val="0"/>
                <w:numId w:val="35"/>
              </w:numPr>
              <w:rPr>
                <w:rFonts w:asciiTheme="minorHAnsi" w:hAnsiTheme="minorHAnsi"/>
              </w:rPr>
            </w:pPr>
            <w:r>
              <w:rPr>
                <w:rFonts w:asciiTheme="minorHAnsi" w:hAnsiTheme="minorHAnsi"/>
              </w:rPr>
              <w:t>s</w:t>
            </w:r>
            <w:r w:rsidR="00FE6B21" w:rsidRPr="002105EA">
              <w:rPr>
                <w:rFonts w:asciiTheme="minorHAnsi" w:hAnsiTheme="minorHAnsi"/>
              </w:rPr>
              <w:t xml:space="preserve">pent </w:t>
            </w:r>
            <w:r>
              <w:rPr>
                <w:rFonts w:asciiTheme="minorHAnsi" w:hAnsiTheme="minorHAnsi"/>
              </w:rPr>
              <w:t>f</w:t>
            </w:r>
            <w:r w:rsidR="00FE6B21" w:rsidRPr="002105EA">
              <w:rPr>
                <w:rFonts w:asciiTheme="minorHAnsi" w:hAnsiTheme="minorHAnsi"/>
              </w:rPr>
              <w:t xml:space="preserve">uel </w:t>
            </w:r>
            <w:r>
              <w:rPr>
                <w:rFonts w:asciiTheme="minorHAnsi" w:hAnsiTheme="minorHAnsi"/>
              </w:rPr>
              <w:t>p</w:t>
            </w:r>
            <w:r w:rsidR="00FE6B21" w:rsidRPr="002105EA">
              <w:rPr>
                <w:rFonts w:asciiTheme="minorHAnsi" w:hAnsiTheme="minorHAnsi"/>
              </w:rPr>
              <w:t>ool (SFP) PSA</w:t>
            </w:r>
          </w:p>
          <w:p w:rsidR="00FE6B21" w:rsidRDefault="006071D6" w:rsidP="0005217B">
            <w:pPr>
              <w:pStyle w:val="TSBullet1Square"/>
              <w:numPr>
                <w:ilvl w:val="0"/>
                <w:numId w:val="35"/>
              </w:numPr>
              <w:rPr>
                <w:rFonts w:asciiTheme="minorHAnsi" w:hAnsiTheme="minorHAnsi"/>
              </w:rPr>
            </w:pPr>
            <w:r>
              <w:rPr>
                <w:rFonts w:asciiTheme="minorHAnsi" w:hAnsiTheme="minorHAnsi"/>
              </w:rPr>
              <w:t>seismic PSA (methodology during Step 3, models in Step 4)</w:t>
            </w:r>
            <w:r w:rsidR="00CC48DC">
              <w:rPr>
                <w:rFonts w:asciiTheme="minorHAnsi" w:hAnsiTheme="minorHAnsi"/>
              </w:rPr>
              <w:t>; and</w:t>
            </w:r>
          </w:p>
          <w:p w:rsidR="00CC48DC" w:rsidRPr="002105EA" w:rsidRDefault="00CC48DC" w:rsidP="0005217B">
            <w:pPr>
              <w:pStyle w:val="TSBullet1Square"/>
              <w:numPr>
                <w:ilvl w:val="0"/>
                <w:numId w:val="35"/>
              </w:numPr>
              <w:rPr>
                <w:rFonts w:asciiTheme="minorHAnsi" w:hAnsiTheme="minorHAnsi"/>
              </w:rPr>
            </w:pPr>
            <w:proofErr w:type="gramStart"/>
            <w:r>
              <w:rPr>
                <w:rFonts w:asciiTheme="minorHAnsi" w:hAnsiTheme="minorHAnsi"/>
              </w:rPr>
              <w:t>external</w:t>
            </w:r>
            <w:proofErr w:type="gramEnd"/>
            <w:r>
              <w:rPr>
                <w:rFonts w:asciiTheme="minorHAnsi" w:hAnsiTheme="minorHAnsi"/>
              </w:rPr>
              <w:t xml:space="preserve"> hazard PSA.</w:t>
            </w:r>
          </w:p>
          <w:p w:rsidR="00CA733D" w:rsidRPr="00F977B9" w:rsidRDefault="00CA733D" w:rsidP="00D27AC0">
            <w:pPr>
              <w:pStyle w:val="TSNumberedParagraph11"/>
              <w:rPr>
                <w:rFonts w:asciiTheme="minorHAnsi" w:hAnsiTheme="minorHAnsi"/>
              </w:rPr>
            </w:pPr>
            <w:r w:rsidRPr="00F977B9">
              <w:rPr>
                <w:rFonts w:asciiTheme="minorHAnsi" w:hAnsiTheme="minorHAnsi"/>
              </w:rPr>
              <w:t>The work will be performed in two phases.</w:t>
            </w:r>
          </w:p>
          <w:p w:rsidR="00CA733D" w:rsidRPr="00CA733D" w:rsidRDefault="00CA733D" w:rsidP="00CA733D">
            <w:pPr>
              <w:pStyle w:val="TSNumberedParagraph11"/>
              <w:numPr>
                <w:ilvl w:val="0"/>
                <w:numId w:val="0"/>
              </w:numPr>
              <w:ind w:left="720"/>
              <w:rPr>
                <w:rFonts w:asciiTheme="minorHAnsi" w:hAnsiTheme="minorHAnsi"/>
                <w:b/>
                <w:u w:val="single"/>
              </w:rPr>
            </w:pPr>
            <w:r w:rsidRPr="00CA733D">
              <w:rPr>
                <w:rFonts w:asciiTheme="minorHAnsi" w:hAnsiTheme="minorHAnsi"/>
                <w:b/>
                <w:u w:val="single"/>
              </w:rPr>
              <w:t>Phase 1</w:t>
            </w:r>
          </w:p>
          <w:p w:rsidR="00A10FE0" w:rsidRPr="001B2C16" w:rsidRDefault="0005217B" w:rsidP="0039459B">
            <w:pPr>
              <w:pStyle w:val="TSNumberedParagraph11"/>
              <w:jc w:val="both"/>
              <w:rPr>
                <w:rFonts w:asciiTheme="minorHAnsi" w:hAnsiTheme="minorHAnsi"/>
              </w:rPr>
            </w:pPr>
            <w:r w:rsidRPr="001B2C16">
              <w:rPr>
                <w:rFonts w:asciiTheme="minorHAnsi" w:hAnsiTheme="minorHAnsi"/>
              </w:rPr>
              <w:t>During phase 1, t</w:t>
            </w:r>
            <w:r w:rsidR="00CC48DC" w:rsidRPr="001B2C16">
              <w:rPr>
                <w:rFonts w:asciiTheme="minorHAnsi" w:hAnsiTheme="minorHAnsi"/>
              </w:rPr>
              <w:t>he TSC will review</w:t>
            </w:r>
            <w:r w:rsidR="00CA733D" w:rsidRPr="001B2C16">
              <w:rPr>
                <w:rFonts w:asciiTheme="minorHAnsi" w:hAnsiTheme="minorHAnsi"/>
              </w:rPr>
              <w:t xml:space="preserve"> the PSA methodologies, selection of initiating events (IEs) and success criteria via sampling each </w:t>
            </w:r>
            <w:r w:rsidR="00CC48DC" w:rsidRPr="001B2C16">
              <w:rPr>
                <w:rFonts w:asciiTheme="minorHAnsi" w:hAnsiTheme="minorHAnsi"/>
              </w:rPr>
              <w:t xml:space="preserve">of the above PSA areas </w:t>
            </w:r>
            <w:r w:rsidR="00CA733D" w:rsidRPr="001B2C16">
              <w:rPr>
                <w:rFonts w:asciiTheme="minorHAnsi" w:hAnsiTheme="minorHAnsi"/>
              </w:rPr>
              <w:t xml:space="preserve">and comparing </w:t>
            </w:r>
            <w:r w:rsidR="00CC48DC" w:rsidRPr="001B2C16">
              <w:rPr>
                <w:rFonts w:asciiTheme="minorHAnsi" w:hAnsiTheme="minorHAnsi"/>
              </w:rPr>
              <w:t xml:space="preserve">against RGP. </w:t>
            </w:r>
            <w:r w:rsidR="002C614D" w:rsidRPr="001B2C16">
              <w:rPr>
                <w:rFonts w:asciiTheme="minorHAnsi" w:hAnsiTheme="minorHAnsi"/>
              </w:rPr>
              <w:t>The sample reviewed will be of sufficient breadth and depth such that they reflect a</w:t>
            </w:r>
            <w:r w:rsidR="00A10FE0" w:rsidRPr="001B2C16">
              <w:rPr>
                <w:rFonts w:asciiTheme="minorHAnsi" w:hAnsiTheme="minorHAnsi"/>
              </w:rPr>
              <w:t xml:space="preserve"> full </w:t>
            </w:r>
            <w:r w:rsidR="002C614D" w:rsidRPr="001B2C16">
              <w:rPr>
                <w:rFonts w:asciiTheme="minorHAnsi" w:hAnsiTheme="minorHAnsi"/>
              </w:rPr>
              <w:t>review of all aspects</w:t>
            </w:r>
            <w:r w:rsidR="00A10FE0" w:rsidRPr="001B2C16">
              <w:rPr>
                <w:rFonts w:asciiTheme="minorHAnsi" w:hAnsiTheme="minorHAnsi"/>
              </w:rPr>
              <w:t xml:space="preserve"> of the PSA, while </w:t>
            </w:r>
            <w:r w:rsidR="002C614D" w:rsidRPr="001B2C16">
              <w:rPr>
                <w:rFonts w:asciiTheme="minorHAnsi" w:hAnsiTheme="minorHAnsi"/>
              </w:rPr>
              <w:t xml:space="preserve">still </w:t>
            </w:r>
            <w:r w:rsidR="00A10FE0" w:rsidRPr="001B2C16">
              <w:rPr>
                <w:rFonts w:asciiTheme="minorHAnsi" w:hAnsiTheme="minorHAnsi"/>
              </w:rPr>
              <w:t xml:space="preserve">being efficient and not </w:t>
            </w:r>
            <w:r w:rsidR="002C614D" w:rsidRPr="001B2C16">
              <w:rPr>
                <w:rFonts w:asciiTheme="minorHAnsi" w:hAnsiTheme="minorHAnsi"/>
              </w:rPr>
              <w:t xml:space="preserve">an exhaustive </w:t>
            </w:r>
            <w:r w:rsidR="00A10FE0" w:rsidRPr="001B2C16">
              <w:rPr>
                <w:rFonts w:asciiTheme="minorHAnsi" w:hAnsiTheme="minorHAnsi"/>
              </w:rPr>
              <w:t xml:space="preserve">review of the entire PSA. ONR will designate a portion of the areas to review and will expect the TSC to propose a portion to review. </w:t>
            </w:r>
            <w:r w:rsidR="003C51FB" w:rsidRPr="001B2C16">
              <w:rPr>
                <w:rFonts w:asciiTheme="minorHAnsi" w:hAnsiTheme="minorHAnsi"/>
              </w:rPr>
              <w:t xml:space="preserve">The portions to be reviewed will be agreed with ONR and cover a range of operating states. </w:t>
            </w:r>
            <w:r w:rsidR="00A10FE0" w:rsidRPr="001B2C16">
              <w:rPr>
                <w:rFonts w:asciiTheme="minorHAnsi" w:hAnsiTheme="minorHAnsi"/>
              </w:rPr>
              <w:t>This decision will be completed at the initial meeting after the contract is awarded.</w:t>
            </w:r>
            <w:r w:rsidRPr="001B2C16">
              <w:rPr>
                <w:rFonts w:asciiTheme="minorHAnsi" w:hAnsiTheme="minorHAnsi"/>
              </w:rPr>
              <w:t xml:space="preserve"> Phase 1 is expected to last for approximately one year, and cover most of GDA Step 3, although it may overlap the beginning of Step 4.</w:t>
            </w:r>
          </w:p>
          <w:p w:rsidR="00CA733D" w:rsidRPr="001B2C16" w:rsidRDefault="00CA733D" w:rsidP="00D27AC0">
            <w:pPr>
              <w:pStyle w:val="TSNumberedParagraph11"/>
              <w:rPr>
                <w:rFonts w:asciiTheme="minorHAnsi" w:hAnsiTheme="minorHAnsi"/>
              </w:rPr>
            </w:pPr>
            <w:r w:rsidRPr="001B2C16">
              <w:rPr>
                <w:rFonts w:asciiTheme="minorHAnsi" w:hAnsiTheme="minorHAnsi"/>
              </w:rPr>
              <w:t>The advice provided to ONR after the TSC has reviewed the submitted body of work will be used to inform what areas will be reviewed in more detail during Phase 2.</w:t>
            </w:r>
          </w:p>
          <w:p w:rsidR="005C7D1E" w:rsidRPr="00F977B9" w:rsidRDefault="005C7D1E" w:rsidP="0039459B">
            <w:pPr>
              <w:pStyle w:val="TSNumberedParagraph11"/>
              <w:jc w:val="both"/>
              <w:rPr>
                <w:rFonts w:asciiTheme="minorHAnsi" w:hAnsiTheme="minorHAnsi"/>
              </w:rPr>
            </w:pPr>
            <w:r w:rsidRPr="001B2C16">
              <w:rPr>
                <w:rFonts w:asciiTheme="minorHAnsi" w:hAnsiTheme="minorHAnsi"/>
              </w:rPr>
              <w:t>For Pha</w:t>
            </w:r>
            <w:r w:rsidRPr="00F977B9">
              <w:rPr>
                <w:rFonts w:asciiTheme="minorHAnsi" w:hAnsiTheme="minorHAnsi"/>
              </w:rPr>
              <w:t>se 1, the scope of the TSC services include review</w:t>
            </w:r>
            <w:r w:rsidR="007217B5">
              <w:rPr>
                <w:rFonts w:asciiTheme="minorHAnsi" w:hAnsiTheme="minorHAnsi"/>
              </w:rPr>
              <w:t xml:space="preserve"> of the following deliverables, culminating in a</w:t>
            </w:r>
            <w:r w:rsidR="007217B5" w:rsidRPr="007217B5">
              <w:rPr>
                <w:rFonts w:asciiTheme="minorHAnsi" w:hAnsiTheme="minorHAnsi"/>
              </w:rPr>
              <w:t xml:space="preserve"> </w:t>
            </w:r>
            <w:r w:rsidR="007217B5">
              <w:rPr>
                <w:rFonts w:asciiTheme="minorHAnsi" w:hAnsiTheme="minorHAnsi"/>
              </w:rPr>
              <w:t xml:space="preserve">final </w:t>
            </w:r>
            <w:r w:rsidR="007217B5" w:rsidRPr="007217B5">
              <w:rPr>
                <w:rFonts w:asciiTheme="minorHAnsi" w:hAnsiTheme="minorHAnsi"/>
              </w:rPr>
              <w:t>report summarising the scope of the review, the areas of strength and weakness of the RP’s  submissions against the expectations set out in ONR and international guidance, an indication of the safety/risk significance of these findings, and advice to ONR on areas to focus regulatory attention</w:t>
            </w:r>
            <w:r w:rsidRPr="00F977B9">
              <w:rPr>
                <w:rFonts w:asciiTheme="minorHAnsi" w:hAnsiTheme="minorHAnsi"/>
              </w:rPr>
              <w:t>:</w:t>
            </w:r>
          </w:p>
          <w:p w:rsidR="005C7D1E" w:rsidRPr="00F977B9" w:rsidRDefault="005C7D1E" w:rsidP="001B2C16">
            <w:pPr>
              <w:pStyle w:val="TSBullet1Square"/>
              <w:rPr>
                <w:rFonts w:asciiTheme="minorHAnsi" w:hAnsiTheme="minorHAnsi"/>
              </w:rPr>
            </w:pPr>
            <w:r w:rsidRPr="00F977B9">
              <w:rPr>
                <w:rFonts w:asciiTheme="minorHAnsi" w:hAnsiTheme="minorHAnsi"/>
              </w:rPr>
              <w:t>Level 1 PSA:</w:t>
            </w:r>
          </w:p>
          <w:p w:rsidR="005C7D1E" w:rsidRPr="00F977B9" w:rsidRDefault="005C7D1E" w:rsidP="001B2C16">
            <w:pPr>
              <w:pStyle w:val="TSBullet1Square"/>
              <w:numPr>
                <w:ilvl w:val="0"/>
                <w:numId w:val="35"/>
              </w:numPr>
              <w:rPr>
                <w:rFonts w:asciiTheme="minorHAnsi" w:hAnsiTheme="minorHAnsi"/>
              </w:rPr>
            </w:pPr>
            <w:r w:rsidRPr="00F977B9">
              <w:rPr>
                <w:rFonts w:asciiTheme="minorHAnsi" w:hAnsiTheme="minorHAnsi"/>
              </w:rPr>
              <w:t>selection of the initiating events;</w:t>
            </w:r>
          </w:p>
          <w:p w:rsidR="005C7D1E" w:rsidRPr="00F977B9" w:rsidRDefault="005C7D1E" w:rsidP="001B2C16">
            <w:pPr>
              <w:pStyle w:val="TSBullet1Square"/>
              <w:numPr>
                <w:ilvl w:val="0"/>
                <w:numId w:val="35"/>
              </w:numPr>
              <w:rPr>
                <w:rFonts w:asciiTheme="minorHAnsi" w:hAnsiTheme="minorHAnsi"/>
              </w:rPr>
            </w:pPr>
            <w:r w:rsidRPr="00F977B9">
              <w:rPr>
                <w:rFonts w:asciiTheme="minorHAnsi" w:hAnsiTheme="minorHAnsi"/>
              </w:rPr>
              <w:t>the Level 1 PSA methodologies</w:t>
            </w:r>
            <w:r w:rsidR="006B72AE">
              <w:rPr>
                <w:rFonts w:asciiTheme="minorHAnsi" w:hAnsiTheme="minorHAnsi"/>
              </w:rPr>
              <w:t xml:space="preserve"> (including validity of data used)</w:t>
            </w:r>
            <w:r w:rsidRPr="00F977B9">
              <w:rPr>
                <w:rFonts w:asciiTheme="minorHAnsi" w:hAnsiTheme="minorHAnsi"/>
              </w:rPr>
              <w:t>; and</w:t>
            </w:r>
          </w:p>
          <w:p w:rsidR="005C7D1E" w:rsidRPr="00F977B9" w:rsidRDefault="005C7D1E" w:rsidP="001B2C16">
            <w:pPr>
              <w:pStyle w:val="TSBullet1Square"/>
              <w:numPr>
                <w:ilvl w:val="0"/>
                <w:numId w:val="35"/>
              </w:numPr>
              <w:rPr>
                <w:rFonts w:asciiTheme="minorHAnsi" w:hAnsiTheme="minorHAnsi"/>
              </w:rPr>
            </w:pPr>
            <w:proofErr w:type="gramStart"/>
            <w:r w:rsidRPr="00F977B9">
              <w:rPr>
                <w:rFonts w:asciiTheme="minorHAnsi" w:hAnsiTheme="minorHAnsi"/>
              </w:rPr>
              <w:t>the</w:t>
            </w:r>
            <w:proofErr w:type="gramEnd"/>
            <w:r w:rsidRPr="00F977B9">
              <w:rPr>
                <w:rFonts w:asciiTheme="minorHAnsi" w:hAnsiTheme="minorHAnsi"/>
              </w:rPr>
              <w:t xml:space="preserve"> Level 1 success criteria</w:t>
            </w:r>
            <w:r w:rsidR="001B2C16" w:rsidRPr="00F977B9">
              <w:rPr>
                <w:rFonts w:asciiTheme="minorHAnsi" w:hAnsiTheme="minorHAnsi"/>
              </w:rPr>
              <w:t>.</w:t>
            </w:r>
          </w:p>
          <w:p w:rsidR="005C7D1E" w:rsidRPr="00F977B9" w:rsidRDefault="005C7D1E" w:rsidP="001B2C16">
            <w:pPr>
              <w:pStyle w:val="TSBullet1Square"/>
              <w:rPr>
                <w:rFonts w:asciiTheme="minorHAnsi" w:hAnsiTheme="minorHAnsi"/>
              </w:rPr>
            </w:pPr>
            <w:r w:rsidRPr="00F977B9">
              <w:rPr>
                <w:rFonts w:asciiTheme="minorHAnsi" w:hAnsiTheme="minorHAnsi"/>
              </w:rPr>
              <w:t>Level 2 PSA:</w:t>
            </w:r>
          </w:p>
          <w:p w:rsidR="005C7D1E" w:rsidRPr="00F977B9" w:rsidRDefault="005C7D1E" w:rsidP="001B2C16">
            <w:pPr>
              <w:pStyle w:val="TSBullet1Square"/>
              <w:numPr>
                <w:ilvl w:val="0"/>
                <w:numId w:val="35"/>
              </w:numPr>
              <w:rPr>
                <w:rFonts w:asciiTheme="minorHAnsi" w:hAnsiTheme="minorHAnsi"/>
              </w:rPr>
            </w:pPr>
            <w:r w:rsidRPr="00F977B9">
              <w:rPr>
                <w:rFonts w:asciiTheme="minorHAnsi" w:hAnsiTheme="minorHAnsi"/>
              </w:rPr>
              <w:t>the Level 2 PSA methodology;</w:t>
            </w:r>
          </w:p>
          <w:p w:rsidR="005C7D1E" w:rsidRPr="00F977B9" w:rsidRDefault="005C7D1E" w:rsidP="001B2C16">
            <w:pPr>
              <w:pStyle w:val="TSBullet1Square"/>
              <w:numPr>
                <w:ilvl w:val="0"/>
                <w:numId w:val="35"/>
              </w:numPr>
              <w:rPr>
                <w:rFonts w:asciiTheme="minorHAnsi" w:hAnsiTheme="minorHAnsi"/>
              </w:rPr>
            </w:pPr>
            <w:r w:rsidRPr="00F977B9">
              <w:rPr>
                <w:rFonts w:asciiTheme="minorHAnsi" w:hAnsiTheme="minorHAnsi"/>
              </w:rPr>
              <w:lastRenderedPageBreak/>
              <w:t>the Level 2 selection of phenomenon assessed;</w:t>
            </w:r>
            <w:r w:rsidR="001B2C16" w:rsidRPr="00F977B9">
              <w:rPr>
                <w:rFonts w:asciiTheme="minorHAnsi" w:hAnsiTheme="minorHAnsi"/>
              </w:rPr>
              <w:t xml:space="preserve"> and</w:t>
            </w:r>
          </w:p>
          <w:p w:rsidR="005C7D1E" w:rsidRPr="00F977B9" w:rsidRDefault="005C7D1E" w:rsidP="001B2C16">
            <w:pPr>
              <w:pStyle w:val="TSBullet1Square"/>
              <w:numPr>
                <w:ilvl w:val="0"/>
                <w:numId w:val="35"/>
              </w:numPr>
              <w:rPr>
                <w:rFonts w:asciiTheme="minorHAnsi" w:hAnsiTheme="minorHAnsi"/>
              </w:rPr>
            </w:pPr>
            <w:proofErr w:type="gramStart"/>
            <w:r w:rsidRPr="00F977B9">
              <w:rPr>
                <w:rFonts w:asciiTheme="minorHAnsi" w:hAnsiTheme="minorHAnsi"/>
              </w:rPr>
              <w:t>the</w:t>
            </w:r>
            <w:proofErr w:type="gramEnd"/>
            <w:r w:rsidRPr="00F977B9">
              <w:rPr>
                <w:rFonts w:asciiTheme="minorHAnsi" w:hAnsiTheme="minorHAnsi"/>
              </w:rPr>
              <w:t xml:space="preserve"> definition of the release</w:t>
            </w:r>
            <w:r w:rsidR="001B2C16" w:rsidRPr="00F977B9">
              <w:rPr>
                <w:rFonts w:asciiTheme="minorHAnsi" w:hAnsiTheme="minorHAnsi"/>
              </w:rPr>
              <w:t xml:space="preserve"> categories and assumptions.</w:t>
            </w:r>
          </w:p>
          <w:p w:rsidR="005C7D1E" w:rsidRPr="00F977B9" w:rsidRDefault="005C7D1E" w:rsidP="001B2C16">
            <w:pPr>
              <w:pStyle w:val="TSBullet1Square"/>
              <w:rPr>
                <w:rFonts w:asciiTheme="minorHAnsi" w:hAnsiTheme="minorHAnsi"/>
              </w:rPr>
            </w:pPr>
            <w:r w:rsidRPr="00F977B9">
              <w:rPr>
                <w:rFonts w:asciiTheme="minorHAnsi" w:hAnsiTheme="minorHAnsi"/>
              </w:rPr>
              <w:t>SFP PSA:</w:t>
            </w:r>
          </w:p>
          <w:p w:rsidR="001B2C16" w:rsidRPr="00F977B9" w:rsidRDefault="001B2C16" w:rsidP="001B2C16">
            <w:pPr>
              <w:pStyle w:val="TSBullet1Square"/>
              <w:numPr>
                <w:ilvl w:val="0"/>
                <w:numId w:val="35"/>
              </w:numPr>
              <w:rPr>
                <w:rFonts w:asciiTheme="minorHAnsi" w:hAnsiTheme="minorHAnsi"/>
              </w:rPr>
            </w:pPr>
            <w:r w:rsidRPr="00F977B9">
              <w:rPr>
                <w:rFonts w:asciiTheme="minorHAnsi" w:hAnsiTheme="minorHAnsi"/>
              </w:rPr>
              <w:t>Selection of the initiating events;</w:t>
            </w:r>
          </w:p>
          <w:p w:rsidR="005C7D1E" w:rsidRPr="00F977B9" w:rsidRDefault="005C7D1E" w:rsidP="001B2C16">
            <w:pPr>
              <w:pStyle w:val="TSBullet1Square"/>
              <w:numPr>
                <w:ilvl w:val="0"/>
                <w:numId w:val="35"/>
              </w:numPr>
              <w:rPr>
                <w:rFonts w:asciiTheme="minorHAnsi" w:hAnsiTheme="minorHAnsi"/>
              </w:rPr>
            </w:pPr>
            <w:r w:rsidRPr="00F977B9">
              <w:rPr>
                <w:rFonts w:asciiTheme="minorHAnsi" w:hAnsiTheme="minorHAnsi"/>
              </w:rPr>
              <w:t>SFP PSA methodology;</w:t>
            </w:r>
            <w:r w:rsidR="001B2C16" w:rsidRPr="00F977B9">
              <w:rPr>
                <w:rFonts w:asciiTheme="minorHAnsi" w:hAnsiTheme="minorHAnsi"/>
              </w:rPr>
              <w:t xml:space="preserve"> and </w:t>
            </w:r>
          </w:p>
          <w:p w:rsidR="001B2C16" w:rsidRPr="00F977B9" w:rsidRDefault="001B2C16" w:rsidP="001B2C16">
            <w:pPr>
              <w:pStyle w:val="TSBullet1Square"/>
              <w:numPr>
                <w:ilvl w:val="0"/>
                <w:numId w:val="35"/>
              </w:numPr>
              <w:rPr>
                <w:rFonts w:asciiTheme="minorHAnsi" w:hAnsiTheme="minorHAnsi"/>
              </w:rPr>
            </w:pPr>
            <w:r w:rsidRPr="00F977B9">
              <w:rPr>
                <w:rFonts w:asciiTheme="minorHAnsi" w:hAnsiTheme="minorHAnsi"/>
              </w:rPr>
              <w:t>SFP PSA success criteria.</w:t>
            </w:r>
          </w:p>
          <w:p w:rsidR="005C7D1E" w:rsidRPr="00F977B9" w:rsidRDefault="005C7D1E" w:rsidP="001B2C16">
            <w:pPr>
              <w:pStyle w:val="TSBullet1Square"/>
              <w:rPr>
                <w:rFonts w:asciiTheme="minorHAnsi" w:hAnsiTheme="minorHAnsi"/>
              </w:rPr>
            </w:pPr>
            <w:r w:rsidRPr="00F977B9">
              <w:rPr>
                <w:rFonts w:asciiTheme="minorHAnsi" w:hAnsiTheme="minorHAnsi"/>
              </w:rPr>
              <w:t>Fire PSA, flooding PSA</w:t>
            </w:r>
            <w:r w:rsidR="006071D6">
              <w:rPr>
                <w:rFonts w:asciiTheme="minorHAnsi" w:hAnsiTheme="minorHAnsi"/>
              </w:rPr>
              <w:t>, seismic</w:t>
            </w:r>
            <w:r w:rsidRPr="00F977B9">
              <w:rPr>
                <w:rFonts w:asciiTheme="minorHAnsi" w:hAnsiTheme="minorHAnsi"/>
              </w:rPr>
              <w:t xml:space="preserve"> and external hazard PSA:</w:t>
            </w:r>
          </w:p>
          <w:p w:rsidR="001B2C16" w:rsidRPr="00F977B9" w:rsidRDefault="001B2C16" w:rsidP="001B2C16">
            <w:pPr>
              <w:pStyle w:val="TSBullet1Square"/>
              <w:numPr>
                <w:ilvl w:val="0"/>
                <w:numId w:val="35"/>
              </w:numPr>
              <w:rPr>
                <w:rFonts w:asciiTheme="minorHAnsi" w:hAnsiTheme="minorHAnsi"/>
              </w:rPr>
            </w:pPr>
            <w:r w:rsidRPr="00F977B9">
              <w:rPr>
                <w:rFonts w:asciiTheme="minorHAnsi" w:hAnsiTheme="minorHAnsi"/>
              </w:rPr>
              <w:t>the m</w:t>
            </w:r>
            <w:r w:rsidR="005C7D1E" w:rsidRPr="00F977B9">
              <w:rPr>
                <w:rFonts w:asciiTheme="minorHAnsi" w:hAnsiTheme="minorHAnsi"/>
              </w:rPr>
              <w:t>ethodologies</w:t>
            </w:r>
            <w:r w:rsidRPr="00F977B9">
              <w:rPr>
                <w:rFonts w:asciiTheme="minorHAnsi" w:hAnsiTheme="minorHAnsi"/>
              </w:rPr>
              <w:t xml:space="preserve"> for each type of PSA;</w:t>
            </w:r>
          </w:p>
          <w:p w:rsidR="001B2C16" w:rsidRPr="00F977B9" w:rsidRDefault="006071D6" w:rsidP="001B2C16">
            <w:pPr>
              <w:pStyle w:val="TSBullet1Square"/>
              <w:numPr>
                <w:ilvl w:val="0"/>
                <w:numId w:val="35"/>
              </w:numPr>
              <w:rPr>
                <w:rFonts w:asciiTheme="minorHAnsi" w:hAnsiTheme="minorHAnsi"/>
              </w:rPr>
            </w:pPr>
            <w:proofErr w:type="gramStart"/>
            <w:r>
              <w:rPr>
                <w:rFonts w:asciiTheme="minorHAnsi" w:hAnsiTheme="minorHAnsi"/>
              </w:rPr>
              <w:t>specific</w:t>
            </w:r>
            <w:proofErr w:type="gramEnd"/>
            <w:r>
              <w:rPr>
                <w:rFonts w:asciiTheme="minorHAnsi" w:hAnsiTheme="minorHAnsi"/>
              </w:rPr>
              <w:t xml:space="preserve"> areas of hazard PSA initial approaches such as designation and modelling of fire areas, modelling of flood levels and zones, etc. These will be discussed in the initial meeting with the TSC and agreed with ONR </w:t>
            </w:r>
            <w:r w:rsidR="001B2C16" w:rsidRPr="00F977B9">
              <w:rPr>
                <w:rFonts w:asciiTheme="minorHAnsi" w:hAnsiTheme="minorHAnsi"/>
              </w:rPr>
              <w:t>; and</w:t>
            </w:r>
          </w:p>
          <w:p w:rsidR="001B2C16" w:rsidRDefault="001B2C16" w:rsidP="001B2C16">
            <w:pPr>
              <w:pStyle w:val="TSBullet1Square"/>
              <w:numPr>
                <w:ilvl w:val="0"/>
                <w:numId w:val="35"/>
              </w:numPr>
              <w:rPr>
                <w:rFonts w:asciiTheme="minorHAnsi" w:hAnsiTheme="minorHAnsi"/>
              </w:rPr>
            </w:pPr>
            <w:proofErr w:type="gramStart"/>
            <w:r w:rsidRPr="00F977B9">
              <w:rPr>
                <w:rFonts w:asciiTheme="minorHAnsi" w:hAnsiTheme="minorHAnsi"/>
              </w:rPr>
              <w:t>the</w:t>
            </w:r>
            <w:proofErr w:type="gramEnd"/>
            <w:r w:rsidRPr="00F977B9">
              <w:rPr>
                <w:rFonts w:asciiTheme="minorHAnsi" w:hAnsiTheme="minorHAnsi"/>
              </w:rPr>
              <w:t xml:space="preserve"> success criteria.</w:t>
            </w:r>
          </w:p>
          <w:p w:rsidR="00CA733D" w:rsidRPr="00CA733D" w:rsidRDefault="00CA733D" w:rsidP="00CA733D">
            <w:pPr>
              <w:pStyle w:val="TSNumberedParagraph11"/>
              <w:numPr>
                <w:ilvl w:val="0"/>
                <w:numId w:val="0"/>
              </w:numPr>
              <w:ind w:left="720"/>
              <w:rPr>
                <w:rFonts w:asciiTheme="minorHAnsi" w:hAnsiTheme="minorHAnsi"/>
                <w:b/>
                <w:u w:val="single"/>
              </w:rPr>
            </w:pPr>
            <w:r w:rsidRPr="00CA733D">
              <w:rPr>
                <w:rFonts w:asciiTheme="minorHAnsi" w:hAnsiTheme="minorHAnsi"/>
                <w:b/>
                <w:u w:val="single"/>
              </w:rPr>
              <w:t>Phase 2</w:t>
            </w:r>
          </w:p>
          <w:p w:rsidR="002C614D" w:rsidRPr="001B2C16" w:rsidRDefault="005C7D1E" w:rsidP="0039459B">
            <w:pPr>
              <w:pStyle w:val="TSNumberedParagraph11"/>
              <w:jc w:val="both"/>
              <w:rPr>
                <w:rFonts w:asciiTheme="minorHAnsi" w:hAnsiTheme="minorHAnsi"/>
              </w:rPr>
            </w:pPr>
            <w:r w:rsidRPr="001B2C16">
              <w:rPr>
                <w:rFonts w:asciiTheme="minorHAnsi" w:hAnsiTheme="minorHAnsi"/>
              </w:rPr>
              <w:t xml:space="preserve">During Phase 2, the TSC will </w:t>
            </w:r>
            <w:r w:rsidR="008B04DB">
              <w:rPr>
                <w:rFonts w:asciiTheme="minorHAnsi" w:hAnsiTheme="minorHAnsi"/>
              </w:rPr>
              <w:t>conduct</w:t>
            </w:r>
            <w:r w:rsidRPr="001B2C16">
              <w:rPr>
                <w:rFonts w:asciiTheme="minorHAnsi" w:hAnsiTheme="minorHAnsi"/>
              </w:rPr>
              <w:t xml:space="preserve"> i</w:t>
            </w:r>
            <w:r w:rsidR="00CA733D" w:rsidRPr="001B2C16">
              <w:rPr>
                <w:rFonts w:asciiTheme="minorHAnsi" w:hAnsiTheme="minorHAnsi"/>
              </w:rPr>
              <w:t xml:space="preserve">n </w:t>
            </w:r>
            <w:r w:rsidRPr="001B2C16">
              <w:rPr>
                <w:rFonts w:asciiTheme="minorHAnsi" w:hAnsiTheme="minorHAnsi"/>
              </w:rPr>
              <w:t>d</w:t>
            </w:r>
            <w:r w:rsidR="00CA733D" w:rsidRPr="001B2C16">
              <w:rPr>
                <w:rFonts w:asciiTheme="minorHAnsi" w:hAnsiTheme="minorHAnsi"/>
              </w:rPr>
              <w:t xml:space="preserve">epth review of five </w:t>
            </w:r>
            <w:r w:rsidRPr="001B2C16">
              <w:rPr>
                <w:rFonts w:asciiTheme="minorHAnsi" w:hAnsiTheme="minorHAnsi"/>
              </w:rPr>
              <w:t>samples</w:t>
            </w:r>
            <w:r w:rsidR="00CA733D" w:rsidRPr="001B2C16">
              <w:rPr>
                <w:rFonts w:asciiTheme="minorHAnsi" w:hAnsiTheme="minorHAnsi"/>
              </w:rPr>
              <w:t xml:space="preserve"> of the L1/L2 PSA</w:t>
            </w:r>
            <w:r w:rsidRPr="001B2C16">
              <w:rPr>
                <w:rFonts w:asciiTheme="minorHAnsi" w:hAnsiTheme="minorHAnsi"/>
              </w:rPr>
              <w:t xml:space="preserve"> and </w:t>
            </w:r>
            <w:r w:rsidR="00CA733D" w:rsidRPr="001B2C16">
              <w:rPr>
                <w:rFonts w:asciiTheme="minorHAnsi" w:hAnsiTheme="minorHAnsi"/>
              </w:rPr>
              <w:t xml:space="preserve">2 </w:t>
            </w:r>
            <w:r w:rsidRPr="001B2C16">
              <w:rPr>
                <w:rFonts w:asciiTheme="minorHAnsi" w:hAnsiTheme="minorHAnsi"/>
              </w:rPr>
              <w:t>samples</w:t>
            </w:r>
            <w:r w:rsidR="008B04DB">
              <w:rPr>
                <w:rFonts w:asciiTheme="minorHAnsi" w:hAnsiTheme="minorHAnsi"/>
              </w:rPr>
              <w:t xml:space="preserve"> each</w:t>
            </w:r>
            <w:r w:rsidRPr="001B2C16">
              <w:rPr>
                <w:rFonts w:asciiTheme="minorHAnsi" w:hAnsiTheme="minorHAnsi"/>
              </w:rPr>
              <w:t xml:space="preserve"> </w:t>
            </w:r>
            <w:r w:rsidR="00CA733D" w:rsidRPr="001B2C16">
              <w:rPr>
                <w:rFonts w:asciiTheme="minorHAnsi" w:hAnsiTheme="minorHAnsi"/>
              </w:rPr>
              <w:t>of the fire, flood, external hazard</w:t>
            </w:r>
            <w:r w:rsidR="006B72AE">
              <w:rPr>
                <w:rFonts w:asciiTheme="minorHAnsi" w:hAnsiTheme="minorHAnsi"/>
              </w:rPr>
              <w:t>,</w:t>
            </w:r>
            <w:r w:rsidR="00CA733D" w:rsidRPr="001B2C16">
              <w:rPr>
                <w:rFonts w:asciiTheme="minorHAnsi" w:hAnsiTheme="minorHAnsi"/>
              </w:rPr>
              <w:t xml:space="preserve"> SFP</w:t>
            </w:r>
            <w:r w:rsidR="006B72AE">
              <w:rPr>
                <w:rFonts w:asciiTheme="minorHAnsi" w:hAnsiTheme="minorHAnsi"/>
              </w:rPr>
              <w:t xml:space="preserve"> and seismic</w:t>
            </w:r>
            <w:r w:rsidR="00CA733D" w:rsidRPr="001B2C16">
              <w:rPr>
                <w:rFonts w:asciiTheme="minorHAnsi" w:hAnsiTheme="minorHAnsi"/>
              </w:rPr>
              <w:t xml:space="preserve"> PSAs</w:t>
            </w:r>
            <w:r w:rsidR="008B04DB">
              <w:rPr>
                <w:rFonts w:asciiTheme="minorHAnsi" w:hAnsiTheme="minorHAnsi"/>
              </w:rPr>
              <w:t xml:space="preserve"> against RGP</w:t>
            </w:r>
            <w:r w:rsidR="00CA733D" w:rsidRPr="001B2C16">
              <w:rPr>
                <w:rFonts w:asciiTheme="minorHAnsi" w:hAnsiTheme="minorHAnsi"/>
              </w:rPr>
              <w:t>.</w:t>
            </w:r>
            <w:r w:rsidR="008B04DB">
              <w:rPr>
                <w:rFonts w:asciiTheme="minorHAnsi" w:hAnsiTheme="minorHAnsi"/>
              </w:rPr>
              <w:t xml:space="preserve"> The </w:t>
            </w:r>
            <w:r w:rsidR="006B72AE">
              <w:rPr>
                <w:rFonts w:asciiTheme="minorHAnsi" w:hAnsiTheme="minorHAnsi"/>
              </w:rPr>
              <w:t>fifteen</w:t>
            </w:r>
            <w:r w:rsidR="008B04DB">
              <w:rPr>
                <w:rFonts w:asciiTheme="minorHAnsi" w:hAnsiTheme="minorHAnsi"/>
              </w:rPr>
              <w:t xml:space="preserve"> samples will be determined based on the conclusions of the Phase 1 final report and agreement with ONR.</w:t>
            </w:r>
            <w:r w:rsidRPr="001B2C16">
              <w:rPr>
                <w:rFonts w:asciiTheme="minorHAnsi" w:hAnsiTheme="minorHAnsi"/>
              </w:rPr>
              <w:t xml:space="preserve"> </w:t>
            </w:r>
            <w:r w:rsidR="008B04DB">
              <w:rPr>
                <w:rFonts w:asciiTheme="minorHAnsi" w:hAnsiTheme="minorHAnsi"/>
              </w:rPr>
              <w:t xml:space="preserve">The TSC’s in depth review will review each sample (e.g. </w:t>
            </w:r>
            <w:r w:rsidR="00CA733D" w:rsidRPr="001B2C16">
              <w:rPr>
                <w:rFonts w:asciiTheme="minorHAnsi" w:hAnsiTheme="minorHAnsi"/>
              </w:rPr>
              <w:t>start</w:t>
            </w:r>
            <w:r w:rsidRPr="001B2C16">
              <w:rPr>
                <w:rFonts w:asciiTheme="minorHAnsi" w:hAnsiTheme="minorHAnsi"/>
              </w:rPr>
              <w:t>ing</w:t>
            </w:r>
            <w:r w:rsidR="00CA733D" w:rsidRPr="001B2C16">
              <w:rPr>
                <w:rFonts w:asciiTheme="minorHAnsi" w:hAnsiTheme="minorHAnsi"/>
              </w:rPr>
              <w:t xml:space="preserve"> at </w:t>
            </w:r>
            <w:r w:rsidRPr="001B2C16">
              <w:rPr>
                <w:rFonts w:asciiTheme="minorHAnsi" w:hAnsiTheme="minorHAnsi"/>
              </w:rPr>
              <w:t>an</w:t>
            </w:r>
            <w:r w:rsidR="00CA733D" w:rsidRPr="001B2C16">
              <w:rPr>
                <w:rFonts w:asciiTheme="minorHAnsi" w:hAnsiTheme="minorHAnsi"/>
              </w:rPr>
              <w:t xml:space="preserve"> IE in an</w:t>
            </w:r>
            <w:r w:rsidRPr="001B2C16">
              <w:rPr>
                <w:rFonts w:asciiTheme="minorHAnsi" w:hAnsiTheme="minorHAnsi"/>
              </w:rPr>
              <w:t xml:space="preserve"> event tree (</w:t>
            </w:r>
            <w:r w:rsidR="00CA733D" w:rsidRPr="001B2C16">
              <w:rPr>
                <w:rFonts w:asciiTheme="minorHAnsi" w:hAnsiTheme="minorHAnsi"/>
              </w:rPr>
              <w:t>ET</w:t>
            </w:r>
            <w:r w:rsidRPr="001B2C16">
              <w:rPr>
                <w:rFonts w:asciiTheme="minorHAnsi" w:hAnsiTheme="minorHAnsi"/>
              </w:rPr>
              <w:t>)</w:t>
            </w:r>
            <w:r w:rsidR="00CA733D" w:rsidRPr="001B2C16">
              <w:rPr>
                <w:rFonts w:asciiTheme="minorHAnsi" w:hAnsiTheme="minorHAnsi"/>
              </w:rPr>
              <w:t xml:space="preserve"> and then review</w:t>
            </w:r>
            <w:r w:rsidRPr="001B2C16">
              <w:rPr>
                <w:rFonts w:asciiTheme="minorHAnsi" w:hAnsiTheme="minorHAnsi"/>
              </w:rPr>
              <w:t>ing</w:t>
            </w:r>
            <w:r w:rsidR="00CA733D" w:rsidRPr="001B2C16">
              <w:rPr>
                <w:rFonts w:asciiTheme="minorHAnsi" w:hAnsiTheme="minorHAnsi"/>
              </w:rPr>
              <w:t xml:space="preserve"> all parts of the ET, associated </w:t>
            </w:r>
            <w:r w:rsidRPr="001B2C16">
              <w:rPr>
                <w:rFonts w:asciiTheme="minorHAnsi" w:hAnsiTheme="minorHAnsi"/>
              </w:rPr>
              <w:t>fault trees (</w:t>
            </w:r>
            <w:r w:rsidR="00CA733D" w:rsidRPr="001B2C16">
              <w:rPr>
                <w:rFonts w:asciiTheme="minorHAnsi" w:hAnsiTheme="minorHAnsi"/>
              </w:rPr>
              <w:t>FTs</w:t>
            </w:r>
            <w:r w:rsidRPr="001B2C16">
              <w:rPr>
                <w:rFonts w:asciiTheme="minorHAnsi" w:hAnsiTheme="minorHAnsi"/>
              </w:rPr>
              <w:t>)</w:t>
            </w:r>
            <w:r w:rsidR="00CA733D" w:rsidRPr="001B2C16">
              <w:rPr>
                <w:rFonts w:asciiTheme="minorHAnsi" w:hAnsiTheme="minorHAnsi"/>
              </w:rPr>
              <w:t xml:space="preserve">, </w:t>
            </w:r>
            <w:r w:rsidRPr="001B2C16">
              <w:rPr>
                <w:rFonts w:asciiTheme="minorHAnsi" w:hAnsiTheme="minorHAnsi"/>
              </w:rPr>
              <w:t>human reliability analysis (HRA)</w:t>
            </w:r>
            <w:r w:rsidR="00CA733D" w:rsidRPr="001B2C16">
              <w:rPr>
                <w:rFonts w:asciiTheme="minorHAnsi" w:hAnsiTheme="minorHAnsi"/>
              </w:rPr>
              <w:t>,</w:t>
            </w:r>
            <w:r w:rsidRPr="001B2C16">
              <w:rPr>
                <w:rFonts w:asciiTheme="minorHAnsi" w:hAnsiTheme="minorHAnsi"/>
              </w:rPr>
              <w:t xml:space="preserve"> common cause failures</w:t>
            </w:r>
            <w:r w:rsidR="00CA733D" w:rsidRPr="001B2C16">
              <w:rPr>
                <w:rFonts w:asciiTheme="minorHAnsi" w:hAnsiTheme="minorHAnsi"/>
              </w:rPr>
              <w:t xml:space="preserve"> </w:t>
            </w:r>
            <w:r w:rsidRPr="001B2C16">
              <w:rPr>
                <w:rFonts w:asciiTheme="minorHAnsi" w:hAnsiTheme="minorHAnsi"/>
              </w:rPr>
              <w:t>(C</w:t>
            </w:r>
            <w:r w:rsidR="00CA733D" w:rsidRPr="001B2C16">
              <w:rPr>
                <w:rFonts w:asciiTheme="minorHAnsi" w:hAnsiTheme="minorHAnsi"/>
              </w:rPr>
              <w:t>CFs</w:t>
            </w:r>
            <w:r w:rsidRPr="001B2C16">
              <w:rPr>
                <w:rFonts w:asciiTheme="minorHAnsi" w:hAnsiTheme="minorHAnsi"/>
              </w:rPr>
              <w:t>)</w:t>
            </w:r>
            <w:r w:rsidR="00CA733D" w:rsidRPr="001B2C16">
              <w:rPr>
                <w:rFonts w:asciiTheme="minorHAnsi" w:hAnsiTheme="minorHAnsi"/>
              </w:rPr>
              <w:t xml:space="preserve">, assumptions, success criteria, modelling </w:t>
            </w:r>
            <w:r w:rsidRPr="001B2C16">
              <w:rPr>
                <w:rFonts w:asciiTheme="minorHAnsi" w:hAnsiTheme="minorHAnsi"/>
              </w:rPr>
              <w:t>approach</w:t>
            </w:r>
            <w:r w:rsidR="00CA733D" w:rsidRPr="001B2C16">
              <w:rPr>
                <w:rFonts w:asciiTheme="minorHAnsi" w:hAnsiTheme="minorHAnsi"/>
              </w:rPr>
              <w:t>, accuracy of modelling,</w:t>
            </w:r>
            <w:r w:rsidRPr="001B2C16">
              <w:rPr>
                <w:rFonts w:asciiTheme="minorHAnsi" w:hAnsiTheme="minorHAnsi"/>
              </w:rPr>
              <w:t xml:space="preserve"> etc.</w:t>
            </w:r>
            <w:r w:rsidR="008B04DB">
              <w:rPr>
                <w:rFonts w:asciiTheme="minorHAnsi" w:hAnsiTheme="minorHAnsi"/>
              </w:rPr>
              <w:t>)</w:t>
            </w:r>
            <w:r w:rsidR="007217B5">
              <w:rPr>
                <w:rFonts w:asciiTheme="minorHAnsi" w:hAnsiTheme="minorHAnsi"/>
              </w:rPr>
              <w:t>. At the conclusion of Phase 2, a</w:t>
            </w:r>
            <w:r w:rsidR="007217B5" w:rsidRPr="007217B5">
              <w:rPr>
                <w:rFonts w:asciiTheme="minorHAnsi" w:hAnsiTheme="minorHAnsi"/>
              </w:rPr>
              <w:t xml:space="preserve"> formal report</w:t>
            </w:r>
            <w:r w:rsidR="007217B5">
              <w:rPr>
                <w:rFonts w:asciiTheme="minorHAnsi" w:hAnsiTheme="minorHAnsi"/>
              </w:rPr>
              <w:t xml:space="preserve"> will be required,</w:t>
            </w:r>
            <w:r w:rsidR="007217B5" w:rsidRPr="007217B5">
              <w:rPr>
                <w:rFonts w:asciiTheme="minorHAnsi" w:hAnsiTheme="minorHAnsi"/>
              </w:rPr>
              <w:t xml:space="preserve"> summarising the scope of the review, the areas of strength and weakness of the RP’s submissions against the expectations set out in ONR and international guidance, an indication of the safety/risk significance of these findings, and advice to ONR on areas to focus regulatory attention</w:t>
            </w:r>
            <w:r w:rsidR="007217B5">
              <w:rPr>
                <w:rFonts w:asciiTheme="minorHAnsi" w:hAnsiTheme="minorHAnsi"/>
              </w:rPr>
              <w:t>.</w:t>
            </w:r>
            <w:r w:rsidR="0005217B" w:rsidRPr="001B2C16">
              <w:rPr>
                <w:rFonts w:asciiTheme="minorHAnsi" w:hAnsiTheme="minorHAnsi"/>
              </w:rPr>
              <w:t xml:space="preserve"> Phase 2 is expected to </w:t>
            </w:r>
            <w:r w:rsidR="002F52E8">
              <w:rPr>
                <w:rFonts w:asciiTheme="minorHAnsi" w:hAnsiTheme="minorHAnsi"/>
              </w:rPr>
              <w:t>start at the beginning of 2020 and conclude by April 2021 in time for input to the Step 4 assessment report for PSA.</w:t>
            </w:r>
            <w:r w:rsidR="002F52E8" w:rsidRPr="001B2C16" w:rsidDel="002F52E8">
              <w:rPr>
                <w:rFonts w:asciiTheme="minorHAnsi" w:hAnsiTheme="minorHAnsi"/>
              </w:rPr>
              <w:t xml:space="preserve"> </w:t>
            </w:r>
            <w:r w:rsidRPr="001B2C16">
              <w:rPr>
                <w:rFonts w:asciiTheme="minorHAnsi" w:hAnsiTheme="minorHAnsi"/>
              </w:rPr>
              <w:t>For Phase 2, t</w:t>
            </w:r>
            <w:r w:rsidR="002C614D" w:rsidRPr="001B2C16">
              <w:rPr>
                <w:rFonts w:asciiTheme="minorHAnsi" w:hAnsiTheme="minorHAnsi"/>
              </w:rPr>
              <w:t>he scope of the TSC services include review of:</w:t>
            </w:r>
          </w:p>
          <w:p w:rsidR="007F409F" w:rsidRPr="00F977B9" w:rsidRDefault="004B4811" w:rsidP="001B2C16">
            <w:pPr>
              <w:pStyle w:val="TSBullet1Square"/>
              <w:rPr>
                <w:rFonts w:asciiTheme="minorHAnsi" w:hAnsiTheme="minorHAnsi"/>
              </w:rPr>
            </w:pPr>
            <w:r w:rsidRPr="00F977B9">
              <w:rPr>
                <w:rFonts w:asciiTheme="minorHAnsi" w:hAnsiTheme="minorHAnsi"/>
              </w:rPr>
              <w:t>Level 1 PSA</w:t>
            </w:r>
            <w:r w:rsidR="002C614D" w:rsidRPr="00F977B9">
              <w:rPr>
                <w:rFonts w:asciiTheme="minorHAnsi" w:hAnsiTheme="minorHAnsi"/>
              </w:rPr>
              <w:t>:</w:t>
            </w:r>
          </w:p>
          <w:p w:rsidR="007F409F" w:rsidRPr="00F977B9" w:rsidRDefault="008B04DB" w:rsidP="001B2C16">
            <w:pPr>
              <w:pStyle w:val="TSBullet1Square"/>
              <w:numPr>
                <w:ilvl w:val="0"/>
                <w:numId w:val="35"/>
              </w:numPr>
              <w:rPr>
                <w:rFonts w:asciiTheme="minorHAnsi" w:hAnsiTheme="minorHAnsi"/>
              </w:rPr>
            </w:pPr>
            <w:r>
              <w:rPr>
                <w:rFonts w:asciiTheme="minorHAnsi" w:hAnsiTheme="minorHAnsi"/>
              </w:rPr>
              <w:t>five</w:t>
            </w:r>
            <w:r w:rsidR="004B4811" w:rsidRPr="00F977B9">
              <w:rPr>
                <w:rFonts w:asciiTheme="minorHAnsi" w:hAnsiTheme="minorHAnsi"/>
              </w:rPr>
              <w:t xml:space="preserve"> event trees from initiating event through to plant damage states</w:t>
            </w:r>
            <w:r w:rsidR="000B0109" w:rsidRPr="00F977B9">
              <w:rPr>
                <w:rFonts w:asciiTheme="minorHAnsi" w:hAnsiTheme="minorHAnsi"/>
              </w:rPr>
              <w:t>;</w:t>
            </w:r>
            <w:r w:rsidR="007F409F" w:rsidRPr="00F977B9">
              <w:rPr>
                <w:rFonts w:asciiTheme="minorHAnsi" w:hAnsiTheme="minorHAnsi"/>
              </w:rPr>
              <w:t xml:space="preserve"> and</w:t>
            </w:r>
          </w:p>
          <w:p w:rsidR="007F409F" w:rsidRPr="00F977B9" w:rsidRDefault="008B04DB" w:rsidP="001B2C16">
            <w:pPr>
              <w:pStyle w:val="TSBullet1Square"/>
              <w:numPr>
                <w:ilvl w:val="0"/>
                <w:numId w:val="35"/>
              </w:numPr>
              <w:rPr>
                <w:rFonts w:asciiTheme="minorHAnsi" w:hAnsiTheme="minorHAnsi"/>
              </w:rPr>
            </w:pPr>
            <w:proofErr w:type="gramStart"/>
            <w:r>
              <w:rPr>
                <w:rFonts w:asciiTheme="minorHAnsi" w:hAnsiTheme="minorHAnsi"/>
              </w:rPr>
              <w:t>five</w:t>
            </w:r>
            <w:proofErr w:type="gramEnd"/>
            <w:r w:rsidR="004B4811" w:rsidRPr="00F977B9">
              <w:rPr>
                <w:rFonts w:asciiTheme="minorHAnsi" w:hAnsiTheme="minorHAnsi"/>
              </w:rPr>
              <w:t xml:space="preserve"> system fault trees. </w:t>
            </w:r>
          </w:p>
          <w:p w:rsidR="007F409F" w:rsidRPr="00F977B9" w:rsidRDefault="00EF18A6" w:rsidP="001B2C16">
            <w:pPr>
              <w:pStyle w:val="TSBullet1Square"/>
              <w:rPr>
                <w:rFonts w:asciiTheme="minorHAnsi" w:hAnsiTheme="minorHAnsi"/>
              </w:rPr>
            </w:pPr>
            <w:r w:rsidRPr="00F977B9">
              <w:rPr>
                <w:rFonts w:asciiTheme="minorHAnsi" w:hAnsiTheme="minorHAnsi"/>
              </w:rPr>
              <w:t>Level 2 PSA</w:t>
            </w:r>
            <w:r w:rsidR="007F409F" w:rsidRPr="00F977B9">
              <w:rPr>
                <w:rFonts w:asciiTheme="minorHAnsi" w:hAnsiTheme="minorHAnsi"/>
              </w:rPr>
              <w:t>:</w:t>
            </w:r>
          </w:p>
          <w:p w:rsidR="007F409F" w:rsidRPr="00F977B9" w:rsidRDefault="008B04DB" w:rsidP="001B2C16">
            <w:pPr>
              <w:pStyle w:val="TSBullet1Square"/>
              <w:numPr>
                <w:ilvl w:val="0"/>
                <w:numId w:val="35"/>
              </w:numPr>
              <w:rPr>
                <w:rFonts w:asciiTheme="minorHAnsi" w:hAnsiTheme="minorHAnsi"/>
              </w:rPr>
            </w:pPr>
            <w:r>
              <w:rPr>
                <w:rFonts w:asciiTheme="minorHAnsi" w:hAnsiTheme="minorHAnsi"/>
              </w:rPr>
              <w:t>five</w:t>
            </w:r>
            <w:r w:rsidR="00EF18A6" w:rsidRPr="00F977B9">
              <w:rPr>
                <w:rFonts w:asciiTheme="minorHAnsi" w:hAnsiTheme="minorHAnsi"/>
              </w:rPr>
              <w:t xml:space="preserve"> Level 1 – Level 2 link event trees,</w:t>
            </w:r>
          </w:p>
          <w:p w:rsidR="007F409F" w:rsidRPr="00F977B9" w:rsidRDefault="008B04DB" w:rsidP="001B2C16">
            <w:pPr>
              <w:pStyle w:val="TSBullet1Square"/>
              <w:numPr>
                <w:ilvl w:val="0"/>
                <w:numId w:val="35"/>
              </w:numPr>
              <w:rPr>
                <w:rFonts w:asciiTheme="minorHAnsi" w:hAnsiTheme="minorHAnsi"/>
              </w:rPr>
            </w:pPr>
            <w:r>
              <w:rPr>
                <w:rFonts w:asciiTheme="minorHAnsi" w:hAnsiTheme="minorHAnsi"/>
              </w:rPr>
              <w:t>five</w:t>
            </w:r>
            <w:r w:rsidR="007F409F" w:rsidRPr="00F977B9">
              <w:rPr>
                <w:rFonts w:asciiTheme="minorHAnsi" w:hAnsiTheme="minorHAnsi"/>
              </w:rPr>
              <w:t xml:space="preserve"> containment event trees; and</w:t>
            </w:r>
          </w:p>
          <w:p w:rsidR="007F409F" w:rsidRPr="00F977B9" w:rsidRDefault="008B04DB" w:rsidP="001B2C16">
            <w:pPr>
              <w:pStyle w:val="TSBullet1Square"/>
              <w:numPr>
                <w:ilvl w:val="0"/>
                <w:numId w:val="35"/>
              </w:numPr>
              <w:rPr>
                <w:rFonts w:asciiTheme="minorHAnsi" w:hAnsiTheme="minorHAnsi"/>
              </w:rPr>
            </w:pPr>
            <w:proofErr w:type="gramStart"/>
            <w:r>
              <w:rPr>
                <w:rFonts w:asciiTheme="minorHAnsi" w:hAnsiTheme="minorHAnsi"/>
              </w:rPr>
              <w:t>five</w:t>
            </w:r>
            <w:proofErr w:type="gramEnd"/>
            <w:r w:rsidR="00EF18A6" w:rsidRPr="00F977B9">
              <w:rPr>
                <w:rFonts w:asciiTheme="minorHAnsi" w:hAnsiTheme="minorHAnsi"/>
              </w:rPr>
              <w:t xml:space="preserve"> of the Level 2 PSA system analysis fault trees</w:t>
            </w:r>
            <w:r w:rsidR="001B2C16" w:rsidRPr="00F977B9">
              <w:rPr>
                <w:rFonts w:asciiTheme="minorHAnsi" w:hAnsiTheme="minorHAnsi"/>
              </w:rPr>
              <w:t>.</w:t>
            </w:r>
          </w:p>
          <w:p w:rsidR="000C6BD6" w:rsidRPr="00F977B9" w:rsidRDefault="000C6BD6" w:rsidP="001B2C16">
            <w:pPr>
              <w:pStyle w:val="TSBullet1Square"/>
              <w:rPr>
                <w:rFonts w:asciiTheme="minorHAnsi" w:hAnsiTheme="minorHAnsi"/>
              </w:rPr>
            </w:pPr>
            <w:r w:rsidRPr="00F977B9">
              <w:rPr>
                <w:rFonts w:asciiTheme="minorHAnsi" w:hAnsiTheme="minorHAnsi"/>
              </w:rPr>
              <w:t>SFP PSA:</w:t>
            </w:r>
          </w:p>
          <w:p w:rsidR="000C6BD6" w:rsidRPr="00F977B9" w:rsidRDefault="008B04DB" w:rsidP="001B2C16">
            <w:pPr>
              <w:pStyle w:val="TSBullet1Square"/>
              <w:numPr>
                <w:ilvl w:val="0"/>
                <w:numId w:val="35"/>
              </w:numPr>
              <w:rPr>
                <w:rFonts w:asciiTheme="minorHAnsi" w:hAnsiTheme="minorHAnsi"/>
              </w:rPr>
            </w:pPr>
            <w:r>
              <w:rPr>
                <w:rFonts w:asciiTheme="minorHAnsi" w:hAnsiTheme="minorHAnsi"/>
              </w:rPr>
              <w:t>two</w:t>
            </w:r>
            <w:r w:rsidR="000C6BD6" w:rsidRPr="00F977B9">
              <w:rPr>
                <w:rFonts w:asciiTheme="minorHAnsi" w:hAnsiTheme="minorHAnsi"/>
              </w:rPr>
              <w:t xml:space="preserve"> event trees from initiating event through to fuel damage states; and</w:t>
            </w:r>
          </w:p>
          <w:p w:rsidR="000C6BD6" w:rsidRPr="00F977B9" w:rsidRDefault="008B04DB" w:rsidP="001B2C16">
            <w:pPr>
              <w:pStyle w:val="TSBullet1Square"/>
              <w:numPr>
                <w:ilvl w:val="0"/>
                <w:numId w:val="35"/>
              </w:numPr>
              <w:rPr>
                <w:rFonts w:asciiTheme="minorHAnsi" w:hAnsiTheme="minorHAnsi"/>
              </w:rPr>
            </w:pPr>
            <w:proofErr w:type="gramStart"/>
            <w:r>
              <w:rPr>
                <w:rFonts w:asciiTheme="minorHAnsi" w:hAnsiTheme="minorHAnsi"/>
              </w:rPr>
              <w:t>two</w:t>
            </w:r>
            <w:proofErr w:type="gramEnd"/>
            <w:r w:rsidR="000C6BD6" w:rsidRPr="00F977B9">
              <w:rPr>
                <w:rFonts w:asciiTheme="minorHAnsi" w:hAnsiTheme="minorHAnsi"/>
              </w:rPr>
              <w:t xml:space="preserve"> system fault trees.</w:t>
            </w:r>
          </w:p>
          <w:p w:rsidR="007F409F" w:rsidRPr="00F977B9" w:rsidRDefault="002C614D" w:rsidP="001B2C16">
            <w:pPr>
              <w:pStyle w:val="TSBullet1Square"/>
              <w:rPr>
                <w:rFonts w:asciiTheme="minorHAnsi" w:hAnsiTheme="minorHAnsi"/>
              </w:rPr>
            </w:pPr>
            <w:r w:rsidRPr="00F977B9">
              <w:rPr>
                <w:rFonts w:asciiTheme="minorHAnsi" w:hAnsiTheme="minorHAnsi"/>
              </w:rPr>
              <w:t>F</w:t>
            </w:r>
            <w:r w:rsidR="00EF18A6" w:rsidRPr="00F977B9">
              <w:rPr>
                <w:rFonts w:asciiTheme="minorHAnsi" w:hAnsiTheme="minorHAnsi"/>
              </w:rPr>
              <w:t>ire PSA, flooding PSA</w:t>
            </w:r>
            <w:r w:rsidR="006B72AE">
              <w:rPr>
                <w:rFonts w:asciiTheme="minorHAnsi" w:hAnsiTheme="minorHAnsi"/>
              </w:rPr>
              <w:t>, seismic</w:t>
            </w:r>
            <w:r w:rsidRPr="00F977B9">
              <w:rPr>
                <w:rFonts w:asciiTheme="minorHAnsi" w:hAnsiTheme="minorHAnsi"/>
              </w:rPr>
              <w:t xml:space="preserve"> </w:t>
            </w:r>
            <w:r w:rsidR="00EF18A6" w:rsidRPr="00F977B9">
              <w:rPr>
                <w:rFonts w:asciiTheme="minorHAnsi" w:hAnsiTheme="minorHAnsi"/>
              </w:rPr>
              <w:t>and external hazard PSA</w:t>
            </w:r>
            <w:r w:rsidRPr="00F977B9">
              <w:rPr>
                <w:rFonts w:asciiTheme="minorHAnsi" w:hAnsiTheme="minorHAnsi"/>
              </w:rPr>
              <w:t>:</w:t>
            </w:r>
          </w:p>
          <w:p w:rsidR="006B72AE" w:rsidRPr="006B72AE" w:rsidRDefault="006B72AE" w:rsidP="006B72AE">
            <w:pPr>
              <w:pStyle w:val="TSBullet1Square"/>
              <w:numPr>
                <w:ilvl w:val="0"/>
                <w:numId w:val="35"/>
              </w:numPr>
              <w:rPr>
                <w:rFonts w:asciiTheme="minorHAnsi" w:hAnsiTheme="minorHAnsi"/>
              </w:rPr>
            </w:pPr>
            <w:r w:rsidRPr="006B72AE">
              <w:rPr>
                <w:rFonts w:asciiTheme="minorHAnsi" w:hAnsiTheme="minorHAnsi"/>
              </w:rPr>
              <w:t xml:space="preserve">Two sampled areas of </w:t>
            </w:r>
            <w:r>
              <w:rPr>
                <w:rFonts w:asciiTheme="minorHAnsi" w:hAnsiTheme="minorHAnsi"/>
              </w:rPr>
              <w:t xml:space="preserve">each </w:t>
            </w:r>
            <w:r w:rsidRPr="006B72AE">
              <w:rPr>
                <w:rFonts w:asciiTheme="minorHAnsi" w:hAnsiTheme="minorHAnsi"/>
              </w:rPr>
              <w:t>hazard PSA models</w:t>
            </w:r>
            <w:r>
              <w:rPr>
                <w:rFonts w:asciiTheme="minorHAnsi" w:hAnsiTheme="minorHAnsi"/>
              </w:rPr>
              <w:t xml:space="preserve"> - to be determined prior to start of Phase 2 with input from TSC (eight samples total).</w:t>
            </w:r>
          </w:p>
          <w:p w:rsidR="002C614D" w:rsidRPr="002105EA" w:rsidRDefault="002C614D" w:rsidP="002C614D">
            <w:pPr>
              <w:pStyle w:val="TSNumberedParagraph11"/>
              <w:numPr>
                <w:ilvl w:val="0"/>
                <w:numId w:val="0"/>
              </w:numPr>
              <w:ind w:left="720"/>
              <w:rPr>
                <w:rFonts w:asciiTheme="minorHAnsi" w:hAnsiTheme="minorHAnsi" w:cstheme="minorHAnsi"/>
                <w:b/>
                <w:iCs/>
                <w:szCs w:val="22"/>
                <w:u w:val="single"/>
              </w:rPr>
            </w:pPr>
            <w:r w:rsidRPr="002105EA">
              <w:rPr>
                <w:rFonts w:asciiTheme="minorHAnsi" w:hAnsiTheme="minorHAnsi" w:cstheme="minorHAnsi"/>
                <w:b/>
                <w:iCs/>
                <w:szCs w:val="22"/>
                <w:u w:val="single"/>
              </w:rPr>
              <w:t>OUT OF SCOPE</w:t>
            </w:r>
          </w:p>
          <w:p w:rsidR="002C614D" w:rsidRPr="001B2C16" w:rsidRDefault="002C614D" w:rsidP="001B2C16">
            <w:pPr>
              <w:pStyle w:val="TSNumberedParagraph11"/>
              <w:rPr>
                <w:rFonts w:asciiTheme="minorHAnsi" w:hAnsiTheme="minorHAnsi"/>
              </w:rPr>
            </w:pPr>
            <w:r w:rsidRPr="001B2C16">
              <w:rPr>
                <w:rFonts w:asciiTheme="minorHAnsi" w:hAnsiTheme="minorHAnsi"/>
              </w:rPr>
              <w:t>The following areas are considered out of scope for this contract:</w:t>
            </w:r>
          </w:p>
          <w:p w:rsidR="002C614D" w:rsidRPr="002105EA" w:rsidRDefault="003C51FB" w:rsidP="0005217B">
            <w:pPr>
              <w:pStyle w:val="TSBullet1Square"/>
              <w:numPr>
                <w:ilvl w:val="0"/>
                <w:numId w:val="35"/>
              </w:numPr>
              <w:rPr>
                <w:rFonts w:asciiTheme="minorHAnsi" w:hAnsiTheme="minorHAnsi"/>
              </w:rPr>
            </w:pPr>
            <w:r>
              <w:rPr>
                <w:rFonts w:asciiTheme="minorHAnsi" w:hAnsiTheme="minorHAnsi"/>
              </w:rPr>
              <w:t>r</w:t>
            </w:r>
            <w:r w:rsidRPr="002105EA">
              <w:rPr>
                <w:rFonts w:asciiTheme="minorHAnsi" w:hAnsiTheme="minorHAnsi"/>
              </w:rPr>
              <w:t xml:space="preserve">eview </w:t>
            </w:r>
            <w:r w:rsidR="002C614D" w:rsidRPr="002105EA">
              <w:rPr>
                <w:rFonts w:asciiTheme="minorHAnsi" w:hAnsiTheme="minorHAnsi"/>
              </w:rPr>
              <w:t>of UK HPR1000 design</w:t>
            </w:r>
          </w:p>
          <w:p w:rsidR="002C614D" w:rsidRPr="002105EA" w:rsidRDefault="003C51FB" w:rsidP="0005217B">
            <w:pPr>
              <w:pStyle w:val="TSBullet1Square"/>
              <w:numPr>
                <w:ilvl w:val="0"/>
                <w:numId w:val="35"/>
              </w:numPr>
              <w:rPr>
                <w:rFonts w:asciiTheme="minorHAnsi" w:hAnsiTheme="minorHAnsi"/>
              </w:rPr>
            </w:pPr>
            <w:r>
              <w:rPr>
                <w:rFonts w:asciiTheme="minorHAnsi" w:hAnsiTheme="minorHAnsi"/>
              </w:rPr>
              <w:t>r</w:t>
            </w:r>
            <w:r w:rsidRPr="002105EA">
              <w:rPr>
                <w:rFonts w:asciiTheme="minorHAnsi" w:hAnsiTheme="minorHAnsi"/>
              </w:rPr>
              <w:t xml:space="preserve">eview </w:t>
            </w:r>
            <w:r w:rsidR="002C614D" w:rsidRPr="002105EA">
              <w:rPr>
                <w:rFonts w:asciiTheme="minorHAnsi" w:hAnsiTheme="minorHAnsi"/>
              </w:rPr>
              <w:t>of PSA insights or results</w:t>
            </w:r>
            <w:r w:rsidR="007217B5">
              <w:rPr>
                <w:rFonts w:asciiTheme="minorHAnsi" w:hAnsiTheme="minorHAnsi"/>
              </w:rPr>
              <w:t xml:space="preserve"> identified by the RP</w:t>
            </w:r>
          </w:p>
          <w:p w:rsidR="002C614D" w:rsidRPr="002105EA" w:rsidRDefault="003C51FB" w:rsidP="0005217B">
            <w:pPr>
              <w:pStyle w:val="TSBullet1Square"/>
              <w:numPr>
                <w:ilvl w:val="0"/>
                <w:numId w:val="35"/>
              </w:numPr>
              <w:rPr>
                <w:rFonts w:asciiTheme="minorHAnsi" w:hAnsiTheme="minorHAnsi"/>
              </w:rPr>
            </w:pPr>
            <w:r>
              <w:rPr>
                <w:rFonts w:asciiTheme="minorHAnsi" w:hAnsiTheme="minorHAnsi"/>
              </w:rPr>
              <w:t>c</w:t>
            </w:r>
            <w:r w:rsidRPr="002105EA">
              <w:rPr>
                <w:rFonts w:asciiTheme="minorHAnsi" w:hAnsiTheme="minorHAnsi"/>
              </w:rPr>
              <w:t xml:space="preserve">omparison </w:t>
            </w:r>
            <w:r w:rsidR="002C614D" w:rsidRPr="002105EA">
              <w:rPr>
                <w:rFonts w:asciiTheme="minorHAnsi" w:hAnsiTheme="minorHAnsi"/>
              </w:rPr>
              <w:t>of PSA results with the ONR SAP numerical targets</w:t>
            </w:r>
          </w:p>
          <w:p w:rsidR="002C614D" w:rsidRDefault="003C51FB" w:rsidP="0005217B">
            <w:pPr>
              <w:pStyle w:val="TSBullet1Square"/>
              <w:numPr>
                <w:ilvl w:val="0"/>
                <w:numId w:val="35"/>
              </w:numPr>
              <w:rPr>
                <w:rFonts w:asciiTheme="minorHAnsi" w:hAnsiTheme="minorHAnsi"/>
              </w:rPr>
            </w:pPr>
            <w:r>
              <w:rPr>
                <w:rFonts w:asciiTheme="minorHAnsi" w:hAnsiTheme="minorHAnsi"/>
              </w:rPr>
              <w:t>d</w:t>
            </w:r>
            <w:r w:rsidRPr="002105EA">
              <w:rPr>
                <w:rFonts w:asciiTheme="minorHAnsi" w:hAnsiTheme="minorHAnsi"/>
              </w:rPr>
              <w:t xml:space="preserve">ecision </w:t>
            </w:r>
            <w:r w:rsidR="002C614D" w:rsidRPr="002105EA">
              <w:rPr>
                <w:rFonts w:asciiTheme="minorHAnsi" w:hAnsiTheme="minorHAnsi"/>
              </w:rPr>
              <w:t>on whether the design is ALARP</w:t>
            </w:r>
          </w:p>
          <w:p w:rsidR="0003496C" w:rsidRDefault="003C51FB" w:rsidP="0005217B">
            <w:pPr>
              <w:pStyle w:val="TSBullet1Square"/>
              <w:numPr>
                <w:ilvl w:val="0"/>
                <w:numId w:val="35"/>
              </w:numPr>
              <w:rPr>
                <w:rFonts w:asciiTheme="minorHAnsi" w:hAnsiTheme="minorHAnsi"/>
              </w:rPr>
            </w:pPr>
            <w:r>
              <w:rPr>
                <w:rFonts w:asciiTheme="minorHAnsi" w:hAnsiTheme="minorHAnsi"/>
              </w:rPr>
              <w:t xml:space="preserve">how </w:t>
            </w:r>
            <w:r w:rsidR="0003496C">
              <w:rPr>
                <w:rFonts w:asciiTheme="minorHAnsi" w:hAnsiTheme="minorHAnsi"/>
              </w:rPr>
              <w:t>PSA has informed the design</w:t>
            </w:r>
          </w:p>
          <w:p w:rsidR="007217B5" w:rsidRDefault="007217B5" w:rsidP="0005217B">
            <w:pPr>
              <w:pStyle w:val="TSBullet1Square"/>
              <w:numPr>
                <w:ilvl w:val="0"/>
                <w:numId w:val="35"/>
              </w:numPr>
              <w:rPr>
                <w:rFonts w:asciiTheme="minorHAnsi" w:hAnsiTheme="minorHAnsi"/>
              </w:rPr>
            </w:pPr>
            <w:r>
              <w:rPr>
                <w:rFonts w:asciiTheme="minorHAnsi" w:hAnsiTheme="minorHAnsi"/>
              </w:rPr>
              <w:t>independent PSA confirmatory modelling</w:t>
            </w:r>
          </w:p>
          <w:p w:rsidR="003C51FB" w:rsidRDefault="00B91D6A" w:rsidP="0005217B">
            <w:pPr>
              <w:pStyle w:val="TSBullet1Square"/>
              <w:numPr>
                <w:ilvl w:val="0"/>
                <w:numId w:val="35"/>
              </w:numPr>
              <w:rPr>
                <w:rFonts w:asciiTheme="minorHAnsi" w:hAnsiTheme="minorHAnsi"/>
              </w:rPr>
            </w:pPr>
            <w:r>
              <w:rPr>
                <w:rFonts w:asciiTheme="minorHAnsi" w:hAnsiTheme="minorHAnsi"/>
              </w:rPr>
              <w:t xml:space="preserve">review the </w:t>
            </w:r>
            <w:r w:rsidR="003C51FB">
              <w:rPr>
                <w:rFonts w:asciiTheme="minorHAnsi" w:hAnsiTheme="minorHAnsi"/>
              </w:rPr>
              <w:t>transient analysis that has been used to produce PSA success criteria</w:t>
            </w:r>
            <w:r>
              <w:rPr>
                <w:rFonts w:asciiTheme="minorHAnsi" w:hAnsiTheme="minorHAnsi"/>
              </w:rPr>
              <w:t xml:space="preserve"> </w:t>
            </w:r>
            <w:r>
              <w:rPr>
                <w:rFonts w:asciiTheme="minorHAnsi" w:hAnsiTheme="minorHAnsi"/>
              </w:rPr>
              <w:lastRenderedPageBreak/>
              <w:t xml:space="preserve">(however the success criteria used in the PSA models </w:t>
            </w:r>
            <w:r w:rsidR="007217B5">
              <w:rPr>
                <w:rFonts w:asciiTheme="minorHAnsi" w:hAnsiTheme="minorHAnsi"/>
              </w:rPr>
              <w:t>are</w:t>
            </w:r>
            <w:r>
              <w:rPr>
                <w:rFonts w:asciiTheme="minorHAnsi" w:hAnsiTheme="minorHAnsi"/>
              </w:rPr>
              <w:t xml:space="preserve"> not out of scope)</w:t>
            </w:r>
          </w:p>
          <w:p w:rsidR="00243762" w:rsidRPr="00243762" w:rsidRDefault="00243762" w:rsidP="00243762">
            <w:pPr>
              <w:pStyle w:val="TSNumberedParagraph11"/>
              <w:numPr>
                <w:ilvl w:val="0"/>
                <w:numId w:val="0"/>
              </w:numPr>
              <w:ind w:left="720"/>
              <w:rPr>
                <w:rFonts w:asciiTheme="minorHAnsi" w:hAnsiTheme="minorHAnsi" w:cstheme="minorHAnsi"/>
                <w:b/>
                <w:iCs/>
                <w:szCs w:val="22"/>
                <w:u w:val="single"/>
              </w:rPr>
            </w:pPr>
            <w:r>
              <w:rPr>
                <w:rFonts w:asciiTheme="minorHAnsi" w:hAnsiTheme="minorHAnsi" w:cstheme="minorHAnsi"/>
                <w:b/>
                <w:iCs/>
                <w:szCs w:val="22"/>
                <w:u w:val="single"/>
              </w:rPr>
              <w:t>WORK BREAKDOWN</w:t>
            </w:r>
          </w:p>
          <w:p w:rsidR="00243762" w:rsidRPr="001B2C16" w:rsidRDefault="00DF41DA" w:rsidP="001B2C16">
            <w:pPr>
              <w:pStyle w:val="TSNumberedParagraph11"/>
              <w:tabs>
                <w:tab w:val="clear" w:pos="-31680"/>
              </w:tabs>
              <w:rPr>
                <w:rFonts w:asciiTheme="minorHAnsi" w:hAnsiTheme="minorHAnsi"/>
              </w:rPr>
            </w:pPr>
            <w:r w:rsidRPr="001B2C16">
              <w:rPr>
                <w:rFonts w:asciiTheme="minorHAnsi" w:hAnsiTheme="minorHAnsi"/>
              </w:rPr>
              <w:t>The work will be completed in two phases over Steps 3 and 4 of GDA.</w:t>
            </w:r>
            <w:r w:rsidR="001B2C16">
              <w:rPr>
                <w:rFonts w:asciiTheme="minorHAnsi" w:hAnsiTheme="minorHAnsi"/>
              </w:rPr>
              <w:t xml:space="preserve"> </w:t>
            </w:r>
            <w:r w:rsidRPr="001B2C16">
              <w:rPr>
                <w:rFonts w:asciiTheme="minorHAnsi" w:hAnsiTheme="minorHAnsi"/>
              </w:rPr>
              <w:t xml:space="preserve">In Phase I, </w:t>
            </w:r>
            <w:r w:rsidR="0005217B" w:rsidRPr="001B2C16">
              <w:rPr>
                <w:rFonts w:asciiTheme="minorHAnsi" w:hAnsiTheme="minorHAnsi"/>
              </w:rPr>
              <w:t>t</w:t>
            </w:r>
            <w:r w:rsidR="00243762" w:rsidRPr="001B2C16">
              <w:rPr>
                <w:rFonts w:asciiTheme="minorHAnsi" w:hAnsiTheme="minorHAnsi"/>
              </w:rPr>
              <w:t>he contractor is required to:</w:t>
            </w:r>
          </w:p>
          <w:p w:rsidR="002C614D" w:rsidRPr="00BE3A37" w:rsidRDefault="002C614D" w:rsidP="0039459B">
            <w:pPr>
              <w:pStyle w:val="TSNumberedParagraph11"/>
              <w:numPr>
                <w:ilvl w:val="0"/>
                <w:numId w:val="35"/>
              </w:numPr>
              <w:jc w:val="both"/>
              <w:rPr>
                <w:rFonts w:asciiTheme="minorHAnsi" w:hAnsiTheme="minorHAnsi" w:cstheme="minorHAnsi"/>
                <w:iCs/>
                <w:szCs w:val="22"/>
              </w:rPr>
            </w:pPr>
            <w:r>
              <w:rPr>
                <w:rFonts w:asciiTheme="minorHAnsi" w:hAnsiTheme="minorHAnsi" w:cstheme="minorHAnsi"/>
                <w:iCs/>
                <w:szCs w:val="22"/>
              </w:rPr>
              <w:t xml:space="preserve">On a sampling basis, </w:t>
            </w:r>
            <w:r w:rsidR="0005217B">
              <w:rPr>
                <w:rFonts w:asciiTheme="minorHAnsi" w:hAnsiTheme="minorHAnsi" w:cstheme="minorHAnsi"/>
                <w:iCs/>
                <w:szCs w:val="22"/>
              </w:rPr>
              <w:t xml:space="preserve">perform a wide review of the submitted </w:t>
            </w:r>
            <w:r w:rsidR="008B04DB">
              <w:rPr>
                <w:rFonts w:asciiTheme="minorHAnsi" w:hAnsiTheme="minorHAnsi" w:cstheme="minorHAnsi"/>
                <w:iCs/>
                <w:szCs w:val="22"/>
              </w:rPr>
              <w:t>v</w:t>
            </w:r>
            <w:r w:rsidR="0005217B">
              <w:rPr>
                <w:rFonts w:asciiTheme="minorHAnsi" w:hAnsiTheme="minorHAnsi" w:cstheme="minorHAnsi"/>
                <w:iCs/>
                <w:szCs w:val="22"/>
              </w:rPr>
              <w:t xml:space="preserve">ersion 0 </w:t>
            </w:r>
            <w:r w:rsidR="00B91D6A">
              <w:rPr>
                <w:rFonts w:asciiTheme="minorHAnsi" w:hAnsiTheme="minorHAnsi" w:cstheme="minorHAnsi"/>
                <w:iCs/>
                <w:szCs w:val="22"/>
              </w:rPr>
              <w:t>PSA body of work</w:t>
            </w:r>
            <w:r>
              <w:rPr>
                <w:rFonts w:asciiTheme="minorHAnsi" w:hAnsiTheme="minorHAnsi" w:cstheme="minorHAnsi"/>
                <w:iCs/>
                <w:szCs w:val="22"/>
              </w:rPr>
              <w:t xml:space="preserve"> based on</w:t>
            </w:r>
            <w:r w:rsidRPr="00243762">
              <w:rPr>
                <w:rFonts w:asciiTheme="minorHAnsi" w:hAnsiTheme="minorHAnsi" w:cstheme="minorHAnsi"/>
                <w:iCs/>
                <w:szCs w:val="22"/>
              </w:rPr>
              <w:t xml:space="preserve"> the contractors own knowledge and experience</w:t>
            </w:r>
            <w:r w:rsidR="0005217B">
              <w:rPr>
                <w:rFonts w:asciiTheme="minorHAnsi" w:hAnsiTheme="minorHAnsi" w:cstheme="minorHAnsi"/>
                <w:iCs/>
                <w:szCs w:val="22"/>
              </w:rPr>
              <w:t>, and to provide advice to ONR on the adequacy of the selection of initiating events, methodologies and success criteria in all areas of the PSA</w:t>
            </w:r>
            <w:r w:rsidRPr="00243762">
              <w:rPr>
                <w:rFonts w:asciiTheme="minorHAnsi" w:hAnsiTheme="minorHAnsi" w:cstheme="minorHAnsi"/>
                <w:iCs/>
                <w:szCs w:val="22"/>
              </w:rPr>
              <w:t>. The purpose of the</w:t>
            </w:r>
            <w:r>
              <w:rPr>
                <w:rFonts w:asciiTheme="minorHAnsi" w:hAnsiTheme="minorHAnsi" w:cstheme="minorHAnsi"/>
                <w:iCs/>
                <w:szCs w:val="22"/>
              </w:rPr>
              <w:t xml:space="preserve"> review</w:t>
            </w:r>
            <w:r w:rsidRPr="00243762">
              <w:rPr>
                <w:rFonts w:asciiTheme="minorHAnsi" w:hAnsiTheme="minorHAnsi" w:cstheme="minorHAnsi"/>
                <w:iCs/>
                <w:szCs w:val="22"/>
              </w:rPr>
              <w:t xml:space="preserve"> </w:t>
            </w:r>
            <w:r>
              <w:rPr>
                <w:rFonts w:asciiTheme="minorHAnsi" w:hAnsiTheme="minorHAnsi" w:cstheme="minorHAnsi"/>
                <w:iCs/>
                <w:szCs w:val="22"/>
              </w:rPr>
              <w:t xml:space="preserve">is to assist ONR in making a judgement of the adequacy of the submissions </w:t>
            </w:r>
            <w:r w:rsidRPr="008A510C">
              <w:rPr>
                <w:rFonts w:asciiTheme="minorHAnsi" w:hAnsiTheme="minorHAnsi" w:cstheme="minorHAnsi"/>
              </w:rPr>
              <w:t>against relevant ONR and international standards and guidance</w:t>
            </w:r>
            <w:r>
              <w:rPr>
                <w:rFonts w:asciiTheme="minorHAnsi" w:hAnsiTheme="minorHAnsi" w:cstheme="minorHAnsi"/>
              </w:rPr>
              <w:t>, for example:</w:t>
            </w:r>
          </w:p>
          <w:p w:rsidR="003C51FB" w:rsidRPr="00BE3A37" w:rsidRDefault="003C51FB" w:rsidP="0005217B">
            <w:pPr>
              <w:pStyle w:val="TSNumberedParagraph11"/>
              <w:numPr>
                <w:ilvl w:val="0"/>
                <w:numId w:val="35"/>
              </w:numPr>
              <w:rPr>
                <w:rFonts w:asciiTheme="minorHAnsi" w:hAnsiTheme="minorHAnsi" w:cstheme="minorHAnsi"/>
                <w:iCs/>
                <w:szCs w:val="22"/>
              </w:rPr>
            </w:pPr>
            <w:r>
              <w:rPr>
                <w:rFonts w:asciiTheme="minorHAnsi" w:hAnsiTheme="minorHAnsi" w:cstheme="minorHAnsi"/>
              </w:rPr>
              <w:t>ONR NS-TAST-GD-030</w:t>
            </w:r>
          </w:p>
          <w:p w:rsidR="002C614D" w:rsidRPr="00BE3A37" w:rsidRDefault="002C614D" w:rsidP="0005217B">
            <w:pPr>
              <w:pStyle w:val="TSNumberedParagraph11"/>
              <w:numPr>
                <w:ilvl w:val="0"/>
                <w:numId w:val="35"/>
              </w:numPr>
              <w:rPr>
                <w:rFonts w:asciiTheme="minorHAnsi" w:hAnsiTheme="minorHAnsi" w:cstheme="minorHAnsi"/>
                <w:iCs/>
                <w:szCs w:val="22"/>
              </w:rPr>
            </w:pPr>
            <w:r>
              <w:rPr>
                <w:rFonts w:asciiTheme="minorHAnsi" w:hAnsiTheme="minorHAnsi" w:cstheme="minorHAnsi"/>
              </w:rPr>
              <w:t>ONR SAPs</w:t>
            </w:r>
          </w:p>
          <w:p w:rsidR="002C614D" w:rsidRPr="003C51FB" w:rsidRDefault="002C614D" w:rsidP="0005217B">
            <w:pPr>
              <w:pStyle w:val="TSNumberedParagraph11"/>
              <w:numPr>
                <w:ilvl w:val="0"/>
                <w:numId w:val="35"/>
              </w:numPr>
              <w:rPr>
                <w:rFonts w:asciiTheme="minorHAnsi" w:hAnsiTheme="minorHAnsi" w:cstheme="minorHAnsi"/>
                <w:iCs/>
                <w:szCs w:val="22"/>
              </w:rPr>
            </w:pPr>
            <w:r>
              <w:rPr>
                <w:rFonts w:asciiTheme="minorHAnsi" w:hAnsiTheme="minorHAnsi" w:cstheme="minorHAnsi"/>
              </w:rPr>
              <w:t>IAEA Specific Safety Guide, SSG-3</w:t>
            </w:r>
            <w:r w:rsidR="003C51FB">
              <w:rPr>
                <w:rFonts w:asciiTheme="minorHAnsi" w:hAnsiTheme="minorHAnsi" w:cstheme="minorHAnsi"/>
              </w:rPr>
              <w:t xml:space="preserve"> (2010)</w:t>
            </w:r>
          </w:p>
          <w:p w:rsidR="003C51FB" w:rsidRPr="00BE3A37" w:rsidRDefault="003C51FB" w:rsidP="0005217B">
            <w:pPr>
              <w:pStyle w:val="TSNumberedParagraph11"/>
              <w:numPr>
                <w:ilvl w:val="0"/>
                <w:numId w:val="35"/>
              </w:numPr>
              <w:rPr>
                <w:rFonts w:asciiTheme="minorHAnsi" w:hAnsiTheme="minorHAnsi" w:cstheme="minorHAnsi"/>
                <w:iCs/>
                <w:szCs w:val="22"/>
              </w:rPr>
            </w:pPr>
            <w:r>
              <w:rPr>
                <w:rFonts w:asciiTheme="minorHAnsi" w:hAnsiTheme="minorHAnsi" w:cstheme="minorHAnsi"/>
              </w:rPr>
              <w:t>IAEA Specific Safety Guide, SSG-4 (2010)</w:t>
            </w:r>
          </w:p>
          <w:p w:rsidR="002C614D" w:rsidRDefault="002C614D" w:rsidP="0005217B">
            <w:pPr>
              <w:pStyle w:val="TSNumberedParagraph11"/>
              <w:numPr>
                <w:ilvl w:val="0"/>
                <w:numId w:val="35"/>
              </w:numPr>
              <w:rPr>
                <w:rFonts w:asciiTheme="minorHAnsi" w:hAnsiTheme="minorHAnsi" w:cstheme="minorHAnsi"/>
                <w:iCs/>
                <w:szCs w:val="22"/>
              </w:rPr>
            </w:pPr>
            <w:r>
              <w:rPr>
                <w:rFonts w:asciiTheme="minorHAnsi" w:hAnsiTheme="minorHAnsi" w:cstheme="minorHAnsi"/>
              </w:rPr>
              <w:t>IAEA TECDOC 1511, etc.</w:t>
            </w:r>
          </w:p>
          <w:p w:rsidR="009F1070" w:rsidRDefault="00B91D6A" w:rsidP="0005217B">
            <w:pPr>
              <w:pStyle w:val="TSNumberedParagraph11"/>
              <w:numPr>
                <w:ilvl w:val="0"/>
                <w:numId w:val="35"/>
              </w:numPr>
              <w:rPr>
                <w:rFonts w:asciiTheme="minorHAnsi" w:hAnsiTheme="minorHAnsi" w:cstheme="minorHAnsi"/>
                <w:iCs/>
                <w:szCs w:val="22"/>
              </w:rPr>
            </w:pPr>
            <w:r>
              <w:rPr>
                <w:rFonts w:asciiTheme="minorHAnsi" w:hAnsiTheme="minorHAnsi" w:cstheme="minorHAnsi"/>
                <w:iCs/>
                <w:szCs w:val="22"/>
              </w:rPr>
              <w:t>Participate in meetings as described below.</w:t>
            </w:r>
          </w:p>
          <w:p w:rsidR="00243762" w:rsidRDefault="00243762" w:rsidP="0005217B">
            <w:pPr>
              <w:pStyle w:val="TSNumberedParagraph11"/>
              <w:numPr>
                <w:ilvl w:val="0"/>
                <w:numId w:val="35"/>
              </w:numPr>
              <w:rPr>
                <w:rFonts w:asciiTheme="minorHAnsi" w:hAnsiTheme="minorHAnsi" w:cstheme="minorHAnsi"/>
                <w:iCs/>
                <w:szCs w:val="22"/>
              </w:rPr>
            </w:pPr>
            <w:r w:rsidRPr="00A1103A">
              <w:rPr>
                <w:rFonts w:asciiTheme="minorHAnsi" w:hAnsiTheme="minorHAnsi" w:cstheme="minorHAnsi"/>
                <w:iCs/>
                <w:szCs w:val="22"/>
              </w:rPr>
              <w:t>Raise requests</w:t>
            </w:r>
            <w:r w:rsidR="00664F8E">
              <w:rPr>
                <w:rFonts w:asciiTheme="minorHAnsi" w:hAnsiTheme="minorHAnsi" w:cstheme="minorHAnsi"/>
                <w:iCs/>
                <w:szCs w:val="22"/>
              </w:rPr>
              <w:t xml:space="preserve"> </w:t>
            </w:r>
            <w:r w:rsidRPr="00A1103A">
              <w:rPr>
                <w:rFonts w:asciiTheme="minorHAnsi" w:hAnsiTheme="minorHAnsi" w:cstheme="minorHAnsi"/>
                <w:iCs/>
                <w:szCs w:val="22"/>
              </w:rPr>
              <w:t>for additional information and documentation from the RP (via ONR), and review the responses.</w:t>
            </w:r>
            <w:r w:rsidR="002D1BA5">
              <w:rPr>
                <w:rFonts w:asciiTheme="minorHAnsi" w:hAnsiTheme="minorHAnsi" w:cstheme="minorHAnsi"/>
                <w:iCs/>
                <w:szCs w:val="22"/>
              </w:rPr>
              <w:t xml:space="preserve"> Assume a minimum of 6 weeks for a response from the RP to any requests for additional information.</w:t>
            </w:r>
          </w:p>
          <w:p w:rsidR="0005217B" w:rsidRPr="001B2C16" w:rsidRDefault="0005217B" w:rsidP="001B2C16">
            <w:pPr>
              <w:pStyle w:val="TSNumberedParagraph11"/>
              <w:rPr>
                <w:rFonts w:asciiTheme="minorHAnsi" w:hAnsiTheme="minorHAnsi"/>
              </w:rPr>
            </w:pPr>
            <w:r w:rsidRPr="001B2C16">
              <w:rPr>
                <w:rFonts w:asciiTheme="minorHAnsi" w:hAnsiTheme="minorHAnsi"/>
              </w:rPr>
              <w:t>In Phase 2, the contractor is required to:</w:t>
            </w:r>
          </w:p>
          <w:p w:rsidR="0005217B" w:rsidRDefault="0005217B" w:rsidP="0039459B">
            <w:pPr>
              <w:pStyle w:val="TSNumberedParagraph11"/>
              <w:numPr>
                <w:ilvl w:val="0"/>
                <w:numId w:val="35"/>
              </w:numPr>
              <w:jc w:val="both"/>
              <w:rPr>
                <w:rFonts w:asciiTheme="minorHAnsi" w:hAnsiTheme="minorHAnsi" w:cstheme="minorHAnsi"/>
                <w:iCs/>
                <w:szCs w:val="22"/>
              </w:rPr>
            </w:pPr>
            <w:r>
              <w:rPr>
                <w:rFonts w:asciiTheme="minorHAnsi" w:hAnsiTheme="minorHAnsi"/>
              </w:rPr>
              <w:t xml:space="preserve">Perform deep review of </w:t>
            </w:r>
            <w:r w:rsidR="00102176">
              <w:rPr>
                <w:rFonts w:asciiTheme="minorHAnsi" w:hAnsiTheme="minorHAnsi"/>
              </w:rPr>
              <w:t>the outlined</w:t>
            </w:r>
            <w:r>
              <w:rPr>
                <w:rFonts w:asciiTheme="minorHAnsi" w:hAnsiTheme="minorHAnsi"/>
              </w:rPr>
              <w:t xml:space="preserve"> sections of the </w:t>
            </w:r>
            <w:r w:rsidR="008B04DB">
              <w:rPr>
                <w:rFonts w:asciiTheme="minorHAnsi" w:hAnsiTheme="minorHAnsi"/>
              </w:rPr>
              <w:t>v</w:t>
            </w:r>
            <w:r>
              <w:rPr>
                <w:rFonts w:asciiTheme="minorHAnsi" w:hAnsiTheme="minorHAnsi"/>
              </w:rPr>
              <w:t>ersion 1 of the PSA</w:t>
            </w:r>
            <w:r w:rsidR="00102176">
              <w:rPr>
                <w:rFonts w:asciiTheme="minorHAnsi" w:hAnsiTheme="minorHAnsi"/>
              </w:rPr>
              <w:t xml:space="preserve"> as described above</w:t>
            </w:r>
            <w:r>
              <w:rPr>
                <w:rFonts w:asciiTheme="minorHAnsi" w:hAnsiTheme="minorHAnsi"/>
              </w:rPr>
              <w:t>.</w:t>
            </w:r>
            <w:r w:rsidR="00102176">
              <w:rPr>
                <w:rFonts w:asciiTheme="minorHAnsi" w:hAnsiTheme="minorHAnsi"/>
              </w:rPr>
              <w:t xml:space="preserve"> The selection of which areas </w:t>
            </w:r>
            <w:r w:rsidR="002D145C">
              <w:rPr>
                <w:rFonts w:asciiTheme="minorHAnsi" w:hAnsiTheme="minorHAnsi"/>
              </w:rPr>
              <w:t>to be</w:t>
            </w:r>
            <w:r w:rsidR="00102176">
              <w:rPr>
                <w:rFonts w:asciiTheme="minorHAnsi" w:hAnsiTheme="minorHAnsi"/>
              </w:rPr>
              <w:t xml:space="preserve"> reviewed </w:t>
            </w:r>
            <w:r>
              <w:rPr>
                <w:rFonts w:asciiTheme="minorHAnsi" w:hAnsiTheme="minorHAnsi"/>
              </w:rPr>
              <w:t xml:space="preserve">will be </w:t>
            </w:r>
            <w:r w:rsidR="002D145C">
              <w:rPr>
                <w:rFonts w:asciiTheme="minorHAnsi" w:hAnsiTheme="minorHAnsi"/>
              </w:rPr>
              <w:t>decided via agreement between the ONR PSA inspector and the contractor. The findings of the</w:t>
            </w:r>
            <w:r>
              <w:rPr>
                <w:rFonts w:asciiTheme="minorHAnsi" w:hAnsiTheme="minorHAnsi"/>
              </w:rPr>
              <w:t xml:space="preserve"> Phase 1</w:t>
            </w:r>
            <w:r w:rsidR="002D145C">
              <w:rPr>
                <w:rFonts w:asciiTheme="minorHAnsi" w:hAnsiTheme="minorHAnsi"/>
              </w:rPr>
              <w:t xml:space="preserve"> final report will be used as input into the selection decision.</w:t>
            </w:r>
            <w:r>
              <w:rPr>
                <w:rFonts w:asciiTheme="minorHAnsi" w:hAnsiTheme="minorHAnsi"/>
              </w:rPr>
              <w:t xml:space="preserve"> </w:t>
            </w:r>
            <w:r w:rsidRPr="00243762">
              <w:rPr>
                <w:rFonts w:asciiTheme="minorHAnsi" w:hAnsiTheme="minorHAnsi" w:cstheme="minorHAnsi"/>
                <w:iCs/>
                <w:szCs w:val="22"/>
              </w:rPr>
              <w:t>The purpose of the</w:t>
            </w:r>
            <w:r>
              <w:rPr>
                <w:rFonts w:asciiTheme="minorHAnsi" w:hAnsiTheme="minorHAnsi" w:cstheme="minorHAnsi"/>
                <w:iCs/>
                <w:szCs w:val="22"/>
              </w:rPr>
              <w:t xml:space="preserve"> </w:t>
            </w:r>
            <w:r w:rsidR="002D145C">
              <w:rPr>
                <w:rFonts w:asciiTheme="minorHAnsi" w:hAnsiTheme="minorHAnsi" w:cstheme="minorHAnsi"/>
                <w:iCs/>
                <w:szCs w:val="22"/>
              </w:rPr>
              <w:t xml:space="preserve">Phase 2 </w:t>
            </w:r>
            <w:r>
              <w:rPr>
                <w:rFonts w:asciiTheme="minorHAnsi" w:hAnsiTheme="minorHAnsi" w:cstheme="minorHAnsi"/>
                <w:iCs/>
                <w:szCs w:val="22"/>
              </w:rPr>
              <w:t>review</w:t>
            </w:r>
            <w:r w:rsidRPr="00243762">
              <w:rPr>
                <w:rFonts w:asciiTheme="minorHAnsi" w:hAnsiTheme="minorHAnsi" w:cstheme="minorHAnsi"/>
                <w:iCs/>
                <w:szCs w:val="22"/>
              </w:rPr>
              <w:t xml:space="preserve"> </w:t>
            </w:r>
            <w:r>
              <w:rPr>
                <w:rFonts w:asciiTheme="minorHAnsi" w:hAnsiTheme="minorHAnsi" w:cstheme="minorHAnsi"/>
                <w:iCs/>
                <w:szCs w:val="22"/>
              </w:rPr>
              <w:t xml:space="preserve">is to assist ONR in making a judgement of the adequacy of the submissions </w:t>
            </w:r>
            <w:r w:rsidRPr="008A510C">
              <w:rPr>
                <w:rFonts w:asciiTheme="minorHAnsi" w:hAnsiTheme="minorHAnsi" w:cstheme="minorHAnsi"/>
              </w:rPr>
              <w:t>against relevant ONR and international standards and guidance</w:t>
            </w:r>
            <w:r>
              <w:rPr>
                <w:rFonts w:asciiTheme="minorHAnsi" w:hAnsiTheme="minorHAnsi" w:cstheme="minorHAnsi"/>
              </w:rPr>
              <w:t xml:space="preserve">, </w:t>
            </w:r>
            <w:r w:rsidR="002D145C">
              <w:rPr>
                <w:rFonts w:asciiTheme="minorHAnsi" w:hAnsiTheme="minorHAnsi" w:cstheme="minorHAnsi"/>
              </w:rPr>
              <w:t>as outlined above.</w:t>
            </w:r>
          </w:p>
          <w:p w:rsidR="0005217B" w:rsidRDefault="0005217B" w:rsidP="0005217B">
            <w:pPr>
              <w:pStyle w:val="TSNumberedParagraph11"/>
              <w:numPr>
                <w:ilvl w:val="0"/>
                <w:numId w:val="35"/>
              </w:numPr>
              <w:rPr>
                <w:rFonts w:asciiTheme="minorHAnsi" w:hAnsiTheme="minorHAnsi" w:cstheme="minorHAnsi"/>
                <w:iCs/>
                <w:szCs w:val="22"/>
              </w:rPr>
            </w:pPr>
            <w:r>
              <w:rPr>
                <w:rFonts w:asciiTheme="minorHAnsi" w:hAnsiTheme="minorHAnsi" w:cstheme="minorHAnsi"/>
                <w:iCs/>
                <w:szCs w:val="22"/>
              </w:rPr>
              <w:t>Participate in meetings as described below.</w:t>
            </w:r>
          </w:p>
          <w:p w:rsidR="0005217B" w:rsidRPr="0005217B" w:rsidRDefault="0005217B" w:rsidP="0039459B">
            <w:pPr>
              <w:pStyle w:val="TSNumberedParagraph11"/>
              <w:numPr>
                <w:ilvl w:val="0"/>
                <w:numId w:val="35"/>
              </w:numPr>
              <w:jc w:val="both"/>
              <w:rPr>
                <w:rFonts w:asciiTheme="minorHAnsi" w:hAnsiTheme="minorHAnsi" w:cstheme="minorHAnsi"/>
                <w:iCs/>
                <w:szCs w:val="22"/>
              </w:rPr>
            </w:pPr>
            <w:r w:rsidRPr="00A1103A">
              <w:rPr>
                <w:rFonts w:asciiTheme="minorHAnsi" w:hAnsiTheme="minorHAnsi" w:cstheme="minorHAnsi"/>
                <w:iCs/>
                <w:szCs w:val="22"/>
              </w:rPr>
              <w:t>Raise requests for additional information and documentation from the RP (via ONR), and review the responses.</w:t>
            </w:r>
            <w:r w:rsidR="002D1BA5">
              <w:t xml:space="preserve"> </w:t>
            </w:r>
            <w:r w:rsidR="002D1BA5" w:rsidRPr="002D1BA5">
              <w:rPr>
                <w:rFonts w:asciiTheme="minorHAnsi" w:hAnsiTheme="minorHAnsi" w:cstheme="minorHAnsi"/>
                <w:iCs/>
                <w:szCs w:val="22"/>
              </w:rPr>
              <w:t>Assume a minimum of 6 weeks for a response from the RP to any requests for additional information.</w:t>
            </w:r>
          </w:p>
          <w:p w:rsidR="00243762" w:rsidRPr="0096545C" w:rsidRDefault="0096545C" w:rsidP="0096545C">
            <w:pPr>
              <w:pStyle w:val="TSNumberedParagraph11"/>
              <w:numPr>
                <w:ilvl w:val="0"/>
                <w:numId w:val="0"/>
              </w:numPr>
              <w:ind w:left="720"/>
              <w:rPr>
                <w:rFonts w:asciiTheme="minorHAnsi" w:hAnsiTheme="minorHAnsi" w:cstheme="minorHAnsi"/>
                <w:b/>
                <w:iCs/>
                <w:szCs w:val="22"/>
                <w:u w:val="single"/>
              </w:rPr>
            </w:pPr>
            <w:r w:rsidRPr="0096545C">
              <w:rPr>
                <w:rFonts w:asciiTheme="minorHAnsi" w:hAnsiTheme="minorHAnsi" w:cstheme="minorHAnsi"/>
                <w:b/>
                <w:iCs/>
                <w:szCs w:val="22"/>
                <w:u w:val="single"/>
              </w:rPr>
              <w:t>INPUTS</w:t>
            </w:r>
          </w:p>
          <w:p w:rsidR="00243762" w:rsidRDefault="00243762" w:rsidP="0039459B">
            <w:pPr>
              <w:pStyle w:val="TSNumberedParagraph11"/>
              <w:numPr>
                <w:ilvl w:val="0"/>
                <w:numId w:val="35"/>
              </w:numPr>
              <w:jc w:val="both"/>
              <w:rPr>
                <w:rFonts w:asciiTheme="minorHAnsi" w:hAnsiTheme="minorHAnsi" w:cstheme="minorHAnsi"/>
                <w:iCs/>
                <w:szCs w:val="22"/>
              </w:rPr>
            </w:pPr>
            <w:r w:rsidRPr="00243762">
              <w:rPr>
                <w:rFonts w:asciiTheme="minorHAnsi" w:hAnsiTheme="minorHAnsi" w:cstheme="minorHAnsi"/>
                <w:iCs/>
                <w:szCs w:val="22"/>
              </w:rPr>
              <w:t>The documentation will be available to the contractor</w:t>
            </w:r>
            <w:r w:rsidR="00BE3A37">
              <w:rPr>
                <w:rFonts w:asciiTheme="minorHAnsi" w:hAnsiTheme="minorHAnsi" w:cstheme="minorHAnsi"/>
                <w:iCs/>
                <w:szCs w:val="22"/>
              </w:rPr>
              <w:t xml:space="preserve"> in electronic format. The reports are</w:t>
            </w:r>
            <w:r w:rsidR="00C91551">
              <w:rPr>
                <w:rFonts w:asciiTheme="minorHAnsi" w:hAnsiTheme="minorHAnsi" w:cstheme="minorHAnsi"/>
                <w:iCs/>
                <w:szCs w:val="22"/>
              </w:rPr>
              <w:t xml:space="preserve"> in</w:t>
            </w:r>
            <w:r w:rsidR="00BE3A37">
              <w:rPr>
                <w:rFonts w:asciiTheme="minorHAnsi" w:hAnsiTheme="minorHAnsi" w:cstheme="minorHAnsi"/>
                <w:iCs/>
                <w:szCs w:val="22"/>
              </w:rPr>
              <w:t xml:space="preserve"> .pdf</w:t>
            </w:r>
            <w:r w:rsidR="00C91551">
              <w:rPr>
                <w:rFonts w:asciiTheme="minorHAnsi" w:hAnsiTheme="minorHAnsi" w:cstheme="minorHAnsi"/>
                <w:iCs/>
                <w:szCs w:val="22"/>
              </w:rPr>
              <w:t xml:space="preserve"> format</w:t>
            </w:r>
            <w:r w:rsidR="00BE3A37">
              <w:rPr>
                <w:rFonts w:asciiTheme="minorHAnsi" w:hAnsiTheme="minorHAnsi" w:cstheme="minorHAnsi"/>
                <w:iCs/>
                <w:szCs w:val="22"/>
              </w:rPr>
              <w:t xml:space="preserve"> and the PSA models are Risk Spectrum</w:t>
            </w:r>
            <w:r w:rsidR="00560486">
              <w:rPr>
                <w:rFonts w:asciiTheme="minorHAnsi" w:hAnsiTheme="minorHAnsi" w:cstheme="minorHAnsi"/>
                <w:iCs/>
                <w:szCs w:val="22"/>
              </w:rPr>
              <w:t xml:space="preserve"> files. In addition, some parts of the PCSR will be </w:t>
            </w:r>
            <w:r w:rsidR="002C614D">
              <w:rPr>
                <w:rFonts w:asciiTheme="minorHAnsi" w:hAnsiTheme="minorHAnsi" w:cstheme="minorHAnsi"/>
                <w:iCs/>
                <w:szCs w:val="22"/>
              </w:rPr>
              <w:t>supplied</w:t>
            </w:r>
            <w:r w:rsidR="00560486">
              <w:rPr>
                <w:rFonts w:asciiTheme="minorHAnsi" w:hAnsiTheme="minorHAnsi" w:cstheme="minorHAnsi"/>
                <w:iCs/>
                <w:szCs w:val="22"/>
              </w:rPr>
              <w:t xml:space="preserve"> if necessary, but the </w:t>
            </w:r>
            <w:r w:rsidR="002D1BA5">
              <w:rPr>
                <w:rFonts w:asciiTheme="minorHAnsi" w:hAnsiTheme="minorHAnsi" w:cstheme="minorHAnsi"/>
                <w:iCs/>
                <w:szCs w:val="22"/>
              </w:rPr>
              <w:t xml:space="preserve">PSA </w:t>
            </w:r>
            <w:r w:rsidR="00560486">
              <w:rPr>
                <w:rFonts w:asciiTheme="minorHAnsi" w:hAnsiTheme="minorHAnsi" w:cstheme="minorHAnsi"/>
                <w:iCs/>
                <w:szCs w:val="22"/>
              </w:rPr>
              <w:t>documentation is considered self –sufficient for this contract</w:t>
            </w:r>
            <w:r w:rsidR="002D1BA5">
              <w:rPr>
                <w:rFonts w:asciiTheme="minorHAnsi" w:hAnsiTheme="minorHAnsi" w:cstheme="minorHAnsi"/>
                <w:iCs/>
                <w:szCs w:val="22"/>
              </w:rPr>
              <w:t>.</w:t>
            </w:r>
          </w:p>
          <w:p w:rsidR="002C614D" w:rsidRPr="00671F36" w:rsidRDefault="002C614D" w:rsidP="002C614D">
            <w:pPr>
              <w:pStyle w:val="TSNumberedParagraph11"/>
              <w:numPr>
                <w:ilvl w:val="0"/>
                <w:numId w:val="0"/>
              </w:numPr>
              <w:ind w:left="720"/>
              <w:rPr>
                <w:rFonts w:asciiTheme="minorHAnsi" w:hAnsiTheme="minorHAnsi"/>
                <w:b/>
                <w:u w:val="single"/>
              </w:rPr>
            </w:pPr>
            <w:r w:rsidRPr="00671F36">
              <w:rPr>
                <w:rFonts w:asciiTheme="minorHAnsi" w:hAnsiTheme="minorHAnsi"/>
                <w:b/>
                <w:u w:val="single"/>
              </w:rPr>
              <w:t>DELIVERABLES</w:t>
            </w:r>
          </w:p>
          <w:p w:rsidR="00C605B1" w:rsidRDefault="00C605B1" w:rsidP="0039459B">
            <w:pPr>
              <w:pStyle w:val="TSNumberedParagraph11"/>
              <w:numPr>
                <w:ilvl w:val="0"/>
                <w:numId w:val="35"/>
              </w:numPr>
              <w:jc w:val="both"/>
              <w:rPr>
                <w:rFonts w:asciiTheme="minorHAnsi" w:hAnsiTheme="minorHAnsi"/>
              </w:rPr>
            </w:pPr>
            <w:r>
              <w:rPr>
                <w:rFonts w:asciiTheme="minorHAnsi" w:hAnsiTheme="minorHAnsi"/>
              </w:rPr>
              <w:t xml:space="preserve">Along with the standard monthly progress reports required to show the work </w:t>
            </w:r>
            <w:r>
              <w:rPr>
                <w:rFonts w:asciiTheme="minorHAnsi" w:hAnsiTheme="minorHAnsi"/>
              </w:rPr>
              <w:lastRenderedPageBreak/>
              <w:t>progress each month, a monthly update of the PSA findings log. This should be discussed during the monthly progress meetings. The findings log should be a live document that is regularly updated and records all findings that the contractor observes. The PSA inspector will use this information during monthly meetings with the RP.</w:t>
            </w:r>
          </w:p>
          <w:p w:rsidR="002D145C" w:rsidRDefault="00CC3F9A" w:rsidP="0039459B">
            <w:pPr>
              <w:pStyle w:val="TSNumberedParagraph11"/>
              <w:numPr>
                <w:ilvl w:val="0"/>
                <w:numId w:val="35"/>
              </w:numPr>
              <w:jc w:val="both"/>
              <w:rPr>
                <w:rFonts w:asciiTheme="minorHAnsi" w:hAnsiTheme="minorHAnsi"/>
              </w:rPr>
            </w:pPr>
            <w:r>
              <w:rPr>
                <w:rFonts w:asciiTheme="minorHAnsi" w:hAnsiTheme="minorHAnsi"/>
              </w:rPr>
              <w:t>A summary</w:t>
            </w:r>
            <w:r w:rsidR="002D145C">
              <w:rPr>
                <w:rFonts w:asciiTheme="minorHAnsi" w:hAnsiTheme="minorHAnsi"/>
              </w:rPr>
              <w:t xml:space="preserve"> workshop</w:t>
            </w:r>
            <w:r>
              <w:rPr>
                <w:rFonts w:asciiTheme="minorHAnsi" w:hAnsiTheme="minorHAnsi"/>
              </w:rPr>
              <w:t xml:space="preserve"> </w:t>
            </w:r>
            <w:r w:rsidR="002D145C">
              <w:rPr>
                <w:rFonts w:asciiTheme="minorHAnsi" w:hAnsiTheme="minorHAnsi"/>
              </w:rPr>
              <w:t xml:space="preserve">of one day </w:t>
            </w:r>
            <w:r>
              <w:rPr>
                <w:rFonts w:asciiTheme="minorHAnsi" w:hAnsiTheme="minorHAnsi"/>
              </w:rPr>
              <w:t xml:space="preserve">to discuss the preliminary findings of the shortfalls and key findings </w:t>
            </w:r>
            <w:r w:rsidR="002D145C">
              <w:rPr>
                <w:rFonts w:asciiTheme="minorHAnsi" w:hAnsiTheme="minorHAnsi"/>
              </w:rPr>
              <w:t xml:space="preserve">for Phase 1 </w:t>
            </w:r>
            <w:r>
              <w:rPr>
                <w:rFonts w:asciiTheme="minorHAnsi" w:hAnsiTheme="minorHAnsi"/>
              </w:rPr>
              <w:t xml:space="preserve">will be required by the end of </w:t>
            </w:r>
            <w:r w:rsidR="002F52E8">
              <w:rPr>
                <w:rFonts w:asciiTheme="minorHAnsi" w:hAnsiTheme="minorHAnsi"/>
              </w:rPr>
              <w:t>July</w:t>
            </w:r>
            <w:r w:rsidR="002D145C">
              <w:rPr>
                <w:rFonts w:asciiTheme="minorHAnsi" w:hAnsiTheme="minorHAnsi"/>
              </w:rPr>
              <w:t xml:space="preserve">, 2019. The findings presented </w:t>
            </w:r>
            <w:r>
              <w:rPr>
                <w:rFonts w:asciiTheme="minorHAnsi" w:hAnsiTheme="minorHAnsi"/>
              </w:rPr>
              <w:t>will be used as input in the PSA inspector’s</w:t>
            </w:r>
            <w:r w:rsidR="002D145C">
              <w:rPr>
                <w:rFonts w:asciiTheme="minorHAnsi" w:hAnsiTheme="minorHAnsi"/>
              </w:rPr>
              <w:t xml:space="preserve"> Step 3</w:t>
            </w:r>
            <w:r>
              <w:rPr>
                <w:rFonts w:asciiTheme="minorHAnsi" w:hAnsiTheme="minorHAnsi"/>
              </w:rPr>
              <w:t xml:space="preserve"> summary report for the end of Step 3.</w:t>
            </w:r>
          </w:p>
          <w:p w:rsidR="00CC3F9A" w:rsidRDefault="002D145C" w:rsidP="0039459B">
            <w:pPr>
              <w:pStyle w:val="TSNumberedParagraph11"/>
              <w:numPr>
                <w:ilvl w:val="0"/>
                <w:numId w:val="35"/>
              </w:numPr>
              <w:jc w:val="both"/>
              <w:rPr>
                <w:rFonts w:asciiTheme="minorHAnsi" w:hAnsiTheme="minorHAnsi"/>
              </w:rPr>
            </w:pPr>
            <w:r>
              <w:rPr>
                <w:rFonts w:asciiTheme="minorHAnsi" w:hAnsiTheme="minorHAnsi"/>
              </w:rPr>
              <w:t xml:space="preserve">A summary workshop of two days to discuss the preliminary findings of the shortfalls and key findings for Phase </w:t>
            </w:r>
            <w:r w:rsidR="00664F8E">
              <w:rPr>
                <w:rFonts w:asciiTheme="minorHAnsi" w:hAnsiTheme="minorHAnsi"/>
              </w:rPr>
              <w:t>2</w:t>
            </w:r>
            <w:r>
              <w:rPr>
                <w:rFonts w:asciiTheme="minorHAnsi" w:hAnsiTheme="minorHAnsi"/>
              </w:rPr>
              <w:t xml:space="preserve"> will be required by the end of </w:t>
            </w:r>
            <w:r w:rsidR="002F52E8">
              <w:rPr>
                <w:rFonts w:asciiTheme="minorHAnsi" w:hAnsiTheme="minorHAnsi"/>
              </w:rPr>
              <w:t>April</w:t>
            </w:r>
            <w:r>
              <w:rPr>
                <w:rFonts w:asciiTheme="minorHAnsi" w:hAnsiTheme="minorHAnsi"/>
              </w:rPr>
              <w:t xml:space="preserve">, 2021. The findings presented will be used as input in the PSA inspector’s Step 4 </w:t>
            </w:r>
            <w:r w:rsidR="00547FD5">
              <w:rPr>
                <w:rFonts w:asciiTheme="minorHAnsi" w:hAnsiTheme="minorHAnsi"/>
              </w:rPr>
              <w:t xml:space="preserve">assessment </w:t>
            </w:r>
            <w:r>
              <w:rPr>
                <w:rFonts w:asciiTheme="minorHAnsi" w:hAnsiTheme="minorHAnsi"/>
              </w:rPr>
              <w:t>report.</w:t>
            </w:r>
          </w:p>
          <w:p w:rsidR="002C614D" w:rsidRPr="00A1103A" w:rsidRDefault="002C614D" w:rsidP="0039459B">
            <w:pPr>
              <w:pStyle w:val="TSNumberedParagraph11"/>
              <w:numPr>
                <w:ilvl w:val="0"/>
                <w:numId w:val="35"/>
              </w:numPr>
              <w:jc w:val="both"/>
              <w:rPr>
                <w:rFonts w:asciiTheme="minorHAnsi" w:hAnsiTheme="minorHAnsi"/>
              </w:rPr>
            </w:pPr>
            <w:r w:rsidRPr="00A1103A">
              <w:rPr>
                <w:rFonts w:asciiTheme="minorHAnsi" w:hAnsiTheme="minorHAnsi"/>
              </w:rPr>
              <w:t xml:space="preserve">A </w:t>
            </w:r>
            <w:r>
              <w:rPr>
                <w:rFonts w:asciiTheme="minorHAnsi" w:hAnsiTheme="minorHAnsi"/>
              </w:rPr>
              <w:t>formal</w:t>
            </w:r>
            <w:r w:rsidRPr="00A1103A">
              <w:rPr>
                <w:rFonts w:asciiTheme="minorHAnsi" w:hAnsiTheme="minorHAnsi"/>
              </w:rPr>
              <w:t xml:space="preserve"> report summarising the key findings from revie</w:t>
            </w:r>
            <w:r w:rsidR="00AD171E">
              <w:rPr>
                <w:rFonts w:asciiTheme="minorHAnsi" w:hAnsiTheme="minorHAnsi"/>
              </w:rPr>
              <w:t>w of all of the PSA submissions</w:t>
            </w:r>
            <w:r w:rsidRPr="00A1103A">
              <w:rPr>
                <w:rFonts w:asciiTheme="minorHAnsi" w:hAnsiTheme="minorHAnsi"/>
              </w:rPr>
              <w:t xml:space="preserve"> will be required</w:t>
            </w:r>
            <w:r w:rsidR="00D27AC0">
              <w:rPr>
                <w:rFonts w:asciiTheme="minorHAnsi" w:hAnsiTheme="minorHAnsi"/>
              </w:rPr>
              <w:t xml:space="preserve"> at the end of each phase of work</w:t>
            </w:r>
            <w:r w:rsidRPr="00A1103A">
              <w:rPr>
                <w:rFonts w:asciiTheme="minorHAnsi" w:hAnsiTheme="minorHAnsi"/>
              </w:rPr>
              <w:t xml:space="preserve">.  </w:t>
            </w:r>
            <w:r w:rsidR="00D27AC0">
              <w:rPr>
                <w:rFonts w:asciiTheme="minorHAnsi" w:hAnsiTheme="minorHAnsi"/>
              </w:rPr>
              <w:t>The</w:t>
            </w:r>
            <w:r>
              <w:rPr>
                <w:rFonts w:asciiTheme="minorHAnsi" w:hAnsiTheme="minorHAnsi"/>
              </w:rPr>
              <w:t xml:space="preserve"> report </w:t>
            </w:r>
            <w:r w:rsidR="00D27AC0">
              <w:rPr>
                <w:rFonts w:asciiTheme="minorHAnsi" w:hAnsiTheme="minorHAnsi"/>
              </w:rPr>
              <w:t xml:space="preserve">for phase 1 </w:t>
            </w:r>
            <w:r>
              <w:rPr>
                <w:rFonts w:asciiTheme="minorHAnsi" w:hAnsiTheme="minorHAnsi"/>
              </w:rPr>
              <w:t xml:space="preserve">will be used as input to </w:t>
            </w:r>
            <w:r w:rsidR="00102176">
              <w:rPr>
                <w:rFonts w:asciiTheme="minorHAnsi" w:hAnsiTheme="minorHAnsi"/>
              </w:rPr>
              <w:t>selecting those areas to perform deep review during phase 2</w:t>
            </w:r>
            <w:r>
              <w:rPr>
                <w:rFonts w:asciiTheme="minorHAnsi" w:hAnsiTheme="minorHAnsi"/>
              </w:rPr>
              <w:t xml:space="preserve">.  </w:t>
            </w:r>
            <w:r w:rsidR="00D27AC0">
              <w:rPr>
                <w:rFonts w:asciiTheme="minorHAnsi" w:hAnsiTheme="minorHAnsi"/>
              </w:rPr>
              <w:t>The report for phase 2 will be used as input to the PSA inspector’s Step 4 assessment report.</w:t>
            </w:r>
            <w:r w:rsidR="00102176">
              <w:rPr>
                <w:rFonts w:asciiTheme="minorHAnsi" w:hAnsiTheme="minorHAnsi"/>
              </w:rPr>
              <w:t xml:space="preserve"> </w:t>
            </w:r>
            <w:r w:rsidR="00C605B1">
              <w:rPr>
                <w:rFonts w:asciiTheme="minorHAnsi" w:hAnsiTheme="minorHAnsi"/>
              </w:rPr>
              <w:t>The Phase 2 report will also require a risk gap assessment included to provide</w:t>
            </w:r>
            <w:r w:rsidR="00051CB6">
              <w:rPr>
                <w:rFonts w:asciiTheme="minorHAnsi" w:hAnsiTheme="minorHAnsi"/>
              </w:rPr>
              <w:t xml:space="preserve"> context to</w:t>
            </w:r>
            <w:r w:rsidR="00C605B1">
              <w:rPr>
                <w:rFonts w:asciiTheme="minorHAnsi" w:hAnsiTheme="minorHAnsi"/>
              </w:rPr>
              <w:t xml:space="preserve"> the contractor understanding of the significance of findings and shortfalls. </w:t>
            </w:r>
            <w:r w:rsidR="00102176">
              <w:rPr>
                <w:rFonts w:asciiTheme="minorHAnsi" w:hAnsiTheme="minorHAnsi"/>
              </w:rPr>
              <w:t>These reports will undergo one round of comments from ONR and be released to the RP.</w:t>
            </w:r>
          </w:p>
          <w:p w:rsidR="002C614D" w:rsidRPr="00AD171E" w:rsidRDefault="002C614D" w:rsidP="0039459B">
            <w:pPr>
              <w:pStyle w:val="TSNumberedParagraph11"/>
              <w:numPr>
                <w:ilvl w:val="0"/>
                <w:numId w:val="35"/>
              </w:numPr>
              <w:jc w:val="both"/>
              <w:rPr>
                <w:rFonts w:asciiTheme="minorHAnsi" w:hAnsiTheme="minorHAnsi"/>
              </w:rPr>
            </w:pPr>
            <w:r w:rsidRPr="00AD171E">
              <w:rPr>
                <w:rFonts w:asciiTheme="minorHAnsi" w:hAnsiTheme="minorHAnsi"/>
              </w:rPr>
              <w:t xml:space="preserve">In addition to </w:t>
            </w:r>
            <w:r w:rsidR="00F977B9">
              <w:rPr>
                <w:rFonts w:asciiTheme="minorHAnsi" w:hAnsiTheme="minorHAnsi"/>
              </w:rPr>
              <w:t xml:space="preserve">the formal reports, </w:t>
            </w:r>
            <w:r w:rsidRPr="00AD171E">
              <w:rPr>
                <w:rFonts w:asciiTheme="minorHAnsi" w:hAnsiTheme="minorHAnsi"/>
              </w:rPr>
              <w:t>the contractor can raise technical questions with the RP (via ONR), which can be used to request additional information or documentation to support the review.</w:t>
            </w:r>
          </w:p>
          <w:p w:rsidR="00243762" w:rsidRPr="002105EA" w:rsidRDefault="00D30DD5" w:rsidP="002105EA">
            <w:pPr>
              <w:pStyle w:val="TSNumberedParagraph11"/>
              <w:numPr>
                <w:ilvl w:val="0"/>
                <w:numId w:val="0"/>
              </w:numPr>
              <w:ind w:left="720"/>
              <w:rPr>
                <w:rFonts w:asciiTheme="minorHAnsi" w:hAnsiTheme="minorHAnsi" w:cstheme="minorHAnsi"/>
                <w:b/>
                <w:iCs/>
                <w:szCs w:val="22"/>
                <w:u w:val="single"/>
              </w:rPr>
            </w:pPr>
            <w:r w:rsidRPr="002105EA">
              <w:rPr>
                <w:rFonts w:asciiTheme="minorHAnsi" w:hAnsiTheme="minorHAnsi" w:cstheme="minorHAnsi"/>
                <w:b/>
                <w:iCs/>
                <w:szCs w:val="22"/>
                <w:u w:val="single"/>
              </w:rPr>
              <w:t>TIMESCALES</w:t>
            </w:r>
          </w:p>
          <w:p w:rsidR="00243762" w:rsidRPr="00CE1FC4" w:rsidRDefault="00243762" w:rsidP="00D27AC0">
            <w:pPr>
              <w:pStyle w:val="TSNumberedParagraph11"/>
              <w:numPr>
                <w:ilvl w:val="0"/>
                <w:numId w:val="35"/>
              </w:numPr>
              <w:rPr>
                <w:rFonts w:asciiTheme="minorHAnsi" w:hAnsiTheme="minorHAnsi" w:cstheme="minorHAnsi"/>
                <w:iCs/>
                <w:szCs w:val="22"/>
              </w:rPr>
            </w:pPr>
            <w:r w:rsidRPr="00243762">
              <w:rPr>
                <w:rFonts w:asciiTheme="minorHAnsi" w:hAnsiTheme="minorHAnsi" w:cstheme="minorHAnsi"/>
                <w:iCs/>
                <w:szCs w:val="22"/>
              </w:rPr>
              <w:t xml:space="preserve">The </w:t>
            </w:r>
            <w:r w:rsidRPr="00CE1FC4">
              <w:rPr>
                <w:rFonts w:asciiTheme="minorHAnsi" w:hAnsiTheme="minorHAnsi" w:cstheme="minorHAnsi"/>
                <w:iCs/>
                <w:szCs w:val="22"/>
              </w:rPr>
              <w:t>following timescales can be assumed:</w:t>
            </w:r>
          </w:p>
          <w:p w:rsidR="00243762" w:rsidRPr="00CE1FC4" w:rsidRDefault="00243762" w:rsidP="00D27AC0">
            <w:pPr>
              <w:pStyle w:val="TSBullet1Square"/>
              <w:numPr>
                <w:ilvl w:val="1"/>
                <w:numId w:val="35"/>
              </w:numPr>
              <w:spacing w:after="0"/>
              <w:rPr>
                <w:rFonts w:asciiTheme="minorHAnsi" w:hAnsiTheme="minorHAnsi" w:cstheme="minorHAnsi"/>
                <w:iCs/>
                <w:szCs w:val="22"/>
              </w:rPr>
            </w:pPr>
            <w:r w:rsidRPr="00CE1FC4">
              <w:rPr>
                <w:rFonts w:asciiTheme="minorHAnsi" w:hAnsiTheme="minorHAnsi" w:cstheme="minorHAnsi"/>
                <w:iCs/>
                <w:szCs w:val="22"/>
              </w:rPr>
              <w:t>Start of contract: 0</w:t>
            </w:r>
            <w:r w:rsidR="0005217B">
              <w:rPr>
                <w:rFonts w:asciiTheme="minorHAnsi" w:hAnsiTheme="minorHAnsi" w:cstheme="minorHAnsi"/>
                <w:iCs/>
                <w:szCs w:val="22"/>
              </w:rPr>
              <w:t>4</w:t>
            </w:r>
            <w:r w:rsidRPr="00CE1FC4">
              <w:rPr>
                <w:rFonts w:asciiTheme="minorHAnsi" w:hAnsiTheme="minorHAnsi" w:cstheme="minorHAnsi"/>
                <w:iCs/>
                <w:szCs w:val="22"/>
              </w:rPr>
              <w:t>/19</w:t>
            </w:r>
          </w:p>
          <w:p w:rsidR="00243762" w:rsidRDefault="002D145C" w:rsidP="00D27AC0">
            <w:pPr>
              <w:pStyle w:val="TSBullet1Square"/>
              <w:numPr>
                <w:ilvl w:val="1"/>
                <w:numId w:val="35"/>
              </w:numPr>
              <w:spacing w:after="0"/>
              <w:rPr>
                <w:rFonts w:asciiTheme="minorHAnsi" w:hAnsiTheme="minorHAnsi" w:cstheme="minorHAnsi"/>
                <w:iCs/>
                <w:szCs w:val="22"/>
              </w:rPr>
            </w:pPr>
            <w:r>
              <w:rPr>
                <w:rFonts w:asciiTheme="minorHAnsi" w:hAnsiTheme="minorHAnsi" w:cstheme="minorHAnsi"/>
                <w:iCs/>
                <w:szCs w:val="22"/>
              </w:rPr>
              <w:t>Phase 1 r</w:t>
            </w:r>
            <w:r w:rsidR="00816130" w:rsidRPr="00CE1FC4">
              <w:rPr>
                <w:rFonts w:asciiTheme="minorHAnsi" w:hAnsiTheme="minorHAnsi" w:cstheme="minorHAnsi"/>
                <w:iCs/>
                <w:szCs w:val="22"/>
              </w:rPr>
              <w:t xml:space="preserve">eview: </w:t>
            </w:r>
            <w:r w:rsidR="00CC3F9A">
              <w:rPr>
                <w:rFonts w:asciiTheme="minorHAnsi" w:hAnsiTheme="minorHAnsi" w:cstheme="minorHAnsi"/>
                <w:iCs/>
                <w:szCs w:val="22"/>
              </w:rPr>
              <w:t>01/</w:t>
            </w:r>
            <w:r w:rsidR="00816130" w:rsidRPr="00CE1FC4">
              <w:rPr>
                <w:rFonts w:asciiTheme="minorHAnsi" w:hAnsiTheme="minorHAnsi" w:cstheme="minorHAnsi"/>
                <w:iCs/>
                <w:szCs w:val="22"/>
              </w:rPr>
              <w:t>0</w:t>
            </w:r>
            <w:r w:rsidR="0005217B">
              <w:rPr>
                <w:rFonts w:asciiTheme="minorHAnsi" w:hAnsiTheme="minorHAnsi" w:cstheme="minorHAnsi"/>
                <w:iCs/>
                <w:szCs w:val="22"/>
              </w:rPr>
              <w:t>4</w:t>
            </w:r>
            <w:r w:rsidR="00816130" w:rsidRPr="00CE1FC4">
              <w:rPr>
                <w:rFonts w:asciiTheme="minorHAnsi" w:hAnsiTheme="minorHAnsi" w:cstheme="minorHAnsi"/>
                <w:iCs/>
                <w:szCs w:val="22"/>
              </w:rPr>
              <w:t xml:space="preserve">/19 until </w:t>
            </w:r>
            <w:r w:rsidR="00CC3F9A">
              <w:rPr>
                <w:rFonts w:asciiTheme="minorHAnsi" w:hAnsiTheme="minorHAnsi" w:cstheme="minorHAnsi"/>
                <w:iCs/>
                <w:szCs w:val="22"/>
              </w:rPr>
              <w:t>01</w:t>
            </w:r>
            <w:r w:rsidR="00816130" w:rsidRPr="00CE1FC4">
              <w:rPr>
                <w:rFonts w:asciiTheme="minorHAnsi" w:hAnsiTheme="minorHAnsi" w:cstheme="minorHAnsi"/>
                <w:iCs/>
                <w:szCs w:val="22"/>
              </w:rPr>
              <w:t>/0</w:t>
            </w:r>
            <w:r w:rsidR="00CC3F9A">
              <w:rPr>
                <w:rFonts w:asciiTheme="minorHAnsi" w:hAnsiTheme="minorHAnsi" w:cstheme="minorHAnsi"/>
                <w:iCs/>
                <w:szCs w:val="22"/>
              </w:rPr>
              <w:t>9</w:t>
            </w:r>
            <w:r w:rsidR="00243762" w:rsidRPr="00CE1FC4">
              <w:rPr>
                <w:rFonts w:asciiTheme="minorHAnsi" w:hAnsiTheme="minorHAnsi" w:cstheme="minorHAnsi"/>
                <w:iCs/>
                <w:szCs w:val="22"/>
              </w:rPr>
              <w:t>/19</w:t>
            </w:r>
          </w:p>
          <w:p w:rsidR="00CC3F9A" w:rsidRDefault="002D145C" w:rsidP="00D27AC0">
            <w:pPr>
              <w:pStyle w:val="TSBullet1Square"/>
              <w:numPr>
                <w:ilvl w:val="1"/>
                <w:numId w:val="35"/>
              </w:numPr>
              <w:spacing w:after="0"/>
              <w:rPr>
                <w:rFonts w:asciiTheme="minorHAnsi" w:hAnsiTheme="minorHAnsi" w:cstheme="minorHAnsi"/>
                <w:iCs/>
                <w:szCs w:val="22"/>
              </w:rPr>
            </w:pPr>
            <w:r>
              <w:rPr>
                <w:rFonts w:asciiTheme="minorHAnsi" w:hAnsiTheme="minorHAnsi" w:cstheme="minorHAnsi"/>
                <w:iCs/>
                <w:szCs w:val="22"/>
              </w:rPr>
              <w:t>Phase 1 p</w:t>
            </w:r>
            <w:r w:rsidR="00CC3F9A">
              <w:rPr>
                <w:rFonts w:asciiTheme="minorHAnsi" w:hAnsiTheme="minorHAnsi" w:cstheme="minorHAnsi"/>
                <w:iCs/>
                <w:szCs w:val="22"/>
              </w:rPr>
              <w:t xml:space="preserve">reliminary findings meeting: end of </w:t>
            </w:r>
            <w:r w:rsidR="002F52E8">
              <w:rPr>
                <w:rFonts w:asciiTheme="minorHAnsi" w:hAnsiTheme="minorHAnsi" w:cstheme="minorHAnsi"/>
                <w:iCs/>
                <w:szCs w:val="22"/>
              </w:rPr>
              <w:t>July</w:t>
            </w:r>
            <w:r w:rsidR="00CC3F9A">
              <w:rPr>
                <w:rFonts w:asciiTheme="minorHAnsi" w:hAnsiTheme="minorHAnsi" w:cstheme="minorHAnsi"/>
                <w:iCs/>
                <w:szCs w:val="22"/>
              </w:rPr>
              <w:t>, 2019</w:t>
            </w:r>
          </w:p>
          <w:p w:rsidR="00816130" w:rsidRPr="00CE1FC4" w:rsidRDefault="002D145C" w:rsidP="00D27AC0">
            <w:pPr>
              <w:pStyle w:val="TSBullet1Square"/>
              <w:numPr>
                <w:ilvl w:val="1"/>
                <w:numId w:val="35"/>
              </w:numPr>
              <w:spacing w:after="0"/>
              <w:rPr>
                <w:rFonts w:asciiTheme="minorHAnsi" w:hAnsiTheme="minorHAnsi" w:cstheme="minorHAnsi"/>
                <w:iCs/>
                <w:szCs w:val="22"/>
              </w:rPr>
            </w:pPr>
            <w:r>
              <w:rPr>
                <w:rFonts w:asciiTheme="minorHAnsi" w:hAnsiTheme="minorHAnsi" w:cstheme="minorHAnsi"/>
                <w:iCs/>
                <w:szCs w:val="22"/>
              </w:rPr>
              <w:t>Phase 1 d</w:t>
            </w:r>
            <w:r w:rsidR="00816130" w:rsidRPr="00CE1FC4">
              <w:rPr>
                <w:rFonts w:asciiTheme="minorHAnsi" w:hAnsiTheme="minorHAnsi" w:cstheme="minorHAnsi"/>
                <w:iCs/>
                <w:szCs w:val="22"/>
              </w:rPr>
              <w:t>raft</w:t>
            </w:r>
            <w:r w:rsidR="00A1103A">
              <w:rPr>
                <w:rFonts w:asciiTheme="minorHAnsi" w:hAnsiTheme="minorHAnsi" w:cstheme="minorHAnsi"/>
                <w:iCs/>
                <w:szCs w:val="22"/>
              </w:rPr>
              <w:t xml:space="preserve"> final</w:t>
            </w:r>
            <w:r w:rsidR="00816130" w:rsidRPr="00CE1FC4">
              <w:rPr>
                <w:rFonts w:asciiTheme="minorHAnsi" w:hAnsiTheme="minorHAnsi" w:cstheme="minorHAnsi"/>
                <w:iCs/>
                <w:szCs w:val="22"/>
              </w:rPr>
              <w:t xml:space="preserve"> report due: </w:t>
            </w:r>
            <w:r w:rsidR="002F52E8">
              <w:rPr>
                <w:rFonts w:asciiTheme="minorHAnsi" w:hAnsiTheme="minorHAnsi" w:cstheme="minorHAnsi"/>
                <w:iCs/>
                <w:szCs w:val="22"/>
              </w:rPr>
              <w:t>31</w:t>
            </w:r>
            <w:r w:rsidR="00816130" w:rsidRPr="00CE1FC4">
              <w:rPr>
                <w:rFonts w:asciiTheme="minorHAnsi" w:hAnsiTheme="minorHAnsi" w:cstheme="minorHAnsi"/>
                <w:iCs/>
                <w:szCs w:val="22"/>
              </w:rPr>
              <w:t>/</w:t>
            </w:r>
            <w:r w:rsidR="002F52E8">
              <w:rPr>
                <w:rFonts w:asciiTheme="minorHAnsi" w:hAnsiTheme="minorHAnsi" w:cstheme="minorHAnsi"/>
                <w:iCs/>
                <w:szCs w:val="22"/>
              </w:rPr>
              <w:t>09</w:t>
            </w:r>
            <w:r w:rsidR="00816130" w:rsidRPr="00CE1FC4">
              <w:rPr>
                <w:rFonts w:asciiTheme="minorHAnsi" w:hAnsiTheme="minorHAnsi" w:cstheme="minorHAnsi"/>
                <w:iCs/>
                <w:szCs w:val="22"/>
              </w:rPr>
              <w:t>/19</w:t>
            </w:r>
          </w:p>
          <w:p w:rsidR="00243762" w:rsidRDefault="002D145C" w:rsidP="00D27AC0">
            <w:pPr>
              <w:pStyle w:val="TSBullet1Square"/>
              <w:numPr>
                <w:ilvl w:val="1"/>
                <w:numId w:val="35"/>
              </w:numPr>
              <w:spacing w:after="0"/>
              <w:rPr>
                <w:rFonts w:asciiTheme="minorHAnsi" w:hAnsiTheme="minorHAnsi" w:cstheme="minorHAnsi"/>
                <w:iCs/>
                <w:szCs w:val="22"/>
              </w:rPr>
            </w:pPr>
            <w:r>
              <w:rPr>
                <w:rFonts w:asciiTheme="minorHAnsi" w:hAnsiTheme="minorHAnsi" w:cstheme="minorHAnsi"/>
                <w:iCs/>
                <w:szCs w:val="22"/>
              </w:rPr>
              <w:t xml:space="preserve">Phase </w:t>
            </w:r>
            <w:r w:rsidR="00C605B1">
              <w:rPr>
                <w:rFonts w:asciiTheme="minorHAnsi" w:hAnsiTheme="minorHAnsi" w:cstheme="minorHAnsi"/>
                <w:iCs/>
                <w:szCs w:val="22"/>
              </w:rPr>
              <w:t>1</w:t>
            </w:r>
            <w:r>
              <w:rPr>
                <w:rFonts w:asciiTheme="minorHAnsi" w:hAnsiTheme="minorHAnsi" w:cstheme="minorHAnsi"/>
                <w:iCs/>
                <w:szCs w:val="22"/>
              </w:rPr>
              <w:t xml:space="preserve"> f</w:t>
            </w:r>
            <w:r w:rsidR="00243762" w:rsidRPr="00CE1FC4">
              <w:rPr>
                <w:rFonts w:asciiTheme="minorHAnsi" w:hAnsiTheme="minorHAnsi" w:cstheme="minorHAnsi"/>
                <w:iCs/>
                <w:szCs w:val="22"/>
              </w:rPr>
              <w:t xml:space="preserve">inal report </w:t>
            </w:r>
            <w:r w:rsidR="00816130" w:rsidRPr="00CE1FC4">
              <w:rPr>
                <w:rFonts w:asciiTheme="minorHAnsi" w:hAnsiTheme="minorHAnsi" w:cstheme="minorHAnsi"/>
                <w:iCs/>
                <w:szCs w:val="22"/>
              </w:rPr>
              <w:t>due:</w:t>
            </w:r>
            <w:r w:rsidR="00243762" w:rsidRPr="00CE1FC4">
              <w:rPr>
                <w:rFonts w:asciiTheme="minorHAnsi" w:hAnsiTheme="minorHAnsi" w:cstheme="minorHAnsi"/>
                <w:iCs/>
                <w:szCs w:val="22"/>
              </w:rPr>
              <w:t xml:space="preserve"> </w:t>
            </w:r>
            <w:r w:rsidR="002F52E8">
              <w:rPr>
                <w:rFonts w:asciiTheme="minorHAnsi" w:hAnsiTheme="minorHAnsi" w:cstheme="minorHAnsi"/>
                <w:iCs/>
                <w:szCs w:val="22"/>
              </w:rPr>
              <w:t>31</w:t>
            </w:r>
            <w:r w:rsidR="00243762" w:rsidRPr="00CE1FC4">
              <w:rPr>
                <w:rFonts w:asciiTheme="minorHAnsi" w:hAnsiTheme="minorHAnsi" w:cstheme="minorHAnsi"/>
                <w:iCs/>
                <w:szCs w:val="22"/>
              </w:rPr>
              <w:t>/</w:t>
            </w:r>
            <w:r w:rsidR="002F52E8">
              <w:rPr>
                <w:rFonts w:asciiTheme="minorHAnsi" w:hAnsiTheme="minorHAnsi" w:cstheme="minorHAnsi"/>
                <w:iCs/>
                <w:szCs w:val="22"/>
              </w:rPr>
              <w:t>11</w:t>
            </w:r>
            <w:r w:rsidR="00243762" w:rsidRPr="00CE1FC4">
              <w:rPr>
                <w:rFonts w:asciiTheme="minorHAnsi" w:hAnsiTheme="minorHAnsi" w:cstheme="minorHAnsi"/>
                <w:iCs/>
                <w:szCs w:val="22"/>
              </w:rPr>
              <w:t>/9</w:t>
            </w:r>
          </w:p>
          <w:p w:rsidR="002D145C" w:rsidRDefault="002D145C" w:rsidP="00D27AC0">
            <w:pPr>
              <w:pStyle w:val="TSBullet1Square"/>
              <w:numPr>
                <w:ilvl w:val="1"/>
                <w:numId w:val="35"/>
              </w:numPr>
              <w:spacing w:after="0"/>
              <w:rPr>
                <w:rFonts w:asciiTheme="minorHAnsi" w:hAnsiTheme="minorHAnsi" w:cstheme="minorHAnsi"/>
                <w:iCs/>
                <w:szCs w:val="22"/>
              </w:rPr>
            </w:pPr>
            <w:r>
              <w:rPr>
                <w:rFonts w:asciiTheme="minorHAnsi" w:hAnsiTheme="minorHAnsi" w:cstheme="minorHAnsi"/>
                <w:iCs/>
                <w:szCs w:val="22"/>
              </w:rPr>
              <w:t>Phase 2 review: 01/</w:t>
            </w:r>
            <w:r w:rsidR="002F52E8">
              <w:rPr>
                <w:rFonts w:asciiTheme="minorHAnsi" w:hAnsiTheme="minorHAnsi" w:cstheme="minorHAnsi"/>
                <w:iCs/>
                <w:szCs w:val="22"/>
              </w:rPr>
              <w:t>12</w:t>
            </w:r>
            <w:r>
              <w:rPr>
                <w:rFonts w:asciiTheme="minorHAnsi" w:hAnsiTheme="minorHAnsi" w:cstheme="minorHAnsi"/>
                <w:iCs/>
                <w:szCs w:val="22"/>
              </w:rPr>
              <w:t>/</w:t>
            </w:r>
            <w:r w:rsidR="002F52E8">
              <w:rPr>
                <w:rFonts w:asciiTheme="minorHAnsi" w:hAnsiTheme="minorHAnsi" w:cstheme="minorHAnsi"/>
                <w:iCs/>
                <w:szCs w:val="22"/>
              </w:rPr>
              <w:t>19</w:t>
            </w:r>
            <w:r>
              <w:rPr>
                <w:rFonts w:asciiTheme="minorHAnsi" w:hAnsiTheme="minorHAnsi" w:cstheme="minorHAnsi"/>
                <w:iCs/>
                <w:szCs w:val="22"/>
              </w:rPr>
              <w:t xml:space="preserve"> until </w:t>
            </w:r>
            <w:r w:rsidR="002F52E8">
              <w:rPr>
                <w:rFonts w:asciiTheme="minorHAnsi" w:hAnsiTheme="minorHAnsi" w:cstheme="minorHAnsi"/>
                <w:iCs/>
                <w:szCs w:val="22"/>
              </w:rPr>
              <w:t>31</w:t>
            </w:r>
            <w:r>
              <w:rPr>
                <w:rFonts w:asciiTheme="minorHAnsi" w:hAnsiTheme="minorHAnsi" w:cstheme="minorHAnsi"/>
                <w:iCs/>
                <w:szCs w:val="22"/>
              </w:rPr>
              <w:t>/</w:t>
            </w:r>
            <w:r w:rsidR="002F52E8">
              <w:rPr>
                <w:rFonts w:asciiTheme="minorHAnsi" w:hAnsiTheme="minorHAnsi" w:cstheme="minorHAnsi"/>
                <w:iCs/>
                <w:szCs w:val="22"/>
              </w:rPr>
              <w:t>12</w:t>
            </w:r>
            <w:r>
              <w:rPr>
                <w:rFonts w:asciiTheme="minorHAnsi" w:hAnsiTheme="minorHAnsi" w:cstheme="minorHAnsi"/>
                <w:iCs/>
                <w:szCs w:val="22"/>
              </w:rPr>
              <w:t>/2</w:t>
            </w:r>
            <w:r w:rsidR="002F52E8">
              <w:rPr>
                <w:rFonts w:asciiTheme="minorHAnsi" w:hAnsiTheme="minorHAnsi" w:cstheme="minorHAnsi"/>
                <w:iCs/>
                <w:szCs w:val="22"/>
              </w:rPr>
              <w:t>0</w:t>
            </w:r>
          </w:p>
          <w:p w:rsidR="002D145C" w:rsidRDefault="002D145C" w:rsidP="00D27AC0">
            <w:pPr>
              <w:pStyle w:val="TSBullet1Square"/>
              <w:numPr>
                <w:ilvl w:val="1"/>
                <w:numId w:val="35"/>
              </w:numPr>
              <w:spacing w:after="0"/>
              <w:rPr>
                <w:rFonts w:asciiTheme="minorHAnsi" w:hAnsiTheme="minorHAnsi" w:cstheme="minorHAnsi"/>
                <w:iCs/>
                <w:szCs w:val="22"/>
              </w:rPr>
            </w:pPr>
            <w:r>
              <w:rPr>
                <w:rFonts w:asciiTheme="minorHAnsi" w:hAnsiTheme="minorHAnsi" w:cstheme="minorHAnsi"/>
                <w:iCs/>
                <w:szCs w:val="22"/>
              </w:rPr>
              <w:t xml:space="preserve">Phase 2 preliminary findings meeting: end of </w:t>
            </w:r>
            <w:r w:rsidR="002F52E8">
              <w:rPr>
                <w:rFonts w:asciiTheme="minorHAnsi" w:hAnsiTheme="minorHAnsi" w:cstheme="minorHAnsi"/>
                <w:iCs/>
                <w:szCs w:val="22"/>
              </w:rPr>
              <w:t>February</w:t>
            </w:r>
            <w:r>
              <w:rPr>
                <w:rFonts w:asciiTheme="minorHAnsi" w:hAnsiTheme="minorHAnsi" w:cstheme="minorHAnsi"/>
                <w:iCs/>
                <w:szCs w:val="22"/>
              </w:rPr>
              <w:t>, 2021</w:t>
            </w:r>
          </w:p>
          <w:p w:rsidR="002D145C" w:rsidRDefault="002D145C" w:rsidP="00D27AC0">
            <w:pPr>
              <w:pStyle w:val="TSBullet1Square"/>
              <w:numPr>
                <w:ilvl w:val="1"/>
                <w:numId w:val="35"/>
              </w:numPr>
              <w:spacing w:after="0"/>
              <w:rPr>
                <w:rFonts w:asciiTheme="minorHAnsi" w:hAnsiTheme="minorHAnsi" w:cstheme="minorHAnsi"/>
                <w:iCs/>
                <w:szCs w:val="22"/>
              </w:rPr>
            </w:pPr>
            <w:r>
              <w:rPr>
                <w:rFonts w:asciiTheme="minorHAnsi" w:hAnsiTheme="minorHAnsi" w:cstheme="minorHAnsi"/>
                <w:iCs/>
                <w:szCs w:val="22"/>
              </w:rPr>
              <w:t xml:space="preserve">Phase 2 draft final report due: </w:t>
            </w:r>
            <w:r w:rsidR="002F52E8">
              <w:rPr>
                <w:rFonts w:asciiTheme="minorHAnsi" w:hAnsiTheme="minorHAnsi" w:cstheme="minorHAnsi"/>
                <w:iCs/>
                <w:szCs w:val="22"/>
              </w:rPr>
              <w:t>28</w:t>
            </w:r>
            <w:r>
              <w:rPr>
                <w:rFonts w:asciiTheme="minorHAnsi" w:hAnsiTheme="minorHAnsi" w:cstheme="minorHAnsi"/>
                <w:iCs/>
                <w:szCs w:val="22"/>
              </w:rPr>
              <w:t>/</w:t>
            </w:r>
            <w:r w:rsidR="002F52E8">
              <w:rPr>
                <w:rFonts w:asciiTheme="minorHAnsi" w:hAnsiTheme="minorHAnsi" w:cstheme="minorHAnsi"/>
                <w:iCs/>
                <w:szCs w:val="22"/>
              </w:rPr>
              <w:t>02</w:t>
            </w:r>
            <w:r>
              <w:rPr>
                <w:rFonts w:asciiTheme="minorHAnsi" w:hAnsiTheme="minorHAnsi" w:cstheme="minorHAnsi"/>
                <w:iCs/>
                <w:szCs w:val="22"/>
              </w:rPr>
              <w:t>/21</w:t>
            </w:r>
          </w:p>
          <w:p w:rsidR="002D145C" w:rsidRPr="00CE1FC4" w:rsidRDefault="002D145C" w:rsidP="00D27AC0">
            <w:pPr>
              <w:pStyle w:val="TSBullet1Square"/>
              <w:numPr>
                <w:ilvl w:val="1"/>
                <w:numId w:val="35"/>
              </w:numPr>
              <w:spacing w:after="0"/>
              <w:rPr>
                <w:rFonts w:asciiTheme="minorHAnsi" w:hAnsiTheme="minorHAnsi" w:cstheme="minorHAnsi"/>
                <w:iCs/>
                <w:szCs w:val="22"/>
              </w:rPr>
            </w:pPr>
            <w:r>
              <w:rPr>
                <w:rFonts w:asciiTheme="minorHAnsi" w:hAnsiTheme="minorHAnsi" w:cstheme="minorHAnsi"/>
                <w:iCs/>
                <w:szCs w:val="22"/>
              </w:rPr>
              <w:t xml:space="preserve">Phase 2 final report due: </w:t>
            </w:r>
            <w:r w:rsidR="002F52E8">
              <w:rPr>
                <w:rFonts w:asciiTheme="minorHAnsi" w:hAnsiTheme="minorHAnsi" w:cstheme="minorHAnsi"/>
                <w:iCs/>
                <w:szCs w:val="22"/>
              </w:rPr>
              <w:t>30</w:t>
            </w:r>
            <w:r>
              <w:rPr>
                <w:rFonts w:asciiTheme="minorHAnsi" w:hAnsiTheme="minorHAnsi" w:cstheme="minorHAnsi"/>
                <w:iCs/>
                <w:szCs w:val="22"/>
              </w:rPr>
              <w:t>/</w:t>
            </w:r>
            <w:r w:rsidR="002F52E8">
              <w:rPr>
                <w:rFonts w:asciiTheme="minorHAnsi" w:hAnsiTheme="minorHAnsi" w:cstheme="minorHAnsi"/>
                <w:iCs/>
                <w:szCs w:val="22"/>
              </w:rPr>
              <w:t>04</w:t>
            </w:r>
            <w:r>
              <w:rPr>
                <w:rFonts w:asciiTheme="minorHAnsi" w:hAnsiTheme="minorHAnsi" w:cstheme="minorHAnsi"/>
                <w:iCs/>
                <w:szCs w:val="22"/>
              </w:rPr>
              <w:t>/21</w:t>
            </w:r>
          </w:p>
          <w:p w:rsidR="00D30DD5" w:rsidRPr="00CE1FC4" w:rsidRDefault="00D30DD5" w:rsidP="00D30DD5">
            <w:pPr>
              <w:pStyle w:val="TSBullet1Square"/>
              <w:numPr>
                <w:ilvl w:val="0"/>
                <w:numId w:val="0"/>
              </w:numPr>
              <w:spacing w:after="0"/>
              <w:ind w:left="1440"/>
              <w:rPr>
                <w:rFonts w:asciiTheme="minorHAnsi" w:hAnsiTheme="minorHAnsi" w:cstheme="minorHAnsi"/>
                <w:iCs/>
                <w:szCs w:val="22"/>
              </w:rPr>
            </w:pPr>
          </w:p>
          <w:p w:rsidR="00243762" w:rsidRPr="00243762" w:rsidRDefault="00243762" w:rsidP="00D27AC0">
            <w:pPr>
              <w:pStyle w:val="TSNumberedParagraph11"/>
              <w:numPr>
                <w:ilvl w:val="0"/>
                <w:numId w:val="35"/>
              </w:numPr>
              <w:rPr>
                <w:rFonts w:asciiTheme="minorHAnsi" w:hAnsiTheme="minorHAnsi" w:cstheme="minorHAnsi"/>
                <w:iCs/>
                <w:szCs w:val="22"/>
              </w:rPr>
            </w:pPr>
            <w:r w:rsidRPr="000B0109">
              <w:rPr>
                <w:rFonts w:asciiTheme="minorHAnsi" w:hAnsiTheme="minorHAnsi" w:cstheme="minorHAnsi"/>
                <w:iCs/>
                <w:szCs w:val="22"/>
              </w:rPr>
              <w:t>The key project milestones</w:t>
            </w:r>
            <w:r w:rsidRPr="00243762">
              <w:rPr>
                <w:rFonts w:asciiTheme="minorHAnsi" w:hAnsiTheme="minorHAnsi" w:cstheme="minorHAnsi"/>
                <w:iCs/>
                <w:szCs w:val="22"/>
              </w:rPr>
              <w:t xml:space="preserve"> and delivery dates will be agreed and fixed when the contract is awarded.</w:t>
            </w:r>
          </w:p>
          <w:p w:rsidR="00243762" w:rsidRPr="00D30DD5" w:rsidRDefault="00D30DD5" w:rsidP="00D30DD5">
            <w:pPr>
              <w:pStyle w:val="TSNumberedParagraph11"/>
              <w:numPr>
                <w:ilvl w:val="0"/>
                <w:numId w:val="0"/>
              </w:numPr>
              <w:ind w:left="720"/>
              <w:rPr>
                <w:rFonts w:asciiTheme="minorHAnsi" w:hAnsiTheme="minorHAnsi" w:cstheme="minorHAnsi"/>
                <w:b/>
                <w:iCs/>
                <w:szCs w:val="22"/>
                <w:u w:val="single"/>
              </w:rPr>
            </w:pPr>
            <w:r w:rsidRPr="00D30DD5">
              <w:rPr>
                <w:rFonts w:asciiTheme="minorHAnsi" w:hAnsiTheme="minorHAnsi" w:cstheme="minorHAnsi"/>
                <w:b/>
                <w:iCs/>
                <w:szCs w:val="22"/>
                <w:u w:val="single"/>
              </w:rPr>
              <w:t>MEETING REQUIREMENTS</w:t>
            </w:r>
          </w:p>
          <w:p w:rsidR="00243762" w:rsidRPr="00243762" w:rsidRDefault="00243762" w:rsidP="00D27AC0">
            <w:pPr>
              <w:pStyle w:val="TSNumberedParagraph11"/>
              <w:numPr>
                <w:ilvl w:val="0"/>
                <w:numId w:val="35"/>
              </w:numPr>
              <w:rPr>
                <w:rFonts w:asciiTheme="minorHAnsi" w:hAnsiTheme="minorHAnsi" w:cstheme="minorHAnsi"/>
                <w:iCs/>
                <w:szCs w:val="22"/>
              </w:rPr>
            </w:pPr>
            <w:r w:rsidRPr="00243762">
              <w:rPr>
                <w:rFonts w:asciiTheme="minorHAnsi" w:hAnsiTheme="minorHAnsi" w:cstheme="minorHAnsi"/>
                <w:iCs/>
                <w:szCs w:val="22"/>
              </w:rPr>
              <w:t xml:space="preserve">ONR expect a kick-off meeting to be held on contract award. This should include an introduction of the </w:t>
            </w:r>
            <w:r w:rsidR="00E873D9">
              <w:rPr>
                <w:rFonts w:asciiTheme="minorHAnsi" w:hAnsiTheme="minorHAnsi" w:cstheme="minorHAnsi"/>
                <w:iCs/>
                <w:szCs w:val="22"/>
              </w:rPr>
              <w:t>c</w:t>
            </w:r>
            <w:r w:rsidRPr="00243762">
              <w:rPr>
                <w:rFonts w:asciiTheme="minorHAnsi" w:hAnsiTheme="minorHAnsi" w:cstheme="minorHAnsi"/>
                <w:iCs/>
                <w:szCs w:val="22"/>
              </w:rPr>
              <w:t>ontractor’s team</w:t>
            </w:r>
            <w:r w:rsidR="00E873D9">
              <w:rPr>
                <w:rFonts w:asciiTheme="minorHAnsi" w:hAnsiTheme="minorHAnsi" w:cstheme="minorHAnsi"/>
                <w:iCs/>
                <w:szCs w:val="22"/>
              </w:rPr>
              <w:t xml:space="preserve"> and</w:t>
            </w:r>
            <w:r w:rsidRPr="00243762">
              <w:rPr>
                <w:rFonts w:asciiTheme="minorHAnsi" w:hAnsiTheme="minorHAnsi" w:cstheme="minorHAnsi"/>
                <w:iCs/>
                <w:szCs w:val="22"/>
              </w:rPr>
              <w:t xml:space="preserve"> background</w:t>
            </w:r>
            <w:r w:rsidR="00E873D9">
              <w:rPr>
                <w:rFonts w:asciiTheme="minorHAnsi" w:hAnsiTheme="minorHAnsi" w:cstheme="minorHAnsi"/>
                <w:iCs/>
                <w:szCs w:val="22"/>
              </w:rPr>
              <w:t>/experience</w:t>
            </w:r>
            <w:r w:rsidRPr="00243762">
              <w:rPr>
                <w:rFonts w:asciiTheme="minorHAnsi" w:hAnsiTheme="minorHAnsi" w:cstheme="minorHAnsi"/>
                <w:iCs/>
                <w:szCs w:val="22"/>
              </w:rPr>
              <w:t xml:space="preserve"> in </w:t>
            </w:r>
            <w:r w:rsidR="00E873D9">
              <w:rPr>
                <w:rFonts w:asciiTheme="minorHAnsi" w:hAnsiTheme="minorHAnsi" w:cstheme="minorHAnsi"/>
                <w:iCs/>
                <w:szCs w:val="22"/>
              </w:rPr>
              <w:t>the different PSA topics</w:t>
            </w:r>
            <w:r w:rsidRPr="00243762">
              <w:rPr>
                <w:rFonts w:asciiTheme="minorHAnsi" w:hAnsiTheme="minorHAnsi" w:cstheme="minorHAnsi"/>
                <w:iCs/>
                <w:szCs w:val="22"/>
              </w:rPr>
              <w:t xml:space="preserve">. This meeting will take place either at the ONR offices, or the contractor offices. </w:t>
            </w:r>
          </w:p>
          <w:p w:rsidR="00AD171E" w:rsidRDefault="00C91551" w:rsidP="00D27AC0">
            <w:pPr>
              <w:pStyle w:val="TSNumberedParagraph11"/>
              <w:numPr>
                <w:ilvl w:val="0"/>
                <w:numId w:val="35"/>
              </w:numPr>
              <w:rPr>
                <w:rFonts w:asciiTheme="minorHAnsi" w:hAnsiTheme="minorHAnsi" w:cstheme="minorHAnsi"/>
                <w:iCs/>
                <w:szCs w:val="22"/>
              </w:rPr>
            </w:pPr>
            <w:r>
              <w:rPr>
                <w:rFonts w:asciiTheme="minorHAnsi" w:hAnsiTheme="minorHAnsi" w:cstheme="minorHAnsi"/>
                <w:iCs/>
                <w:szCs w:val="22"/>
              </w:rPr>
              <w:t>M</w:t>
            </w:r>
            <w:r w:rsidR="00AD171E" w:rsidRPr="00AD171E">
              <w:rPr>
                <w:rFonts w:asciiTheme="minorHAnsi" w:hAnsiTheme="minorHAnsi" w:cstheme="minorHAnsi"/>
                <w:iCs/>
                <w:szCs w:val="22"/>
              </w:rPr>
              <w:t xml:space="preserve">onthly progress meetings should also be assumed </w:t>
            </w:r>
            <w:r w:rsidR="00AD171E">
              <w:rPr>
                <w:rFonts w:asciiTheme="minorHAnsi" w:hAnsiTheme="minorHAnsi" w:cstheme="minorHAnsi"/>
                <w:iCs/>
                <w:szCs w:val="22"/>
              </w:rPr>
              <w:t xml:space="preserve">between the contractor and ONR </w:t>
            </w:r>
            <w:r w:rsidR="00AD171E" w:rsidRPr="00AD171E">
              <w:rPr>
                <w:rFonts w:asciiTheme="minorHAnsi" w:hAnsiTheme="minorHAnsi" w:cstheme="minorHAnsi"/>
                <w:iCs/>
                <w:szCs w:val="22"/>
              </w:rPr>
              <w:t xml:space="preserve">for the duration of the contract. These should be assumed to be by </w:t>
            </w:r>
            <w:r w:rsidR="00AD171E" w:rsidRPr="00AD171E">
              <w:rPr>
                <w:rFonts w:asciiTheme="minorHAnsi" w:hAnsiTheme="minorHAnsi" w:cstheme="minorHAnsi"/>
                <w:iCs/>
                <w:szCs w:val="22"/>
              </w:rPr>
              <w:lastRenderedPageBreak/>
              <w:t xml:space="preserve">teleconference or videoconference. </w:t>
            </w:r>
          </w:p>
          <w:p w:rsidR="002D145C" w:rsidRDefault="002D145C" w:rsidP="00D27AC0">
            <w:pPr>
              <w:pStyle w:val="TSNumberedParagraph11"/>
              <w:numPr>
                <w:ilvl w:val="0"/>
                <w:numId w:val="35"/>
              </w:numPr>
              <w:rPr>
                <w:rFonts w:asciiTheme="minorHAnsi" w:hAnsiTheme="minorHAnsi" w:cstheme="minorHAnsi"/>
                <w:iCs/>
                <w:szCs w:val="22"/>
              </w:rPr>
            </w:pPr>
            <w:r>
              <w:rPr>
                <w:rFonts w:asciiTheme="minorHAnsi" w:hAnsiTheme="minorHAnsi" w:cstheme="minorHAnsi"/>
                <w:iCs/>
                <w:szCs w:val="22"/>
              </w:rPr>
              <w:t xml:space="preserve">At the end of </w:t>
            </w:r>
            <w:r w:rsidR="002F52E8">
              <w:rPr>
                <w:rFonts w:asciiTheme="minorHAnsi" w:hAnsiTheme="minorHAnsi" w:cstheme="minorHAnsi"/>
                <w:iCs/>
                <w:szCs w:val="22"/>
              </w:rPr>
              <w:t>July</w:t>
            </w:r>
            <w:r>
              <w:rPr>
                <w:rFonts w:asciiTheme="minorHAnsi" w:hAnsiTheme="minorHAnsi" w:cstheme="minorHAnsi"/>
                <w:iCs/>
                <w:szCs w:val="22"/>
              </w:rPr>
              <w:t xml:space="preserve">, 2019, a one day summary meeting will be required for the contractor to present key findings and shortfalls for Phase 1. This meeting will take place </w:t>
            </w:r>
            <w:r w:rsidRPr="00243762">
              <w:rPr>
                <w:rFonts w:asciiTheme="minorHAnsi" w:hAnsiTheme="minorHAnsi" w:cstheme="minorHAnsi"/>
                <w:iCs/>
                <w:szCs w:val="22"/>
              </w:rPr>
              <w:t>either at the ONR offices, or the contractor offices.</w:t>
            </w:r>
          </w:p>
          <w:p w:rsidR="002D145C" w:rsidRDefault="002D145C" w:rsidP="002D145C">
            <w:pPr>
              <w:pStyle w:val="TSNumberedParagraph11"/>
              <w:numPr>
                <w:ilvl w:val="0"/>
                <w:numId w:val="35"/>
              </w:numPr>
              <w:rPr>
                <w:rFonts w:asciiTheme="minorHAnsi" w:hAnsiTheme="minorHAnsi" w:cstheme="minorHAnsi"/>
                <w:iCs/>
                <w:szCs w:val="22"/>
              </w:rPr>
            </w:pPr>
            <w:r>
              <w:rPr>
                <w:rFonts w:asciiTheme="minorHAnsi" w:hAnsiTheme="minorHAnsi" w:cstheme="minorHAnsi"/>
                <w:iCs/>
                <w:szCs w:val="22"/>
              </w:rPr>
              <w:t xml:space="preserve">At the end of </w:t>
            </w:r>
            <w:r w:rsidR="002F52E8">
              <w:rPr>
                <w:rFonts w:asciiTheme="minorHAnsi" w:hAnsiTheme="minorHAnsi" w:cstheme="minorHAnsi"/>
                <w:iCs/>
                <w:szCs w:val="22"/>
              </w:rPr>
              <w:t>February</w:t>
            </w:r>
            <w:r>
              <w:rPr>
                <w:rFonts w:asciiTheme="minorHAnsi" w:hAnsiTheme="minorHAnsi" w:cstheme="minorHAnsi"/>
                <w:iCs/>
                <w:szCs w:val="22"/>
              </w:rPr>
              <w:t xml:space="preserve">, 2021, a two day summary meeting will be required for the contractor to present key findings and shortfalls for Phase 2. This meeting will take place </w:t>
            </w:r>
            <w:r w:rsidRPr="00243762">
              <w:rPr>
                <w:rFonts w:asciiTheme="minorHAnsi" w:hAnsiTheme="minorHAnsi" w:cstheme="minorHAnsi"/>
                <w:iCs/>
                <w:szCs w:val="22"/>
              </w:rPr>
              <w:t>either at the ONR offices, or the contractor offices.</w:t>
            </w:r>
          </w:p>
          <w:p w:rsidR="00243762" w:rsidRPr="00243762" w:rsidRDefault="00243762" w:rsidP="0039459B">
            <w:pPr>
              <w:pStyle w:val="TSNumberedParagraph11"/>
              <w:numPr>
                <w:ilvl w:val="0"/>
                <w:numId w:val="35"/>
              </w:numPr>
              <w:jc w:val="both"/>
              <w:rPr>
                <w:rFonts w:asciiTheme="minorHAnsi" w:hAnsiTheme="minorHAnsi" w:cstheme="minorHAnsi"/>
                <w:iCs/>
                <w:szCs w:val="22"/>
              </w:rPr>
            </w:pPr>
            <w:r w:rsidRPr="00243762">
              <w:rPr>
                <w:rFonts w:asciiTheme="minorHAnsi" w:hAnsiTheme="minorHAnsi" w:cstheme="minorHAnsi"/>
                <w:iCs/>
                <w:szCs w:val="22"/>
              </w:rPr>
              <w:t>During the course of the review there may be the need to attend meetings with the RP. This could be face-to-fac</w:t>
            </w:r>
            <w:r w:rsidR="00E873D9">
              <w:rPr>
                <w:rFonts w:asciiTheme="minorHAnsi" w:hAnsiTheme="minorHAnsi" w:cstheme="minorHAnsi"/>
                <w:iCs/>
                <w:szCs w:val="22"/>
              </w:rPr>
              <w:t xml:space="preserve">e in Liverpool or </w:t>
            </w:r>
            <w:r w:rsidRPr="00243762">
              <w:rPr>
                <w:rFonts w:asciiTheme="minorHAnsi" w:hAnsiTheme="minorHAnsi" w:cstheme="minorHAnsi"/>
                <w:iCs/>
                <w:szCs w:val="22"/>
              </w:rPr>
              <w:t xml:space="preserve">London, or via videoconference. For planning purposes assume </w:t>
            </w:r>
            <w:r w:rsidR="00BE3A37">
              <w:rPr>
                <w:rFonts w:asciiTheme="minorHAnsi" w:hAnsiTheme="minorHAnsi" w:cstheme="minorHAnsi"/>
                <w:iCs/>
                <w:szCs w:val="22"/>
              </w:rPr>
              <w:t>five</w:t>
            </w:r>
            <w:r w:rsidRPr="00243762">
              <w:rPr>
                <w:rFonts w:asciiTheme="minorHAnsi" w:hAnsiTheme="minorHAnsi" w:cstheme="minorHAnsi"/>
                <w:iCs/>
                <w:szCs w:val="22"/>
              </w:rPr>
              <w:t xml:space="preserve"> separate half-day meetings</w:t>
            </w:r>
            <w:r w:rsidR="00B125F3">
              <w:rPr>
                <w:rFonts w:asciiTheme="minorHAnsi" w:hAnsiTheme="minorHAnsi" w:cstheme="minorHAnsi"/>
                <w:iCs/>
                <w:szCs w:val="22"/>
              </w:rPr>
              <w:t xml:space="preserve"> in Phase 1 and ten separate half-day meetings in Phase 2</w:t>
            </w:r>
            <w:r w:rsidR="00E873D9">
              <w:rPr>
                <w:rFonts w:asciiTheme="minorHAnsi" w:hAnsiTheme="minorHAnsi" w:cstheme="minorHAnsi"/>
                <w:iCs/>
                <w:szCs w:val="22"/>
              </w:rPr>
              <w:t xml:space="preserve"> on a monthly basis</w:t>
            </w:r>
            <w:r w:rsidRPr="00243762">
              <w:rPr>
                <w:rFonts w:asciiTheme="minorHAnsi" w:hAnsiTheme="minorHAnsi" w:cstheme="minorHAnsi"/>
                <w:iCs/>
                <w:szCs w:val="22"/>
              </w:rPr>
              <w:t xml:space="preserve"> with the RP during the course of the contract</w:t>
            </w:r>
            <w:r w:rsidR="00BE3A37">
              <w:rPr>
                <w:rFonts w:asciiTheme="minorHAnsi" w:hAnsiTheme="minorHAnsi" w:cstheme="minorHAnsi"/>
                <w:iCs/>
                <w:szCs w:val="22"/>
              </w:rPr>
              <w:t xml:space="preserve"> to attend in person</w:t>
            </w:r>
            <w:r w:rsidRPr="00243762">
              <w:rPr>
                <w:rFonts w:asciiTheme="minorHAnsi" w:hAnsiTheme="minorHAnsi" w:cstheme="minorHAnsi"/>
                <w:iCs/>
                <w:szCs w:val="22"/>
              </w:rPr>
              <w:t>.</w:t>
            </w:r>
            <w:r w:rsidR="00CE1FC4">
              <w:rPr>
                <w:rFonts w:asciiTheme="minorHAnsi" w:hAnsiTheme="minorHAnsi" w:cstheme="minorHAnsi"/>
                <w:iCs/>
                <w:szCs w:val="22"/>
              </w:rPr>
              <w:t xml:space="preserve"> The TSC is</w:t>
            </w:r>
            <w:r w:rsidR="00C91551">
              <w:rPr>
                <w:rFonts w:asciiTheme="minorHAnsi" w:hAnsiTheme="minorHAnsi" w:cstheme="minorHAnsi"/>
                <w:iCs/>
                <w:szCs w:val="22"/>
              </w:rPr>
              <w:t xml:space="preserve"> also</w:t>
            </w:r>
            <w:r w:rsidR="00CE1FC4">
              <w:rPr>
                <w:rFonts w:asciiTheme="minorHAnsi" w:hAnsiTheme="minorHAnsi" w:cstheme="minorHAnsi"/>
                <w:iCs/>
                <w:szCs w:val="22"/>
              </w:rPr>
              <w:t xml:space="preserve"> expected to accompany ONR at one week-long workshop</w:t>
            </w:r>
            <w:r w:rsidR="00B125F3">
              <w:rPr>
                <w:rFonts w:asciiTheme="minorHAnsi" w:hAnsiTheme="minorHAnsi" w:cstheme="minorHAnsi"/>
                <w:iCs/>
                <w:szCs w:val="22"/>
              </w:rPr>
              <w:t xml:space="preserve"> late in Step 3, and one week-long workshop in mid-Step 4</w:t>
            </w:r>
            <w:r w:rsidR="00CE1FC4">
              <w:rPr>
                <w:rFonts w:asciiTheme="minorHAnsi" w:hAnsiTheme="minorHAnsi" w:cstheme="minorHAnsi"/>
                <w:iCs/>
                <w:szCs w:val="22"/>
              </w:rPr>
              <w:t xml:space="preserve"> in China</w:t>
            </w:r>
            <w:r w:rsidR="00C91551">
              <w:rPr>
                <w:rFonts w:asciiTheme="minorHAnsi" w:hAnsiTheme="minorHAnsi" w:cstheme="minorHAnsi"/>
                <w:iCs/>
                <w:szCs w:val="22"/>
              </w:rPr>
              <w:t xml:space="preserve"> where questions can be discussed directly with CGN</w:t>
            </w:r>
            <w:r w:rsidR="00CE1FC4">
              <w:rPr>
                <w:rFonts w:asciiTheme="minorHAnsi" w:hAnsiTheme="minorHAnsi" w:cstheme="minorHAnsi"/>
                <w:iCs/>
                <w:szCs w:val="22"/>
              </w:rPr>
              <w:t xml:space="preserve">. </w:t>
            </w:r>
          </w:p>
          <w:p w:rsidR="00243762" w:rsidRPr="002C62C2" w:rsidRDefault="00243762" w:rsidP="0039459B">
            <w:pPr>
              <w:pStyle w:val="TSNumberedParagraph11"/>
              <w:numPr>
                <w:ilvl w:val="0"/>
                <w:numId w:val="35"/>
              </w:numPr>
              <w:jc w:val="both"/>
              <w:rPr>
                <w:rFonts w:asciiTheme="minorHAnsi" w:hAnsiTheme="minorHAnsi" w:cstheme="minorHAnsi"/>
                <w:iCs/>
                <w:sz w:val="20"/>
                <w:szCs w:val="20"/>
              </w:rPr>
            </w:pPr>
            <w:r w:rsidRPr="00243762">
              <w:rPr>
                <w:rFonts w:asciiTheme="minorHAnsi" w:hAnsiTheme="minorHAnsi" w:cstheme="minorHAnsi"/>
                <w:iCs/>
                <w:szCs w:val="22"/>
              </w:rPr>
              <w:t>A close-out meeting will be held upon completion of the contract. This meeting will take place either at the ONR offices in</w:t>
            </w:r>
            <w:r w:rsidR="00406A44">
              <w:rPr>
                <w:rFonts w:asciiTheme="minorHAnsi" w:hAnsiTheme="minorHAnsi" w:cstheme="minorHAnsi"/>
                <w:iCs/>
                <w:szCs w:val="22"/>
              </w:rPr>
              <w:t xml:space="preserve"> Cheltenham</w:t>
            </w:r>
            <w:r w:rsidRPr="00243762">
              <w:rPr>
                <w:rFonts w:asciiTheme="minorHAnsi" w:hAnsiTheme="minorHAnsi" w:cstheme="minorHAnsi"/>
                <w:iCs/>
                <w:szCs w:val="22"/>
              </w:rPr>
              <w:t>, or the contractor offices. Videoconference facilities are also available if necessary.</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AF4C0F" w:rsidRPr="00CC3F9A" w:rsidRDefault="00D30DD5" w:rsidP="0039459B">
            <w:pPr>
              <w:pStyle w:val="TSNumberedParagraph11"/>
              <w:jc w:val="both"/>
              <w:rPr>
                <w:rFonts w:asciiTheme="minorHAnsi" w:hAnsiTheme="minorHAnsi" w:cstheme="minorHAnsi"/>
                <w:iCs/>
                <w:sz w:val="20"/>
                <w:szCs w:val="20"/>
              </w:rPr>
            </w:pPr>
            <w:r w:rsidRPr="00D30DD5">
              <w:rPr>
                <w:rFonts w:asciiTheme="minorHAnsi" w:hAnsiTheme="minorHAnsi" w:cstheme="minorHAnsi"/>
              </w:rPr>
              <w:t xml:space="preserve">In summary, the required outcomes of this work are for </w:t>
            </w:r>
            <w:r w:rsidR="00102176">
              <w:rPr>
                <w:rFonts w:asciiTheme="minorHAnsi" w:hAnsiTheme="minorHAnsi" w:cstheme="minorHAnsi"/>
              </w:rPr>
              <w:t>two formal reports at the end of each phase of work</w:t>
            </w:r>
            <w:r w:rsidR="00CC3F9A">
              <w:rPr>
                <w:rFonts w:asciiTheme="minorHAnsi" w:hAnsiTheme="minorHAnsi" w:cstheme="minorHAnsi"/>
              </w:rPr>
              <w:t xml:space="preserve"> which will</w:t>
            </w:r>
            <w:r w:rsidR="00102176">
              <w:rPr>
                <w:rFonts w:asciiTheme="minorHAnsi" w:hAnsiTheme="minorHAnsi" w:cstheme="minorHAnsi"/>
              </w:rPr>
              <w:t xml:space="preserve"> </w:t>
            </w:r>
            <w:r w:rsidR="00CE1FC4">
              <w:rPr>
                <w:rFonts w:asciiTheme="minorHAnsi" w:hAnsiTheme="minorHAnsi" w:cstheme="minorHAnsi"/>
              </w:rPr>
              <w:t>document</w:t>
            </w:r>
            <w:r w:rsidR="00CE1FC4" w:rsidRPr="00D30DD5">
              <w:rPr>
                <w:rFonts w:asciiTheme="minorHAnsi" w:hAnsiTheme="minorHAnsi" w:cstheme="minorHAnsi"/>
              </w:rPr>
              <w:t xml:space="preserve"> </w:t>
            </w:r>
            <w:r w:rsidRPr="00D30DD5">
              <w:rPr>
                <w:rFonts w:asciiTheme="minorHAnsi" w:hAnsiTheme="minorHAnsi" w:cstheme="minorHAnsi"/>
              </w:rPr>
              <w:t xml:space="preserve">the </w:t>
            </w:r>
            <w:r w:rsidR="00CE1FC4">
              <w:rPr>
                <w:rFonts w:asciiTheme="minorHAnsi" w:hAnsiTheme="minorHAnsi" w:cstheme="minorHAnsi"/>
              </w:rPr>
              <w:t>findings</w:t>
            </w:r>
            <w:r w:rsidR="00CE1FC4" w:rsidRPr="00D30DD5">
              <w:rPr>
                <w:rFonts w:asciiTheme="minorHAnsi" w:hAnsiTheme="minorHAnsi" w:cstheme="minorHAnsi"/>
              </w:rPr>
              <w:t xml:space="preserve"> </w:t>
            </w:r>
            <w:r w:rsidRPr="00D30DD5">
              <w:rPr>
                <w:rFonts w:asciiTheme="minorHAnsi" w:hAnsiTheme="minorHAnsi" w:cstheme="minorHAnsi"/>
              </w:rPr>
              <w:t xml:space="preserve">and conclusions from an independent technical review of evidence presented by the RP. Ultimately the contractor should provide their view on whether the </w:t>
            </w:r>
            <w:r w:rsidR="00406A44">
              <w:rPr>
                <w:rFonts w:asciiTheme="minorHAnsi" w:hAnsiTheme="minorHAnsi" w:cstheme="minorHAnsi"/>
              </w:rPr>
              <w:t>PSA</w:t>
            </w:r>
            <w:r w:rsidRPr="00D30DD5">
              <w:rPr>
                <w:rFonts w:asciiTheme="minorHAnsi" w:hAnsiTheme="minorHAnsi" w:cstheme="minorHAnsi"/>
              </w:rPr>
              <w:t xml:space="preserve"> is adequate</w:t>
            </w:r>
            <w:r w:rsidR="00B125F3">
              <w:rPr>
                <w:rFonts w:asciiTheme="minorHAnsi" w:hAnsiTheme="minorHAnsi" w:cstheme="minorHAnsi"/>
              </w:rPr>
              <w:t xml:space="preserve"> against </w:t>
            </w:r>
            <w:r w:rsidR="00406A44">
              <w:rPr>
                <w:rFonts w:asciiTheme="minorHAnsi" w:hAnsiTheme="minorHAnsi" w:cstheme="minorHAnsi"/>
              </w:rPr>
              <w:t xml:space="preserve">UK regulatory expectations </w:t>
            </w:r>
            <w:r w:rsidR="00B125F3">
              <w:rPr>
                <w:rFonts w:asciiTheme="minorHAnsi" w:hAnsiTheme="minorHAnsi" w:cstheme="minorHAnsi"/>
              </w:rPr>
              <w:t xml:space="preserve">and international good practice, and identify any </w:t>
            </w:r>
            <w:r w:rsidR="00406A44">
              <w:rPr>
                <w:rFonts w:asciiTheme="minorHAnsi" w:hAnsiTheme="minorHAnsi" w:cstheme="minorHAnsi"/>
              </w:rPr>
              <w:t xml:space="preserve">shortfalls </w:t>
            </w:r>
            <w:r w:rsidR="00B125F3">
              <w:rPr>
                <w:rFonts w:asciiTheme="minorHAnsi" w:hAnsiTheme="minorHAnsi" w:cstheme="minorHAnsi"/>
              </w:rPr>
              <w:t>and their significance</w:t>
            </w:r>
            <w:r w:rsidRPr="00D30DD5">
              <w:rPr>
                <w:rFonts w:asciiTheme="minorHAnsi" w:hAnsiTheme="minorHAnsi" w:cstheme="minorHAnsi"/>
              </w:rPr>
              <w:t>.</w:t>
            </w:r>
          </w:p>
          <w:p w:rsidR="00C91551" w:rsidRPr="002C62C2" w:rsidRDefault="00C91551" w:rsidP="0039459B">
            <w:pPr>
              <w:pStyle w:val="TSNumberedParagraph11"/>
              <w:jc w:val="both"/>
              <w:rPr>
                <w:rFonts w:asciiTheme="minorHAnsi" w:hAnsiTheme="minorHAnsi" w:cstheme="minorHAnsi"/>
                <w:iCs/>
                <w:sz w:val="20"/>
                <w:szCs w:val="20"/>
              </w:rPr>
            </w:pPr>
            <w:r>
              <w:rPr>
                <w:rFonts w:asciiTheme="minorHAnsi" w:hAnsiTheme="minorHAnsi" w:cstheme="minorHAnsi"/>
              </w:rPr>
              <w:t>The objectives of the work for this contract are for Step 3</w:t>
            </w:r>
            <w:r w:rsidR="00CC3F9A">
              <w:rPr>
                <w:rFonts w:asciiTheme="minorHAnsi" w:hAnsiTheme="minorHAnsi" w:cstheme="minorHAnsi"/>
              </w:rPr>
              <w:t>s and 4</w:t>
            </w:r>
            <w:r>
              <w:rPr>
                <w:rFonts w:asciiTheme="minorHAnsi" w:hAnsiTheme="minorHAnsi" w:cstheme="minorHAnsi"/>
              </w:rPr>
              <w:t xml:space="preserve"> of the GDA</w:t>
            </w:r>
            <w:r w:rsidR="00CC3F9A">
              <w:rPr>
                <w:rFonts w:asciiTheme="minorHAnsi" w:hAnsiTheme="minorHAnsi" w:cstheme="minorHAnsi"/>
              </w:rPr>
              <w:t xml:space="preserve">. For Step 3 </w:t>
            </w:r>
            <w:r>
              <w:rPr>
                <w:rFonts w:asciiTheme="minorHAnsi" w:hAnsiTheme="minorHAnsi" w:cstheme="minorHAnsi"/>
              </w:rPr>
              <w:t>the review of the PSA is intended to be a wide review of the PSA</w:t>
            </w:r>
            <w:r w:rsidR="00B125F3">
              <w:rPr>
                <w:rFonts w:asciiTheme="minorHAnsi" w:hAnsiTheme="minorHAnsi" w:cstheme="minorHAnsi"/>
              </w:rPr>
              <w:t>, focused on methodologies and key aspects of the PSA</w:t>
            </w:r>
            <w:r>
              <w:rPr>
                <w:rFonts w:asciiTheme="minorHAnsi" w:hAnsiTheme="minorHAnsi" w:cstheme="minorHAnsi"/>
              </w:rPr>
              <w:t xml:space="preserve"> that will provide advice for a</w:t>
            </w:r>
            <w:r w:rsidR="00B125F3">
              <w:rPr>
                <w:rFonts w:asciiTheme="minorHAnsi" w:hAnsiTheme="minorHAnsi" w:cstheme="minorHAnsi"/>
              </w:rPr>
              <w:t>n in</w:t>
            </w:r>
            <w:r>
              <w:rPr>
                <w:rFonts w:asciiTheme="minorHAnsi" w:hAnsiTheme="minorHAnsi" w:cstheme="minorHAnsi"/>
              </w:rPr>
              <w:t xml:space="preserve">-depth sample of important areas to be performed during Step 4. </w:t>
            </w:r>
            <w:r w:rsidR="00B125F3">
              <w:rPr>
                <w:rFonts w:asciiTheme="minorHAnsi" w:hAnsiTheme="minorHAnsi" w:cstheme="minorHAnsi"/>
              </w:rPr>
              <w:t>During Step 4 a risk gap assessment of the findings will be expected to provide the contractors’ independent opinion on the significance of the findings.</w:t>
            </w:r>
          </w:p>
        </w:tc>
      </w:tr>
      <w:tr w:rsidR="00AF4C0F" w:rsidRPr="002C62C2" w:rsidTr="00971BA8">
        <w:trPr>
          <w:jc w:val="center"/>
        </w:trPr>
        <w:tc>
          <w:tcPr>
            <w:tcW w:w="9709" w:type="dxa"/>
          </w:tcPr>
          <w:p w:rsidR="00AF4C0F" w:rsidRPr="00D30DD5" w:rsidRDefault="00AF4C0F" w:rsidP="00971BA8">
            <w:pPr>
              <w:pStyle w:val="TSHeadingNumbered1"/>
              <w:tabs>
                <w:tab w:val="left" w:pos="0"/>
              </w:tabs>
              <w:ind w:left="0" w:firstLine="0"/>
              <w:rPr>
                <w:rFonts w:asciiTheme="minorHAnsi" w:hAnsiTheme="minorHAnsi" w:cstheme="minorHAnsi"/>
                <w:szCs w:val="22"/>
              </w:rPr>
            </w:pPr>
            <w:r w:rsidRPr="00D30DD5">
              <w:rPr>
                <w:rFonts w:asciiTheme="minorHAnsi" w:hAnsiTheme="minorHAnsi" w:cstheme="minorHAnsi"/>
                <w:bCs/>
                <w:szCs w:val="22"/>
              </w:rPr>
              <w:t>CONSTRAINTS</w:t>
            </w:r>
            <w:r w:rsidRPr="00D30DD5">
              <w:rPr>
                <w:rFonts w:asciiTheme="minorHAnsi" w:hAnsiTheme="minorHAnsi" w:cstheme="minorHAnsi"/>
                <w:szCs w:val="22"/>
              </w:rPr>
              <w:t xml:space="preserve"> </w:t>
            </w:r>
          </w:p>
          <w:p w:rsidR="00D30DD5" w:rsidRPr="00D30DD5" w:rsidRDefault="00D30DD5" w:rsidP="00D30DD5">
            <w:pPr>
              <w:pStyle w:val="TSNumberedParagraph11"/>
              <w:rPr>
                <w:rFonts w:asciiTheme="minorHAnsi" w:hAnsiTheme="minorHAnsi" w:cstheme="minorHAnsi"/>
              </w:rPr>
            </w:pPr>
            <w:r w:rsidRPr="00D30DD5">
              <w:rPr>
                <w:rFonts w:asciiTheme="minorHAnsi" w:hAnsiTheme="minorHAnsi" w:cstheme="minorHAnsi"/>
              </w:rPr>
              <w:t>The following constraints will apply:</w:t>
            </w:r>
          </w:p>
          <w:p w:rsidR="00D30DD5" w:rsidRPr="00D30DD5"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The work is expected to start and conclude in accordance with the overall timescales given above, and a project programme will be agreed with the contractor upon contract award.</w:t>
            </w:r>
          </w:p>
          <w:p w:rsidR="00D30DD5" w:rsidRPr="00D30DD5"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ONR will provide the latest versions of any relevant documentation submitted by the RP. Further information will need to be identified and requested by the contractor through technical questions (via ONR). The timescales for both of these processes are largely outside of ONR’s direct control and therefore delays to the receipt of information may occur. Similarly the quality of any response cannot be guaranteed. A pragmatic and flexible approach will need to be adopted by the contractor to deal with this, both technically and contractually.</w:t>
            </w:r>
          </w:p>
          <w:p w:rsidR="00D30DD5" w:rsidRPr="00D30DD5"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It is expected that the successful contractor will also draw upon their experience, resources and publically available information to perform this work.</w:t>
            </w:r>
          </w:p>
          <w:p w:rsidR="00D30DD5" w:rsidRPr="00D33C22"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 xml:space="preserve">All information received from the RP will need to be treated in accordance with the ONR Technical Support Contact Framework agreement and non-disclosure agreement. The information or a certificate of destruction will need to be returned to ONR at the end of </w:t>
            </w:r>
            <w:r w:rsidRPr="00D33C22">
              <w:rPr>
                <w:rFonts w:asciiTheme="minorHAnsi" w:hAnsiTheme="minorHAnsi" w:cstheme="minorHAnsi"/>
              </w:rPr>
              <w:lastRenderedPageBreak/>
              <w:t>the contract.</w:t>
            </w:r>
          </w:p>
          <w:p w:rsidR="00D30DD5" w:rsidRPr="00D33C22" w:rsidRDefault="00D30DD5" w:rsidP="0039459B">
            <w:pPr>
              <w:pStyle w:val="TSBullet1Square"/>
              <w:spacing w:after="0"/>
              <w:jc w:val="both"/>
              <w:rPr>
                <w:rFonts w:asciiTheme="minorHAnsi" w:hAnsiTheme="minorHAnsi" w:cstheme="minorHAnsi"/>
              </w:rPr>
            </w:pPr>
            <w:r w:rsidRPr="00D33C22">
              <w:rPr>
                <w:rFonts w:asciiTheme="minorHAnsi" w:hAnsiTheme="minorHAnsi" w:cstheme="minorHAnsi"/>
              </w:rPr>
              <w:t>The arrangements for security vetting and IT security established in the Technical Support Contract framework agreement will need to be followed. No information with a security marking above UK OFFICAL - SENSITIVE is anticipated as part of this contract. Most information will carry the RP’s commercial marking.</w:t>
            </w:r>
          </w:p>
          <w:p w:rsidR="00D30DD5" w:rsidRPr="00D30DD5"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The contractor and where applicable, its sub-contractors, will need to provide assurances that it has, or is able to obtain, all necessary export control licenses, where required to transfer relevant information out of the UK and return it.</w:t>
            </w:r>
          </w:p>
          <w:p w:rsidR="00D30DD5" w:rsidRPr="00D30DD5"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 xml:space="preserve">The transmittal of all documents between ONR and the contractor will be through ONR's Joint Programme Office (JPO). This will be through encrypted DVDs, regardless of the security marking (unless the documents are publically available on the internet). </w:t>
            </w:r>
          </w:p>
          <w:p w:rsidR="00D30DD5" w:rsidRPr="00D30DD5"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Any conflict of interest should be declared. Where a potential conflict exists, the contractor should describe how this will be managed.</w:t>
            </w:r>
          </w:p>
          <w:p w:rsidR="00D30DD5" w:rsidRPr="00D30DD5"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rsidR="00AF4C0F" w:rsidRDefault="00D30DD5" w:rsidP="0039459B">
            <w:pPr>
              <w:pStyle w:val="TSBullet1Square"/>
              <w:spacing w:after="0"/>
              <w:jc w:val="both"/>
              <w:rPr>
                <w:rFonts w:asciiTheme="minorHAnsi" w:hAnsiTheme="minorHAnsi" w:cstheme="minorHAnsi"/>
              </w:rPr>
            </w:pPr>
            <w:r w:rsidRPr="00D30DD5">
              <w:rPr>
                <w:rFonts w:asciiTheme="minorHAnsi" w:hAnsiTheme="minorHAnsi" w:cstheme="minorHAnsi"/>
              </w:rPr>
              <w:t xml:space="preserve">It is not ONR’s intention to publish the </w:t>
            </w:r>
            <w:r w:rsidR="00AD171E">
              <w:rPr>
                <w:rFonts w:asciiTheme="minorHAnsi" w:hAnsiTheme="minorHAnsi" w:cstheme="minorHAnsi"/>
              </w:rPr>
              <w:t xml:space="preserve">final </w:t>
            </w:r>
            <w:r w:rsidRPr="00D30DD5">
              <w:rPr>
                <w:rFonts w:asciiTheme="minorHAnsi" w:hAnsiTheme="minorHAnsi" w:cstheme="minorHAnsi"/>
              </w:rPr>
              <w:t>report</w:t>
            </w:r>
            <w:r w:rsidR="00AD171E">
              <w:rPr>
                <w:rFonts w:asciiTheme="minorHAnsi" w:hAnsiTheme="minorHAnsi" w:cstheme="minorHAnsi"/>
              </w:rPr>
              <w:t xml:space="preserve"> or memos</w:t>
            </w:r>
            <w:r w:rsidRPr="00D30DD5">
              <w:rPr>
                <w:rFonts w:asciiTheme="minorHAnsi" w:hAnsiTheme="minorHAnsi" w:cstheme="minorHAnsi"/>
              </w:rPr>
              <w:t xml:space="preserve"> produced through this contract. However, it is likely they will be referenced in publically available reports and therefore subject to freedom of information requests. This should not constrain or limit the produced reports but should be taken into account with the style and format.</w:t>
            </w:r>
          </w:p>
          <w:p w:rsidR="007F3A93" w:rsidRDefault="007F3A93" w:rsidP="0039459B">
            <w:pPr>
              <w:pStyle w:val="TSBullet1Square"/>
              <w:jc w:val="both"/>
              <w:rPr>
                <w:rFonts w:asciiTheme="minorHAnsi" w:hAnsiTheme="minorHAnsi" w:cstheme="minorHAnsi"/>
              </w:rPr>
            </w:pPr>
            <w:r w:rsidRPr="007F3A93">
              <w:rPr>
                <w:rFonts w:asciiTheme="minorHAnsi" w:hAnsiTheme="minorHAnsi" w:cstheme="minorHAnsi"/>
              </w:rPr>
              <w:t>Any constraints in relation to completing this work should be declared. Where such constraints exist, the contractor should describe how these will be managed. Examples of such constraints, include, but are not limited to, constraints imposed by code developers/owners on the use of their codes or the availability or use of third-party information.</w:t>
            </w:r>
          </w:p>
          <w:p w:rsidR="00D30DD5" w:rsidRPr="00D30DD5" w:rsidRDefault="00D30DD5" w:rsidP="00D30DD5">
            <w:pPr>
              <w:pStyle w:val="TSBullet1Square"/>
              <w:numPr>
                <w:ilvl w:val="0"/>
                <w:numId w:val="0"/>
              </w:numPr>
              <w:spacing w:after="0"/>
              <w:ind w:left="1440"/>
              <w:rPr>
                <w:rFonts w:asciiTheme="minorHAnsi" w:hAnsiTheme="minorHAnsi" w:cstheme="minorHAnsi"/>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AF4C0F" w:rsidRPr="00D30DD5" w:rsidRDefault="00AF4C0F" w:rsidP="00C91551">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 xml:space="preserve">ONR will require to be kept updated about progress and delivery of the required work </w:t>
            </w:r>
            <w:r w:rsidR="00491956">
              <w:rPr>
                <w:rFonts w:asciiTheme="minorHAnsi" w:hAnsiTheme="minorHAnsi" w:cstheme="minorHAnsi"/>
              </w:rPr>
              <w:t xml:space="preserve">in accordance with the Framework arrangements. This should include </w:t>
            </w:r>
            <w:r w:rsidRPr="002C62C2">
              <w:rPr>
                <w:rFonts w:asciiTheme="minorHAnsi" w:hAnsiTheme="minorHAnsi" w:cstheme="minorHAnsi"/>
              </w:rPr>
              <w:t>monthly meetings</w:t>
            </w:r>
            <w:r w:rsidR="00C91551">
              <w:rPr>
                <w:rFonts w:asciiTheme="minorHAnsi" w:hAnsiTheme="minorHAnsi" w:cstheme="minorHAnsi"/>
              </w:rPr>
              <w:t xml:space="preserve"> and</w:t>
            </w:r>
            <w:r w:rsidRPr="002C62C2">
              <w:rPr>
                <w:rFonts w:asciiTheme="minorHAnsi" w:hAnsiTheme="minorHAnsi" w:cstheme="minorHAnsi"/>
              </w:rPr>
              <w:t xml:space="preserve"> a contract start-up meeting at ONR’s offices</w:t>
            </w:r>
            <w:r w:rsidR="00491956">
              <w:rPr>
                <w:rFonts w:asciiTheme="minorHAnsi" w:hAnsiTheme="minorHAnsi" w:cstheme="minorHAnsi"/>
              </w:rPr>
              <w:t>, or the contractors’ offices</w:t>
            </w:r>
            <w:r w:rsidRPr="002C62C2">
              <w:rPr>
                <w:rFonts w:asciiTheme="minorHAnsi" w:hAnsiTheme="minorHAnsi" w:cstheme="minorHAnsi"/>
              </w:rPr>
              <w:t xml:space="preserve">. </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491956">
              <w:rPr>
                <w:rFonts w:asciiTheme="minorHAnsi" w:hAnsiTheme="minorHAnsi" w:cstheme="minorHAnsi"/>
              </w:rPr>
              <w:t>:</w:t>
            </w:r>
            <w:r w:rsidRPr="002C62C2">
              <w:rPr>
                <w:rFonts w:asciiTheme="minorHAnsi" w:hAnsiTheme="minorHAnsi" w:cstheme="minorHAnsi"/>
              </w:rPr>
              <w:t xml:space="preserve"> </w:t>
            </w:r>
          </w:p>
          <w:p w:rsidR="00971BA8" w:rsidRPr="00491956" w:rsidRDefault="00971BA8" w:rsidP="00491956">
            <w:pPr>
              <w:pStyle w:val="TSBullet1Square"/>
              <w:spacing w:after="0"/>
              <w:rPr>
                <w:rFonts w:asciiTheme="minorHAnsi" w:hAnsiTheme="minorHAnsi" w:cstheme="minorHAnsi"/>
              </w:rPr>
            </w:pPr>
            <w:r w:rsidRPr="002C62C2">
              <w:rPr>
                <w:rFonts w:asciiTheme="minorHAnsi" w:hAnsiTheme="minorHAnsi" w:cstheme="minorHAnsi"/>
              </w:rPr>
              <w:t xml:space="preserve">a </w:t>
            </w:r>
            <w:r w:rsidRPr="00491956">
              <w:rPr>
                <w:rFonts w:asciiTheme="minorHAnsi" w:hAnsiTheme="minorHAnsi" w:cstheme="minorHAnsi"/>
              </w:rPr>
              <w:t>description of how you will deliver the scope of work (methodology) and the proposed delivery team you will use, clearly signposting to relevant sections within your Capability Prospectus where appropriate/relevant ;</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a description of proposed deliverables and/or outputs</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an outline of anticipated engagement (project meetings &amp; management)</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 xml:space="preserve">details of proposed cost and associated effort assumptions </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 xml:space="preserve">a project delivery plan showing activities and milestones </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a planned invoice schedule</w:t>
            </w:r>
          </w:p>
          <w:p w:rsidR="00B642E6" w:rsidRPr="00E96B3B" w:rsidRDefault="00971BA8" w:rsidP="00B642E6">
            <w:pPr>
              <w:pStyle w:val="TSBullet1Square"/>
              <w:spacing w:after="0"/>
              <w:rPr>
                <w:rFonts w:asciiTheme="minorHAnsi" w:hAnsiTheme="minorHAnsi" w:cstheme="minorHAnsi"/>
                <w:b/>
                <w:iCs/>
                <w:color w:val="FFFFFF" w:themeColor="background1"/>
                <w:sz w:val="24"/>
              </w:rPr>
            </w:pPr>
            <w:r w:rsidRPr="00491956">
              <w:rPr>
                <w:rFonts w:asciiTheme="minorHAnsi" w:hAnsiTheme="minorHAnsi" w:cstheme="minorHAnsi"/>
              </w:rPr>
              <w:t>details of any assumptions or constraints</w:t>
            </w:r>
          </w:p>
          <w:p w:rsidR="00027CF0" w:rsidRPr="00027CF0" w:rsidRDefault="00560486" w:rsidP="00B642E6">
            <w:pPr>
              <w:pStyle w:val="TSBullet1Square"/>
              <w:spacing w:after="0"/>
              <w:rPr>
                <w:rFonts w:asciiTheme="minorHAnsi" w:hAnsiTheme="minorHAnsi" w:cstheme="minorHAnsi"/>
                <w:b/>
                <w:iCs/>
                <w:color w:val="FFFFFF" w:themeColor="background1"/>
                <w:sz w:val="24"/>
              </w:rPr>
            </w:pPr>
            <w:r>
              <w:rPr>
                <w:rFonts w:asciiTheme="minorHAnsi" w:hAnsiTheme="minorHAnsi" w:cstheme="minorHAnsi"/>
              </w:rPr>
              <w:t>details of the team expertise in</w:t>
            </w:r>
            <w:r w:rsidR="00027CF0">
              <w:rPr>
                <w:rFonts w:asciiTheme="minorHAnsi" w:hAnsiTheme="minorHAnsi" w:cstheme="minorHAnsi"/>
              </w:rPr>
              <w:t xml:space="preserve"> all areas of</w:t>
            </w:r>
            <w:r>
              <w:rPr>
                <w:rFonts w:asciiTheme="minorHAnsi" w:hAnsiTheme="minorHAnsi" w:cstheme="minorHAnsi"/>
              </w:rPr>
              <w:t xml:space="preserve"> PSA</w:t>
            </w:r>
            <w:r w:rsidR="00027CF0">
              <w:rPr>
                <w:rFonts w:asciiTheme="minorHAnsi" w:hAnsiTheme="minorHAnsi" w:cstheme="minorHAnsi"/>
              </w:rPr>
              <w:t xml:space="preserve"> including Level 1, Level 2, SFP, internal hazards, external hazards</w:t>
            </w:r>
            <w:r w:rsidR="00B125F3">
              <w:rPr>
                <w:rFonts w:asciiTheme="minorHAnsi" w:hAnsiTheme="minorHAnsi" w:cstheme="minorHAnsi"/>
              </w:rPr>
              <w:t>, seismic PSA</w:t>
            </w:r>
            <w:r>
              <w:rPr>
                <w:rFonts w:asciiTheme="minorHAnsi" w:hAnsiTheme="minorHAnsi" w:cstheme="minorHAnsi"/>
              </w:rPr>
              <w:t>,</w:t>
            </w:r>
            <w:r w:rsidR="00B125F3">
              <w:rPr>
                <w:rFonts w:asciiTheme="minorHAnsi" w:hAnsiTheme="minorHAnsi" w:cstheme="minorHAnsi"/>
              </w:rPr>
              <w:t xml:space="preserve"> and</w:t>
            </w:r>
            <w:r>
              <w:rPr>
                <w:rFonts w:asciiTheme="minorHAnsi" w:hAnsiTheme="minorHAnsi" w:cstheme="minorHAnsi"/>
              </w:rPr>
              <w:t xml:space="preserve"> in Risk Spectrum </w:t>
            </w:r>
          </w:p>
          <w:p w:rsidR="00560486" w:rsidRPr="00897C0E" w:rsidRDefault="00A3739F" w:rsidP="00B642E6">
            <w:pPr>
              <w:pStyle w:val="TSBullet1Square"/>
              <w:spacing w:after="0"/>
              <w:rPr>
                <w:rFonts w:asciiTheme="minorHAnsi" w:hAnsiTheme="minorHAnsi" w:cstheme="minorHAnsi"/>
                <w:b/>
                <w:iCs/>
                <w:color w:val="FFFFFF" w:themeColor="background1"/>
                <w:sz w:val="24"/>
              </w:rPr>
            </w:pPr>
            <w:r>
              <w:rPr>
                <w:rFonts w:asciiTheme="minorHAnsi" w:hAnsiTheme="minorHAnsi" w:cstheme="minorHAnsi"/>
              </w:rPr>
              <w:t xml:space="preserve">details of your </w:t>
            </w:r>
            <w:r w:rsidR="00560486">
              <w:rPr>
                <w:rFonts w:asciiTheme="minorHAnsi" w:hAnsiTheme="minorHAnsi" w:cstheme="minorHAnsi"/>
              </w:rPr>
              <w:t>familiarity with PWR PSA</w:t>
            </w:r>
          </w:p>
          <w:p w:rsidR="007F3A93" w:rsidRPr="007F3A93" w:rsidRDefault="007F3A93" w:rsidP="007F3A93">
            <w:pPr>
              <w:pStyle w:val="TSBullet1Square"/>
              <w:rPr>
                <w:rFonts w:asciiTheme="minorHAnsi" w:hAnsiTheme="minorHAnsi" w:cstheme="minorHAnsi"/>
              </w:rPr>
            </w:pPr>
            <w:r w:rsidRPr="007F3A93">
              <w:rPr>
                <w:rFonts w:asciiTheme="minorHAnsi" w:hAnsiTheme="minorHAnsi" w:cstheme="minorHAnsi"/>
              </w:rPr>
              <w:t>experience working with nuclear regulators, in the UK or internationally</w:t>
            </w:r>
          </w:p>
          <w:p w:rsidR="00047E77" w:rsidRPr="00047E77" w:rsidRDefault="007F3A93" w:rsidP="007F3A93">
            <w:pPr>
              <w:pStyle w:val="TSBullet1Square"/>
              <w:rPr>
                <w:rFonts w:asciiTheme="minorHAnsi" w:hAnsiTheme="minorHAnsi" w:cstheme="minorHAnsi"/>
                <w:b/>
                <w:iCs/>
                <w:color w:val="FFFFFF" w:themeColor="background1"/>
                <w:sz w:val="24"/>
              </w:rPr>
            </w:pPr>
            <w:r w:rsidRPr="007F3A93">
              <w:rPr>
                <w:rFonts w:asciiTheme="minorHAnsi" w:hAnsiTheme="minorHAnsi" w:cstheme="minorHAnsi"/>
              </w:rPr>
              <w:lastRenderedPageBreak/>
              <w:t>experience developing PSA models and reviewing PSA models developed by other organisations</w:t>
            </w:r>
          </w:p>
        </w:tc>
      </w:tr>
    </w:tbl>
    <w:p w:rsidR="00D75DA2" w:rsidRPr="002C62C2" w:rsidRDefault="00D75DA2" w:rsidP="00B642E6">
      <w:pPr>
        <w:rPr>
          <w:rFonts w:asciiTheme="minorHAnsi" w:hAnsiTheme="minorHAnsi" w:cstheme="minorHAnsi"/>
        </w:rPr>
      </w:pPr>
    </w:p>
    <w:sectPr w:rsidR="00D75DA2" w:rsidRPr="002C62C2" w:rsidSect="001E082F">
      <w:headerReference w:type="default" r:id="rId10"/>
      <w:footerReference w:type="default" r:id="rId11"/>
      <w:headerReference w:type="first" r:id="rId12"/>
      <w:footerReference w:type="first" r:id="rId13"/>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uA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6A7" w:rsidRDefault="00B106A7">
      <w:r>
        <w:separator/>
      </w:r>
    </w:p>
  </w:endnote>
  <w:endnote w:type="continuationSeparator" w:id="0">
    <w:p w:rsidR="00B106A7" w:rsidRDefault="00B1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491956" w:rsidP="00BC5FC8">
    <w:pPr>
      <w:pStyle w:val="Header"/>
      <w:jc w:val="center"/>
      <w:rPr>
        <w:b/>
        <w:color w:val="006D68"/>
        <w:sz w:val="14"/>
        <w:szCs w:val="14"/>
      </w:rPr>
    </w:pPr>
    <w:r>
      <w:rPr>
        <w:b/>
        <w:color w:val="006D68"/>
        <w:sz w:val="20"/>
        <w:szCs w:val="20"/>
      </w:rPr>
      <w:t>OFFICAL</w:t>
    </w: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894469">
      <w:rPr>
        <w:b/>
        <w:noProof/>
        <w:color w:val="006D68"/>
        <w:sz w:val="14"/>
        <w:szCs w:val="14"/>
      </w:rPr>
      <w:t>8</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894469">
      <w:rPr>
        <w:b/>
        <w:noProof/>
        <w:color w:val="006D68"/>
        <w:sz w:val="14"/>
        <w:szCs w:val="14"/>
      </w:rPr>
      <w:t>8</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491956" w:rsidP="007D545C">
    <w:pPr>
      <w:pStyle w:val="Header"/>
      <w:jc w:val="center"/>
      <w:rPr>
        <w:b/>
        <w:color w:val="006D68"/>
        <w:sz w:val="14"/>
        <w:szCs w:val="14"/>
      </w:rPr>
    </w:pPr>
    <w:r>
      <w:rPr>
        <w:b/>
        <w:color w:val="006D68"/>
        <w:sz w:val="24"/>
        <w:szCs w:val="14"/>
      </w:rPr>
      <w:t>OFFICIAL</w:t>
    </w: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894469">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894469">
      <w:rPr>
        <w:b/>
        <w:noProof/>
        <w:color w:val="006D68"/>
        <w:sz w:val="14"/>
        <w:szCs w:val="14"/>
      </w:rPr>
      <w:t>8</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6A7" w:rsidRDefault="00B106A7">
      <w:r>
        <w:separator/>
      </w:r>
    </w:p>
  </w:footnote>
  <w:footnote w:type="continuationSeparator" w:id="0">
    <w:p w:rsidR="00B106A7" w:rsidRDefault="00B10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Pr="00AF4C0F" w:rsidRDefault="00491956" w:rsidP="007D545C">
    <w:pPr>
      <w:pStyle w:val="Header"/>
      <w:jc w:val="center"/>
      <w:rPr>
        <w:b/>
        <w:color w:val="006D68"/>
        <w:sz w:val="20"/>
        <w:szCs w:val="20"/>
      </w:rPr>
    </w:pPr>
    <w:r>
      <w:rPr>
        <w:b/>
        <w:color w:val="006D68"/>
        <w:sz w:val="20"/>
        <w:szCs w:val="20"/>
      </w:rPr>
      <w:t>OFFICIAL</w:t>
    </w: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607B896F" wp14:editId="7E544D39">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39459B" w:rsidRDefault="0039459B" w:rsidP="00457068">
    <w:pPr>
      <w:pStyle w:val="Header"/>
      <w:jc w:val="right"/>
      <w:rPr>
        <w:b/>
        <w:sz w:val="20"/>
        <w:szCs w:val="20"/>
      </w:rPr>
    </w:pPr>
    <w:r>
      <w:rPr>
        <w:b/>
        <w:sz w:val="20"/>
        <w:szCs w:val="20"/>
      </w:rPr>
      <w:t>Schedule A</w:t>
    </w:r>
  </w:p>
  <w:p w:rsidR="00A25EB0" w:rsidRPr="00C754D7" w:rsidRDefault="0039459B" w:rsidP="00457068">
    <w:pPr>
      <w:pStyle w:val="Header"/>
      <w:jc w:val="right"/>
      <w:rPr>
        <w:b/>
        <w:sz w:val="20"/>
        <w:szCs w:val="20"/>
      </w:rPr>
    </w:pPr>
    <w:r>
      <w:rPr>
        <w:b/>
        <w:sz w:val="20"/>
        <w:szCs w:val="20"/>
      </w:rPr>
      <w:t>ONR/T3394</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0358E7"/>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5">
    <w:nsid w:val="0E5A3A89"/>
    <w:multiLevelType w:val="hybridMultilevel"/>
    <w:tmpl w:val="A3E410C0"/>
    <w:lvl w:ilvl="0" w:tplc="130870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9B22BE"/>
    <w:multiLevelType w:val="hybridMultilevel"/>
    <w:tmpl w:val="069CD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2">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4">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7">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9">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EB547ED"/>
    <w:multiLevelType w:val="hybridMultilevel"/>
    <w:tmpl w:val="3FC025DE"/>
    <w:lvl w:ilvl="0" w:tplc="08090001">
      <w:start w:val="1"/>
      <w:numFmt w:val="bullet"/>
      <w:lvlText w:val=""/>
      <w:lvlJc w:val="left"/>
      <w:pPr>
        <w:ind w:left="2127" w:hanging="360"/>
      </w:pPr>
      <w:rPr>
        <w:rFonts w:ascii="Symbol" w:hAnsi="Symbol" w:hint="default"/>
      </w:rPr>
    </w:lvl>
    <w:lvl w:ilvl="1" w:tplc="08090003">
      <w:start w:val="1"/>
      <w:numFmt w:val="bullet"/>
      <w:lvlText w:val="o"/>
      <w:lvlJc w:val="left"/>
      <w:pPr>
        <w:ind w:left="2847" w:hanging="360"/>
      </w:pPr>
      <w:rPr>
        <w:rFonts w:ascii="Courier New" w:hAnsi="Courier New" w:cs="Courier New" w:hint="default"/>
      </w:rPr>
    </w:lvl>
    <w:lvl w:ilvl="2" w:tplc="08090005" w:tentative="1">
      <w:start w:val="1"/>
      <w:numFmt w:val="bullet"/>
      <w:lvlText w:val=""/>
      <w:lvlJc w:val="left"/>
      <w:pPr>
        <w:ind w:left="3567" w:hanging="360"/>
      </w:pPr>
      <w:rPr>
        <w:rFonts w:ascii="Wingdings" w:hAnsi="Wingdings" w:hint="default"/>
      </w:rPr>
    </w:lvl>
    <w:lvl w:ilvl="3" w:tplc="08090001" w:tentative="1">
      <w:start w:val="1"/>
      <w:numFmt w:val="bullet"/>
      <w:lvlText w:val=""/>
      <w:lvlJc w:val="left"/>
      <w:pPr>
        <w:ind w:left="4287" w:hanging="360"/>
      </w:pPr>
      <w:rPr>
        <w:rFonts w:ascii="Symbol" w:hAnsi="Symbol" w:hint="default"/>
      </w:rPr>
    </w:lvl>
    <w:lvl w:ilvl="4" w:tplc="08090003" w:tentative="1">
      <w:start w:val="1"/>
      <w:numFmt w:val="bullet"/>
      <w:lvlText w:val="o"/>
      <w:lvlJc w:val="left"/>
      <w:pPr>
        <w:ind w:left="5007" w:hanging="360"/>
      </w:pPr>
      <w:rPr>
        <w:rFonts w:ascii="Courier New" w:hAnsi="Courier New" w:cs="Courier New" w:hint="default"/>
      </w:rPr>
    </w:lvl>
    <w:lvl w:ilvl="5" w:tplc="08090005" w:tentative="1">
      <w:start w:val="1"/>
      <w:numFmt w:val="bullet"/>
      <w:lvlText w:val=""/>
      <w:lvlJc w:val="left"/>
      <w:pPr>
        <w:ind w:left="5727" w:hanging="360"/>
      </w:pPr>
      <w:rPr>
        <w:rFonts w:ascii="Wingdings" w:hAnsi="Wingdings" w:hint="default"/>
      </w:rPr>
    </w:lvl>
    <w:lvl w:ilvl="6" w:tplc="08090001" w:tentative="1">
      <w:start w:val="1"/>
      <w:numFmt w:val="bullet"/>
      <w:lvlText w:val=""/>
      <w:lvlJc w:val="left"/>
      <w:pPr>
        <w:ind w:left="6447" w:hanging="360"/>
      </w:pPr>
      <w:rPr>
        <w:rFonts w:ascii="Symbol" w:hAnsi="Symbol" w:hint="default"/>
      </w:rPr>
    </w:lvl>
    <w:lvl w:ilvl="7" w:tplc="08090003" w:tentative="1">
      <w:start w:val="1"/>
      <w:numFmt w:val="bullet"/>
      <w:lvlText w:val="o"/>
      <w:lvlJc w:val="left"/>
      <w:pPr>
        <w:ind w:left="7167" w:hanging="360"/>
      </w:pPr>
      <w:rPr>
        <w:rFonts w:ascii="Courier New" w:hAnsi="Courier New" w:cs="Courier New" w:hint="default"/>
      </w:rPr>
    </w:lvl>
    <w:lvl w:ilvl="8" w:tplc="08090005" w:tentative="1">
      <w:start w:val="1"/>
      <w:numFmt w:val="bullet"/>
      <w:lvlText w:val=""/>
      <w:lvlJc w:val="left"/>
      <w:pPr>
        <w:ind w:left="7887" w:hanging="360"/>
      </w:pPr>
      <w:rPr>
        <w:rFonts w:ascii="Wingdings" w:hAnsi="Wingdings" w:hint="default"/>
      </w:rPr>
    </w:lvl>
  </w:abstractNum>
  <w:abstractNum w:abstractNumId="21">
    <w:nsid w:val="4F745295"/>
    <w:multiLevelType w:val="hybridMultilevel"/>
    <w:tmpl w:val="AC6E7C36"/>
    <w:lvl w:ilvl="0" w:tplc="DE503C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20E22E7"/>
    <w:multiLevelType w:val="hybridMultilevel"/>
    <w:tmpl w:val="7494D69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4">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8">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2">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18"/>
  </w:num>
  <w:num w:numId="4">
    <w:abstractNumId w:val="0"/>
  </w:num>
  <w:num w:numId="5">
    <w:abstractNumId w:val="16"/>
  </w:num>
  <w:num w:numId="6">
    <w:abstractNumId w:val="32"/>
  </w:num>
  <w:num w:numId="7">
    <w:abstractNumId w:val="27"/>
  </w:num>
  <w:num w:numId="8">
    <w:abstractNumId w:val="24"/>
  </w:num>
  <w:num w:numId="9">
    <w:abstractNumId w:val="33"/>
  </w:num>
  <w:num w:numId="10">
    <w:abstractNumId w:val="2"/>
  </w:num>
  <w:num w:numId="11">
    <w:abstractNumId w:val="9"/>
  </w:num>
  <w:num w:numId="12">
    <w:abstractNumId w:val="12"/>
  </w:num>
  <w:num w:numId="13">
    <w:abstractNumId w:val="1"/>
  </w:num>
  <w:num w:numId="14">
    <w:abstractNumId w:val="25"/>
  </w:num>
  <w:num w:numId="15">
    <w:abstractNumId w:val="14"/>
  </w:num>
  <w:num w:numId="16">
    <w:abstractNumId w:val="30"/>
  </w:num>
  <w:num w:numId="17">
    <w:abstractNumId w:val="10"/>
  </w:num>
  <w:num w:numId="18">
    <w:abstractNumId w:val="19"/>
  </w:num>
  <w:num w:numId="19">
    <w:abstractNumId w:val="17"/>
  </w:num>
  <w:num w:numId="20">
    <w:abstractNumId w:val="4"/>
  </w:num>
  <w:num w:numId="21">
    <w:abstractNumId w:val="31"/>
  </w:num>
  <w:num w:numId="22">
    <w:abstractNumId w:val="6"/>
  </w:num>
  <w:num w:numId="23">
    <w:abstractNumId w:val="26"/>
  </w:num>
  <w:num w:numId="24">
    <w:abstractNumId w:val="28"/>
  </w:num>
  <w:num w:numId="25">
    <w:abstractNumId w:val="15"/>
  </w:num>
  <w:num w:numId="26">
    <w:abstractNumId w:val="7"/>
  </w:num>
  <w:num w:numId="27">
    <w:abstractNumId w:val="13"/>
  </w:num>
  <w:num w:numId="28">
    <w:abstractNumId w:val="29"/>
  </w:num>
  <w:num w:numId="29">
    <w:abstractNumId w:val="23"/>
  </w:num>
  <w:num w:numId="30">
    <w:abstractNumId w:val="30"/>
  </w:num>
  <w:num w:numId="31">
    <w:abstractNumId w:val="12"/>
  </w:num>
  <w:num w:numId="32">
    <w:abstractNumId w:val="3"/>
  </w:num>
  <w:num w:numId="33">
    <w:abstractNumId w:val="22"/>
  </w:num>
  <w:num w:numId="34">
    <w:abstractNumId w:val="12"/>
  </w:num>
  <w:num w:numId="35">
    <w:abstractNumId w:val="20"/>
  </w:num>
  <w:num w:numId="36">
    <w:abstractNumId w:val="12"/>
  </w:num>
  <w:num w:numId="37">
    <w:abstractNumId w:val="5"/>
  </w:num>
  <w:num w:numId="38">
    <w:abstractNumId w:val="21"/>
  </w:num>
  <w:num w:numId="39">
    <w:abstractNumId w:val="8"/>
  </w:num>
  <w:num w:numId="40">
    <w:abstractNumId w:val="30"/>
  </w:num>
  <w:num w:numId="41">
    <w:abstractNumId w:val="30"/>
  </w:num>
  <w:num w:numId="42">
    <w:abstractNumId w:val="30"/>
  </w:num>
  <w:num w:numId="43">
    <w:abstractNumId w:val="3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27CF0"/>
    <w:rsid w:val="00030D3C"/>
    <w:rsid w:val="000312D3"/>
    <w:rsid w:val="0003496C"/>
    <w:rsid w:val="000375D1"/>
    <w:rsid w:val="00042351"/>
    <w:rsid w:val="00047E77"/>
    <w:rsid w:val="00051CB6"/>
    <w:rsid w:val="0005217B"/>
    <w:rsid w:val="000715BD"/>
    <w:rsid w:val="00096F71"/>
    <w:rsid w:val="000A7376"/>
    <w:rsid w:val="000B0109"/>
    <w:rsid w:val="000B1830"/>
    <w:rsid w:val="000B4E40"/>
    <w:rsid w:val="000C6BD6"/>
    <w:rsid w:val="000D6244"/>
    <w:rsid w:val="00102176"/>
    <w:rsid w:val="00121C8F"/>
    <w:rsid w:val="00131ECC"/>
    <w:rsid w:val="00140672"/>
    <w:rsid w:val="00144CEA"/>
    <w:rsid w:val="00164F4F"/>
    <w:rsid w:val="001834A3"/>
    <w:rsid w:val="00193C9A"/>
    <w:rsid w:val="001A58B1"/>
    <w:rsid w:val="001B2C16"/>
    <w:rsid w:val="001C3DB8"/>
    <w:rsid w:val="001D78A1"/>
    <w:rsid w:val="001E082F"/>
    <w:rsid w:val="001F2DE4"/>
    <w:rsid w:val="00200CB7"/>
    <w:rsid w:val="002105EA"/>
    <w:rsid w:val="0021074A"/>
    <w:rsid w:val="00216018"/>
    <w:rsid w:val="00243762"/>
    <w:rsid w:val="0028011F"/>
    <w:rsid w:val="002824BD"/>
    <w:rsid w:val="0028356A"/>
    <w:rsid w:val="00297401"/>
    <w:rsid w:val="002C614D"/>
    <w:rsid w:val="002C62C2"/>
    <w:rsid w:val="002D145C"/>
    <w:rsid w:val="002D1BA5"/>
    <w:rsid w:val="002F52E8"/>
    <w:rsid w:val="0031706E"/>
    <w:rsid w:val="003253C4"/>
    <w:rsid w:val="003312C7"/>
    <w:rsid w:val="003346B0"/>
    <w:rsid w:val="00366167"/>
    <w:rsid w:val="0038052B"/>
    <w:rsid w:val="0039459B"/>
    <w:rsid w:val="003B4AA2"/>
    <w:rsid w:val="003B5C2F"/>
    <w:rsid w:val="003C51FB"/>
    <w:rsid w:val="003D005E"/>
    <w:rsid w:val="003E2CA6"/>
    <w:rsid w:val="003E452E"/>
    <w:rsid w:val="00406A44"/>
    <w:rsid w:val="004103F8"/>
    <w:rsid w:val="00457068"/>
    <w:rsid w:val="00460DA9"/>
    <w:rsid w:val="0046689B"/>
    <w:rsid w:val="004750A2"/>
    <w:rsid w:val="00487A22"/>
    <w:rsid w:val="00491956"/>
    <w:rsid w:val="004A7B1B"/>
    <w:rsid w:val="004B4811"/>
    <w:rsid w:val="004B50A7"/>
    <w:rsid w:val="004E2D39"/>
    <w:rsid w:val="004F0A81"/>
    <w:rsid w:val="004F24BC"/>
    <w:rsid w:val="00505F6E"/>
    <w:rsid w:val="005322E6"/>
    <w:rsid w:val="00547FD5"/>
    <w:rsid w:val="005556C6"/>
    <w:rsid w:val="00560486"/>
    <w:rsid w:val="00562F2F"/>
    <w:rsid w:val="00590ABD"/>
    <w:rsid w:val="00591BCC"/>
    <w:rsid w:val="005A1570"/>
    <w:rsid w:val="005A5A87"/>
    <w:rsid w:val="005C7D1E"/>
    <w:rsid w:val="005E3967"/>
    <w:rsid w:val="005F0722"/>
    <w:rsid w:val="005F47C0"/>
    <w:rsid w:val="0060365E"/>
    <w:rsid w:val="00604F23"/>
    <w:rsid w:val="006071D6"/>
    <w:rsid w:val="00664F8E"/>
    <w:rsid w:val="006A09F3"/>
    <w:rsid w:val="006A667F"/>
    <w:rsid w:val="006B2DA6"/>
    <w:rsid w:val="006B72AE"/>
    <w:rsid w:val="006C519A"/>
    <w:rsid w:val="006E6571"/>
    <w:rsid w:val="006E69AF"/>
    <w:rsid w:val="006F1199"/>
    <w:rsid w:val="006F5420"/>
    <w:rsid w:val="007140C0"/>
    <w:rsid w:val="00715C62"/>
    <w:rsid w:val="0072164C"/>
    <w:rsid w:val="007217B5"/>
    <w:rsid w:val="007418EF"/>
    <w:rsid w:val="007B4EE0"/>
    <w:rsid w:val="007D545C"/>
    <w:rsid w:val="007F3A93"/>
    <w:rsid w:val="007F409F"/>
    <w:rsid w:val="007F7246"/>
    <w:rsid w:val="00800C0C"/>
    <w:rsid w:val="00816130"/>
    <w:rsid w:val="008202B2"/>
    <w:rsid w:val="00842FD6"/>
    <w:rsid w:val="00852088"/>
    <w:rsid w:val="00863CDC"/>
    <w:rsid w:val="0087216E"/>
    <w:rsid w:val="00884F7A"/>
    <w:rsid w:val="00891423"/>
    <w:rsid w:val="00894469"/>
    <w:rsid w:val="00897C0E"/>
    <w:rsid w:val="008A510C"/>
    <w:rsid w:val="008A7BDD"/>
    <w:rsid w:val="008B04DB"/>
    <w:rsid w:val="008D71E9"/>
    <w:rsid w:val="008E67CB"/>
    <w:rsid w:val="0091041C"/>
    <w:rsid w:val="009273EE"/>
    <w:rsid w:val="00932851"/>
    <w:rsid w:val="0095538F"/>
    <w:rsid w:val="0096545C"/>
    <w:rsid w:val="009678DE"/>
    <w:rsid w:val="00971BA8"/>
    <w:rsid w:val="009765DB"/>
    <w:rsid w:val="00987AA6"/>
    <w:rsid w:val="009962B1"/>
    <w:rsid w:val="009B5159"/>
    <w:rsid w:val="009D3CD0"/>
    <w:rsid w:val="009F1070"/>
    <w:rsid w:val="009F1B6F"/>
    <w:rsid w:val="00A10FE0"/>
    <w:rsid w:val="00A1103A"/>
    <w:rsid w:val="00A11CE5"/>
    <w:rsid w:val="00A25EB0"/>
    <w:rsid w:val="00A3739F"/>
    <w:rsid w:val="00A41FDA"/>
    <w:rsid w:val="00A442D1"/>
    <w:rsid w:val="00AB2BB0"/>
    <w:rsid w:val="00AB7147"/>
    <w:rsid w:val="00AD171E"/>
    <w:rsid w:val="00AD5635"/>
    <w:rsid w:val="00AE199F"/>
    <w:rsid w:val="00AF4C0F"/>
    <w:rsid w:val="00B106A7"/>
    <w:rsid w:val="00B125F3"/>
    <w:rsid w:val="00B255B3"/>
    <w:rsid w:val="00B26F62"/>
    <w:rsid w:val="00B43C54"/>
    <w:rsid w:val="00B504F7"/>
    <w:rsid w:val="00B56CCE"/>
    <w:rsid w:val="00B642E6"/>
    <w:rsid w:val="00B81B18"/>
    <w:rsid w:val="00B82490"/>
    <w:rsid w:val="00B91D6A"/>
    <w:rsid w:val="00B9408B"/>
    <w:rsid w:val="00BC24ED"/>
    <w:rsid w:val="00BC5FC8"/>
    <w:rsid w:val="00BE3A37"/>
    <w:rsid w:val="00C15C61"/>
    <w:rsid w:val="00C25583"/>
    <w:rsid w:val="00C605B1"/>
    <w:rsid w:val="00C72D29"/>
    <w:rsid w:val="00C75298"/>
    <w:rsid w:val="00C75A1C"/>
    <w:rsid w:val="00C91551"/>
    <w:rsid w:val="00CA3B14"/>
    <w:rsid w:val="00CA733D"/>
    <w:rsid w:val="00CB3FBF"/>
    <w:rsid w:val="00CC0785"/>
    <w:rsid w:val="00CC3F9A"/>
    <w:rsid w:val="00CC48DC"/>
    <w:rsid w:val="00CC682A"/>
    <w:rsid w:val="00CD7B5F"/>
    <w:rsid w:val="00CE1FC4"/>
    <w:rsid w:val="00CE5958"/>
    <w:rsid w:val="00CE6571"/>
    <w:rsid w:val="00D27AC0"/>
    <w:rsid w:val="00D3061A"/>
    <w:rsid w:val="00D30DD5"/>
    <w:rsid w:val="00D33C22"/>
    <w:rsid w:val="00D55197"/>
    <w:rsid w:val="00D55571"/>
    <w:rsid w:val="00D55FE7"/>
    <w:rsid w:val="00D570AA"/>
    <w:rsid w:val="00D75DA2"/>
    <w:rsid w:val="00D7747E"/>
    <w:rsid w:val="00D97CAB"/>
    <w:rsid w:val="00DA3172"/>
    <w:rsid w:val="00DC6611"/>
    <w:rsid w:val="00DE4417"/>
    <w:rsid w:val="00DF3697"/>
    <w:rsid w:val="00DF41DA"/>
    <w:rsid w:val="00E12A39"/>
    <w:rsid w:val="00E32F3B"/>
    <w:rsid w:val="00E44D3D"/>
    <w:rsid w:val="00E67792"/>
    <w:rsid w:val="00E71B0C"/>
    <w:rsid w:val="00E873D9"/>
    <w:rsid w:val="00E87C8C"/>
    <w:rsid w:val="00E9478E"/>
    <w:rsid w:val="00E96B3B"/>
    <w:rsid w:val="00E97293"/>
    <w:rsid w:val="00EA5EB4"/>
    <w:rsid w:val="00ED5F2B"/>
    <w:rsid w:val="00EF18A6"/>
    <w:rsid w:val="00F977B9"/>
    <w:rsid w:val="00FD0C4A"/>
    <w:rsid w:val="00FE6B21"/>
    <w:rsid w:val="00FE7590"/>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9805-7395-4783-BA0A-CB3A3DDB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3271</Words>
  <Characters>16114</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2019-03-06T11:04:00Z</cp:lastPrinted>
  <dcterms:created xsi:type="dcterms:W3CDTF">2019-07-11T09:30:00Z</dcterms:created>
  <dcterms:modified xsi:type="dcterms:W3CDTF">2019-07-11T09:30:00Z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