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Pr="007F7884">
        <w:rPr>
          <w:rFonts w:ascii="Calibri" w:hAnsi="Calibri" w:cs="Calibri"/>
          <w:b/>
          <w:bCs/>
          <w:color w:val="1F497D"/>
          <w:sz w:val="22"/>
          <w:szCs w:val="22"/>
        </w:rPr>
        <w:t xml:space="preserve">RM6116 Network Services 3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is for use by Contracting Authorities in the United Kingdom, British Overseas Territori</w:t>
      </w:r>
      <w:bookmarkStart w:id="0" w:name="_GoBack"/>
      <w:bookmarkEnd w:id="0"/>
      <w:r>
        <w:rPr>
          <w:rFonts w:ascii="Calibri" w:hAnsi="Calibri" w:cs="Calibri"/>
          <w:b/>
          <w:bCs/>
          <w:color w:val="1F497D"/>
          <w:sz w:val="22"/>
          <w:szCs w:val="22"/>
        </w:rPr>
        <w:t>es, and Crown Dependencies that exist on 18/11/2022 and which fall into one or more of the following categories: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government departments;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bodies in England, Wales or Northern Ireland which are within the scope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of  the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definition of “Contracting Authority” in regulation 2(1) of the Public Contracts Regulations 2015 (PCR) and/or Schedule 1 PCR.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17001" w:rsidRDefault="00E17001" w:rsidP="00E17001">
      <w:pPr>
        <w:pStyle w:val="NormalWeb"/>
        <w:shd w:val="clear" w:color="auto" w:fill="FFFFFF"/>
        <w:spacing w:before="0" w:beforeAutospacing="0" w:after="0" w:afterAutospacing="0"/>
        <w:ind w:left="1440"/>
      </w:pPr>
      <w:r>
        <w:t> </w:t>
      </w:r>
    </w:p>
    <w:p w:rsidR="00DD58C0" w:rsidRDefault="000D4151"/>
    <w:sectPr w:rsidR="00DD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1"/>
    <w:rsid w:val="000D4151"/>
    <w:rsid w:val="006356C0"/>
    <w:rsid w:val="007F7884"/>
    <w:rsid w:val="00A27C0E"/>
    <w:rsid w:val="00E1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1985-E04F-4A2D-A73D-2FE2E79C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1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Bury</dc:creator>
  <cp:keywords/>
  <dc:description/>
  <cp:lastModifiedBy>Nathaniel Bury</cp:lastModifiedBy>
  <cp:revision>2</cp:revision>
  <dcterms:created xsi:type="dcterms:W3CDTF">2022-11-16T09:30:00Z</dcterms:created>
  <dcterms:modified xsi:type="dcterms:W3CDTF">2022-11-17T15:40:00Z</dcterms:modified>
</cp:coreProperties>
</file>