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041069B4" w14:textId="77777777" w:rsidTr="00F5788B">
        <w:tc>
          <w:tcPr>
            <w:tcW w:w="692" w:type="dxa"/>
          </w:tcPr>
          <w:p w14:paraId="5BD61C90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012BA3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297EE47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0432B12" w14:textId="77777777" w:rsidTr="00F5788B">
        <w:tc>
          <w:tcPr>
            <w:tcW w:w="692" w:type="dxa"/>
          </w:tcPr>
          <w:p w14:paraId="04B3CD2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0D1EB7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79670C9B" w14:textId="77777777" w:rsidTr="00F5788B">
        <w:tc>
          <w:tcPr>
            <w:tcW w:w="692" w:type="dxa"/>
          </w:tcPr>
          <w:p w14:paraId="7BD80829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9BE0232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30A38EC4" w14:textId="77777777" w:rsidTr="00F5788B">
        <w:tc>
          <w:tcPr>
            <w:tcW w:w="692" w:type="dxa"/>
          </w:tcPr>
          <w:p w14:paraId="015B8B5A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FFDA4A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7AADBC2D" w14:textId="77777777" w:rsidTr="00F5788B">
        <w:tc>
          <w:tcPr>
            <w:tcW w:w="692" w:type="dxa"/>
          </w:tcPr>
          <w:p w14:paraId="0DA8B53C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C3D6739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118E1CEF" w14:textId="77777777" w:rsidTr="00F5788B">
        <w:tc>
          <w:tcPr>
            <w:tcW w:w="692" w:type="dxa"/>
          </w:tcPr>
          <w:p w14:paraId="7618F0F5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5E0F119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0152C0E2" w14:textId="77777777" w:rsidTr="00F5788B">
        <w:tc>
          <w:tcPr>
            <w:tcW w:w="692" w:type="dxa"/>
          </w:tcPr>
          <w:p w14:paraId="13F8AFEE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681EC4B" w14:textId="77777777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6639BB" w14:paraId="73667538" w14:textId="77777777" w:rsidTr="00F5788B">
        <w:tc>
          <w:tcPr>
            <w:tcW w:w="692" w:type="dxa"/>
          </w:tcPr>
          <w:p w14:paraId="5EBE4417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44703B8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6EC5EEC1" w14:textId="77777777" w:rsidTr="00F5788B">
        <w:tc>
          <w:tcPr>
            <w:tcW w:w="692" w:type="dxa"/>
          </w:tcPr>
          <w:p w14:paraId="3CABDB35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8054F74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55BDEDC4" w14:textId="77777777" w:rsidTr="00F5788B">
        <w:tc>
          <w:tcPr>
            <w:tcW w:w="692" w:type="dxa"/>
          </w:tcPr>
          <w:p w14:paraId="3A65453E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5A1E415A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0E2E54BC" w14:textId="77777777" w:rsidTr="00F5788B">
        <w:trPr>
          <w:cantSplit/>
        </w:trPr>
        <w:tc>
          <w:tcPr>
            <w:tcW w:w="692" w:type="dxa"/>
          </w:tcPr>
          <w:p w14:paraId="72574A6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CE0EDD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111CE5A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1CA37923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466AE70A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684117B0" w14:textId="77777777" w:rsidTr="00F5788B">
        <w:trPr>
          <w:cantSplit/>
        </w:trPr>
        <w:tc>
          <w:tcPr>
            <w:tcW w:w="692" w:type="dxa"/>
          </w:tcPr>
          <w:p w14:paraId="22756B91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DAC6728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29FE15F7" w14:textId="77777777" w:rsidR="000E045E" w:rsidRPr="006639BB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139D738F" w14:textId="77777777" w:rsidR="00825EFE" w:rsidRPr="006639BB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96DE993" w14:textId="55A1937F" w:rsidR="00E37305" w:rsidRDefault="00B44840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Undertaking works on a ‘</w:t>
            </w:r>
            <w:r w:rsidR="00D831BA">
              <w:rPr>
                <w:rFonts w:ascii="Tahoma" w:hAnsi="Tahoma" w:cs="Tahoma"/>
                <w:spacing w:val="-2"/>
                <w:sz w:val="20"/>
                <w:szCs w:val="20"/>
              </w:rPr>
              <w:t xml:space="preserve">Grade II 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Listed Building’ works to the external fabric of the premises, to include the r</w:t>
            </w:r>
            <w:r w:rsidR="00B55E93" w:rsidRPr="00B55E93">
              <w:rPr>
                <w:rFonts w:ascii="Tahoma" w:hAnsi="Tahoma" w:cs="Tahoma"/>
                <w:spacing w:val="-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moval and renewal of the render in Cement Lime mix and Cement Sand mix in certain areas, undertake remedial works to brick / blockwork, replace missed slipped tiles to roof and reinstate lead flashing. Decorate all rendering, plaster details and timber works.</w:t>
            </w:r>
          </w:p>
          <w:p w14:paraId="06258BF2" w14:textId="77777777" w:rsidR="00B44840" w:rsidRPr="006639BB" w:rsidRDefault="00B44840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8A6B6A6" w14:textId="77777777" w:rsidR="00C51791" w:rsidRPr="006639BB" w:rsidRDefault="0079105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At </w:t>
            </w:r>
            <w:r w:rsidR="005A1BDF">
              <w:rPr>
                <w:rFonts w:ascii="Tahoma" w:hAnsi="Tahoma" w:cs="Tahoma"/>
                <w:spacing w:val="-2"/>
                <w:sz w:val="20"/>
                <w:szCs w:val="20"/>
              </w:rPr>
              <w:t>53 Lower Street,</w:t>
            </w:r>
            <w:r w:rsidR="00FD2038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Kettering</w:t>
            </w:r>
            <w:r w:rsidR="00D8440E">
              <w:rPr>
                <w:rFonts w:ascii="Arial" w:hAnsi="Arial" w:cs="Arial"/>
              </w:rPr>
              <w:t xml:space="preserve"> </w:t>
            </w:r>
            <w:r w:rsidR="00D8440E" w:rsidRPr="00D8440E">
              <w:rPr>
                <w:rFonts w:ascii="Times New Roman" w:hAnsi="Times New Roman" w:cs="Times New Roman"/>
                <w:sz w:val="20"/>
                <w:szCs w:val="20"/>
              </w:rPr>
              <w:t>NN16 8BH</w:t>
            </w:r>
          </w:p>
          <w:p w14:paraId="7EB9B6B9" w14:textId="77777777" w:rsidR="00C51791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5A3CECB" w14:textId="2A3D5BB8" w:rsidR="00F82C43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64A96EF8" w14:textId="77777777" w:rsidTr="00F5788B">
        <w:trPr>
          <w:cantSplit/>
        </w:trPr>
        <w:tc>
          <w:tcPr>
            <w:tcW w:w="692" w:type="dxa"/>
          </w:tcPr>
          <w:p w14:paraId="2436A1E4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ED7155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621AAFC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C8B0046" w14:textId="77777777" w:rsidTr="00F5788B">
        <w:trPr>
          <w:cantSplit/>
        </w:trPr>
        <w:tc>
          <w:tcPr>
            <w:tcW w:w="692" w:type="dxa"/>
          </w:tcPr>
          <w:p w14:paraId="53130FB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D4F91D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109B9AB6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16F0FFA3" w14:textId="77777777" w:rsidTr="00F5788B">
        <w:trPr>
          <w:cantSplit/>
        </w:trPr>
        <w:tc>
          <w:tcPr>
            <w:tcW w:w="692" w:type="dxa"/>
          </w:tcPr>
          <w:p w14:paraId="3B965432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128E90B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9810D88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C56111C" w14:textId="77777777" w:rsidTr="00F5788B">
        <w:trPr>
          <w:cantSplit/>
        </w:trPr>
        <w:tc>
          <w:tcPr>
            <w:tcW w:w="692" w:type="dxa"/>
          </w:tcPr>
          <w:p w14:paraId="368BD2E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26B4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40EFD7A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C30EF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48725C2" w14:textId="77777777" w:rsidTr="00F5788B">
        <w:trPr>
          <w:cantSplit/>
        </w:trPr>
        <w:tc>
          <w:tcPr>
            <w:tcW w:w="692" w:type="dxa"/>
          </w:tcPr>
          <w:p w14:paraId="5CDB29E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E253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BB8F951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724167B2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2341E9C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4A95727A" w14:textId="77777777" w:rsidTr="00F5788B">
        <w:trPr>
          <w:cantSplit/>
        </w:trPr>
        <w:tc>
          <w:tcPr>
            <w:tcW w:w="692" w:type="dxa"/>
          </w:tcPr>
          <w:p w14:paraId="3FC04A3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EEBBF1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450E245A" w14:textId="77777777" w:rsidR="000F5EF6" w:rsidRPr="006639BB" w:rsidRDefault="005B48EB" w:rsidP="00FD203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FD2038" w:rsidRPr="006639BB">
              <w:rPr>
                <w:rFonts w:ascii="Tahoma" w:hAnsi="Tahoma" w:cs="Tahoma"/>
                <w:spacing w:val="-2"/>
                <w:sz w:val="20"/>
                <w:szCs w:val="20"/>
              </w:rPr>
              <w:t>Baz Kalsi</w:t>
            </w:r>
          </w:p>
        </w:tc>
      </w:tr>
      <w:tr w:rsidR="000F5EF6" w:rsidRPr="006639BB" w14:paraId="4E6694A9" w14:textId="77777777" w:rsidTr="00F5788B">
        <w:trPr>
          <w:cantSplit/>
        </w:trPr>
        <w:tc>
          <w:tcPr>
            <w:tcW w:w="692" w:type="dxa"/>
          </w:tcPr>
          <w:p w14:paraId="62558DB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72B2FD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1ED78DC6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33A6E2AE" w14:textId="77777777" w:rsidTr="00F5788B">
        <w:trPr>
          <w:cantSplit/>
        </w:trPr>
        <w:tc>
          <w:tcPr>
            <w:tcW w:w="692" w:type="dxa"/>
          </w:tcPr>
          <w:p w14:paraId="5061E5E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6BE4FF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E0FCB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EFE8328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24FA5BF7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51B2330" w14:textId="77777777" w:rsidTr="00F5788B">
        <w:trPr>
          <w:cantSplit/>
        </w:trPr>
        <w:tc>
          <w:tcPr>
            <w:tcW w:w="692" w:type="dxa"/>
          </w:tcPr>
          <w:p w14:paraId="2452FFC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F2B7BF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23E8FA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871937" w14:textId="77777777" w:rsidTr="00F5788B">
        <w:trPr>
          <w:cantSplit/>
        </w:trPr>
        <w:tc>
          <w:tcPr>
            <w:tcW w:w="692" w:type="dxa"/>
          </w:tcPr>
          <w:p w14:paraId="4D21B0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07DAE1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108D7989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E7C3EE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DC50CAD" w14:textId="77777777" w:rsidTr="00F5788B">
        <w:trPr>
          <w:cantSplit/>
        </w:trPr>
        <w:tc>
          <w:tcPr>
            <w:tcW w:w="692" w:type="dxa"/>
          </w:tcPr>
          <w:p w14:paraId="1CDF03E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2A5CC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1DA5EF7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1E01CFF" w14:textId="77777777" w:rsidR="000F5EF6" w:rsidRPr="006639BB" w:rsidRDefault="000F5EF6" w:rsidP="00927B24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6639BB" w:rsidRPr="006639BB">
              <w:rPr>
                <w:rFonts w:ascii="Tahoma" w:hAnsi="Tahoma" w:cs="Tahoma"/>
                <w:spacing w:val="-2"/>
                <w:sz w:val="20"/>
                <w:szCs w:val="20"/>
              </w:rPr>
              <w:t>Date of ITQ</w:t>
            </w:r>
          </w:p>
        </w:tc>
      </w:tr>
      <w:tr w:rsidR="000F5EF6" w:rsidRPr="006639BB" w14:paraId="0C0CDDCB" w14:textId="77777777" w:rsidTr="00F5788B">
        <w:trPr>
          <w:cantSplit/>
        </w:trPr>
        <w:tc>
          <w:tcPr>
            <w:tcW w:w="692" w:type="dxa"/>
          </w:tcPr>
          <w:p w14:paraId="5B83F88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E14B6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0E1750E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880364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0FF6D9C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368B6D4" w14:textId="77777777" w:rsidTr="00F5788B">
        <w:tc>
          <w:tcPr>
            <w:tcW w:w="692" w:type="dxa"/>
          </w:tcPr>
          <w:p w14:paraId="64A560F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78550E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107E573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59E5690B" w14:textId="77777777" w:rsidR="000F5EF6" w:rsidRPr="00086D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0FBB971" w14:textId="77777777" w:rsidR="000F5EF6" w:rsidRPr="00086D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927B24" w:rsidRPr="00086DBB">
              <w:rPr>
                <w:rFonts w:ascii="Tahoma" w:hAnsi="Tahoma" w:cs="Tahoma"/>
                <w:spacing w:val="-2"/>
                <w:sz w:val="20"/>
                <w:szCs w:val="20"/>
              </w:rPr>
              <w:t>is</w:t>
            </w:r>
            <w:r w:rsidR="008F36A7"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 n</w:t>
            </w:r>
            <w:r w:rsidR="000F5EF6" w:rsidRPr="00086DBB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6405F3D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10F01685" w14:textId="77777777" w:rsidTr="00F5788B">
        <w:tc>
          <w:tcPr>
            <w:tcW w:w="692" w:type="dxa"/>
          </w:tcPr>
          <w:p w14:paraId="733ACB8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9F55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48AE968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6CD22B5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5D6529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Does not Apply</w:t>
            </w:r>
          </w:p>
          <w:p w14:paraId="1A2B79E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5E44B4B" w14:textId="77777777" w:rsidTr="00F5788B">
        <w:trPr>
          <w:trHeight w:val="378"/>
        </w:trPr>
        <w:tc>
          <w:tcPr>
            <w:tcW w:w="692" w:type="dxa"/>
          </w:tcPr>
          <w:p w14:paraId="659C950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30D130A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67A052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0C76D55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7CEDE57" w14:textId="77777777" w:rsidTr="00F5788B">
        <w:tc>
          <w:tcPr>
            <w:tcW w:w="692" w:type="dxa"/>
          </w:tcPr>
          <w:p w14:paraId="6229556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6BE7CD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C7A922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AB0483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0E223D25" w14:textId="77777777" w:rsidTr="00F5788B">
        <w:tc>
          <w:tcPr>
            <w:tcW w:w="692" w:type="dxa"/>
          </w:tcPr>
          <w:p w14:paraId="2634753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818F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57F2E8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70E641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4F578FC" w14:textId="77777777" w:rsidTr="00F5788B">
        <w:tc>
          <w:tcPr>
            <w:tcW w:w="692" w:type="dxa"/>
          </w:tcPr>
          <w:p w14:paraId="52905AC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6F86A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2140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2DB507B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664F1981" w14:textId="77777777" w:rsidTr="00F5788B">
        <w:tc>
          <w:tcPr>
            <w:tcW w:w="692" w:type="dxa"/>
          </w:tcPr>
          <w:p w14:paraId="282F17F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B63B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13FF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15407ED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8F2472E" w14:textId="77777777" w:rsidTr="00F5788B">
        <w:tc>
          <w:tcPr>
            <w:tcW w:w="692" w:type="dxa"/>
          </w:tcPr>
          <w:p w14:paraId="03925F6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63B23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B8A4C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2E9519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4A6C3582" w14:textId="77777777" w:rsidTr="00F5788B">
        <w:tc>
          <w:tcPr>
            <w:tcW w:w="692" w:type="dxa"/>
          </w:tcPr>
          <w:p w14:paraId="71A1860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9F9D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7C34C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220239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1FADEEA" w14:textId="77777777" w:rsidTr="00F5788B">
        <w:tc>
          <w:tcPr>
            <w:tcW w:w="692" w:type="dxa"/>
          </w:tcPr>
          <w:p w14:paraId="344D9FE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0FB6A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411CE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E7C7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17F79B6" w14:textId="77777777" w:rsidTr="00F5788B">
        <w:tc>
          <w:tcPr>
            <w:tcW w:w="692" w:type="dxa"/>
          </w:tcPr>
          <w:p w14:paraId="20469B7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FC7D4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402238B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BE714A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B0F554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64686B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1AA9F35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4E83B0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FD2038" w:rsidRPr="006639BB">
              <w:rPr>
                <w:rFonts w:ascii="Tahoma" w:hAnsi="Tahoma" w:cs="Tahoma"/>
                <w:spacing w:val="-2"/>
                <w:sz w:val="20"/>
                <w:szCs w:val="20"/>
              </w:rPr>
              <w:t>Baz Kalsi</w:t>
            </w:r>
          </w:p>
          <w:p w14:paraId="5C2E2648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509B09C7" w14:textId="77777777" w:rsidTr="00F5788B">
        <w:tc>
          <w:tcPr>
            <w:tcW w:w="692" w:type="dxa"/>
          </w:tcPr>
          <w:p w14:paraId="426D27FD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A3EBE6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B9DD256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9BC5814" w14:textId="77777777" w:rsidTr="00F5788B">
        <w:tc>
          <w:tcPr>
            <w:tcW w:w="692" w:type="dxa"/>
          </w:tcPr>
          <w:p w14:paraId="66D2FDA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75981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4FC70E4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27CD32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6B95030B" w14:textId="77777777" w:rsidTr="00F5788B">
        <w:tc>
          <w:tcPr>
            <w:tcW w:w="692" w:type="dxa"/>
          </w:tcPr>
          <w:p w14:paraId="398BCED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38B8E5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BE1415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ADFCFD2" w14:textId="77777777" w:rsidTr="00F5788B">
        <w:tc>
          <w:tcPr>
            <w:tcW w:w="692" w:type="dxa"/>
          </w:tcPr>
          <w:p w14:paraId="4EA2A5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0BA87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</w:tcPr>
          <w:p w14:paraId="1EFBBF1F" w14:textId="51F7A76A" w:rsidR="000F5EF6" w:rsidRPr="006639BB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F24760">
              <w:rPr>
                <w:rFonts w:ascii="Tahoma" w:hAnsi="Tahoma" w:cs="Tahoma"/>
                <w:spacing w:val="-2"/>
                <w:sz w:val="20"/>
                <w:szCs w:val="20"/>
              </w:rPr>
              <w:t xml:space="preserve">March </w:t>
            </w:r>
            <w:r w:rsidR="00F83FDC">
              <w:rPr>
                <w:rFonts w:ascii="Tahoma" w:hAnsi="Tahoma" w:cs="Tahoma"/>
                <w:spacing w:val="-2"/>
                <w:sz w:val="20"/>
                <w:szCs w:val="20"/>
              </w:rPr>
              <w:t xml:space="preserve">/ April </w:t>
            </w:r>
            <w:r w:rsidR="00F24760">
              <w:rPr>
                <w:rFonts w:ascii="Tahoma" w:hAnsi="Tahoma" w:cs="Tahoma"/>
                <w:spacing w:val="-2"/>
                <w:sz w:val="20"/>
                <w:szCs w:val="20"/>
              </w:rPr>
              <w:t>2021</w:t>
            </w:r>
            <w:r w:rsidR="004A4C22" w:rsidRPr="004A4C22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0EDF99E8" w14:textId="77777777" w:rsidTr="00F5788B">
        <w:tc>
          <w:tcPr>
            <w:tcW w:w="692" w:type="dxa"/>
          </w:tcPr>
          <w:p w14:paraId="373470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D357F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3E284A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40715E4" w14:textId="70C25B8E" w:rsidR="000F5EF6" w:rsidRPr="004A4C22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F83FDC">
              <w:rPr>
                <w:rFonts w:ascii="Tahoma" w:hAnsi="Tahoma" w:cs="Tahoma"/>
                <w:spacing w:val="-2"/>
                <w:sz w:val="20"/>
                <w:szCs w:val="20"/>
              </w:rPr>
              <w:t xml:space="preserve">May </w:t>
            </w:r>
            <w:r w:rsidR="00F24760">
              <w:rPr>
                <w:rFonts w:ascii="Tahoma" w:hAnsi="Tahoma" w:cs="Tahoma"/>
                <w:spacing w:val="-2"/>
                <w:sz w:val="20"/>
                <w:szCs w:val="20"/>
              </w:rPr>
              <w:t>2021</w:t>
            </w:r>
          </w:p>
        </w:tc>
      </w:tr>
      <w:tr w:rsidR="000F5EF6" w:rsidRPr="006639BB" w14:paraId="7E97BFDF" w14:textId="77777777" w:rsidTr="00F5788B">
        <w:tc>
          <w:tcPr>
            <w:tcW w:w="692" w:type="dxa"/>
          </w:tcPr>
          <w:p w14:paraId="3320171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22EE4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641CE01B" w14:textId="77777777" w:rsidR="000F5EF6" w:rsidRPr="006639BB" w:rsidRDefault="00C51791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FD2038"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per week</w:t>
            </w:r>
          </w:p>
          <w:p w14:paraId="42CE4772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F0B095E" w14:textId="77777777" w:rsidTr="00F5788B">
        <w:tc>
          <w:tcPr>
            <w:tcW w:w="692" w:type="dxa"/>
          </w:tcPr>
          <w:p w14:paraId="1EA8B79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997CCC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5F9805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662907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0AA5BC1" w14:textId="77777777" w:rsidTr="00F5788B">
        <w:tc>
          <w:tcPr>
            <w:tcW w:w="692" w:type="dxa"/>
          </w:tcPr>
          <w:p w14:paraId="75732B8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E5A6FE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4E82D24B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BCA72F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A225ED4" w14:textId="77777777" w:rsidTr="00F5788B">
        <w:tc>
          <w:tcPr>
            <w:tcW w:w="692" w:type="dxa"/>
          </w:tcPr>
          <w:p w14:paraId="528EE10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E5B31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1B867CDA" w14:textId="77777777" w:rsidR="000F5EF6" w:rsidRPr="006639BB" w:rsidRDefault="00294C3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164D8C"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1170750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245C85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838C445" w14:textId="77777777" w:rsidTr="00F5788B">
        <w:tc>
          <w:tcPr>
            <w:tcW w:w="692" w:type="dxa"/>
          </w:tcPr>
          <w:p w14:paraId="439CECF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3AB2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44CD17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B04C85C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518738E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B9EDA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9A42BEB" w14:textId="77777777" w:rsidTr="00F5788B">
        <w:tc>
          <w:tcPr>
            <w:tcW w:w="692" w:type="dxa"/>
          </w:tcPr>
          <w:p w14:paraId="24CE4A3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0297F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38DCDF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4222EB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0C288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204B5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684BDF20" w14:textId="77777777" w:rsidTr="00F5788B">
        <w:tc>
          <w:tcPr>
            <w:tcW w:w="692" w:type="dxa"/>
          </w:tcPr>
          <w:p w14:paraId="4A3593D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4746A4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011F00B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6B1FCF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31B00BF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9C6BCF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BA203B2" w14:textId="77777777" w:rsidTr="00F5788B">
        <w:tc>
          <w:tcPr>
            <w:tcW w:w="692" w:type="dxa"/>
          </w:tcPr>
          <w:p w14:paraId="41BBC82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BFA983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7ADA50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8521C09" w14:textId="77777777" w:rsidTr="00F5788B">
        <w:tc>
          <w:tcPr>
            <w:tcW w:w="692" w:type="dxa"/>
          </w:tcPr>
          <w:p w14:paraId="317495F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A8DC9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5.3 - Contractor’s Public Liability Insurance; injury to persons or property – insurance cover ( for any one occurrence or series of occurrences arising out of one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event)</w:t>
            </w:r>
          </w:p>
          <w:p w14:paraId="4923AD3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8B872A3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5712D3B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F9F4543" w14:textId="77777777" w:rsidTr="00F5788B">
        <w:tc>
          <w:tcPr>
            <w:tcW w:w="692" w:type="dxa"/>
          </w:tcPr>
          <w:p w14:paraId="510A29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DF9828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3811A16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768D763" w14:textId="77777777" w:rsidR="000F5EF6" w:rsidRPr="006639BB" w:rsidRDefault="00D1787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C1BBFF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D965FF7" w14:textId="77777777" w:rsidTr="00F5788B">
        <w:tc>
          <w:tcPr>
            <w:tcW w:w="692" w:type="dxa"/>
          </w:tcPr>
          <w:p w14:paraId="5C30E47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AB9B43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2143C66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01E1848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10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7BA09CBD" w14:textId="77777777" w:rsidTr="00F5788B">
        <w:tc>
          <w:tcPr>
            <w:tcW w:w="692" w:type="dxa"/>
          </w:tcPr>
          <w:p w14:paraId="6CEC707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A2F74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17F5DA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DCB592E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D2911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87D4DD2" w14:textId="77777777" w:rsidTr="00F5788B">
        <w:tc>
          <w:tcPr>
            <w:tcW w:w="692" w:type="dxa"/>
          </w:tcPr>
          <w:p w14:paraId="5BA9E5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FE8E0F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440B5D9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0311447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985E4CC" w14:textId="77777777" w:rsidTr="00F5788B">
        <w:tc>
          <w:tcPr>
            <w:tcW w:w="692" w:type="dxa"/>
          </w:tcPr>
          <w:p w14:paraId="0A1F460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CCEA27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4E3B3E8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1DA29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5131DF65" w14:textId="77777777" w:rsidTr="00F5788B">
        <w:tc>
          <w:tcPr>
            <w:tcW w:w="692" w:type="dxa"/>
          </w:tcPr>
          <w:p w14:paraId="60A73F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B30603F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59E906C2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BB53151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0153FFE9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0A299" w14:textId="77777777" w:rsidR="003536E9" w:rsidRDefault="003536E9" w:rsidP="006D5443">
      <w:pPr>
        <w:spacing w:after="0" w:line="240" w:lineRule="auto"/>
      </w:pPr>
      <w:r>
        <w:separator/>
      </w:r>
    </w:p>
  </w:endnote>
  <w:endnote w:type="continuationSeparator" w:id="0">
    <w:p w14:paraId="2014C76C" w14:textId="77777777" w:rsidR="003536E9" w:rsidRDefault="003536E9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D356F" w14:textId="77777777" w:rsidR="003536E9" w:rsidRDefault="003536E9" w:rsidP="006D5443">
      <w:pPr>
        <w:spacing w:after="0" w:line="240" w:lineRule="auto"/>
      </w:pPr>
      <w:r>
        <w:separator/>
      </w:r>
    </w:p>
  </w:footnote>
  <w:footnote w:type="continuationSeparator" w:id="0">
    <w:p w14:paraId="0A0915C6" w14:textId="77777777" w:rsidR="003536E9" w:rsidRDefault="003536E9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319F" w14:textId="77777777" w:rsidR="006D5443" w:rsidRPr="00A72731" w:rsidRDefault="00A72731">
    <w:pPr>
      <w:pStyle w:val="Header"/>
      <w:rPr>
        <w:b/>
      </w:rPr>
    </w:pPr>
    <w:r w:rsidRPr="00A72731">
      <w:rPr>
        <w:b/>
      </w:rPr>
      <w:t xml:space="preserve">PART 3 - CONDITIONS OF CONTRACT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ED5"/>
    <w:rsid w:val="00024665"/>
    <w:rsid w:val="00086DBB"/>
    <w:rsid w:val="000E045E"/>
    <w:rsid w:val="000E24BA"/>
    <w:rsid w:val="000F5EF6"/>
    <w:rsid w:val="00110D51"/>
    <w:rsid w:val="00164D8C"/>
    <w:rsid w:val="002066B9"/>
    <w:rsid w:val="00253BFA"/>
    <w:rsid w:val="00275DBE"/>
    <w:rsid w:val="00294C35"/>
    <w:rsid w:val="00342B5D"/>
    <w:rsid w:val="00343DE5"/>
    <w:rsid w:val="003536E9"/>
    <w:rsid w:val="00423A58"/>
    <w:rsid w:val="004A4C22"/>
    <w:rsid w:val="004C03A9"/>
    <w:rsid w:val="0058742D"/>
    <w:rsid w:val="005A17AC"/>
    <w:rsid w:val="005A1BDF"/>
    <w:rsid w:val="005B06D7"/>
    <w:rsid w:val="005B48EB"/>
    <w:rsid w:val="00640ED5"/>
    <w:rsid w:val="006639BB"/>
    <w:rsid w:val="006D5000"/>
    <w:rsid w:val="006D5443"/>
    <w:rsid w:val="006F0A4F"/>
    <w:rsid w:val="00791051"/>
    <w:rsid w:val="00825EFE"/>
    <w:rsid w:val="008302C3"/>
    <w:rsid w:val="0086180A"/>
    <w:rsid w:val="008C6D52"/>
    <w:rsid w:val="008F36A7"/>
    <w:rsid w:val="00903323"/>
    <w:rsid w:val="00926783"/>
    <w:rsid w:val="009278D4"/>
    <w:rsid w:val="00927B24"/>
    <w:rsid w:val="00951972"/>
    <w:rsid w:val="00953EE9"/>
    <w:rsid w:val="009C0EDD"/>
    <w:rsid w:val="00A314F5"/>
    <w:rsid w:val="00A441D2"/>
    <w:rsid w:val="00A72731"/>
    <w:rsid w:val="00A96CE2"/>
    <w:rsid w:val="00AA1402"/>
    <w:rsid w:val="00AD702A"/>
    <w:rsid w:val="00B44840"/>
    <w:rsid w:val="00B55E93"/>
    <w:rsid w:val="00BD5F08"/>
    <w:rsid w:val="00BE47F7"/>
    <w:rsid w:val="00C07B91"/>
    <w:rsid w:val="00C15AC2"/>
    <w:rsid w:val="00C51791"/>
    <w:rsid w:val="00CB602C"/>
    <w:rsid w:val="00CE4314"/>
    <w:rsid w:val="00D1787C"/>
    <w:rsid w:val="00D831BA"/>
    <w:rsid w:val="00D8440E"/>
    <w:rsid w:val="00DA3D6C"/>
    <w:rsid w:val="00DA525D"/>
    <w:rsid w:val="00E37305"/>
    <w:rsid w:val="00E630E2"/>
    <w:rsid w:val="00EE2040"/>
    <w:rsid w:val="00F24760"/>
    <w:rsid w:val="00F47E56"/>
    <w:rsid w:val="00F66A6F"/>
    <w:rsid w:val="00F82C43"/>
    <w:rsid w:val="00F83FDC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EAF4"/>
  <w15:docId w15:val="{8DCE3A22-BEDB-4451-8F07-8CAB8E5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Baz Kalsi</cp:lastModifiedBy>
  <cp:revision>26</cp:revision>
  <cp:lastPrinted>2018-05-22T14:53:00Z</cp:lastPrinted>
  <dcterms:created xsi:type="dcterms:W3CDTF">2017-06-05T10:09:00Z</dcterms:created>
  <dcterms:modified xsi:type="dcterms:W3CDTF">2021-01-21T13:23:00Z</dcterms:modified>
</cp:coreProperties>
</file>