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8E8" w:rsidRDefault="00000000">
      <w:pPr>
        <w:pStyle w:val="Standard"/>
      </w:pPr>
      <w:bookmarkStart w:id="0" w:name="_heading=h.30j0zll"/>
      <w:bookmarkEnd w:id="0"/>
      <w:r>
        <w:rPr>
          <w:rFonts w:ascii="Arial" w:eastAsia="Arial" w:hAnsi="Arial" w:cs="Arial"/>
          <w:b/>
          <w:sz w:val="36"/>
          <w:szCs w:val="36"/>
        </w:rPr>
        <w:t>Joint Schedule 12 (Supply Chain Visibility)</w:t>
      </w:r>
    </w:p>
    <w:p w:rsidR="007118E8" w:rsidRDefault="00000000">
      <w:pPr>
        <w:pStyle w:val="Standard"/>
        <w:numPr>
          <w:ilvl w:val="0"/>
          <w:numId w:val="4"/>
        </w:numPr>
        <w:spacing w:after="0" w:line="240" w:lineRule="auto"/>
        <w:ind w:hanging="720"/>
      </w:pPr>
      <w:r>
        <w:rPr>
          <w:rFonts w:ascii="Arial" w:eastAsia="Arial" w:hAnsi="Arial" w:cs="Arial"/>
          <w:b/>
          <w:color w:val="000000"/>
          <w:sz w:val="24"/>
          <w:szCs w:val="24"/>
        </w:rPr>
        <w:t>Definitions</w:t>
      </w:r>
    </w:p>
    <w:p w:rsidR="007118E8" w:rsidRDefault="007118E8">
      <w:pPr>
        <w:pStyle w:val="Standard"/>
        <w:spacing w:after="0" w:line="240" w:lineRule="auto"/>
        <w:ind w:left="720"/>
        <w:rPr>
          <w:rFonts w:ascii="Arial" w:eastAsia="Arial" w:hAnsi="Arial" w:cs="Arial"/>
          <w:b/>
          <w:color w:val="000000"/>
          <w:sz w:val="24"/>
          <w:szCs w:val="24"/>
        </w:rPr>
      </w:pPr>
    </w:p>
    <w:p w:rsidR="007118E8" w:rsidRDefault="00000000">
      <w:pPr>
        <w:pStyle w:val="Standard"/>
        <w:ind w:left="720" w:hanging="436"/>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7118E8">
        <w:tblPrEx>
          <w:tblCellMar>
            <w:top w:w="0" w:type="dxa"/>
            <w:bottom w:w="0" w:type="dxa"/>
          </w:tblCellMar>
        </w:tblPrEx>
        <w:trPr>
          <w:trHeight w:val="20"/>
        </w:trPr>
        <w:tc>
          <w:tcPr>
            <w:tcW w:w="3342"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jc w:val="both"/>
            </w:pPr>
            <w:r>
              <w:rPr>
                <w:rFonts w:ascii="Arial" w:eastAsia="Arial" w:hAnsi="Arial" w:cs="Arial"/>
                <w:b/>
                <w:color w:val="000000"/>
                <w:sz w:val="24"/>
                <w:szCs w:val="24"/>
              </w:rPr>
              <w:t>"Contracts Finder"</w:t>
            </w:r>
          </w:p>
        </w:tc>
        <w:tc>
          <w:tcPr>
            <w:tcW w:w="4856"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pPr>
            <w:r>
              <w:rPr>
                <w:rFonts w:ascii="Arial" w:eastAsia="Arial" w:hAnsi="Arial" w:cs="Arial"/>
                <w:color w:val="000000"/>
                <w:sz w:val="24"/>
                <w:szCs w:val="24"/>
              </w:rPr>
              <w:t>the Government’s publishing portal for public sector procurement opportunities;</w:t>
            </w:r>
          </w:p>
        </w:tc>
      </w:tr>
      <w:tr w:rsidR="007118E8">
        <w:tblPrEx>
          <w:tblCellMar>
            <w:top w:w="0" w:type="dxa"/>
            <w:bottom w:w="0" w:type="dxa"/>
          </w:tblCellMar>
        </w:tblPrEx>
        <w:trPr>
          <w:trHeight w:val="20"/>
        </w:trPr>
        <w:tc>
          <w:tcPr>
            <w:tcW w:w="3342"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jc w:val="both"/>
            </w:pPr>
            <w:r>
              <w:rPr>
                <w:rFonts w:ascii="Arial" w:eastAsia="Arial" w:hAnsi="Arial" w:cs="Arial"/>
                <w:b/>
                <w:color w:val="000000"/>
                <w:sz w:val="24"/>
                <w:szCs w:val="24"/>
              </w:rPr>
              <w:t>"SME"</w:t>
            </w:r>
          </w:p>
        </w:tc>
        <w:tc>
          <w:tcPr>
            <w:tcW w:w="4856"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7118E8">
        <w:tblPrEx>
          <w:tblCellMar>
            <w:top w:w="0" w:type="dxa"/>
            <w:bottom w:w="0" w:type="dxa"/>
          </w:tblCellMar>
        </w:tblPrEx>
        <w:trPr>
          <w:trHeight w:val="20"/>
        </w:trPr>
        <w:tc>
          <w:tcPr>
            <w:tcW w:w="3342"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jc w:val="both"/>
            </w:pPr>
            <w:r>
              <w:rPr>
                <w:rFonts w:ascii="Arial" w:eastAsia="Arial" w:hAnsi="Arial" w:cs="Arial"/>
                <w:b/>
                <w:color w:val="000000"/>
                <w:sz w:val="24"/>
                <w:szCs w:val="24"/>
              </w:rPr>
              <w:t>“Supply Chain Information Report Template”</w:t>
            </w:r>
          </w:p>
        </w:tc>
        <w:tc>
          <w:tcPr>
            <w:tcW w:w="4856"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pPr>
            <w:r>
              <w:rPr>
                <w:rFonts w:ascii="Arial" w:eastAsia="Arial" w:hAnsi="Arial" w:cs="Arial"/>
                <w:color w:val="000000"/>
                <w:sz w:val="24"/>
                <w:szCs w:val="24"/>
              </w:rPr>
              <w:t>the document at Annex 1 of this Schedule 12; and</w:t>
            </w:r>
          </w:p>
        </w:tc>
      </w:tr>
      <w:tr w:rsidR="007118E8">
        <w:tblPrEx>
          <w:tblCellMar>
            <w:top w:w="0" w:type="dxa"/>
            <w:bottom w:w="0" w:type="dxa"/>
          </w:tblCellMar>
        </w:tblPrEx>
        <w:trPr>
          <w:trHeight w:val="20"/>
        </w:trPr>
        <w:tc>
          <w:tcPr>
            <w:tcW w:w="3342"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jc w:val="both"/>
            </w:pPr>
            <w:r>
              <w:rPr>
                <w:rFonts w:ascii="Arial" w:eastAsia="Arial" w:hAnsi="Arial" w:cs="Arial"/>
                <w:b/>
                <w:color w:val="000000"/>
                <w:sz w:val="24"/>
                <w:szCs w:val="24"/>
              </w:rPr>
              <w:t>"VCSE"</w:t>
            </w:r>
          </w:p>
        </w:tc>
        <w:tc>
          <w:tcPr>
            <w:tcW w:w="4856" w:type="dxa"/>
            <w:shd w:val="clear" w:color="auto" w:fill="auto"/>
            <w:tcMar>
              <w:top w:w="0" w:type="dxa"/>
              <w:left w:w="108" w:type="dxa"/>
              <w:bottom w:w="0" w:type="dxa"/>
              <w:right w:w="108" w:type="dxa"/>
            </w:tcMar>
          </w:tcPr>
          <w:p w:rsidR="007118E8" w:rsidRDefault="00000000">
            <w:pPr>
              <w:pStyle w:val="Standard"/>
              <w:tabs>
                <w:tab w:val="left" w:pos="709"/>
                <w:tab w:val="left" w:pos="1134"/>
              </w:tabs>
              <w:spacing w:before="120" w:after="120" w:line="240" w:lineRule="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118E8">
        <w:tblPrEx>
          <w:tblCellMar>
            <w:top w:w="0" w:type="dxa"/>
            <w:bottom w:w="0" w:type="dxa"/>
          </w:tblCellMar>
        </w:tblPrEx>
        <w:trPr>
          <w:trHeight w:val="20"/>
        </w:trPr>
        <w:tc>
          <w:tcPr>
            <w:tcW w:w="3342" w:type="dxa"/>
            <w:shd w:val="clear" w:color="auto" w:fill="auto"/>
            <w:tcMar>
              <w:top w:w="0" w:type="dxa"/>
              <w:left w:w="108" w:type="dxa"/>
              <w:bottom w:w="0" w:type="dxa"/>
              <w:right w:w="108" w:type="dxa"/>
            </w:tcMar>
          </w:tcPr>
          <w:p w:rsidR="007118E8" w:rsidRDefault="007118E8">
            <w:pPr>
              <w:pStyle w:val="Standard"/>
              <w:tabs>
                <w:tab w:val="left" w:pos="709"/>
                <w:tab w:val="left" w:pos="1134"/>
              </w:tabs>
              <w:spacing w:before="120" w:after="120" w:line="240" w:lineRule="auto"/>
              <w:jc w:val="both"/>
              <w:rPr>
                <w:rFonts w:ascii="Arial" w:eastAsia="Arial" w:hAnsi="Arial" w:cs="Arial"/>
                <w:b/>
                <w:color w:val="000000"/>
                <w:sz w:val="24"/>
                <w:szCs w:val="24"/>
              </w:rPr>
            </w:pPr>
          </w:p>
        </w:tc>
        <w:tc>
          <w:tcPr>
            <w:tcW w:w="4856" w:type="dxa"/>
            <w:shd w:val="clear" w:color="auto" w:fill="auto"/>
            <w:tcMar>
              <w:top w:w="0" w:type="dxa"/>
              <w:left w:w="108" w:type="dxa"/>
              <w:bottom w:w="0" w:type="dxa"/>
              <w:right w:w="108" w:type="dxa"/>
            </w:tcMar>
          </w:tcPr>
          <w:p w:rsidR="007118E8" w:rsidRDefault="007118E8">
            <w:pPr>
              <w:pStyle w:val="Standard"/>
              <w:tabs>
                <w:tab w:val="left" w:pos="709"/>
                <w:tab w:val="left" w:pos="1134"/>
              </w:tabs>
              <w:spacing w:before="120" w:after="120" w:line="240" w:lineRule="auto"/>
              <w:jc w:val="both"/>
              <w:rPr>
                <w:rFonts w:ascii="Arial" w:eastAsia="Arial" w:hAnsi="Arial" w:cs="Arial"/>
                <w:color w:val="000000"/>
                <w:sz w:val="24"/>
                <w:szCs w:val="24"/>
              </w:rPr>
            </w:pPr>
          </w:p>
        </w:tc>
      </w:tr>
    </w:tbl>
    <w:p w:rsidR="007118E8" w:rsidRDefault="00000000">
      <w:pPr>
        <w:pStyle w:val="Standard"/>
        <w:numPr>
          <w:ilvl w:val="0"/>
          <w:numId w:val="3"/>
        </w:numPr>
        <w:spacing w:after="0" w:line="240" w:lineRule="auto"/>
        <w:ind w:hanging="720"/>
      </w:pPr>
      <w:r>
        <w:rPr>
          <w:rFonts w:ascii="Arial" w:eastAsia="Arial" w:hAnsi="Arial" w:cs="Arial"/>
          <w:b/>
          <w:color w:val="000000"/>
          <w:sz w:val="24"/>
          <w:szCs w:val="24"/>
        </w:rPr>
        <w:t>Visibility of Sub-Contract Opportunities in the Supply Chain</w:t>
      </w:r>
    </w:p>
    <w:p w:rsidR="007118E8" w:rsidRDefault="007118E8">
      <w:pPr>
        <w:pStyle w:val="Standard"/>
        <w:spacing w:after="0" w:line="240" w:lineRule="auto"/>
        <w:ind w:left="720"/>
        <w:rPr>
          <w:rFonts w:ascii="Arial" w:eastAsia="Arial" w:hAnsi="Arial" w:cs="Arial"/>
          <w:b/>
          <w:color w:val="000000"/>
          <w:sz w:val="24"/>
          <w:szCs w:val="24"/>
        </w:rPr>
      </w:pPr>
    </w:p>
    <w:p w:rsidR="007118E8" w:rsidRDefault="00000000">
      <w:pPr>
        <w:pStyle w:val="Standard"/>
        <w:numPr>
          <w:ilvl w:val="1"/>
          <w:numId w:val="3"/>
        </w:numPr>
        <w:spacing w:after="0" w:line="240" w:lineRule="auto"/>
        <w:ind w:left="993" w:hanging="633"/>
        <w:jc w:val="both"/>
      </w:pPr>
      <w:r>
        <w:rPr>
          <w:rFonts w:ascii="Arial" w:eastAsia="Arial" w:hAnsi="Arial" w:cs="Arial"/>
          <w:color w:val="000000"/>
          <w:sz w:val="24"/>
          <w:szCs w:val="24"/>
        </w:rPr>
        <w:t xml:space="preserve"> The Supplier shall:</w:t>
      </w:r>
    </w:p>
    <w:p w:rsidR="007118E8" w:rsidRDefault="007118E8">
      <w:pPr>
        <w:pStyle w:val="Standard"/>
        <w:spacing w:after="0" w:line="240" w:lineRule="auto"/>
        <w:ind w:left="720"/>
        <w:jc w:val="both"/>
        <w:rPr>
          <w:rFonts w:ascii="Arial" w:eastAsia="Arial" w:hAnsi="Arial" w:cs="Arial"/>
          <w:color w:val="000000"/>
          <w:sz w:val="24"/>
          <w:szCs w:val="24"/>
        </w:rPr>
      </w:pPr>
    </w:p>
    <w:p w:rsidR="007118E8" w:rsidRDefault="00000000">
      <w:pPr>
        <w:pStyle w:val="Standard"/>
        <w:numPr>
          <w:ilvl w:val="2"/>
          <w:numId w:val="3"/>
        </w:numPr>
        <w:spacing w:after="0" w:line="240" w:lineRule="auto"/>
        <w:jc w:val="both"/>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7118E8" w:rsidRDefault="00000000">
      <w:pPr>
        <w:pStyle w:val="Standard"/>
        <w:numPr>
          <w:ilvl w:val="2"/>
          <w:numId w:val="3"/>
        </w:numPr>
        <w:spacing w:after="0" w:line="240" w:lineRule="auto"/>
        <w:jc w:val="both"/>
      </w:pPr>
      <w:r>
        <w:rPr>
          <w:rFonts w:ascii="Arial" w:eastAsia="Arial" w:hAnsi="Arial" w:cs="Arial"/>
          <w:color w:val="000000"/>
          <w:sz w:val="24"/>
          <w:szCs w:val="24"/>
        </w:rPr>
        <w:t>within 90 days of awarding a Sub-Contract to a Subcontractor, update the notice on Contract Finder with details of the successful Subcontractor;</w:t>
      </w:r>
    </w:p>
    <w:p w:rsidR="007118E8" w:rsidRDefault="00000000">
      <w:pPr>
        <w:pStyle w:val="Standard"/>
        <w:numPr>
          <w:ilvl w:val="2"/>
          <w:numId w:val="3"/>
        </w:numPr>
        <w:spacing w:after="0" w:line="240" w:lineRule="auto"/>
        <w:jc w:val="both"/>
      </w:pPr>
      <w:r>
        <w:rPr>
          <w:rFonts w:ascii="Arial" w:eastAsia="Arial" w:hAnsi="Arial" w:cs="Arial"/>
          <w:color w:val="000000"/>
          <w:sz w:val="24"/>
          <w:szCs w:val="24"/>
        </w:rPr>
        <w:t>monitor the number, type and value of the Sub-Contract opportunities placed on Contracts Finder advertised and awarded in its supply chain during the Contract Period;</w:t>
      </w:r>
    </w:p>
    <w:p w:rsidR="007118E8" w:rsidRDefault="00000000">
      <w:pPr>
        <w:pStyle w:val="Standard"/>
        <w:numPr>
          <w:ilvl w:val="2"/>
          <w:numId w:val="3"/>
        </w:numPr>
        <w:spacing w:after="0" w:line="240" w:lineRule="auto"/>
        <w:jc w:val="both"/>
      </w:pPr>
      <w:r>
        <w:rPr>
          <w:rFonts w:ascii="Arial" w:eastAsia="Arial" w:hAnsi="Arial" w:cs="Arial"/>
          <w:color w:val="000000"/>
          <w:sz w:val="24"/>
          <w:szCs w:val="24"/>
        </w:rPr>
        <w:t>provide reports on the information at Paragraph 2.1.3 to the Relevant Authority in the format and frequency as reasonably specified by the Relevant Authority; and</w:t>
      </w:r>
    </w:p>
    <w:p w:rsidR="007118E8" w:rsidRDefault="00000000">
      <w:pPr>
        <w:pStyle w:val="Standard"/>
        <w:numPr>
          <w:ilvl w:val="2"/>
          <w:numId w:val="3"/>
        </w:numPr>
        <w:spacing w:after="0" w:line="240" w:lineRule="auto"/>
        <w:jc w:val="both"/>
      </w:pPr>
      <w:r>
        <w:rPr>
          <w:rFonts w:ascii="Arial" w:eastAsia="Arial" w:hAnsi="Arial" w:cs="Arial"/>
          <w:color w:val="000000"/>
          <w:sz w:val="24"/>
          <w:szCs w:val="24"/>
        </w:rPr>
        <w:t>promote Contracts Finder to its suppliers and encourage those organisations to register on Contracts Finder.</w:t>
      </w:r>
    </w:p>
    <w:p w:rsidR="007118E8" w:rsidRDefault="007118E8">
      <w:pPr>
        <w:pStyle w:val="Standard"/>
        <w:spacing w:after="0" w:line="240" w:lineRule="auto"/>
        <w:ind w:left="1080"/>
        <w:jc w:val="both"/>
        <w:rPr>
          <w:rFonts w:ascii="Arial" w:eastAsia="Arial" w:hAnsi="Arial" w:cs="Arial"/>
          <w:color w:val="000000"/>
          <w:sz w:val="24"/>
          <w:szCs w:val="24"/>
        </w:rPr>
      </w:pPr>
    </w:p>
    <w:p w:rsidR="007118E8" w:rsidRDefault="007118E8">
      <w:pPr>
        <w:pStyle w:val="Standard"/>
        <w:spacing w:after="0" w:line="240" w:lineRule="auto"/>
        <w:ind w:left="1080"/>
        <w:jc w:val="both"/>
        <w:rPr>
          <w:rFonts w:ascii="Arial" w:eastAsia="Arial" w:hAnsi="Arial" w:cs="Arial"/>
          <w:color w:val="000000"/>
          <w:sz w:val="24"/>
          <w:szCs w:val="24"/>
        </w:rPr>
      </w:pPr>
    </w:p>
    <w:p w:rsidR="007118E8" w:rsidRDefault="00000000">
      <w:pPr>
        <w:pStyle w:val="Standard"/>
        <w:numPr>
          <w:ilvl w:val="1"/>
          <w:numId w:val="3"/>
        </w:numPr>
        <w:spacing w:after="0" w:line="240" w:lineRule="auto"/>
        <w:ind w:left="993" w:hanging="633"/>
        <w:jc w:val="both"/>
      </w:pPr>
      <w:r>
        <w:rPr>
          <w:rFonts w:ascii="Arial" w:eastAsia="Arial" w:hAnsi="Arial" w:cs="Arial"/>
          <w:color w:val="000000"/>
          <w:sz w:val="24"/>
          <w:szCs w:val="24"/>
        </w:rPr>
        <w:lastRenderedPageBreak/>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w:t>
      </w:r>
    </w:p>
    <w:p w:rsidR="007118E8" w:rsidRDefault="007118E8">
      <w:pPr>
        <w:pStyle w:val="Standard"/>
        <w:spacing w:after="0" w:line="240" w:lineRule="auto"/>
        <w:ind w:left="993" w:hanging="633"/>
        <w:jc w:val="both"/>
        <w:rPr>
          <w:rFonts w:ascii="Arial" w:eastAsia="Arial" w:hAnsi="Arial" w:cs="Arial"/>
          <w:color w:val="000000"/>
          <w:sz w:val="24"/>
          <w:szCs w:val="24"/>
        </w:rPr>
      </w:pPr>
    </w:p>
    <w:p w:rsidR="007118E8" w:rsidRDefault="00000000">
      <w:pPr>
        <w:pStyle w:val="Standard"/>
        <w:numPr>
          <w:ilvl w:val="1"/>
          <w:numId w:val="3"/>
        </w:numPr>
        <w:spacing w:after="0" w:line="240" w:lineRule="auto"/>
        <w:ind w:left="993" w:hanging="633"/>
        <w:jc w:val="both"/>
      </w:pPr>
      <w:r>
        <w:rPr>
          <w:rFonts w:ascii="Arial" w:eastAsia="Arial" w:hAnsi="Arial" w:cs="Arial"/>
          <w:color w:val="000000"/>
          <w:sz w:val="24"/>
          <w:szCs w:val="24"/>
        </w:rPr>
        <w:t>The obligation on the Supplier set out at Paragraph 2.1 shall only apply in respect of Sub-Contract opportunities arising after the Effective Date.</w:t>
      </w:r>
    </w:p>
    <w:p w:rsidR="007118E8" w:rsidRDefault="007118E8">
      <w:pPr>
        <w:pStyle w:val="Standard"/>
        <w:spacing w:after="0" w:line="240" w:lineRule="auto"/>
        <w:ind w:left="993" w:hanging="633"/>
        <w:jc w:val="both"/>
        <w:rPr>
          <w:rFonts w:ascii="Arial" w:eastAsia="Arial" w:hAnsi="Arial" w:cs="Arial"/>
          <w:color w:val="000000"/>
          <w:sz w:val="24"/>
          <w:szCs w:val="24"/>
        </w:rPr>
      </w:pPr>
    </w:p>
    <w:p w:rsidR="007118E8" w:rsidRDefault="00000000">
      <w:pPr>
        <w:pStyle w:val="Standard"/>
        <w:numPr>
          <w:ilvl w:val="1"/>
          <w:numId w:val="3"/>
        </w:numPr>
        <w:spacing w:after="0" w:line="240" w:lineRule="auto"/>
        <w:ind w:left="993" w:hanging="633"/>
        <w:jc w:val="both"/>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7118E8" w:rsidRDefault="007118E8">
      <w:pPr>
        <w:pStyle w:val="Standard"/>
        <w:spacing w:after="0" w:line="240" w:lineRule="auto"/>
        <w:ind w:left="720"/>
        <w:jc w:val="both"/>
        <w:rPr>
          <w:rFonts w:ascii="Arial" w:eastAsia="Arial" w:hAnsi="Arial" w:cs="Arial"/>
          <w:color w:val="000000"/>
          <w:sz w:val="24"/>
          <w:szCs w:val="24"/>
        </w:rPr>
      </w:pPr>
    </w:p>
    <w:p w:rsidR="007118E8" w:rsidRDefault="00000000">
      <w:pPr>
        <w:pStyle w:val="Standard"/>
        <w:numPr>
          <w:ilvl w:val="0"/>
          <w:numId w:val="3"/>
        </w:numPr>
        <w:spacing w:after="0" w:line="240" w:lineRule="auto"/>
        <w:ind w:hanging="720"/>
        <w:jc w:val="both"/>
      </w:pPr>
      <w:r>
        <w:rPr>
          <w:rFonts w:ascii="Arial" w:eastAsia="Arial" w:hAnsi="Arial" w:cs="Arial"/>
          <w:b/>
          <w:color w:val="000000"/>
          <w:sz w:val="24"/>
          <w:szCs w:val="24"/>
        </w:rPr>
        <w:t>Visibility of Supply Chain Spend</w:t>
      </w:r>
    </w:p>
    <w:p w:rsidR="007118E8" w:rsidRDefault="007118E8">
      <w:pPr>
        <w:pStyle w:val="Standard"/>
        <w:spacing w:after="0" w:line="240" w:lineRule="auto"/>
        <w:ind w:left="720"/>
        <w:jc w:val="both"/>
        <w:rPr>
          <w:rFonts w:ascii="Arial" w:eastAsia="Arial" w:hAnsi="Arial" w:cs="Arial"/>
          <w:b/>
          <w:color w:val="000000"/>
          <w:sz w:val="24"/>
          <w:szCs w:val="24"/>
        </w:rPr>
      </w:pPr>
    </w:p>
    <w:p w:rsidR="007118E8" w:rsidRDefault="00000000">
      <w:pPr>
        <w:pStyle w:val="Standard"/>
        <w:numPr>
          <w:ilvl w:val="1"/>
          <w:numId w:val="3"/>
        </w:numPr>
        <w:ind w:left="993" w:hanging="567"/>
        <w:jc w:val="both"/>
      </w:pPr>
      <w:bookmarkStart w:id="1" w:name="_heading=h.gjdgxs"/>
      <w:bookmarkEnd w:id="1"/>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rsidR="007118E8" w:rsidRDefault="00000000">
      <w:pPr>
        <w:pStyle w:val="Standard"/>
        <w:numPr>
          <w:ilvl w:val="0"/>
          <w:numId w:val="5"/>
        </w:numPr>
        <w:spacing w:after="0" w:line="360" w:lineRule="auto"/>
        <w:jc w:val="both"/>
      </w:pPr>
      <w:r>
        <w:rPr>
          <w:rFonts w:ascii="Arial" w:eastAsia="Arial" w:hAnsi="Arial" w:cs="Arial"/>
          <w:color w:val="000000"/>
          <w:sz w:val="24"/>
          <w:szCs w:val="24"/>
        </w:rPr>
        <w:t>the total contract revenue received directly on the Contract;</w:t>
      </w:r>
    </w:p>
    <w:p w:rsidR="007118E8" w:rsidRDefault="00000000">
      <w:pPr>
        <w:pStyle w:val="Standard"/>
        <w:numPr>
          <w:ilvl w:val="0"/>
          <w:numId w:val="2"/>
        </w:numPr>
        <w:spacing w:after="0" w:line="360" w:lineRule="auto"/>
        <w:jc w:val="both"/>
      </w:pPr>
      <w:r>
        <w:rPr>
          <w:rFonts w:ascii="Arial" w:eastAsia="Arial" w:hAnsi="Arial" w:cs="Arial"/>
          <w:color w:val="000000"/>
          <w:sz w:val="24"/>
          <w:szCs w:val="24"/>
        </w:rPr>
        <w:t>the total value of sub-contracted revenues under the Contract (including revenues for non-SMEs/non-VCSEs); and</w:t>
      </w:r>
    </w:p>
    <w:p w:rsidR="007118E8" w:rsidRDefault="00000000">
      <w:pPr>
        <w:pStyle w:val="Standard"/>
        <w:numPr>
          <w:ilvl w:val="0"/>
          <w:numId w:val="2"/>
        </w:numPr>
        <w:spacing w:after="0" w:line="360" w:lineRule="auto"/>
        <w:jc w:val="both"/>
      </w:pPr>
      <w:r>
        <w:rPr>
          <w:rFonts w:ascii="Arial" w:eastAsia="Arial" w:hAnsi="Arial" w:cs="Arial"/>
          <w:color w:val="000000"/>
          <w:sz w:val="24"/>
          <w:szCs w:val="24"/>
        </w:rPr>
        <w:t>the total value of sub-contracted revenues to SMEs and VCSEs.</w:t>
      </w:r>
    </w:p>
    <w:p w:rsidR="007118E8" w:rsidRDefault="007118E8">
      <w:pPr>
        <w:pStyle w:val="Standard"/>
        <w:spacing w:after="0" w:line="360" w:lineRule="auto"/>
        <w:jc w:val="both"/>
        <w:rPr>
          <w:rFonts w:ascii="Arial" w:eastAsia="Arial" w:hAnsi="Arial" w:cs="Arial"/>
          <w:color w:val="000000"/>
          <w:sz w:val="24"/>
          <w:szCs w:val="24"/>
        </w:rPr>
      </w:pPr>
    </w:p>
    <w:p w:rsidR="007118E8" w:rsidRDefault="00000000">
      <w:pPr>
        <w:pStyle w:val="Standard"/>
        <w:numPr>
          <w:ilvl w:val="1"/>
          <w:numId w:val="3"/>
        </w:numPr>
        <w:spacing w:after="0" w:line="240" w:lineRule="auto"/>
        <w:ind w:left="993" w:hanging="633"/>
        <w:jc w:val="both"/>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7118E8" w:rsidRDefault="007118E8">
      <w:pPr>
        <w:pStyle w:val="Standard"/>
        <w:spacing w:after="0" w:line="240" w:lineRule="auto"/>
        <w:ind w:left="720"/>
        <w:jc w:val="both"/>
        <w:rPr>
          <w:rFonts w:ascii="Arial" w:eastAsia="Arial" w:hAnsi="Arial" w:cs="Arial"/>
          <w:color w:val="000000"/>
          <w:sz w:val="24"/>
          <w:szCs w:val="24"/>
        </w:rPr>
      </w:pPr>
    </w:p>
    <w:p w:rsidR="007118E8" w:rsidRDefault="00000000">
      <w:pPr>
        <w:pStyle w:val="Standard"/>
        <w:numPr>
          <w:ilvl w:val="1"/>
          <w:numId w:val="3"/>
        </w:numPr>
        <w:ind w:left="993" w:hanging="567"/>
        <w:jc w:val="both"/>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7118E8" w:rsidRDefault="007118E8">
      <w:pPr>
        <w:pStyle w:val="Standard"/>
        <w:rPr>
          <w:rFonts w:ascii="Arial" w:eastAsia="Arial" w:hAnsi="Arial" w:cs="Arial"/>
          <w:sz w:val="24"/>
          <w:szCs w:val="24"/>
        </w:rPr>
      </w:pPr>
    </w:p>
    <w:p w:rsidR="007118E8" w:rsidRDefault="00000000">
      <w:pPr>
        <w:pStyle w:val="Standard"/>
        <w:ind w:left="360"/>
        <w:jc w:val="center"/>
      </w:pPr>
      <w:r>
        <w:rPr>
          <w:rFonts w:ascii="Arial" w:eastAsia="Arial" w:hAnsi="Arial" w:cs="Arial"/>
          <w:b/>
          <w:sz w:val="24"/>
          <w:szCs w:val="24"/>
        </w:rPr>
        <w:t>Annex 1</w:t>
      </w:r>
    </w:p>
    <w:p w:rsidR="007118E8" w:rsidRDefault="00000000">
      <w:pPr>
        <w:pStyle w:val="Standard"/>
        <w:ind w:left="360"/>
        <w:jc w:val="center"/>
      </w:pPr>
      <w:r>
        <w:rPr>
          <w:rFonts w:ascii="Arial" w:eastAsia="Arial" w:hAnsi="Arial" w:cs="Arial"/>
          <w:b/>
          <w:sz w:val="24"/>
          <w:szCs w:val="24"/>
        </w:rPr>
        <w:t>Supply Chain Information Report template</w:t>
      </w:r>
    </w:p>
    <w:p w:rsidR="007118E8" w:rsidRDefault="007118E8">
      <w:pPr>
        <w:pStyle w:val="Standard"/>
        <w:rPr>
          <w:rFonts w:ascii="Arial" w:eastAsia="Arial" w:hAnsi="Arial" w:cs="Arial"/>
          <w:sz w:val="24"/>
          <w:szCs w:val="24"/>
        </w:rPr>
      </w:pPr>
    </w:p>
    <w:p w:rsidR="007118E8" w:rsidRDefault="007118E8">
      <w:pPr>
        <w:pStyle w:val="Standard"/>
      </w:pPr>
    </w:p>
    <w:p w:rsidR="007118E8" w:rsidRDefault="00733CDD">
      <w:pPr>
        <w:pStyle w:val="Standard"/>
      </w:pPr>
      <w:r>
        <w:rPr>
          <w:noProof/>
        </w:rPr>
        <w:object w:dxaOrig="1610" w:dyaOrig="980" w14:anchorId="21DB6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4" o:spid="_x0000_i1025" type="#_x0000_t75" alt="" style="width:80.2pt;height:49.2pt;visibility:visible;mso-wrap-style:square;mso-width-percent:0;mso-height-percent:0;mso-width-percent:0;mso-height-percent:0" o:ole="">
            <v:imagedata r:id="rId7" o:title=""/>
          </v:shape>
          <o:OLEObject Type="Embed" ProgID="Excel.Sheet.12" ShapeID="Object 34" DrawAspect="Content" ObjectID="_1800170855" r:id="rId8"/>
        </w:object>
      </w:r>
    </w:p>
    <w:p w:rsidR="007118E8" w:rsidRDefault="007118E8">
      <w:pPr>
        <w:pStyle w:val="Standard"/>
        <w:rPr>
          <w:rFonts w:ascii="Arial" w:eastAsia="Arial" w:hAnsi="Arial" w:cs="Arial"/>
          <w:sz w:val="24"/>
          <w:szCs w:val="24"/>
        </w:rPr>
      </w:pPr>
    </w:p>
    <w:p w:rsidR="007118E8" w:rsidRDefault="007118E8">
      <w:pPr>
        <w:pStyle w:val="Standard"/>
      </w:pPr>
    </w:p>
    <w:sectPr w:rsidR="007118E8">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CDD" w:rsidRDefault="00733CDD">
      <w:r>
        <w:separator/>
      </w:r>
    </w:p>
  </w:endnote>
  <w:endnote w:type="continuationSeparator" w:id="0">
    <w:p w:rsidR="00733CDD" w:rsidRDefault="0073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jc w:val="center"/>
    </w:pPr>
    <w:r>
      <w:fldChar w:fldCharType="begin"/>
    </w:r>
    <w:r>
      <w:instrText xml:space="preserve"> PAGE </w:instrText>
    </w:r>
    <w:r>
      <w:fldChar w:fldCharType="separate"/>
    </w:r>
    <w:r>
      <w:t>3</w:t>
    </w:r>
    <w:r>
      <w:fldChar w:fldCharType="end"/>
    </w:r>
  </w:p>
  <w:p w:rsidR="00000000" w:rsidRDefault="00000000">
    <w:pPr>
      <w:pStyle w:val="Standard"/>
      <w:tabs>
        <w:tab w:val="center" w:pos="4513"/>
        <w:tab w:val="right" w:pos="9026"/>
      </w:tabs>
      <w:spacing w:after="0" w:line="240" w:lineRule="auto"/>
    </w:pPr>
    <w:r>
      <w:rPr>
        <w:rFonts w:ascii="Arial" w:eastAsia="Arial" w:hAnsi="Arial" w:cs="Arial"/>
        <w:color w:val="000000"/>
      </w:rPr>
      <w:t xml:space="preserve">Framework Ref: </w:t>
    </w:r>
    <w:r>
      <w:rPr>
        <w:rFonts w:ascii="Arial" w:eastAsia="Arial" w:hAnsi="Arial" w:cs="Arial"/>
      </w:rPr>
      <w:t>RM6168 – Estate Management Services</w:t>
    </w:r>
  </w:p>
  <w:p w:rsidR="00000000" w:rsidRDefault="00000000">
    <w:pPr>
      <w:pStyle w:val="Standard"/>
      <w:tabs>
        <w:tab w:val="center" w:pos="4513"/>
        <w:tab w:val="right" w:pos="9026"/>
      </w:tabs>
      <w:spacing w:after="0" w:line="240" w:lineRule="auto"/>
    </w:pPr>
    <w:r>
      <w:rPr>
        <w:rFonts w:ascii="Arial" w:eastAsia="Arial" w:hAnsi="Arial" w:cs="Arial"/>
        <w:color w:val="000000"/>
      </w:rPr>
      <w:t>Project Version: 1.0</w:t>
    </w:r>
  </w:p>
  <w:p w:rsidR="00000000" w:rsidRDefault="00000000">
    <w:pPr>
      <w:pStyle w:val="Standard"/>
      <w:tabs>
        <w:tab w:val="center" w:pos="4513"/>
        <w:tab w:val="right" w:pos="9026"/>
      </w:tabs>
      <w:spacing w:after="0" w:line="240" w:lineRule="auto"/>
    </w:pPr>
    <w:r>
      <w:rPr>
        <w:rFonts w:ascii="Arial" w:eastAsia="Arial" w:hAnsi="Arial" w:cs="Arial"/>
        <w:color w:val="000000"/>
      </w:rPr>
      <w:t>Model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CDD" w:rsidRDefault="00733CDD">
      <w:r>
        <w:rPr>
          <w:color w:val="000000"/>
        </w:rPr>
        <w:separator/>
      </w:r>
    </w:p>
  </w:footnote>
  <w:footnote w:type="continuationSeparator" w:id="0">
    <w:p w:rsidR="00733CDD" w:rsidRDefault="0073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b/>
        <w:color w:val="000000"/>
      </w:rPr>
      <w:t>Joint Schedule 12 (Supply Chain Visibility)</w:t>
    </w:r>
  </w:p>
  <w:p w:rsidR="00000000" w:rsidRDefault="00000000">
    <w:pPr>
      <w:pStyle w:val="Standard"/>
      <w:tabs>
        <w:tab w:val="center" w:pos="4513"/>
        <w:tab w:val="right" w:pos="9026"/>
      </w:tabs>
      <w:spacing w:after="0" w:line="240" w:lineRule="auto"/>
    </w:pPr>
    <w:r>
      <w:rPr>
        <w:rFonts w:ascii="Arial" w:eastAsia="Arial" w:hAnsi="Arial" w:cs="Arial"/>
        <w:color w:val="000000"/>
      </w:rPr>
      <w:t>Crown Copyright 20</w:t>
    </w:r>
    <w:r>
      <w:rPr>
        <w:rFonts w:ascii="Arial" w:eastAsia="Arial" w:hAnsi="Arial" w:cs="Arial"/>
      </w:rPr>
      <w:t>20</w:t>
    </w:r>
  </w:p>
  <w:p w:rsidR="00000000" w:rsidRDefault="00000000">
    <w:pPr>
      <w:pStyle w:val="Standard"/>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073B6"/>
    <w:multiLevelType w:val="multilevel"/>
    <w:tmpl w:val="B8D4223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4691C62"/>
    <w:multiLevelType w:val="multilevel"/>
    <w:tmpl w:val="3A38CE8A"/>
    <w:styleLink w:val="WWNum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32E0EFC"/>
    <w:multiLevelType w:val="multilevel"/>
    <w:tmpl w:val="2F5E7E9A"/>
    <w:styleLink w:val="WWNum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123352906">
    <w:abstractNumId w:val="0"/>
  </w:num>
  <w:num w:numId="2" w16cid:durableId="450515287">
    <w:abstractNumId w:val="1"/>
  </w:num>
  <w:num w:numId="3" w16cid:durableId="628560128">
    <w:abstractNumId w:val="2"/>
  </w:num>
  <w:num w:numId="4" w16cid:durableId="573046883">
    <w:abstractNumId w:val="2"/>
    <w:lvlOverride w:ilvl="0">
      <w:startOverride w:val="1"/>
    </w:lvlOverride>
  </w:num>
  <w:num w:numId="5" w16cid:durableId="7903223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18E8"/>
    <w:rsid w:val="007118E8"/>
    <w:rsid w:val="00733CDD"/>
    <w:rsid w:val="0098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2025-02-04T10:41:00Z</dcterms:created>
  <dcterms:modified xsi:type="dcterms:W3CDTF">2025-02-04T10:41:00Z</dcterms:modified>
</cp:coreProperties>
</file>