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85F0A" w14:textId="77777777" w:rsidR="00A420A7" w:rsidRDefault="00A420A7" w:rsidP="00FF4110">
      <w:pPr>
        <w:pStyle w:val="Heading1"/>
        <w:spacing w:line="20" w:lineRule="atLeast"/>
        <w:jc w:val="center"/>
        <w:rPr>
          <w:rFonts w:eastAsia="Tahoma"/>
          <w:sz w:val="22"/>
          <w:szCs w:val="22"/>
        </w:rPr>
      </w:pPr>
      <w:r>
        <w:rPr>
          <w:rFonts w:eastAsia="Tahoma"/>
          <w:sz w:val="22"/>
          <w:szCs w:val="22"/>
        </w:rPr>
        <w:t xml:space="preserve">Cambridgeshire County Council &amp; Peterborough City Council </w:t>
      </w:r>
    </w:p>
    <w:p w14:paraId="3B32F32D" w14:textId="77777777" w:rsidR="00A420A7" w:rsidRDefault="00993931" w:rsidP="00FF4110">
      <w:pPr>
        <w:pStyle w:val="Heading1"/>
        <w:spacing w:line="20" w:lineRule="atLeast"/>
        <w:jc w:val="center"/>
        <w:rPr>
          <w:rFonts w:eastAsia="Tahoma"/>
          <w:sz w:val="22"/>
          <w:szCs w:val="22"/>
        </w:rPr>
      </w:pPr>
      <w:bookmarkStart w:id="0" w:name="_30j0zll"/>
      <w:bookmarkEnd w:id="0"/>
      <w:r>
        <w:rPr>
          <w:rFonts w:eastAsia="Tahoma"/>
          <w:sz w:val="22"/>
          <w:szCs w:val="22"/>
        </w:rPr>
        <w:t>Development of Accommodation with C</w:t>
      </w:r>
      <w:r w:rsidRPr="00993931">
        <w:rPr>
          <w:rFonts w:eastAsia="Tahoma"/>
          <w:sz w:val="22"/>
          <w:szCs w:val="22"/>
        </w:rPr>
        <w:t>are for O</w:t>
      </w:r>
      <w:r>
        <w:rPr>
          <w:rFonts w:eastAsia="Tahoma"/>
          <w:sz w:val="22"/>
          <w:szCs w:val="22"/>
        </w:rPr>
        <w:t>lder People and Adults with Physical Disabilities</w:t>
      </w:r>
      <w:r w:rsidR="001021D1">
        <w:rPr>
          <w:rFonts w:eastAsia="Tahoma"/>
          <w:sz w:val="22"/>
          <w:szCs w:val="22"/>
        </w:rPr>
        <w:t xml:space="preserve"> PIN </w:t>
      </w:r>
    </w:p>
    <w:p w14:paraId="2CA7D898" w14:textId="77777777" w:rsidR="00A420A7" w:rsidRDefault="00A420A7" w:rsidP="00FF4110">
      <w:pPr>
        <w:spacing w:line="20" w:lineRule="atLeast"/>
        <w:jc w:val="center"/>
        <w:rPr>
          <w:b/>
          <w:bCs/>
          <w:color w:val="FF0000"/>
          <w:sz w:val="22"/>
          <w:szCs w:val="22"/>
        </w:rPr>
      </w:pPr>
    </w:p>
    <w:p w14:paraId="3E2D117E" w14:textId="77777777" w:rsidR="00B239C3" w:rsidRDefault="003D30A3" w:rsidP="00993931">
      <w:pPr>
        <w:widowControl/>
        <w:spacing w:after="160" w:line="20" w:lineRule="atLeast"/>
        <w:jc w:val="both"/>
        <w:rPr>
          <w:rFonts w:eastAsiaTheme="minorHAnsi"/>
          <w:b/>
          <w:sz w:val="22"/>
          <w:szCs w:val="22"/>
          <w:lang w:eastAsia="en-US"/>
        </w:rPr>
      </w:pPr>
      <w:r>
        <w:rPr>
          <w:rFonts w:eastAsiaTheme="minorHAnsi"/>
          <w:b/>
          <w:sz w:val="22"/>
          <w:szCs w:val="22"/>
          <w:lang w:eastAsia="en-US"/>
        </w:rPr>
        <w:t>Introduction</w:t>
      </w:r>
    </w:p>
    <w:p w14:paraId="6204D32E" w14:textId="77777777" w:rsidR="00993931" w:rsidRDefault="00993931" w:rsidP="00993931">
      <w:pPr>
        <w:widowControl/>
        <w:spacing w:after="160" w:line="20" w:lineRule="atLeast"/>
        <w:jc w:val="both"/>
        <w:rPr>
          <w:rFonts w:eastAsiaTheme="minorHAnsi"/>
          <w:b/>
          <w:sz w:val="22"/>
          <w:szCs w:val="22"/>
          <w:lang w:eastAsia="en-US"/>
        </w:rPr>
      </w:pPr>
      <w:r w:rsidRPr="00993931">
        <w:rPr>
          <w:rFonts w:eastAsiaTheme="minorHAnsi"/>
          <w:b/>
          <w:sz w:val="22"/>
          <w:szCs w:val="22"/>
          <w:lang w:eastAsia="en-US"/>
        </w:rPr>
        <w:t>Between 2021 and 2036, the number of people aged 65+ in Cambridgeshire and Peterborough is estimated to increase by 48% while the percentage of those over 85 is estimated to increase by 110%.</w:t>
      </w:r>
      <w:r>
        <w:rPr>
          <w:rFonts w:eastAsiaTheme="minorHAnsi"/>
          <w:b/>
          <w:sz w:val="22"/>
          <w:szCs w:val="22"/>
          <w:lang w:eastAsia="en-US"/>
        </w:rPr>
        <w:t xml:space="preserve"> </w:t>
      </w:r>
    </w:p>
    <w:p w14:paraId="6E2685B1" w14:textId="77777777" w:rsidR="00993931" w:rsidRPr="00993931" w:rsidRDefault="00993931" w:rsidP="00993931">
      <w:pPr>
        <w:widowControl/>
        <w:spacing w:after="160" w:line="20" w:lineRule="atLeast"/>
        <w:jc w:val="both"/>
        <w:rPr>
          <w:rFonts w:eastAsiaTheme="minorHAnsi"/>
          <w:b/>
          <w:sz w:val="22"/>
          <w:szCs w:val="22"/>
          <w:lang w:eastAsia="en-US"/>
        </w:rPr>
      </w:pPr>
      <w:r w:rsidRPr="00993931">
        <w:rPr>
          <w:rFonts w:eastAsiaTheme="minorHAnsi"/>
          <w:b/>
          <w:sz w:val="22"/>
          <w:szCs w:val="22"/>
          <w:lang w:eastAsia="en-US"/>
        </w:rPr>
        <w:t xml:space="preserve">During the first half of 2021, </w:t>
      </w:r>
      <w:r>
        <w:rPr>
          <w:rFonts w:eastAsiaTheme="minorHAnsi"/>
          <w:b/>
          <w:sz w:val="22"/>
          <w:szCs w:val="22"/>
          <w:lang w:eastAsia="en-US"/>
        </w:rPr>
        <w:t xml:space="preserve">Cambridgeshire County Council (CCC) and Peterborough City Council (PCC) </w:t>
      </w:r>
      <w:r w:rsidRPr="00993931">
        <w:rPr>
          <w:rFonts w:eastAsiaTheme="minorHAnsi"/>
          <w:b/>
          <w:sz w:val="22"/>
          <w:szCs w:val="22"/>
          <w:lang w:eastAsia="en-US"/>
        </w:rPr>
        <w:t xml:space="preserve">will develop long term commissioning plans to ensure a sufficient supply of accommodation with care for </w:t>
      </w:r>
      <w:r w:rsidR="009C196C">
        <w:rPr>
          <w:rFonts w:eastAsiaTheme="minorHAnsi"/>
          <w:b/>
          <w:sz w:val="22"/>
          <w:szCs w:val="22"/>
          <w:lang w:eastAsia="en-US"/>
        </w:rPr>
        <w:t>older people and adults with physical disabilities</w:t>
      </w:r>
      <w:r w:rsidRPr="00993931">
        <w:rPr>
          <w:rFonts w:eastAsiaTheme="minorHAnsi"/>
          <w:b/>
          <w:sz w:val="22"/>
          <w:szCs w:val="22"/>
          <w:lang w:eastAsia="en-US"/>
        </w:rPr>
        <w:t xml:space="preserve"> to meet the forecasted increase in deman</w:t>
      </w:r>
      <w:r>
        <w:rPr>
          <w:rFonts w:eastAsiaTheme="minorHAnsi"/>
          <w:b/>
          <w:sz w:val="22"/>
          <w:szCs w:val="22"/>
          <w:lang w:eastAsia="en-US"/>
        </w:rPr>
        <w:t>d. By autumn/winter 2021, CCC and P</w:t>
      </w:r>
      <w:r w:rsidRPr="00993931">
        <w:rPr>
          <w:rFonts w:eastAsiaTheme="minorHAnsi"/>
          <w:b/>
          <w:sz w:val="22"/>
          <w:szCs w:val="22"/>
          <w:lang w:eastAsia="en-US"/>
        </w:rPr>
        <w:t>CC hope to commence any subsequent procurement activity with a view to new developments being ready by 2026 or earlier.</w:t>
      </w:r>
    </w:p>
    <w:p w14:paraId="56E3CC6A" w14:textId="77777777" w:rsidR="00FD5AD9" w:rsidRDefault="00993931" w:rsidP="00993931">
      <w:pPr>
        <w:widowControl/>
        <w:spacing w:after="160" w:line="20" w:lineRule="atLeast"/>
        <w:jc w:val="both"/>
        <w:rPr>
          <w:rFonts w:eastAsiaTheme="minorHAnsi"/>
          <w:b/>
          <w:sz w:val="22"/>
          <w:szCs w:val="22"/>
          <w:lang w:eastAsia="en-US"/>
        </w:rPr>
      </w:pPr>
      <w:r>
        <w:rPr>
          <w:rFonts w:eastAsiaTheme="minorHAnsi"/>
          <w:b/>
          <w:sz w:val="22"/>
          <w:szCs w:val="22"/>
          <w:lang w:eastAsia="en-US"/>
        </w:rPr>
        <w:t>CCC and P</w:t>
      </w:r>
      <w:r w:rsidRPr="00993931">
        <w:rPr>
          <w:rFonts w:eastAsiaTheme="minorHAnsi"/>
          <w:b/>
          <w:sz w:val="22"/>
          <w:szCs w:val="22"/>
          <w:lang w:eastAsia="en-US"/>
        </w:rPr>
        <w:t>CC wish to engage with t</w:t>
      </w:r>
      <w:r>
        <w:rPr>
          <w:rFonts w:eastAsiaTheme="minorHAnsi"/>
          <w:b/>
          <w:sz w:val="22"/>
          <w:szCs w:val="22"/>
          <w:lang w:eastAsia="en-US"/>
        </w:rPr>
        <w:t>he wider market to communicate CCC and P</w:t>
      </w:r>
      <w:r w:rsidRPr="00993931">
        <w:rPr>
          <w:rFonts w:eastAsiaTheme="minorHAnsi"/>
          <w:b/>
          <w:sz w:val="22"/>
          <w:szCs w:val="22"/>
          <w:lang w:eastAsia="en-US"/>
        </w:rPr>
        <w:t>CC's forecasted requirements; better understand market trends and opportunities in this sector; assess appetite for collaboration with LAs and other providers and understand market preferences for procure</w:t>
      </w:r>
      <w:r w:rsidR="00423FA4">
        <w:rPr>
          <w:rFonts w:eastAsiaTheme="minorHAnsi"/>
          <w:b/>
          <w:sz w:val="22"/>
          <w:szCs w:val="22"/>
          <w:lang w:eastAsia="en-US"/>
        </w:rPr>
        <w:t>ment</w:t>
      </w:r>
      <w:r w:rsidRPr="00993931">
        <w:rPr>
          <w:rFonts w:eastAsiaTheme="minorHAnsi"/>
          <w:b/>
          <w:sz w:val="22"/>
          <w:szCs w:val="22"/>
          <w:lang w:eastAsia="en-US"/>
        </w:rPr>
        <w:t xml:space="preserve">.  </w:t>
      </w:r>
    </w:p>
    <w:p w14:paraId="7C25D4BF" w14:textId="77777777" w:rsidR="00993931" w:rsidRDefault="00B239C3" w:rsidP="00993931">
      <w:pPr>
        <w:widowControl/>
        <w:spacing w:after="160" w:line="20" w:lineRule="atLeast"/>
        <w:jc w:val="both"/>
        <w:rPr>
          <w:rFonts w:eastAsiaTheme="minorHAnsi"/>
          <w:b/>
          <w:sz w:val="22"/>
          <w:szCs w:val="22"/>
          <w:lang w:eastAsia="en-US"/>
        </w:rPr>
      </w:pPr>
      <w:r>
        <w:rPr>
          <w:rFonts w:eastAsiaTheme="minorHAnsi"/>
          <w:b/>
          <w:sz w:val="22"/>
          <w:szCs w:val="22"/>
          <w:lang w:eastAsia="en-US"/>
        </w:rPr>
        <w:t>The market engagement will comprise of 3 stages:</w:t>
      </w:r>
    </w:p>
    <w:p w14:paraId="525FA636" w14:textId="201AA4D5" w:rsidR="00B239C3" w:rsidRDefault="00B239C3" w:rsidP="00B239C3">
      <w:pPr>
        <w:pStyle w:val="ListParagraph"/>
        <w:widowControl/>
        <w:numPr>
          <w:ilvl w:val="0"/>
          <w:numId w:val="9"/>
        </w:numPr>
        <w:spacing w:after="160" w:line="20" w:lineRule="atLeast"/>
        <w:jc w:val="both"/>
        <w:rPr>
          <w:rFonts w:eastAsiaTheme="minorHAnsi"/>
          <w:b/>
          <w:sz w:val="22"/>
          <w:szCs w:val="22"/>
          <w:lang w:eastAsia="en-US"/>
        </w:rPr>
      </w:pPr>
      <w:r>
        <w:rPr>
          <w:rFonts w:eastAsiaTheme="minorHAnsi"/>
          <w:b/>
          <w:sz w:val="22"/>
          <w:szCs w:val="22"/>
          <w:lang w:eastAsia="en-US"/>
        </w:rPr>
        <w:t xml:space="preserve">Initial provider engagement opportunity – </w:t>
      </w:r>
      <w:r w:rsidR="00CC31ED">
        <w:rPr>
          <w:rFonts w:eastAsiaTheme="minorHAnsi"/>
          <w:b/>
          <w:sz w:val="22"/>
          <w:szCs w:val="22"/>
          <w:lang w:eastAsia="en-US"/>
        </w:rPr>
        <w:t>Ongoing</w:t>
      </w:r>
    </w:p>
    <w:p w14:paraId="3A784527" w14:textId="32A28765" w:rsidR="00B239C3" w:rsidRDefault="00B239C3" w:rsidP="00B239C3">
      <w:pPr>
        <w:pStyle w:val="ListParagraph"/>
        <w:widowControl/>
        <w:numPr>
          <w:ilvl w:val="0"/>
          <w:numId w:val="9"/>
        </w:numPr>
        <w:spacing w:after="160" w:line="20" w:lineRule="atLeast"/>
        <w:jc w:val="both"/>
        <w:rPr>
          <w:rFonts w:eastAsiaTheme="minorHAnsi"/>
          <w:b/>
          <w:sz w:val="22"/>
          <w:szCs w:val="22"/>
          <w:lang w:eastAsia="en-US"/>
        </w:rPr>
      </w:pPr>
      <w:r>
        <w:rPr>
          <w:rFonts w:eastAsiaTheme="minorHAnsi"/>
          <w:b/>
          <w:sz w:val="22"/>
          <w:szCs w:val="22"/>
          <w:lang w:eastAsia="en-US"/>
        </w:rPr>
        <w:t xml:space="preserve">Soft Market Testing exercise – </w:t>
      </w:r>
      <w:r w:rsidR="00CC31ED">
        <w:rPr>
          <w:rFonts w:eastAsiaTheme="minorHAnsi"/>
          <w:b/>
          <w:sz w:val="22"/>
          <w:szCs w:val="22"/>
          <w:lang w:eastAsia="en-US"/>
        </w:rPr>
        <w:t>market engagement event 16</w:t>
      </w:r>
      <w:r w:rsidR="00CC31ED" w:rsidRPr="00CC31ED">
        <w:rPr>
          <w:rFonts w:eastAsiaTheme="minorHAnsi"/>
          <w:b/>
          <w:sz w:val="22"/>
          <w:szCs w:val="22"/>
          <w:vertAlign w:val="superscript"/>
          <w:lang w:eastAsia="en-US"/>
        </w:rPr>
        <w:t>th</w:t>
      </w:r>
      <w:r w:rsidR="00CC31ED">
        <w:rPr>
          <w:rFonts w:eastAsiaTheme="minorHAnsi"/>
          <w:b/>
          <w:sz w:val="22"/>
          <w:szCs w:val="22"/>
          <w:lang w:eastAsia="en-US"/>
        </w:rPr>
        <w:t xml:space="preserve"> March 2021</w:t>
      </w:r>
    </w:p>
    <w:p w14:paraId="3301B359" w14:textId="77777777" w:rsidR="00B239C3" w:rsidRPr="00B239C3" w:rsidRDefault="00B239C3" w:rsidP="00B239C3">
      <w:pPr>
        <w:pStyle w:val="ListParagraph"/>
        <w:widowControl/>
        <w:numPr>
          <w:ilvl w:val="0"/>
          <w:numId w:val="9"/>
        </w:numPr>
        <w:spacing w:after="160" w:line="20" w:lineRule="atLeast"/>
        <w:jc w:val="both"/>
        <w:rPr>
          <w:rFonts w:eastAsiaTheme="minorHAnsi"/>
          <w:b/>
          <w:sz w:val="22"/>
          <w:szCs w:val="22"/>
          <w:lang w:eastAsia="en-US"/>
        </w:rPr>
      </w:pPr>
      <w:r>
        <w:rPr>
          <w:rFonts w:eastAsiaTheme="minorHAnsi"/>
          <w:b/>
          <w:sz w:val="22"/>
          <w:szCs w:val="22"/>
          <w:lang w:eastAsia="en-US"/>
        </w:rPr>
        <w:t>Commissioning Planning Event to be held at the end of July 2021.</w:t>
      </w:r>
    </w:p>
    <w:p w14:paraId="634A306D" w14:textId="77777777" w:rsidR="00FF4110" w:rsidRPr="00B036DB" w:rsidRDefault="00FF4110" w:rsidP="008633D0">
      <w:pPr>
        <w:widowControl/>
        <w:spacing w:after="160" w:line="20" w:lineRule="atLeast"/>
        <w:jc w:val="both"/>
        <w:rPr>
          <w:rFonts w:eastAsiaTheme="minorHAnsi"/>
          <w:b/>
          <w:sz w:val="22"/>
          <w:szCs w:val="22"/>
          <w:lang w:eastAsia="en-US"/>
        </w:rPr>
      </w:pPr>
      <w:r w:rsidRPr="00B036DB">
        <w:rPr>
          <w:rFonts w:eastAsiaTheme="minorHAnsi"/>
          <w:b/>
          <w:sz w:val="22"/>
          <w:szCs w:val="22"/>
          <w:lang w:eastAsia="en-US"/>
        </w:rPr>
        <w:t xml:space="preserve">This Prior Information Notice (PIN) serves to inform the market of provider organisations in the field of </w:t>
      </w:r>
      <w:r w:rsidR="00056B6D" w:rsidRPr="00B036DB">
        <w:rPr>
          <w:rFonts w:eastAsiaTheme="minorHAnsi"/>
          <w:b/>
          <w:sz w:val="22"/>
          <w:szCs w:val="22"/>
          <w:lang w:eastAsia="en-US"/>
        </w:rPr>
        <w:t xml:space="preserve">accommodation based services for older people and adults with a physical disabilities. </w:t>
      </w:r>
    </w:p>
    <w:p w14:paraId="56E82043" w14:textId="0CB010DA" w:rsidR="00FF4110" w:rsidRPr="00B036DB" w:rsidRDefault="00FF4110" w:rsidP="008633D0">
      <w:pPr>
        <w:widowControl/>
        <w:spacing w:after="160" w:line="20" w:lineRule="atLeast"/>
        <w:jc w:val="both"/>
        <w:rPr>
          <w:rFonts w:eastAsiaTheme="minorHAnsi"/>
          <w:b/>
          <w:sz w:val="22"/>
          <w:szCs w:val="22"/>
          <w:lang w:eastAsia="en-US"/>
        </w:rPr>
      </w:pPr>
      <w:r w:rsidRPr="00B036DB">
        <w:rPr>
          <w:rFonts w:eastAsiaTheme="minorHAnsi"/>
          <w:b/>
          <w:sz w:val="22"/>
          <w:szCs w:val="22"/>
          <w:lang w:eastAsia="en-US"/>
        </w:rPr>
        <w:t>Please note: this PIN is not an invitation to tender, or a request for formal expressions of interest.</w:t>
      </w:r>
      <w:r w:rsidR="00B036DB">
        <w:rPr>
          <w:rFonts w:eastAsiaTheme="minorHAnsi"/>
          <w:b/>
          <w:sz w:val="22"/>
          <w:szCs w:val="22"/>
          <w:lang w:eastAsia="en-US"/>
        </w:rPr>
        <w:t xml:space="preserve"> </w:t>
      </w:r>
      <w:r w:rsidRPr="00B036DB">
        <w:rPr>
          <w:rFonts w:eastAsiaTheme="minorHAnsi"/>
          <w:b/>
          <w:sz w:val="22"/>
          <w:szCs w:val="22"/>
          <w:lang w:eastAsia="en-US"/>
        </w:rPr>
        <w:t>This notice does not form any part of an invitation to tender (ITT). Any future procurement, and subsequent contract award, will be undertaken in line with the requirements of the Public Contract R</w:t>
      </w:r>
      <w:r w:rsidR="00056B6D" w:rsidRPr="00B036DB">
        <w:rPr>
          <w:rFonts w:eastAsiaTheme="minorHAnsi"/>
          <w:b/>
          <w:sz w:val="22"/>
          <w:szCs w:val="22"/>
          <w:lang w:eastAsia="en-US"/>
        </w:rPr>
        <w:t>egulations 2015 and the Council</w:t>
      </w:r>
      <w:r w:rsidRPr="00B036DB">
        <w:rPr>
          <w:rFonts w:eastAsiaTheme="minorHAnsi"/>
          <w:b/>
          <w:sz w:val="22"/>
          <w:szCs w:val="22"/>
          <w:lang w:eastAsia="en-US"/>
        </w:rPr>
        <w:t>s</w:t>
      </w:r>
      <w:r w:rsidR="00056B6D" w:rsidRPr="00B036DB">
        <w:rPr>
          <w:rFonts w:eastAsiaTheme="minorHAnsi"/>
          <w:b/>
          <w:sz w:val="22"/>
          <w:szCs w:val="22"/>
          <w:lang w:eastAsia="en-US"/>
        </w:rPr>
        <w:t>’</w:t>
      </w:r>
      <w:r w:rsidRPr="00B036DB">
        <w:rPr>
          <w:rFonts w:eastAsiaTheme="minorHAnsi"/>
          <w:b/>
          <w:sz w:val="22"/>
          <w:szCs w:val="22"/>
          <w:lang w:eastAsia="en-US"/>
        </w:rPr>
        <w:t xml:space="preserve"> Contract Rules.</w:t>
      </w:r>
    </w:p>
    <w:p w14:paraId="222A7D36" w14:textId="77777777" w:rsidR="00FF4110" w:rsidRPr="00FF4110" w:rsidRDefault="00FF4110" w:rsidP="00FF4110">
      <w:pPr>
        <w:widowControl/>
        <w:spacing w:after="160" w:line="20" w:lineRule="atLeast"/>
        <w:jc w:val="both"/>
        <w:rPr>
          <w:rFonts w:eastAsiaTheme="minorHAnsi"/>
          <w:b/>
          <w:sz w:val="22"/>
          <w:szCs w:val="22"/>
          <w:lang w:eastAsia="en-US"/>
        </w:rPr>
      </w:pPr>
      <w:r w:rsidRPr="00FF4110">
        <w:rPr>
          <w:rFonts w:eastAsiaTheme="minorHAnsi"/>
          <w:b/>
          <w:sz w:val="22"/>
          <w:szCs w:val="22"/>
          <w:lang w:eastAsia="en-US"/>
        </w:rPr>
        <w:t>Background</w:t>
      </w:r>
    </w:p>
    <w:p w14:paraId="53125669" w14:textId="77777777" w:rsidR="0040082E" w:rsidRPr="00FF4110" w:rsidRDefault="00B239C3" w:rsidP="00FF4110">
      <w:pPr>
        <w:widowControl/>
        <w:spacing w:after="160" w:line="20" w:lineRule="atLeast"/>
        <w:jc w:val="both"/>
        <w:rPr>
          <w:rFonts w:eastAsiaTheme="minorHAnsi"/>
          <w:sz w:val="22"/>
          <w:szCs w:val="22"/>
          <w:lang w:eastAsia="en-US"/>
        </w:rPr>
      </w:pPr>
      <w:r>
        <w:rPr>
          <w:rFonts w:eastAsiaTheme="minorHAnsi"/>
          <w:sz w:val="22"/>
          <w:szCs w:val="22"/>
          <w:lang w:eastAsia="en-US"/>
        </w:rPr>
        <w:t xml:space="preserve">CCC </w:t>
      </w:r>
      <w:r w:rsidR="001021D1" w:rsidRPr="00FF4110">
        <w:rPr>
          <w:rFonts w:eastAsiaTheme="minorHAnsi"/>
          <w:sz w:val="22"/>
          <w:szCs w:val="22"/>
          <w:lang w:eastAsia="en-US"/>
        </w:rPr>
        <w:t xml:space="preserve">and </w:t>
      </w:r>
      <w:r>
        <w:rPr>
          <w:rFonts w:eastAsiaTheme="minorHAnsi"/>
          <w:sz w:val="22"/>
          <w:szCs w:val="22"/>
          <w:lang w:eastAsia="en-US"/>
        </w:rPr>
        <w:t>PCC</w:t>
      </w:r>
      <w:r w:rsidR="001021D1" w:rsidRPr="00FF4110">
        <w:rPr>
          <w:rFonts w:eastAsiaTheme="minorHAnsi"/>
          <w:sz w:val="22"/>
          <w:szCs w:val="22"/>
          <w:lang w:eastAsia="en-US"/>
        </w:rPr>
        <w:t xml:space="preserve"> </w:t>
      </w:r>
      <w:r w:rsidR="0040082E" w:rsidRPr="00FF4110">
        <w:rPr>
          <w:rFonts w:eastAsiaTheme="minorHAnsi"/>
          <w:sz w:val="22"/>
          <w:szCs w:val="22"/>
          <w:lang w:eastAsia="en-US"/>
        </w:rPr>
        <w:t xml:space="preserve">have carried out a Needs Assessment to evaluate the future </w:t>
      </w:r>
      <w:r w:rsidR="004A3668" w:rsidRPr="00FF4110">
        <w:rPr>
          <w:rFonts w:eastAsiaTheme="minorHAnsi"/>
          <w:sz w:val="22"/>
          <w:szCs w:val="22"/>
          <w:lang w:eastAsia="en-US"/>
        </w:rPr>
        <w:t>requirements for</w:t>
      </w:r>
      <w:r w:rsidR="0040082E" w:rsidRPr="00FF4110">
        <w:rPr>
          <w:rFonts w:eastAsiaTheme="minorHAnsi"/>
          <w:sz w:val="22"/>
          <w:szCs w:val="22"/>
          <w:lang w:eastAsia="en-US"/>
        </w:rPr>
        <w:t xml:space="preserve"> local authority funded accommodation for older people aged 65+ (including older people with mental health needs) and adults with physical disabilities aged 18+ within CCC and P</w:t>
      </w:r>
      <w:r w:rsidR="005B3B33" w:rsidRPr="00FF4110">
        <w:rPr>
          <w:rFonts w:eastAsiaTheme="minorHAnsi"/>
          <w:sz w:val="22"/>
          <w:szCs w:val="22"/>
          <w:lang w:eastAsia="en-US"/>
        </w:rPr>
        <w:t xml:space="preserve">CC local authority boundaries. </w:t>
      </w:r>
    </w:p>
    <w:p w14:paraId="0189D32A" w14:textId="77777777" w:rsidR="005B3B33" w:rsidRPr="00FF4110" w:rsidRDefault="005B3B33" w:rsidP="00FF4110">
      <w:pPr>
        <w:widowControl/>
        <w:spacing w:after="160" w:line="20" w:lineRule="atLeast"/>
        <w:jc w:val="both"/>
        <w:rPr>
          <w:rFonts w:eastAsiaTheme="minorHAnsi"/>
          <w:sz w:val="22"/>
          <w:szCs w:val="22"/>
          <w:lang w:eastAsia="en-US"/>
        </w:rPr>
      </w:pPr>
      <w:r w:rsidRPr="00FF4110">
        <w:rPr>
          <w:rFonts w:eastAsiaTheme="minorHAnsi"/>
          <w:sz w:val="22"/>
          <w:szCs w:val="22"/>
          <w:lang w:eastAsia="en-US"/>
        </w:rPr>
        <w:t>The Needs Assessment focused on the following settings:</w:t>
      </w:r>
    </w:p>
    <w:p w14:paraId="1F769DA5" w14:textId="77777777" w:rsidR="005B3B33" w:rsidRPr="00FF4110" w:rsidRDefault="009C196C" w:rsidP="00FF4110">
      <w:pPr>
        <w:pStyle w:val="ListParagraph"/>
        <w:widowControl/>
        <w:numPr>
          <w:ilvl w:val="0"/>
          <w:numId w:val="7"/>
        </w:numPr>
        <w:spacing w:after="160" w:line="20" w:lineRule="atLeast"/>
        <w:jc w:val="both"/>
        <w:rPr>
          <w:rFonts w:eastAsiaTheme="minorHAnsi"/>
          <w:sz w:val="22"/>
          <w:szCs w:val="22"/>
          <w:lang w:eastAsia="en-US"/>
        </w:rPr>
      </w:pPr>
      <w:r>
        <w:rPr>
          <w:rFonts w:eastAsiaTheme="minorHAnsi"/>
          <w:sz w:val="22"/>
          <w:szCs w:val="22"/>
          <w:lang w:eastAsia="en-US"/>
        </w:rPr>
        <w:t>Residential and Nursing Care H</w:t>
      </w:r>
      <w:r w:rsidR="005B3B33" w:rsidRPr="00FF4110">
        <w:rPr>
          <w:rFonts w:eastAsiaTheme="minorHAnsi"/>
          <w:sz w:val="22"/>
          <w:szCs w:val="22"/>
          <w:lang w:eastAsia="en-US"/>
        </w:rPr>
        <w:t>omes</w:t>
      </w:r>
    </w:p>
    <w:p w14:paraId="248A7CF0" w14:textId="77777777" w:rsidR="005B3B33" w:rsidRPr="00FF4110" w:rsidRDefault="005B3B33" w:rsidP="00FF4110">
      <w:pPr>
        <w:pStyle w:val="ListParagraph"/>
        <w:widowControl/>
        <w:numPr>
          <w:ilvl w:val="0"/>
          <w:numId w:val="7"/>
        </w:numPr>
        <w:spacing w:after="160" w:line="20" w:lineRule="atLeast"/>
        <w:jc w:val="both"/>
        <w:rPr>
          <w:rFonts w:eastAsiaTheme="minorHAnsi"/>
          <w:sz w:val="22"/>
          <w:szCs w:val="22"/>
          <w:lang w:eastAsia="en-US"/>
        </w:rPr>
      </w:pPr>
      <w:r w:rsidRPr="00FF4110">
        <w:rPr>
          <w:rFonts w:eastAsiaTheme="minorHAnsi"/>
          <w:sz w:val="22"/>
          <w:szCs w:val="22"/>
          <w:lang w:eastAsia="en-US"/>
        </w:rPr>
        <w:t>Extra Care schemes</w:t>
      </w:r>
    </w:p>
    <w:p w14:paraId="6FE7D8CA" w14:textId="77777777" w:rsidR="005B3B33" w:rsidRPr="00FF4110" w:rsidRDefault="009C196C" w:rsidP="00FF4110">
      <w:pPr>
        <w:pStyle w:val="ListParagraph"/>
        <w:widowControl/>
        <w:numPr>
          <w:ilvl w:val="0"/>
          <w:numId w:val="7"/>
        </w:numPr>
        <w:spacing w:after="160" w:line="20" w:lineRule="atLeast"/>
        <w:jc w:val="both"/>
        <w:rPr>
          <w:rFonts w:eastAsiaTheme="minorHAnsi"/>
          <w:sz w:val="22"/>
          <w:szCs w:val="22"/>
          <w:lang w:eastAsia="en-US"/>
        </w:rPr>
      </w:pPr>
      <w:r>
        <w:rPr>
          <w:rFonts w:eastAsiaTheme="minorHAnsi"/>
          <w:sz w:val="22"/>
          <w:szCs w:val="22"/>
          <w:lang w:eastAsia="en-US"/>
        </w:rPr>
        <w:t>Care S</w:t>
      </w:r>
      <w:r w:rsidR="005B3B33" w:rsidRPr="00FF4110">
        <w:rPr>
          <w:rFonts w:eastAsiaTheme="minorHAnsi"/>
          <w:sz w:val="22"/>
          <w:szCs w:val="22"/>
          <w:lang w:eastAsia="en-US"/>
        </w:rPr>
        <w:t>uites</w:t>
      </w:r>
      <w:r w:rsidR="00056B6D">
        <w:rPr>
          <w:rFonts w:eastAsiaTheme="minorHAnsi"/>
          <w:sz w:val="22"/>
          <w:szCs w:val="22"/>
          <w:lang w:eastAsia="en-US"/>
        </w:rPr>
        <w:t>*</w:t>
      </w:r>
      <w:r w:rsidR="005B3B33" w:rsidRPr="00FF4110">
        <w:rPr>
          <w:rFonts w:eastAsiaTheme="minorHAnsi"/>
          <w:sz w:val="22"/>
          <w:szCs w:val="22"/>
          <w:lang w:eastAsia="en-US"/>
        </w:rPr>
        <w:t>.</w:t>
      </w:r>
    </w:p>
    <w:p w14:paraId="2C74BE86" w14:textId="77777777" w:rsidR="00B239C3" w:rsidRPr="00B036DB" w:rsidRDefault="005B3B33" w:rsidP="00FF4110">
      <w:pPr>
        <w:widowControl/>
        <w:spacing w:after="160" w:line="20" w:lineRule="atLeast"/>
        <w:jc w:val="both"/>
        <w:rPr>
          <w:rFonts w:eastAsiaTheme="minorHAnsi"/>
          <w:sz w:val="22"/>
          <w:szCs w:val="22"/>
          <w:lang w:eastAsia="en-US"/>
        </w:rPr>
      </w:pPr>
      <w:r w:rsidRPr="00B036DB">
        <w:rPr>
          <w:rFonts w:eastAsiaTheme="minorHAnsi"/>
          <w:sz w:val="22"/>
          <w:szCs w:val="22"/>
          <w:lang w:eastAsia="en-US"/>
        </w:rPr>
        <w:t xml:space="preserve">Whilst the Needs Assessment primarily focused on local authority funded accommodation, it did consider potential self-funders and health funded demand. </w:t>
      </w:r>
      <w:r w:rsidRPr="00B036DB">
        <w:rPr>
          <w:rFonts w:eastAsiaTheme="minorHAnsi"/>
          <w:b/>
          <w:sz w:val="22"/>
          <w:szCs w:val="22"/>
          <w:lang w:eastAsia="en-US"/>
        </w:rPr>
        <w:t>The work did not include adults with learning disabilities, adults with specialist mental health needs aged 18-64 or live-in care.</w:t>
      </w:r>
      <w:r w:rsidRPr="00B036DB">
        <w:rPr>
          <w:rFonts w:eastAsiaTheme="minorHAnsi"/>
          <w:sz w:val="22"/>
          <w:szCs w:val="22"/>
          <w:lang w:eastAsia="en-US"/>
        </w:rPr>
        <w:t xml:space="preserve">  </w:t>
      </w:r>
    </w:p>
    <w:p w14:paraId="15BDE396" w14:textId="77777777" w:rsidR="00B239C3" w:rsidRDefault="00B239C3" w:rsidP="00B239C3">
      <w:pPr>
        <w:widowControl/>
        <w:spacing w:after="160" w:line="20" w:lineRule="atLeast"/>
        <w:jc w:val="both"/>
        <w:rPr>
          <w:rFonts w:eastAsiaTheme="minorHAnsi"/>
          <w:sz w:val="22"/>
          <w:szCs w:val="22"/>
          <w:lang w:eastAsia="en-US"/>
        </w:rPr>
      </w:pPr>
      <w:r w:rsidRPr="00B036DB">
        <w:rPr>
          <w:rFonts w:eastAsiaTheme="minorHAnsi"/>
          <w:sz w:val="22"/>
          <w:szCs w:val="22"/>
          <w:lang w:eastAsia="en-US"/>
        </w:rPr>
        <w:t>*tenancy based model of care</w:t>
      </w:r>
    </w:p>
    <w:p w14:paraId="30D0C138" w14:textId="77777777" w:rsidR="008633D0" w:rsidRPr="00B239C3" w:rsidRDefault="008633D0" w:rsidP="00B239C3">
      <w:pPr>
        <w:widowControl/>
        <w:spacing w:after="160" w:line="20" w:lineRule="atLeast"/>
        <w:jc w:val="both"/>
        <w:rPr>
          <w:rFonts w:eastAsiaTheme="minorHAnsi"/>
          <w:sz w:val="22"/>
          <w:szCs w:val="22"/>
          <w:lang w:eastAsia="en-US"/>
        </w:rPr>
      </w:pPr>
    </w:p>
    <w:p w14:paraId="53913F02" w14:textId="77777777" w:rsidR="00FF4110" w:rsidRPr="00FF4110" w:rsidRDefault="00E305C5" w:rsidP="00FF4110">
      <w:pPr>
        <w:widowControl/>
        <w:spacing w:after="160" w:line="20" w:lineRule="atLeast"/>
        <w:jc w:val="both"/>
        <w:rPr>
          <w:rFonts w:eastAsiaTheme="minorHAnsi"/>
          <w:b/>
          <w:sz w:val="22"/>
          <w:szCs w:val="22"/>
          <w:lang w:eastAsia="en-US"/>
        </w:rPr>
      </w:pPr>
      <w:r w:rsidRPr="00A66BDC">
        <w:rPr>
          <w:rFonts w:eastAsiaTheme="minorEastAsia"/>
          <w:noProof/>
          <w:color w:val="000000" w:themeColor="text1"/>
          <w:kern w:val="24"/>
        </w:rPr>
        <w:drawing>
          <wp:anchor distT="0" distB="0" distL="114300" distR="114300" simplePos="0" relativeHeight="251659264" behindDoc="1" locked="0" layoutInCell="1" allowOverlap="1" wp14:anchorId="089539B0" wp14:editId="5FD2C903">
            <wp:simplePos x="0" y="0"/>
            <wp:positionH relativeFrom="margin">
              <wp:posOffset>7684</wp:posOffset>
            </wp:positionH>
            <wp:positionV relativeFrom="paragraph">
              <wp:posOffset>252576</wp:posOffset>
            </wp:positionV>
            <wp:extent cx="2481580" cy="4347845"/>
            <wp:effectExtent l="0" t="0" r="0" b="0"/>
            <wp:wrapTight wrapText="bothSides">
              <wp:wrapPolygon edited="0">
                <wp:start x="0" y="0"/>
                <wp:lineTo x="0" y="21483"/>
                <wp:lineTo x="21390" y="21483"/>
                <wp:lineTo x="2139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481580" cy="4347845"/>
                    </a:xfrm>
                    <a:prstGeom prst="rect">
                      <a:avLst/>
                    </a:prstGeom>
                  </pic:spPr>
                </pic:pic>
              </a:graphicData>
            </a:graphic>
            <wp14:sizeRelH relativeFrom="page">
              <wp14:pctWidth>0</wp14:pctWidth>
            </wp14:sizeRelH>
            <wp14:sizeRelV relativeFrom="page">
              <wp14:pctHeight>0</wp14:pctHeight>
            </wp14:sizeRelV>
          </wp:anchor>
        </w:drawing>
      </w:r>
      <w:r w:rsidR="00FF4110" w:rsidRPr="00FF4110">
        <w:rPr>
          <w:rFonts w:eastAsiaTheme="minorHAnsi"/>
          <w:b/>
          <w:sz w:val="22"/>
          <w:szCs w:val="22"/>
          <w:lang w:eastAsia="en-US"/>
        </w:rPr>
        <w:t>Introduction</w:t>
      </w:r>
    </w:p>
    <w:p w14:paraId="062B1C60" w14:textId="77777777" w:rsidR="009B1C02" w:rsidRDefault="009B1C02" w:rsidP="00FF4110">
      <w:pPr>
        <w:widowControl/>
        <w:spacing w:after="160" w:line="259" w:lineRule="auto"/>
        <w:jc w:val="both"/>
        <w:rPr>
          <w:rFonts w:eastAsiaTheme="minorHAnsi"/>
          <w:b/>
          <w:sz w:val="22"/>
          <w:szCs w:val="22"/>
          <w:lang w:eastAsia="en-US"/>
        </w:rPr>
      </w:pPr>
    </w:p>
    <w:p w14:paraId="3EEC50E3" w14:textId="77777777" w:rsidR="00E305C5" w:rsidRDefault="00E305C5" w:rsidP="00E305C5">
      <w:pPr>
        <w:widowControl/>
        <w:spacing w:after="160"/>
        <w:rPr>
          <w:rFonts w:eastAsiaTheme="minorEastAsia"/>
          <w:color w:val="000000" w:themeColor="text1"/>
          <w:kern w:val="24"/>
        </w:rPr>
      </w:pPr>
    </w:p>
    <w:p w14:paraId="0AE7EF48" w14:textId="77777777" w:rsidR="008633D0" w:rsidRDefault="008633D0" w:rsidP="00E305C5">
      <w:pPr>
        <w:widowControl/>
        <w:spacing w:after="160"/>
        <w:rPr>
          <w:rFonts w:eastAsiaTheme="minorEastAsia"/>
          <w:color w:val="000000" w:themeColor="text1"/>
          <w:kern w:val="24"/>
          <w:sz w:val="22"/>
          <w:szCs w:val="22"/>
        </w:rPr>
      </w:pPr>
    </w:p>
    <w:p w14:paraId="7ED35653" w14:textId="77777777" w:rsidR="00056B6D" w:rsidRPr="008633D0" w:rsidRDefault="00056B6D" w:rsidP="006B2E72">
      <w:pPr>
        <w:widowControl/>
        <w:spacing w:after="160"/>
        <w:jc w:val="both"/>
        <w:rPr>
          <w:rFonts w:eastAsiaTheme="minorEastAsia"/>
          <w:color w:val="000000" w:themeColor="text1"/>
          <w:kern w:val="24"/>
          <w:sz w:val="22"/>
          <w:szCs w:val="22"/>
        </w:rPr>
      </w:pPr>
      <w:r w:rsidRPr="008633D0">
        <w:rPr>
          <w:rFonts w:eastAsiaTheme="minorEastAsia"/>
          <w:color w:val="000000" w:themeColor="text1"/>
          <w:kern w:val="24"/>
          <w:sz w:val="22"/>
          <w:szCs w:val="22"/>
        </w:rPr>
        <w:t xml:space="preserve">Nationally there will be an increase in the 65+ population. The chart </w:t>
      </w:r>
      <w:r w:rsidR="00E305C5" w:rsidRPr="008633D0">
        <w:rPr>
          <w:rFonts w:eastAsiaTheme="minorEastAsia"/>
          <w:color w:val="000000" w:themeColor="text1"/>
          <w:kern w:val="24"/>
          <w:sz w:val="22"/>
          <w:szCs w:val="22"/>
        </w:rPr>
        <w:t>opposite</w:t>
      </w:r>
      <w:r w:rsidR="008633D0" w:rsidRPr="008633D0">
        <w:rPr>
          <w:rFonts w:eastAsiaTheme="minorEastAsia"/>
          <w:color w:val="000000" w:themeColor="text1"/>
          <w:kern w:val="24"/>
          <w:sz w:val="22"/>
          <w:szCs w:val="22"/>
        </w:rPr>
        <w:t xml:space="preserve"> shows the n</w:t>
      </w:r>
      <w:r w:rsidRPr="008633D0">
        <w:rPr>
          <w:rFonts w:eastAsiaTheme="minorEastAsia"/>
          <w:color w:val="000000" w:themeColor="text1"/>
          <w:kern w:val="24"/>
          <w:sz w:val="22"/>
          <w:szCs w:val="22"/>
        </w:rPr>
        <w:t>ational population change from 2018 to 2043. The increase in the 65+ population is largely due to the ag</w:t>
      </w:r>
      <w:r w:rsidR="008633D0" w:rsidRPr="008633D0">
        <w:rPr>
          <w:rFonts w:eastAsiaTheme="minorEastAsia"/>
          <w:color w:val="000000" w:themeColor="text1"/>
          <w:kern w:val="24"/>
          <w:sz w:val="22"/>
          <w:szCs w:val="22"/>
        </w:rPr>
        <w:t>e</w:t>
      </w:r>
      <w:r w:rsidRPr="008633D0">
        <w:rPr>
          <w:rFonts w:eastAsiaTheme="minorEastAsia"/>
          <w:color w:val="000000" w:themeColor="text1"/>
          <w:kern w:val="24"/>
          <w:sz w:val="22"/>
          <w:szCs w:val="22"/>
        </w:rPr>
        <w:t>ing of the Baby Boomers generation (people born from 1946 to 1964, during the post–World War II baby boom).</w:t>
      </w:r>
    </w:p>
    <w:p w14:paraId="0CA39EB3" w14:textId="77777777" w:rsidR="00056B6D" w:rsidRPr="008633D0" w:rsidRDefault="009472B8" w:rsidP="006B2E72">
      <w:pPr>
        <w:jc w:val="both"/>
        <w:rPr>
          <w:rFonts w:eastAsiaTheme="minorEastAsia"/>
          <w:color w:val="000000" w:themeColor="text1"/>
          <w:kern w:val="24"/>
          <w:sz w:val="22"/>
          <w:szCs w:val="22"/>
        </w:rPr>
      </w:pPr>
      <w:r w:rsidRPr="008633D0">
        <w:rPr>
          <w:rFonts w:eastAsiaTheme="minorEastAsia"/>
          <w:color w:val="000000" w:themeColor="text1"/>
          <w:kern w:val="24"/>
          <w:sz w:val="22"/>
          <w:szCs w:val="22"/>
        </w:rPr>
        <w:t>Between 2021 and 2036, the number of people aged 65+ in Cambridgeshire and Peterborough is estimated to increase by 48% while the percentage of those over 85 is estimated to increase by 110%.</w:t>
      </w:r>
    </w:p>
    <w:p w14:paraId="7C0BE5E8" w14:textId="77777777" w:rsidR="00056B6D" w:rsidRPr="008633D0" w:rsidRDefault="00056B6D" w:rsidP="006B2E72">
      <w:pPr>
        <w:jc w:val="both"/>
        <w:rPr>
          <w:rFonts w:eastAsia="Times New Roman" w:cs="Times New Roman"/>
          <w:sz w:val="22"/>
          <w:szCs w:val="22"/>
        </w:rPr>
      </w:pPr>
    </w:p>
    <w:p w14:paraId="6F7FEDEA" w14:textId="77777777" w:rsidR="009472B8" w:rsidRPr="008633D0" w:rsidRDefault="00056B6D" w:rsidP="006B2E72">
      <w:pPr>
        <w:jc w:val="both"/>
        <w:rPr>
          <w:rFonts w:eastAsiaTheme="minorEastAsia"/>
          <w:color w:val="000000" w:themeColor="text1"/>
          <w:kern w:val="24"/>
          <w:sz w:val="22"/>
          <w:szCs w:val="22"/>
        </w:rPr>
      </w:pPr>
      <w:r w:rsidRPr="008633D0">
        <w:rPr>
          <w:rFonts w:eastAsiaTheme="minorEastAsia"/>
          <w:color w:val="000000" w:themeColor="text1"/>
          <w:kern w:val="24"/>
          <w:sz w:val="22"/>
          <w:szCs w:val="22"/>
        </w:rPr>
        <w:t xml:space="preserve">The 18+ population across Cambridgeshire and Peterborough will increase by 8% from 2021 to 2036 from 538,730 to 580,850 people. </w:t>
      </w:r>
    </w:p>
    <w:p w14:paraId="19D714EF" w14:textId="77777777" w:rsidR="009472B8" w:rsidRDefault="009472B8" w:rsidP="009472B8">
      <w:pPr>
        <w:rPr>
          <w:rFonts w:eastAsiaTheme="minorHAnsi"/>
          <w:b/>
          <w:sz w:val="22"/>
          <w:szCs w:val="22"/>
          <w:lang w:eastAsia="en-US"/>
        </w:rPr>
      </w:pPr>
    </w:p>
    <w:p w14:paraId="6B4AD017" w14:textId="77777777" w:rsidR="00E305C5" w:rsidRDefault="00E305C5" w:rsidP="00EF18B5">
      <w:pPr>
        <w:widowControl/>
        <w:tabs>
          <w:tab w:val="left" w:pos="2529"/>
        </w:tabs>
        <w:spacing w:after="160" w:line="259" w:lineRule="auto"/>
        <w:jc w:val="both"/>
        <w:rPr>
          <w:rFonts w:eastAsiaTheme="minorHAnsi"/>
          <w:b/>
          <w:sz w:val="22"/>
          <w:szCs w:val="22"/>
          <w:lang w:eastAsia="en-US"/>
        </w:rPr>
      </w:pPr>
    </w:p>
    <w:p w14:paraId="301DF632" w14:textId="77777777" w:rsidR="00E305C5" w:rsidRDefault="00E305C5" w:rsidP="00EF18B5">
      <w:pPr>
        <w:widowControl/>
        <w:tabs>
          <w:tab w:val="left" w:pos="2529"/>
        </w:tabs>
        <w:spacing w:after="160" w:line="259" w:lineRule="auto"/>
        <w:jc w:val="both"/>
        <w:rPr>
          <w:rFonts w:eastAsiaTheme="minorHAnsi"/>
          <w:b/>
          <w:sz w:val="22"/>
          <w:szCs w:val="22"/>
          <w:lang w:eastAsia="en-US"/>
        </w:rPr>
      </w:pPr>
    </w:p>
    <w:p w14:paraId="087AAF1D" w14:textId="77777777" w:rsidR="00E305C5" w:rsidRDefault="00E305C5" w:rsidP="00EF18B5">
      <w:pPr>
        <w:widowControl/>
        <w:tabs>
          <w:tab w:val="left" w:pos="2529"/>
        </w:tabs>
        <w:spacing w:after="160" w:line="259" w:lineRule="auto"/>
        <w:jc w:val="both"/>
        <w:rPr>
          <w:rFonts w:eastAsiaTheme="minorHAnsi"/>
          <w:b/>
          <w:sz w:val="22"/>
          <w:szCs w:val="22"/>
          <w:lang w:eastAsia="en-US"/>
        </w:rPr>
      </w:pPr>
    </w:p>
    <w:p w14:paraId="659CA1EE" w14:textId="77777777" w:rsidR="00E305C5" w:rsidRDefault="00E305C5" w:rsidP="00EF18B5">
      <w:pPr>
        <w:widowControl/>
        <w:tabs>
          <w:tab w:val="left" w:pos="2529"/>
        </w:tabs>
        <w:spacing w:after="160" w:line="259" w:lineRule="auto"/>
        <w:jc w:val="both"/>
        <w:rPr>
          <w:rFonts w:eastAsiaTheme="minorHAnsi"/>
          <w:b/>
          <w:sz w:val="22"/>
          <w:szCs w:val="22"/>
          <w:lang w:eastAsia="en-US"/>
        </w:rPr>
      </w:pPr>
    </w:p>
    <w:p w14:paraId="44FD22B8" w14:textId="77777777" w:rsidR="00E305C5" w:rsidRPr="00FF4110" w:rsidRDefault="00E305C5" w:rsidP="006B2E72">
      <w:pPr>
        <w:widowControl/>
        <w:spacing w:after="160"/>
        <w:jc w:val="both"/>
        <w:rPr>
          <w:rFonts w:eastAsiaTheme="minorHAnsi"/>
          <w:sz w:val="22"/>
          <w:szCs w:val="22"/>
          <w:lang w:eastAsia="en-US"/>
        </w:rPr>
      </w:pPr>
      <w:r>
        <w:rPr>
          <w:rFonts w:eastAsiaTheme="minorHAnsi"/>
          <w:sz w:val="22"/>
          <w:szCs w:val="22"/>
          <w:lang w:eastAsia="en-US"/>
        </w:rPr>
        <w:t>T</w:t>
      </w:r>
      <w:r w:rsidRPr="00FF4110">
        <w:rPr>
          <w:rFonts w:eastAsiaTheme="minorHAnsi"/>
          <w:sz w:val="22"/>
          <w:szCs w:val="22"/>
          <w:lang w:eastAsia="en-US"/>
        </w:rPr>
        <w:t xml:space="preserve">he Cambridgeshire and Peterborough population is forecasted to grow from over 800,000 in 2011 to just over one million in 2036. The growth rate of older people in Cambridgeshire and Peterborough aged between 65 and 84 is forecast to increase from 6% in 2021 to 14% and 13% in 2026 and 2031, higher than the growth rates for those aged 0 to 17 and 18 to 64. The growth rates of those aged 85+ are forecast to increase from an estimated 9% in 2021 to 32% by 2036. </w:t>
      </w:r>
    </w:p>
    <w:p w14:paraId="3E29BEF7" w14:textId="77777777" w:rsidR="00E305C5" w:rsidRPr="00FF4110" w:rsidRDefault="00E305C5" w:rsidP="006B2E72">
      <w:pPr>
        <w:widowControl/>
        <w:spacing w:after="160"/>
        <w:jc w:val="both"/>
        <w:rPr>
          <w:rFonts w:eastAsiaTheme="minorHAnsi"/>
          <w:sz w:val="22"/>
          <w:szCs w:val="22"/>
          <w:lang w:eastAsia="en-US"/>
        </w:rPr>
      </w:pPr>
      <w:r w:rsidRPr="00FF4110">
        <w:rPr>
          <w:rFonts w:eastAsiaTheme="minorHAnsi"/>
          <w:sz w:val="22"/>
          <w:szCs w:val="22"/>
          <w:lang w:eastAsia="en-US"/>
        </w:rPr>
        <w:t>Cambridgeshire and Peterborough’s older population of those aged 65+ will make up a greater proportion of communities across the two authorities.</w:t>
      </w:r>
    </w:p>
    <w:p w14:paraId="628FE691" w14:textId="77777777" w:rsidR="00EF18B5" w:rsidRPr="00EF18B5" w:rsidRDefault="00EF18B5" w:rsidP="00EF18B5">
      <w:pPr>
        <w:widowControl/>
        <w:tabs>
          <w:tab w:val="left" w:pos="2529"/>
        </w:tabs>
        <w:spacing w:after="160" w:line="259" w:lineRule="auto"/>
        <w:jc w:val="both"/>
        <w:rPr>
          <w:rFonts w:eastAsiaTheme="minorHAnsi"/>
          <w:b/>
          <w:sz w:val="22"/>
          <w:szCs w:val="22"/>
          <w:lang w:eastAsia="en-US"/>
        </w:rPr>
      </w:pPr>
      <w:r w:rsidRPr="00EF18B5">
        <w:rPr>
          <w:rFonts w:eastAsiaTheme="minorHAnsi"/>
          <w:b/>
          <w:sz w:val="22"/>
          <w:szCs w:val="22"/>
          <w:lang w:eastAsia="en-US"/>
        </w:rPr>
        <w:t>Provider Engagement</w:t>
      </w:r>
      <w:r w:rsidRPr="00EF18B5">
        <w:rPr>
          <w:rFonts w:eastAsiaTheme="minorHAnsi"/>
          <w:b/>
          <w:sz w:val="22"/>
          <w:szCs w:val="22"/>
          <w:lang w:eastAsia="en-US"/>
        </w:rPr>
        <w:tab/>
      </w:r>
    </w:p>
    <w:p w14:paraId="458D248A" w14:textId="74ACE251" w:rsidR="00025F3E" w:rsidRDefault="001021D1" w:rsidP="00DA110C">
      <w:pPr>
        <w:widowControl/>
        <w:spacing w:after="160" w:line="20" w:lineRule="atLeast"/>
        <w:jc w:val="both"/>
        <w:rPr>
          <w:rFonts w:eastAsiaTheme="minorHAnsi"/>
          <w:sz w:val="22"/>
          <w:szCs w:val="22"/>
          <w:lang w:eastAsia="en-US"/>
        </w:rPr>
      </w:pPr>
      <w:r w:rsidRPr="00EF18B5">
        <w:rPr>
          <w:rFonts w:eastAsiaTheme="minorHAnsi"/>
          <w:sz w:val="22"/>
          <w:szCs w:val="22"/>
          <w:lang w:eastAsia="en-US"/>
        </w:rPr>
        <w:t xml:space="preserve">This is an opportunity for </w:t>
      </w:r>
      <w:r w:rsidR="00EF18B5">
        <w:rPr>
          <w:rFonts w:eastAsiaTheme="minorHAnsi"/>
          <w:sz w:val="22"/>
          <w:szCs w:val="22"/>
          <w:lang w:eastAsia="en-US"/>
        </w:rPr>
        <w:t>care an</w:t>
      </w:r>
      <w:r w:rsidRPr="00EF18B5">
        <w:rPr>
          <w:rFonts w:eastAsiaTheme="minorHAnsi"/>
          <w:sz w:val="22"/>
          <w:szCs w:val="22"/>
          <w:lang w:eastAsia="en-US"/>
        </w:rPr>
        <w:t xml:space="preserve">d support </w:t>
      </w:r>
      <w:r w:rsidR="00EF18B5">
        <w:rPr>
          <w:rFonts w:eastAsiaTheme="minorHAnsi"/>
          <w:sz w:val="22"/>
          <w:szCs w:val="22"/>
          <w:lang w:eastAsia="en-US"/>
        </w:rPr>
        <w:t xml:space="preserve">providers to influence the strategic direction for the future provision of accommodation based </w:t>
      </w:r>
      <w:r w:rsidR="00423FA4">
        <w:rPr>
          <w:rFonts w:eastAsiaTheme="minorHAnsi"/>
          <w:sz w:val="22"/>
          <w:szCs w:val="22"/>
          <w:lang w:eastAsia="en-US"/>
        </w:rPr>
        <w:t xml:space="preserve">services for </w:t>
      </w:r>
      <w:r w:rsidR="00A57C38">
        <w:rPr>
          <w:rFonts w:eastAsiaTheme="minorHAnsi"/>
          <w:sz w:val="22"/>
          <w:szCs w:val="22"/>
          <w:lang w:eastAsia="en-US"/>
        </w:rPr>
        <w:t xml:space="preserve">older people and adults with </w:t>
      </w:r>
      <w:r w:rsidR="00EF18B5" w:rsidRPr="00EF18B5">
        <w:rPr>
          <w:rFonts w:eastAsiaTheme="minorHAnsi"/>
          <w:sz w:val="22"/>
          <w:szCs w:val="22"/>
          <w:lang w:eastAsia="en-US"/>
        </w:rPr>
        <w:t>physical disabilities.</w:t>
      </w:r>
      <w:r w:rsidR="00025F3E">
        <w:rPr>
          <w:rFonts w:eastAsiaTheme="minorHAnsi"/>
          <w:sz w:val="22"/>
          <w:szCs w:val="22"/>
          <w:lang w:eastAsia="en-US"/>
        </w:rPr>
        <w:t xml:space="preserve"> At the online event on </w:t>
      </w:r>
      <w:r w:rsidR="009328B3">
        <w:rPr>
          <w:rFonts w:eastAsiaTheme="minorHAnsi"/>
          <w:sz w:val="22"/>
          <w:szCs w:val="22"/>
          <w:lang w:eastAsia="en-US"/>
        </w:rPr>
        <w:t>16</w:t>
      </w:r>
      <w:r w:rsidR="00025F3E">
        <w:rPr>
          <w:rFonts w:eastAsiaTheme="minorHAnsi"/>
          <w:sz w:val="22"/>
          <w:szCs w:val="22"/>
          <w:lang w:eastAsia="en-US"/>
        </w:rPr>
        <w:t xml:space="preserve"> </w:t>
      </w:r>
      <w:r w:rsidR="009328B3">
        <w:rPr>
          <w:rFonts w:eastAsiaTheme="minorHAnsi"/>
          <w:sz w:val="22"/>
          <w:szCs w:val="22"/>
          <w:lang w:eastAsia="en-US"/>
        </w:rPr>
        <w:t>March</w:t>
      </w:r>
      <w:r w:rsidR="00025F3E">
        <w:rPr>
          <w:rFonts w:eastAsiaTheme="minorHAnsi"/>
          <w:sz w:val="22"/>
          <w:szCs w:val="22"/>
          <w:lang w:eastAsia="en-US"/>
        </w:rPr>
        <w:t xml:space="preserve">, there will be a presentation of CCC and PCC’s forecasted requirements and the intention is to </w:t>
      </w:r>
      <w:r w:rsidR="0038027B">
        <w:rPr>
          <w:rFonts w:eastAsiaTheme="minorHAnsi"/>
          <w:sz w:val="22"/>
          <w:szCs w:val="22"/>
          <w:lang w:eastAsia="en-US"/>
        </w:rPr>
        <w:t>exchange ideas about emerging models, innovations and methods of assessing demand for future developments.</w:t>
      </w:r>
      <w:r w:rsidR="004E676E">
        <w:rPr>
          <w:rFonts w:eastAsiaTheme="minorHAnsi"/>
          <w:sz w:val="22"/>
          <w:szCs w:val="22"/>
          <w:lang w:eastAsia="en-US"/>
        </w:rPr>
        <w:t xml:space="preserve"> </w:t>
      </w:r>
      <w:r w:rsidR="009328B3">
        <w:rPr>
          <w:rFonts w:eastAsiaTheme="minorHAnsi"/>
          <w:sz w:val="22"/>
          <w:szCs w:val="22"/>
          <w:lang w:eastAsia="en-US"/>
        </w:rPr>
        <w:t>Following the event</w:t>
      </w:r>
      <w:r w:rsidR="004E676E">
        <w:rPr>
          <w:rFonts w:eastAsiaTheme="minorHAnsi"/>
          <w:sz w:val="22"/>
          <w:szCs w:val="22"/>
          <w:lang w:eastAsia="en-US"/>
        </w:rPr>
        <w:t xml:space="preserve">, </w:t>
      </w:r>
      <w:r w:rsidR="00DA110C">
        <w:rPr>
          <w:rFonts w:eastAsiaTheme="minorHAnsi"/>
          <w:sz w:val="22"/>
          <w:szCs w:val="22"/>
          <w:lang w:eastAsia="en-US"/>
        </w:rPr>
        <w:t xml:space="preserve">the council will consider feedback and arrange to meet consultees for further discussion. </w:t>
      </w:r>
      <w:r w:rsidR="004E676E">
        <w:rPr>
          <w:rFonts w:eastAsiaTheme="minorHAnsi"/>
          <w:sz w:val="22"/>
          <w:szCs w:val="22"/>
          <w:lang w:eastAsia="en-US"/>
        </w:rPr>
        <w:t xml:space="preserve"> </w:t>
      </w:r>
    </w:p>
    <w:p w14:paraId="52BF9022" w14:textId="77777777" w:rsidR="0038027B" w:rsidRDefault="0038027B" w:rsidP="00DA110C">
      <w:pPr>
        <w:widowControl/>
        <w:spacing w:after="160" w:line="20" w:lineRule="atLeast"/>
        <w:jc w:val="both"/>
        <w:rPr>
          <w:rFonts w:eastAsiaTheme="minorHAnsi"/>
          <w:sz w:val="22"/>
          <w:szCs w:val="22"/>
          <w:lang w:eastAsia="en-US"/>
        </w:rPr>
      </w:pPr>
      <w:r>
        <w:rPr>
          <w:rFonts w:eastAsiaTheme="minorHAnsi"/>
          <w:sz w:val="22"/>
          <w:szCs w:val="22"/>
          <w:lang w:eastAsia="en-US"/>
        </w:rPr>
        <w:t xml:space="preserve">The event will be aimed at </w:t>
      </w:r>
      <w:r w:rsidR="009C196C">
        <w:rPr>
          <w:rFonts w:eastAsiaTheme="minorHAnsi"/>
          <w:sz w:val="22"/>
          <w:szCs w:val="22"/>
          <w:lang w:eastAsia="en-US"/>
        </w:rPr>
        <w:t>existing providers of Care Homes and Extra C</w:t>
      </w:r>
      <w:r w:rsidR="00B50614">
        <w:rPr>
          <w:rFonts w:eastAsiaTheme="minorHAnsi"/>
          <w:sz w:val="22"/>
          <w:szCs w:val="22"/>
          <w:lang w:eastAsia="en-US"/>
        </w:rPr>
        <w:t xml:space="preserve">are in Cambridgeshire and Peterborough as well as those interested in developing in the area, Registered Social Landlords </w:t>
      </w:r>
      <w:r w:rsidR="00423FA4">
        <w:rPr>
          <w:rFonts w:eastAsiaTheme="minorHAnsi"/>
          <w:sz w:val="22"/>
          <w:szCs w:val="22"/>
          <w:lang w:eastAsia="en-US"/>
        </w:rPr>
        <w:t>and other interested investors</w:t>
      </w:r>
      <w:r w:rsidR="00B50614">
        <w:rPr>
          <w:rFonts w:eastAsiaTheme="minorHAnsi"/>
          <w:sz w:val="22"/>
          <w:szCs w:val="22"/>
          <w:lang w:eastAsia="en-US"/>
        </w:rPr>
        <w:t xml:space="preserve">. </w:t>
      </w:r>
    </w:p>
    <w:p w14:paraId="5095C87E" w14:textId="6576BE9D" w:rsidR="009328B3" w:rsidRDefault="00EF18B5" w:rsidP="001021D1">
      <w:pPr>
        <w:widowControl/>
        <w:spacing w:after="160" w:line="259" w:lineRule="auto"/>
        <w:jc w:val="both"/>
        <w:rPr>
          <w:rFonts w:eastAsiaTheme="minorHAnsi"/>
          <w:sz w:val="22"/>
          <w:szCs w:val="22"/>
          <w:lang w:eastAsia="en-US"/>
        </w:rPr>
      </w:pPr>
      <w:r w:rsidRPr="00A57C38">
        <w:rPr>
          <w:rFonts w:eastAsiaTheme="minorHAnsi"/>
          <w:b/>
          <w:sz w:val="22"/>
          <w:szCs w:val="22"/>
          <w:lang w:eastAsia="en-US"/>
        </w:rPr>
        <w:lastRenderedPageBreak/>
        <w:t xml:space="preserve">An online event will be held on the afternoon of </w:t>
      </w:r>
      <w:r w:rsidR="009328B3">
        <w:rPr>
          <w:rFonts w:eastAsiaTheme="minorHAnsi"/>
          <w:b/>
          <w:sz w:val="22"/>
          <w:szCs w:val="22"/>
          <w:lang w:eastAsia="en-US"/>
        </w:rPr>
        <w:t>16 March</w:t>
      </w:r>
      <w:r w:rsidRPr="00A57C38">
        <w:rPr>
          <w:rFonts w:eastAsiaTheme="minorHAnsi"/>
          <w:b/>
          <w:sz w:val="22"/>
          <w:szCs w:val="22"/>
          <w:lang w:eastAsia="en-US"/>
        </w:rPr>
        <w:t xml:space="preserve"> 2021 (timing to be confirmed).</w:t>
      </w:r>
      <w:r>
        <w:rPr>
          <w:rFonts w:eastAsiaTheme="minorHAnsi"/>
          <w:sz w:val="22"/>
          <w:szCs w:val="22"/>
          <w:lang w:eastAsia="en-US"/>
        </w:rPr>
        <w:t xml:space="preserve"> </w:t>
      </w:r>
      <w:r w:rsidR="00A57C38">
        <w:rPr>
          <w:rFonts w:eastAsiaTheme="minorHAnsi"/>
          <w:sz w:val="22"/>
          <w:szCs w:val="22"/>
          <w:lang w:eastAsia="en-US"/>
        </w:rPr>
        <w:t xml:space="preserve">Please </w:t>
      </w:r>
      <w:r w:rsidR="009328B3">
        <w:rPr>
          <w:rFonts w:eastAsiaTheme="minorHAnsi"/>
          <w:sz w:val="22"/>
          <w:szCs w:val="22"/>
          <w:lang w:eastAsia="en-US"/>
        </w:rPr>
        <w:t xml:space="preserve">RSVP to </w:t>
      </w:r>
      <w:hyperlink r:id="rId11" w:history="1">
        <w:r w:rsidR="009328B3" w:rsidRPr="006A76B0">
          <w:rPr>
            <w:rStyle w:val="Hyperlink"/>
            <w:rFonts w:eastAsiaTheme="minorHAnsi"/>
            <w:sz w:val="22"/>
            <w:szCs w:val="22"/>
            <w:lang w:eastAsia="en-US"/>
          </w:rPr>
          <w:t>jane.heath@cambridgeshire.gov.uk</w:t>
        </w:r>
      </w:hyperlink>
      <w:r w:rsidR="009328B3">
        <w:rPr>
          <w:rFonts w:eastAsiaTheme="minorHAnsi"/>
          <w:sz w:val="22"/>
          <w:szCs w:val="22"/>
          <w:lang w:eastAsia="en-US"/>
        </w:rPr>
        <w:t xml:space="preserve"> and </w:t>
      </w:r>
      <w:r w:rsidR="00A57C38">
        <w:rPr>
          <w:rFonts w:eastAsiaTheme="minorHAnsi"/>
          <w:sz w:val="22"/>
          <w:szCs w:val="22"/>
          <w:lang w:eastAsia="en-US"/>
        </w:rPr>
        <w:t>we will send you an agenda and confirm the time.</w:t>
      </w:r>
      <w:r w:rsidR="009328B3">
        <w:rPr>
          <w:rFonts w:eastAsiaTheme="minorHAnsi"/>
          <w:sz w:val="22"/>
          <w:szCs w:val="22"/>
          <w:lang w:eastAsia="en-US"/>
        </w:rPr>
        <w:t xml:space="preserve"> Include:</w:t>
      </w:r>
    </w:p>
    <w:p w14:paraId="177B7FFA" w14:textId="7F2A1B9F" w:rsidR="009328B3" w:rsidRDefault="009328B3" w:rsidP="009328B3">
      <w:pPr>
        <w:pStyle w:val="ListParagraph"/>
        <w:widowControl/>
        <w:numPr>
          <w:ilvl w:val="0"/>
          <w:numId w:val="12"/>
        </w:numPr>
        <w:spacing w:after="160" w:line="259" w:lineRule="auto"/>
        <w:jc w:val="both"/>
        <w:rPr>
          <w:rFonts w:eastAsiaTheme="minorHAnsi"/>
          <w:sz w:val="22"/>
          <w:szCs w:val="22"/>
          <w:lang w:eastAsia="en-US"/>
        </w:rPr>
      </w:pPr>
      <w:r>
        <w:rPr>
          <w:rFonts w:eastAsiaTheme="minorHAnsi"/>
          <w:sz w:val="22"/>
          <w:szCs w:val="22"/>
          <w:lang w:eastAsia="en-US"/>
        </w:rPr>
        <w:t>Name of attende(s)</w:t>
      </w:r>
    </w:p>
    <w:p w14:paraId="0D729B7A" w14:textId="6A694A5C" w:rsidR="009328B3" w:rsidRDefault="009328B3" w:rsidP="009328B3">
      <w:pPr>
        <w:pStyle w:val="ListParagraph"/>
        <w:widowControl/>
        <w:numPr>
          <w:ilvl w:val="0"/>
          <w:numId w:val="12"/>
        </w:numPr>
        <w:spacing w:after="160" w:line="259" w:lineRule="auto"/>
        <w:jc w:val="both"/>
        <w:rPr>
          <w:rFonts w:eastAsiaTheme="minorHAnsi"/>
          <w:sz w:val="22"/>
          <w:szCs w:val="22"/>
          <w:lang w:eastAsia="en-US"/>
        </w:rPr>
      </w:pPr>
      <w:r>
        <w:rPr>
          <w:rFonts w:eastAsiaTheme="minorHAnsi"/>
          <w:sz w:val="22"/>
          <w:szCs w:val="22"/>
          <w:lang w:eastAsia="en-US"/>
        </w:rPr>
        <w:t>Role(s)</w:t>
      </w:r>
    </w:p>
    <w:p w14:paraId="64569239" w14:textId="5F848199" w:rsidR="009328B3" w:rsidRDefault="009328B3" w:rsidP="009328B3">
      <w:pPr>
        <w:pStyle w:val="ListParagraph"/>
        <w:widowControl/>
        <w:numPr>
          <w:ilvl w:val="0"/>
          <w:numId w:val="12"/>
        </w:numPr>
        <w:spacing w:after="160" w:line="259" w:lineRule="auto"/>
        <w:jc w:val="both"/>
        <w:rPr>
          <w:rFonts w:eastAsiaTheme="minorHAnsi"/>
          <w:sz w:val="22"/>
          <w:szCs w:val="22"/>
          <w:lang w:eastAsia="en-US"/>
        </w:rPr>
      </w:pPr>
      <w:r>
        <w:rPr>
          <w:rFonts w:eastAsiaTheme="minorHAnsi"/>
          <w:sz w:val="22"/>
          <w:szCs w:val="22"/>
          <w:lang w:eastAsia="en-US"/>
        </w:rPr>
        <w:t>Company name</w:t>
      </w:r>
    </w:p>
    <w:p w14:paraId="796CC636" w14:textId="6F24DEA2" w:rsidR="009328B3" w:rsidRPr="009328B3" w:rsidRDefault="009328B3" w:rsidP="009328B3">
      <w:pPr>
        <w:pStyle w:val="ListParagraph"/>
        <w:widowControl/>
        <w:numPr>
          <w:ilvl w:val="0"/>
          <w:numId w:val="12"/>
        </w:numPr>
        <w:spacing w:after="160" w:line="259" w:lineRule="auto"/>
        <w:jc w:val="both"/>
        <w:rPr>
          <w:rFonts w:eastAsiaTheme="minorHAnsi"/>
          <w:sz w:val="22"/>
          <w:szCs w:val="22"/>
          <w:lang w:eastAsia="en-US"/>
        </w:rPr>
      </w:pPr>
      <w:r>
        <w:rPr>
          <w:rFonts w:eastAsiaTheme="minorHAnsi"/>
          <w:sz w:val="22"/>
          <w:szCs w:val="22"/>
          <w:lang w:eastAsia="en-US"/>
        </w:rPr>
        <w:t>Email address(es)</w:t>
      </w:r>
    </w:p>
    <w:p w14:paraId="02DEE7D6" w14:textId="77777777" w:rsidR="00FD5AD9" w:rsidRDefault="00FD5AD9" w:rsidP="00A420A7">
      <w:pPr>
        <w:rPr>
          <w:b/>
          <w:bCs/>
          <w:color w:val="FF0000"/>
          <w:sz w:val="22"/>
          <w:szCs w:val="22"/>
        </w:rPr>
      </w:pPr>
    </w:p>
    <w:p w14:paraId="190F7EF7" w14:textId="77777777" w:rsidR="00A420A7" w:rsidRDefault="00A420A7" w:rsidP="00A420A7">
      <w:pPr>
        <w:spacing w:after="60"/>
        <w:jc w:val="both"/>
        <w:rPr>
          <w:rFonts w:eastAsia="Tahoma"/>
          <w:sz w:val="22"/>
          <w:szCs w:val="22"/>
        </w:rPr>
      </w:pPr>
    </w:p>
    <w:p w14:paraId="028699AF" w14:textId="77777777" w:rsidR="00E305C5" w:rsidRDefault="00E305C5" w:rsidP="00A420A7">
      <w:pPr>
        <w:spacing w:after="60"/>
        <w:jc w:val="both"/>
        <w:rPr>
          <w:rFonts w:eastAsia="Tahoma"/>
          <w:sz w:val="22"/>
          <w:szCs w:val="22"/>
        </w:rPr>
      </w:pPr>
    </w:p>
    <w:p w14:paraId="00C27AC9" w14:textId="77777777" w:rsidR="00E305C5" w:rsidRDefault="00E305C5" w:rsidP="00A420A7">
      <w:pPr>
        <w:spacing w:after="60"/>
        <w:jc w:val="both"/>
        <w:rPr>
          <w:rFonts w:eastAsia="Tahoma"/>
          <w:sz w:val="22"/>
          <w:szCs w:val="22"/>
        </w:rPr>
      </w:pPr>
    </w:p>
    <w:p w14:paraId="3FED2AF1" w14:textId="77777777" w:rsidR="00E305C5" w:rsidRDefault="00E305C5" w:rsidP="00A420A7">
      <w:pPr>
        <w:spacing w:after="60"/>
        <w:jc w:val="both"/>
        <w:rPr>
          <w:rFonts w:eastAsia="Tahoma"/>
          <w:sz w:val="22"/>
          <w:szCs w:val="22"/>
        </w:rPr>
      </w:pPr>
    </w:p>
    <w:sectPr w:rsidR="00E305C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6BBD5" w14:textId="77777777" w:rsidR="00FD5AD9" w:rsidRDefault="00FD5AD9" w:rsidP="00FD5AD9">
      <w:r>
        <w:separator/>
      </w:r>
    </w:p>
  </w:endnote>
  <w:endnote w:type="continuationSeparator" w:id="0">
    <w:p w14:paraId="50756D78" w14:textId="77777777" w:rsidR="00FD5AD9" w:rsidRDefault="00FD5AD9" w:rsidP="00FD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6F204" w14:textId="77777777" w:rsidR="00B036DB" w:rsidRDefault="00B03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C8845" w14:textId="77777777" w:rsidR="00B036DB" w:rsidRDefault="00B036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68D03" w14:textId="77777777" w:rsidR="00B036DB" w:rsidRDefault="00B03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3793A" w14:textId="77777777" w:rsidR="00FD5AD9" w:rsidRDefault="00FD5AD9" w:rsidP="00FD5AD9">
      <w:r>
        <w:separator/>
      </w:r>
    </w:p>
  </w:footnote>
  <w:footnote w:type="continuationSeparator" w:id="0">
    <w:p w14:paraId="11534E31" w14:textId="77777777" w:rsidR="00FD5AD9" w:rsidRDefault="00FD5AD9" w:rsidP="00FD5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064C5" w14:textId="77777777" w:rsidR="00B036DB" w:rsidRDefault="00B036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EE45D" w14:textId="24E6C2BA" w:rsidR="00FD5AD9" w:rsidRDefault="00FD5A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5D4DF" w14:textId="77777777" w:rsidR="00B036DB" w:rsidRDefault="00B03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D4B4A"/>
    <w:multiLevelType w:val="multilevel"/>
    <w:tmpl w:val="2FCC0AAA"/>
    <w:lvl w:ilvl="0">
      <w:start w:val="1"/>
      <w:numFmt w:val="decimal"/>
      <w:lvlText w:val="%1."/>
      <w:lvlJc w:val="left"/>
      <w:pPr>
        <w:ind w:left="360" w:firstLine="0"/>
      </w:pPr>
    </w:lvl>
    <w:lvl w:ilvl="1">
      <w:start w:val="1"/>
      <w:numFmt w:val="decimal"/>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 w15:restartNumberingAfterBreak="0">
    <w:nsid w:val="16A2672C"/>
    <w:multiLevelType w:val="hybridMultilevel"/>
    <w:tmpl w:val="3E0CE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B6D92"/>
    <w:multiLevelType w:val="multilevel"/>
    <w:tmpl w:val="9710A59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2BCE290B"/>
    <w:multiLevelType w:val="hybridMultilevel"/>
    <w:tmpl w:val="21BEF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D06B9A"/>
    <w:multiLevelType w:val="multilevel"/>
    <w:tmpl w:val="A31255C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15:restartNumberingAfterBreak="0">
    <w:nsid w:val="37020A6F"/>
    <w:multiLevelType w:val="multilevel"/>
    <w:tmpl w:val="F5B6F5CE"/>
    <w:lvl w:ilvl="0">
      <w:start w:val="1"/>
      <w:numFmt w:val="bullet"/>
      <w:lvlText w:val="❏"/>
      <w:lvlJc w:val="left"/>
      <w:pPr>
        <w:ind w:left="1440" w:hanging="360"/>
      </w:pPr>
      <w:rPr>
        <w:rFonts w:ascii="Symbol" w:hAnsi="Symbol" w:hint="default"/>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6" w15:restartNumberingAfterBreak="0">
    <w:nsid w:val="3DC8576D"/>
    <w:multiLevelType w:val="hybridMultilevel"/>
    <w:tmpl w:val="72220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EB7D42"/>
    <w:multiLevelType w:val="hybridMultilevel"/>
    <w:tmpl w:val="22B83E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844177C"/>
    <w:multiLevelType w:val="hybridMultilevel"/>
    <w:tmpl w:val="685864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1">
      <w:start w:val="1"/>
      <w:numFmt w:val="bullet"/>
      <w:lvlText w:val=""/>
      <w:lvlJc w:val="left"/>
      <w:pPr>
        <w:ind w:left="4320" w:hanging="360"/>
      </w:pPr>
      <w:rPr>
        <w:rFonts w:ascii="Symbol" w:hAnsi="Symbol"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2E12F7"/>
    <w:multiLevelType w:val="multilevel"/>
    <w:tmpl w:val="7DCC7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354525"/>
    <w:multiLevelType w:val="multilevel"/>
    <w:tmpl w:val="9BC083A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 w15:restartNumberingAfterBreak="0">
    <w:nsid w:val="6AF04437"/>
    <w:multiLevelType w:val="hybridMultilevel"/>
    <w:tmpl w:val="5172D936"/>
    <w:lvl w:ilvl="0" w:tplc="0A549C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3"/>
  </w:num>
  <w:num w:numId="8">
    <w:abstractNumId w:val="1"/>
  </w:num>
  <w:num w:numId="9">
    <w:abstractNumId w:val="6"/>
  </w:num>
  <w:num w:numId="10">
    <w:abstractNumId w:val="8"/>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0A7"/>
    <w:rsid w:val="00021D46"/>
    <w:rsid w:val="00025F3E"/>
    <w:rsid w:val="00056B6D"/>
    <w:rsid w:val="001021D1"/>
    <w:rsid w:val="00176EF1"/>
    <w:rsid w:val="00326BF2"/>
    <w:rsid w:val="00347BB6"/>
    <w:rsid w:val="0038027B"/>
    <w:rsid w:val="003D30A3"/>
    <w:rsid w:val="0040082E"/>
    <w:rsid w:val="00423FA4"/>
    <w:rsid w:val="004A3668"/>
    <w:rsid w:val="004E676E"/>
    <w:rsid w:val="00593E40"/>
    <w:rsid w:val="005B3B33"/>
    <w:rsid w:val="006B2E72"/>
    <w:rsid w:val="00763FAF"/>
    <w:rsid w:val="008633D0"/>
    <w:rsid w:val="009328B3"/>
    <w:rsid w:val="009472B8"/>
    <w:rsid w:val="00993931"/>
    <w:rsid w:val="009B1C02"/>
    <w:rsid w:val="009B6005"/>
    <w:rsid w:val="009C196C"/>
    <w:rsid w:val="00A420A7"/>
    <w:rsid w:val="00A57C38"/>
    <w:rsid w:val="00B036DB"/>
    <w:rsid w:val="00B239C3"/>
    <w:rsid w:val="00B50614"/>
    <w:rsid w:val="00B711FC"/>
    <w:rsid w:val="00CC31ED"/>
    <w:rsid w:val="00DA110C"/>
    <w:rsid w:val="00DF7553"/>
    <w:rsid w:val="00E305C5"/>
    <w:rsid w:val="00E66BAB"/>
    <w:rsid w:val="00EF18B5"/>
    <w:rsid w:val="00FD5AD9"/>
    <w:rsid w:val="00FF4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C66E08"/>
  <w15:chartTrackingRefBased/>
  <w15:docId w15:val="{2B378BB6-40A0-48B0-BD8A-F014BC88F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0A7"/>
    <w:pPr>
      <w:widowControl w:val="0"/>
      <w:spacing w:after="0" w:line="240" w:lineRule="auto"/>
    </w:pPr>
    <w:rPr>
      <w:rFonts w:ascii="Arial" w:eastAsia="Arial" w:hAnsi="Arial" w:cs="Arial"/>
      <w:sz w:val="24"/>
      <w:szCs w:val="24"/>
      <w:lang w:eastAsia="en-GB"/>
    </w:rPr>
  </w:style>
  <w:style w:type="paragraph" w:styleId="Heading1">
    <w:name w:val="heading 1"/>
    <w:basedOn w:val="Normal"/>
    <w:next w:val="Normal"/>
    <w:link w:val="Heading1Char"/>
    <w:qFormat/>
    <w:rsid w:val="00A420A7"/>
    <w:pPr>
      <w:keepNext/>
      <w:keepLines/>
      <w:spacing w:before="240" w:after="60"/>
      <w:outlineLvl w:val="0"/>
    </w:pPr>
    <w:rPr>
      <w:rFonts w:eastAsia="Times New Roman"/>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20A7"/>
    <w:rPr>
      <w:rFonts w:ascii="Arial" w:eastAsia="Times New Roman" w:hAnsi="Arial" w:cs="Arial"/>
      <w:b/>
      <w:color w:val="000000"/>
      <w:sz w:val="32"/>
      <w:szCs w:val="32"/>
      <w:lang w:eastAsia="en-GB"/>
    </w:rPr>
  </w:style>
  <w:style w:type="paragraph" w:styleId="NormalWeb">
    <w:name w:val="Normal (Web)"/>
    <w:basedOn w:val="Normal"/>
    <w:uiPriority w:val="99"/>
    <w:semiHidden/>
    <w:unhideWhenUsed/>
    <w:rsid w:val="0040082E"/>
    <w:pPr>
      <w:widowControl/>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F4110"/>
    <w:pPr>
      <w:ind w:left="720"/>
      <w:contextualSpacing/>
    </w:pPr>
  </w:style>
  <w:style w:type="paragraph" w:styleId="Header">
    <w:name w:val="header"/>
    <w:basedOn w:val="Normal"/>
    <w:link w:val="HeaderChar"/>
    <w:uiPriority w:val="99"/>
    <w:unhideWhenUsed/>
    <w:rsid w:val="00FD5AD9"/>
    <w:pPr>
      <w:tabs>
        <w:tab w:val="center" w:pos="4513"/>
        <w:tab w:val="right" w:pos="9026"/>
      </w:tabs>
    </w:pPr>
  </w:style>
  <w:style w:type="character" w:customStyle="1" w:styleId="HeaderChar">
    <w:name w:val="Header Char"/>
    <w:basedOn w:val="DefaultParagraphFont"/>
    <w:link w:val="Header"/>
    <w:uiPriority w:val="99"/>
    <w:rsid w:val="00FD5AD9"/>
    <w:rPr>
      <w:rFonts w:ascii="Arial" w:eastAsia="Arial" w:hAnsi="Arial" w:cs="Arial"/>
      <w:sz w:val="24"/>
      <w:szCs w:val="24"/>
      <w:lang w:eastAsia="en-GB"/>
    </w:rPr>
  </w:style>
  <w:style w:type="paragraph" w:styleId="Footer">
    <w:name w:val="footer"/>
    <w:basedOn w:val="Normal"/>
    <w:link w:val="FooterChar"/>
    <w:uiPriority w:val="99"/>
    <w:unhideWhenUsed/>
    <w:rsid w:val="00FD5AD9"/>
    <w:pPr>
      <w:tabs>
        <w:tab w:val="center" w:pos="4513"/>
        <w:tab w:val="right" w:pos="9026"/>
      </w:tabs>
    </w:pPr>
  </w:style>
  <w:style w:type="character" w:customStyle="1" w:styleId="FooterChar">
    <w:name w:val="Footer Char"/>
    <w:basedOn w:val="DefaultParagraphFont"/>
    <w:link w:val="Footer"/>
    <w:uiPriority w:val="99"/>
    <w:rsid w:val="00FD5AD9"/>
    <w:rPr>
      <w:rFonts w:ascii="Arial" w:eastAsia="Arial" w:hAnsi="Arial" w:cs="Arial"/>
      <w:sz w:val="24"/>
      <w:szCs w:val="24"/>
      <w:lang w:eastAsia="en-GB"/>
    </w:rPr>
  </w:style>
  <w:style w:type="character" w:styleId="Hyperlink">
    <w:name w:val="Hyperlink"/>
    <w:basedOn w:val="DefaultParagraphFont"/>
    <w:uiPriority w:val="99"/>
    <w:unhideWhenUsed/>
    <w:rsid w:val="009328B3"/>
    <w:rPr>
      <w:color w:val="0563C1" w:themeColor="hyperlink"/>
      <w:u w:val="single"/>
    </w:rPr>
  </w:style>
  <w:style w:type="character" w:styleId="UnresolvedMention">
    <w:name w:val="Unresolved Mention"/>
    <w:basedOn w:val="DefaultParagraphFont"/>
    <w:uiPriority w:val="99"/>
    <w:semiHidden/>
    <w:unhideWhenUsed/>
    <w:rsid w:val="00932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437230">
      <w:bodyDiv w:val="1"/>
      <w:marLeft w:val="0"/>
      <w:marRight w:val="0"/>
      <w:marTop w:val="0"/>
      <w:marBottom w:val="0"/>
      <w:divBdr>
        <w:top w:val="none" w:sz="0" w:space="0" w:color="auto"/>
        <w:left w:val="none" w:sz="0" w:space="0" w:color="auto"/>
        <w:bottom w:val="none" w:sz="0" w:space="0" w:color="auto"/>
        <w:right w:val="none" w:sz="0" w:space="0" w:color="auto"/>
      </w:divBdr>
    </w:div>
    <w:div w:id="158854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ne.heath@cambridgeshire.gov.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1EDF813A6FCD40906F5433F489D115" ma:contentTypeVersion="4" ma:contentTypeDescription="Create a new document." ma:contentTypeScope="" ma:versionID="27795b46bb3cf99cc28f2a6f90f32e57">
  <xsd:schema xmlns:xsd="http://www.w3.org/2001/XMLSchema" xmlns:xs="http://www.w3.org/2001/XMLSchema" xmlns:p="http://schemas.microsoft.com/office/2006/metadata/properties" xmlns:ns2="8b6ba0f6-b4f2-4750-af08-549f080c35fe" targetNamespace="http://schemas.microsoft.com/office/2006/metadata/properties" ma:root="true" ma:fieldsID="e097d38fb454c16d476e1a686c5d02bc" ns2:_="">
    <xsd:import namespace="8b6ba0f6-b4f2-4750-af08-549f080c35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ba0f6-b4f2-4750-af08-549f080c3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700F19-EA0F-4F63-9E75-5413BC6966FE}">
  <ds:schemaRefs>
    <ds:schemaRef ds:uri="http://purl.org/dc/terms/"/>
    <ds:schemaRef ds:uri="http://purl.org/dc/elements/1.1/"/>
    <ds:schemaRef ds:uri="http://schemas.microsoft.com/office/2006/metadata/properties"/>
    <ds:schemaRef ds:uri="http://schemas.openxmlformats.org/package/2006/metadata/core-properties"/>
    <ds:schemaRef ds:uri="337ed1e6-93aa-4a93-b36b-b653d60622af"/>
    <ds:schemaRef ds:uri="http://www.w3.org/XML/1998/namespace"/>
    <ds:schemaRef ds:uri="http://schemas.microsoft.com/office/2006/documentManagement/types"/>
    <ds:schemaRef ds:uri="3d41f571-d60c-4af5-8b15-8fd89b136492"/>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10CDC9A2-CF67-462F-8B6C-CBF42C83E57A}">
  <ds:schemaRefs>
    <ds:schemaRef ds:uri="http://schemas.microsoft.com/sharepoint/v3/contenttype/forms"/>
  </ds:schemaRefs>
</ds:datastoreItem>
</file>

<file path=customXml/itemProps3.xml><?xml version="1.0" encoding="utf-8"?>
<ds:datastoreItem xmlns:ds="http://schemas.openxmlformats.org/officeDocument/2006/customXml" ds:itemID="{735B19B9-0DD7-4BF2-B5C6-770179A08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ba0f6-b4f2-4750-af08-549f080c3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Lynne</dc:creator>
  <cp:keywords/>
  <dc:description/>
  <cp:lastModifiedBy>Fuller Sarah</cp:lastModifiedBy>
  <cp:revision>4</cp:revision>
  <dcterms:created xsi:type="dcterms:W3CDTF">2021-03-05T15:57:00Z</dcterms:created>
  <dcterms:modified xsi:type="dcterms:W3CDTF">2021-03-05T16:10:00Z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0x010100051EDF813A6FCD40906F5433F489D115</vt:lpwstr>
  </property>
</Properties>
</file>